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CEF18">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rPr>
      </w:pPr>
      <w:bookmarkStart w:id="0" w:name="_Toc352007259"/>
      <w:bookmarkStart w:id="1" w:name="_Toc6315"/>
      <w:bookmarkStart w:id="2" w:name="_Toc422390763"/>
      <w:bookmarkStart w:id="3" w:name="_Toc1312"/>
      <w:bookmarkStart w:id="4" w:name="_Toc422390864"/>
      <w:bookmarkStart w:id="5" w:name="_Toc26809"/>
      <w:bookmarkStart w:id="6" w:name="_Toc351622917"/>
      <w:bookmarkStart w:id="7" w:name="_Toc9098"/>
      <w:bookmarkStart w:id="8" w:name="_Toc27214"/>
      <w:bookmarkStart w:id="9" w:name="_Toc283318311"/>
      <w:bookmarkStart w:id="10" w:name="_Toc283640394"/>
      <w:bookmarkStart w:id="11" w:name="_Toc18407"/>
      <w:bookmarkStart w:id="12" w:name="_Toc422486574"/>
      <w:bookmarkStart w:id="13" w:name="_Toc2343"/>
      <w:bookmarkStart w:id="14" w:name="_Toc270607432"/>
      <w:bookmarkStart w:id="15" w:name="_Toc422400073"/>
      <w:bookmarkStart w:id="16" w:name="_Toc352594010"/>
      <w:bookmarkStart w:id="17" w:name="_Toc12805"/>
      <w:bookmarkStart w:id="18" w:name="_Toc286933811"/>
      <w:bookmarkStart w:id="19" w:name="_Toc268880197"/>
      <w:bookmarkStart w:id="20" w:name="_Toc422486425"/>
      <w:bookmarkStart w:id="21" w:name="_Toc4806"/>
      <w:bookmarkStart w:id="22" w:name="_Toc351622961"/>
      <w:bookmarkStart w:id="23" w:name="_Toc286924050"/>
      <w:bookmarkStart w:id="24" w:name="_Toc351826016"/>
      <w:bookmarkStart w:id="25" w:name="_Toc300146857"/>
      <w:bookmarkStart w:id="26" w:name="_Toc422390914"/>
      <w:bookmarkStart w:id="27" w:name="_Toc24685"/>
      <w:bookmarkStart w:id="28" w:name="_Toc283383318"/>
      <w:bookmarkStart w:id="29" w:name="_Toc12891"/>
      <w:bookmarkStart w:id="30" w:name="_Toc353381464"/>
      <w:bookmarkStart w:id="31" w:name="_Toc351833214"/>
      <w:bookmarkStart w:id="32" w:name="_Toc292307145"/>
      <w:bookmarkStart w:id="33" w:name="_Toc20178"/>
      <w:bookmarkStart w:id="34" w:name="_Toc351965641"/>
      <w:bookmarkStart w:id="35" w:name="_Toc268880334"/>
      <w:bookmarkStart w:id="36" w:name="_Toc179884574"/>
      <w:bookmarkStart w:id="37" w:name="_Toc352593146"/>
    </w:p>
    <w:p w14:paraId="312A5157">
      <w:pPr>
        <w:pStyle w:val="6"/>
        <w:widowControl w:val="0"/>
        <w:kinsoku/>
        <w:wordWrap/>
        <w:overflowPunct/>
        <w:topLinePunct w:val="0"/>
        <w:bidi w:val="0"/>
        <w:ind w:firstLine="0" w:firstLineChars="0"/>
        <w:textAlignment w:val="auto"/>
        <w:rPr>
          <w:rFonts w:hint="default" w:ascii="Times New Roman" w:hAnsi="Times New Roman" w:eastAsia="仿宋_GB2312" w:cs="Times New Roman"/>
          <w:color w:val="auto"/>
          <w:kern w:val="0"/>
          <w:sz w:val="24"/>
        </w:rPr>
      </w:pPr>
    </w:p>
    <w:p w14:paraId="116F097B">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lang w:val="en-US" w:eastAsia="zh-CN"/>
        </w:rPr>
      </w:pPr>
      <w:r>
        <w:rPr>
          <w:rFonts w:hint="eastAsia" w:cs="Times New Roman"/>
          <w:b/>
          <w:color w:val="auto"/>
          <w:sz w:val="44"/>
          <w:szCs w:val="44"/>
          <w:lang w:val="en-US" w:eastAsia="zh-CN"/>
        </w:rPr>
        <w:t>寻甸金林钛矿有限公司</w:t>
      </w:r>
    </w:p>
    <w:p w14:paraId="41031861">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rPr>
      </w:pPr>
      <w:r>
        <w:rPr>
          <w:rFonts w:hint="eastAsia" w:cs="Times New Roman"/>
          <w:b/>
          <w:color w:val="auto"/>
          <w:sz w:val="44"/>
          <w:szCs w:val="44"/>
          <w:lang w:val="en-US" w:eastAsia="zh-CN"/>
        </w:rPr>
        <w:t>尾矿处理技改升级建设项目</w:t>
      </w:r>
    </w:p>
    <w:p w14:paraId="343DBED0">
      <w:pPr>
        <w:pStyle w:val="6"/>
        <w:widowControl w:val="0"/>
        <w:kinsoku/>
        <w:wordWrap/>
        <w:overflowPunct/>
        <w:topLinePunct w:val="0"/>
        <w:bidi w:val="0"/>
        <w:ind w:firstLine="0" w:firstLineChars="0"/>
        <w:textAlignment w:val="auto"/>
        <w:rPr>
          <w:rFonts w:hint="default" w:ascii="Times New Roman" w:hAnsi="Times New Roman" w:cs="Times New Roman"/>
          <w:color w:val="auto"/>
        </w:rPr>
      </w:pPr>
    </w:p>
    <w:p w14:paraId="380285DF">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b/>
          <w:color w:val="auto"/>
          <w:sz w:val="52"/>
          <w:szCs w:val="52"/>
        </w:rPr>
      </w:pPr>
    </w:p>
    <w:p w14:paraId="6C77DD5B">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b/>
          <w:color w:val="auto"/>
          <w:sz w:val="52"/>
          <w:szCs w:val="52"/>
        </w:rPr>
      </w:pPr>
    </w:p>
    <w:p w14:paraId="74A45F38">
      <w:pPr>
        <w:bidi w:val="0"/>
        <w:rPr>
          <w:rFonts w:hint="default"/>
          <w:color w:val="auto"/>
        </w:rPr>
      </w:pPr>
    </w:p>
    <w:p w14:paraId="741A2A34">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b/>
          <w:color w:val="auto"/>
          <w:sz w:val="52"/>
          <w:szCs w:val="52"/>
        </w:rPr>
      </w:pPr>
      <w:r>
        <w:rPr>
          <w:rFonts w:hint="default" w:ascii="Times New Roman" w:hAnsi="Times New Roman" w:eastAsia="黑体" w:cs="Times New Roman"/>
          <w:b/>
          <w:color w:val="auto"/>
          <w:sz w:val="52"/>
          <w:szCs w:val="52"/>
        </w:rPr>
        <w:t>安全验收评价报告</w:t>
      </w:r>
    </w:p>
    <w:p w14:paraId="2771831E">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pPr>
    </w:p>
    <w:p w14:paraId="4F0C9835">
      <w:pPr>
        <w:pStyle w:val="6"/>
        <w:widowControl w:val="0"/>
        <w:kinsoku/>
        <w:wordWrap/>
        <w:overflowPunct/>
        <w:topLinePunct w:val="0"/>
        <w:bidi w:val="0"/>
        <w:ind w:firstLine="0" w:firstLineChars="0"/>
        <w:textAlignment w:val="auto"/>
        <w:rPr>
          <w:rFonts w:hint="default" w:ascii="Times New Roman" w:hAnsi="Times New Roman" w:eastAsia="黑体" w:cs="Times New Roman"/>
          <w:color w:val="auto"/>
          <w:sz w:val="44"/>
        </w:rPr>
      </w:pPr>
    </w:p>
    <w:p w14:paraId="0F62CD03">
      <w:pPr>
        <w:widowControl w:val="0"/>
        <w:kinsoku/>
        <w:wordWrap/>
        <w:overflowPunct/>
        <w:topLinePunct w:val="0"/>
        <w:bidi w:val="0"/>
        <w:ind w:firstLine="0" w:firstLineChars="0"/>
        <w:textAlignment w:val="auto"/>
        <w:rPr>
          <w:rFonts w:hint="default" w:ascii="Times New Roman" w:hAnsi="Times New Roman" w:cs="Times New Roman"/>
          <w:color w:val="auto"/>
        </w:rPr>
      </w:pPr>
    </w:p>
    <w:p w14:paraId="3DD170DF">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44"/>
        </w:rPr>
      </w:pPr>
    </w:p>
    <w:p w14:paraId="0305B8F8">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44"/>
        </w:rPr>
      </w:pPr>
    </w:p>
    <w:p w14:paraId="35251A90">
      <w:pPr>
        <w:pStyle w:val="12"/>
        <w:widowControl w:val="0"/>
        <w:kinsoku/>
        <w:wordWrap/>
        <w:overflowPunct/>
        <w:topLinePunct w:val="0"/>
        <w:bidi w:val="0"/>
        <w:ind w:firstLine="0" w:firstLineChars="0"/>
        <w:textAlignment w:val="auto"/>
        <w:rPr>
          <w:rFonts w:hint="default" w:ascii="Times New Roman" w:hAnsi="Times New Roman" w:eastAsia="仿宋_GB2312" w:cs="Times New Roman"/>
          <w:color w:val="auto"/>
          <w:kern w:val="0"/>
          <w:sz w:val="24"/>
        </w:rPr>
      </w:pPr>
    </w:p>
    <w:p w14:paraId="253A8839">
      <w:pPr>
        <w:widowControl w:val="0"/>
        <w:kinsoku/>
        <w:wordWrap/>
        <w:overflowPunct/>
        <w:topLinePunct w:val="0"/>
        <w:bidi w:val="0"/>
        <w:ind w:firstLine="0" w:firstLineChars="0"/>
        <w:textAlignment w:val="auto"/>
        <w:rPr>
          <w:rFonts w:hint="default" w:ascii="Times New Roman" w:hAnsi="Times New Roman" w:eastAsia="仿宋_GB2312" w:cs="Times New Roman"/>
          <w:color w:val="auto"/>
          <w:kern w:val="0"/>
          <w:sz w:val="24"/>
        </w:rPr>
      </w:pPr>
    </w:p>
    <w:p w14:paraId="210D488E">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44"/>
        </w:rPr>
      </w:pPr>
    </w:p>
    <w:p w14:paraId="087902C9">
      <w:pPr>
        <w:widowControl w:val="0"/>
        <w:kinsoku/>
        <w:wordWrap/>
        <w:overflowPunct/>
        <w:topLinePunct w:val="0"/>
        <w:bidi w:val="0"/>
        <w:ind w:firstLine="0" w:firstLineChars="0"/>
        <w:jc w:val="center"/>
        <w:textAlignment w:val="auto"/>
        <w:rPr>
          <w:rFonts w:hint="default" w:ascii="Times New Roman" w:hAnsi="Times New Roman" w:eastAsia="宋体" w:cs="Times New Roman"/>
          <w:b/>
          <w:color w:val="auto"/>
          <w:sz w:val="36"/>
          <w:szCs w:val="36"/>
          <w:lang w:eastAsia="zh-CN"/>
        </w:rPr>
      </w:pPr>
      <w:r>
        <w:rPr>
          <w:rFonts w:hint="default" w:ascii="Times New Roman" w:hAnsi="Times New Roman" w:cs="Times New Roman"/>
          <w:b/>
          <w:color w:val="auto"/>
          <w:sz w:val="36"/>
          <w:szCs w:val="36"/>
          <w:lang w:eastAsia="zh-CN"/>
        </w:rPr>
        <w:t>辽宁诺诚安全科技有限公司</w:t>
      </w:r>
    </w:p>
    <w:p w14:paraId="769C9D67">
      <w:pPr>
        <w:widowControl w:val="0"/>
        <w:kinsoku/>
        <w:wordWrap/>
        <w:overflowPunct/>
        <w:topLinePunct w:val="0"/>
        <w:bidi w:val="0"/>
        <w:ind w:firstLine="0" w:firstLineChars="0"/>
        <w:jc w:val="center"/>
        <w:textAlignment w:val="auto"/>
        <w:rPr>
          <w:rFonts w:hint="default" w:ascii="Times New Roman" w:hAnsi="Times New Roman" w:eastAsia="宋体" w:cs="Times New Roman"/>
          <w:b/>
          <w:color w:val="auto"/>
          <w:sz w:val="32"/>
          <w:szCs w:val="32"/>
          <w:lang w:val="en-US" w:eastAsia="zh-CN"/>
        </w:rPr>
      </w:pPr>
      <w:r>
        <w:rPr>
          <w:rFonts w:hint="default" w:ascii="Times New Roman" w:hAnsi="Times New Roman" w:cs="Times New Roman"/>
          <w:b/>
          <w:color w:val="auto"/>
          <w:sz w:val="32"/>
          <w:szCs w:val="32"/>
        </w:rPr>
        <w:t>资质证书编号：APJ-（辽）-0</w:t>
      </w:r>
      <w:r>
        <w:rPr>
          <w:rFonts w:hint="default" w:ascii="Times New Roman" w:hAnsi="Times New Roman" w:cs="Times New Roman"/>
          <w:b/>
          <w:color w:val="auto"/>
          <w:sz w:val="32"/>
          <w:szCs w:val="32"/>
          <w:lang w:val="en-US" w:eastAsia="zh-CN"/>
        </w:rPr>
        <w:t>21</w:t>
      </w:r>
    </w:p>
    <w:p w14:paraId="4AA358F3">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sectPr>
          <w:headerReference r:id="rId5" w:type="default"/>
          <w:footerReference r:id="rId6" w:type="default"/>
          <w:pgSz w:w="11905" w:h="16838"/>
          <w:pgMar w:top="1417" w:right="1134" w:bottom="1134"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86" w:charSpace="0"/>
        </w:sectPr>
      </w:pPr>
      <w:r>
        <w:rPr>
          <w:rFonts w:hint="default" w:ascii="Times New Roman" w:hAnsi="Times New Roman" w:cs="Times New Roman"/>
          <w:b/>
          <w:color w:val="auto"/>
          <w:sz w:val="32"/>
          <w:szCs w:val="32"/>
        </w:rPr>
        <w:t>202</w:t>
      </w:r>
      <w:r>
        <w:rPr>
          <w:rFonts w:hint="eastAsia" w:cs="Times New Roman"/>
          <w:b/>
          <w:color w:val="auto"/>
          <w:sz w:val="32"/>
          <w:szCs w:val="32"/>
          <w:lang w:val="en-US" w:eastAsia="zh-CN"/>
        </w:rPr>
        <w:t>5</w:t>
      </w:r>
      <w:r>
        <w:rPr>
          <w:rFonts w:hint="default" w:ascii="Times New Roman" w:hAnsi="Times New Roman" w:cs="Times New Roman"/>
          <w:b/>
          <w:color w:val="auto"/>
          <w:sz w:val="32"/>
          <w:szCs w:val="32"/>
        </w:rPr>
        <w:t>年</w:t>
      </w:r>
      <w:r>
        <w:rPr>
          <w:rFonts w:hint="eastAsia" w:cs="Times New Roman"/>
          <w:b/>
          <w:color w:val="auto"/>
          <w:sz w:val="32"/>
          <w:szCs w:val="32"/>
          <w:lang w:val="en-US" w:eastAsia="zh-CN"/>
        </w:rPr>
        <w:t>3</w:t>
      </w:r>
      <w:r>
        <w:rPr>
          <w:rFonts w:hint="default" w:ascii="Times New Roman" w:hAnsi="Times New Roman" w:cs="Times New Roman"/>
          <w:b/>
          <w:color w:val="auto"/>
          <w:sz w:val="32"/>
          <w:szCs w:val="32"/>
        </w:rPr>
        <w:t>月</w:t>
      </w:r>
    </w:p>
    <w:p w14:paraId="08AB8B50">
      <w:pPr>
        <w:widowControl w:val="0"/>
        <w:kinsoku/>
        <w:wordWrap/>
        <w:overflowPunct/>
        <w:topLinePunct w:val="0"/>
        <w:bidi w:val="0"/>
        <w:spacing w:line="360" w:lineRule="auto"/>
        <w:ind w:firstLine="0" w:firstLineChars="0"/>
        <w:jc w:val="right"/>
        <w:textAlignment w:val="auto"/>
        <w:rPr>
          <w:rFonts w:hint="default" w:ascii="Times New Roman" w:hAnsi="Times New Roman" w:eastAsia="宋体" w:cs="Times New Roman"/>
          <w:b/>
          <w:bCs w:val="0"/>
          <w:color w:val="auto"/>
          <w:sz w:val="28"/>
          <w:szCs w:val="28"/>
          <w:highlight w:val="none"/>
          <w:lang w:val="en-US" w:eastAsia="zh-CN"/>
        </w:rPr>
      </w:pPr>
      <w:r>
        <w:rPr>
          <w:rFonts w:hint="default" w:ascii="Times New Roman" w:hAnsi="Times New Roman" w:eastAsia="宋体" w:cs="Times New Roman"/>
          <w:b/>
          <w:bCs w:val="0"/>
          <w:color w:val="auto"/>
          <w:sz w:val="28"/>
          <w:szCs w:val="28"/>
          <w:highlight w:val="none"/>
          <w:lang w:val="en-US" w:eastAsia="zh-CN"/>
        </w:rPr>
        <w:t>NCAP/KS-YS-2025-004</w:t>
      </w:r>
    </w:p>
    <w:p w14:paraId="0D163749">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lang w:val="en-US" w:eastAsia="zh-CN"/>
        </w:rPr>
      </w:pPr>
    </w:p>
    <w:p w14:paraId="1EBF1585">
      <w:pPr>
        <w:pStyle w:val="6"/>
        <w:widowControl w:val="0"/>
        <w:kinsoku/>
        <w:wordWrap/>
        <w:overflowPunct/>
        <w:topLinePunct w:val="0"/>
        <w:bidi w:val="0"/>
        <w:ind w:firstLine="0" w:firstLineChars="0"/>
        <w:textAlignment w:val="auto"/>
        <w:rPr>
          <w:rFonts w:hint="default" w:ascii="Times New Roman" w:hAnsi="Times New Roman" w:cs="Times New Roman"/>
          <w:color w:val="auto"/>
          <w:lang w:val="en-US" w:eastAsia="zh-CN"/>
        </w:rPr>
      </w:pPr>
    </w:p>
    <w:p w14:paraId="0D0637F6">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pPr>
    </w:p>
    <w:p w14:paraId="0E7FAD5B">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lang w:val="en-US" w:eastAsia="zh-CN"/>
        </w:rPr>
      </w:pPr>
      <w:r>
        <w:rPr>
          <w:rFonts w:hint="eastAsia" w:cs="Times New Roman"/>
          <w:b/>
          <w:color w:val="auto"/>
          <w:sz w:val="32"/>
          <w:szCs w:val="32"/>
          <w:lang w:val="en-US" w:eastAsia="zh-CN"/>
        </w:rPr>
        <w:t>寻甸金林钛矿有限公司</w:t>
      </w:r>
    </w:p>
    <w:p w14:paraId="686350AC">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pPr>
      <w:r>
        <w:rPr>
          <w:rFonts w:hint="eastAsia" w:cs="Times New Roman"/>
          <w:b/>
          <w:color w:val="auto"/>
          <w:sz w:val="32"/>
          <w:szCs w:val="32"/>
          <w:lang w:val="en-US" w:eastAsia="zh-CN"/>
        </w:rPr>
        <w:t>尾矿处理技改升级建设项目</w:t>
      </w:r>
    </w:p>
    <w:p w14:paraId="2C38BE1A">
      <w:pPr>
        <w:pStyle w:val="6"/>
        <w:widowControl w:val="0"/>
        <w:kinsoku/>
        <w:wordWrap/>
        <w:overflowPunct/>
        <w:topLinePunct w:val="0"/>
        <w:bidi w:val="0"/>
        <w:ind w:firstLine="0" w:firstLineChars="0"/>
        <w:textAlignment w:val="auto"/>
        <w:rPr>
          <w:rFonts w:hint="default" w:ascii="Times New Roman" w:hAnsi="Times New Roman" w:cs="Times New Roman"/>
          <w:color w:val="auto"/>
        </w:rPr>
      </w:pPr>
    </w:p>
    <w:p w14:paraId="787ECFFA">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rPr>
      </w:pPr>
    </w:p>
    <w:p w14:paraId="3B58DBF9">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rPr>
      </w:pPr>
    </w:p>
    <w:p w14:paraId="7DC8C074">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t>安全验收评价报告</w:t>
      </w:r>
    </w:p>
    <w:p w14:paraId="5D02DB7F">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7168601A">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53511385">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10948DFE">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2488EB41">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03B70A43">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1DD08269">
      <w:pPr>
        <w:widowControl w:val="0"/>
        <w:kinsoku/>
        <w:wordWrap/>
        <w:overflowPunct/>
        <w:topLinePunct w:val="0"/>
        <w:bidi w:val="0"/>
        <w:spacing w:line="360" w:lineRule="auto"/>
        <w:ind w:firstLine="0" w:firstLineChars="0"/>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法定代表人：</w:t>
      </w:r>
      <w:r>
        <w:rPr>
          <w:rFonts w:hint="default" w:ascii="Times New Roman" w:hAnsi="Times New Roman" w:cs="Times New Roman"/>
          <w:color w:val="auto"/>
          <w:sz w:val="28"/>
          <w:szCs w:val="28"/>
          <w:lang w:val="en-US" w:eastAsia="zh-CN"/>
        </w:rPr>
        <w:t>孙同辉</w:t>
      </w:r>
    </w:p>
    <w:p w14:paraId="582361B6">
      <w:pPr>
        <w:widowControl w:val="0"/>
        <w:kinsoku/>
        <w:wordWrap/>
        <w:overflowPunct/>
        <w:topLinePunct w:val="0"/>
        <w:bidi w:val="0"/>
        <w:spacing w:line="360" w:lineRule="auto"/>
        <w:ind w:firstLine="0" w:firstLineChars="0"/>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技术负责人：</w:t>
      </w:r>
      <w:r>
        <w:rPr>
          <w:rFonts w:hint="default" w:ascii="Times New Roman" w:hAnsi="Times New Roman" w:cs="Times New Roman"/>
          <w:color w:val="auto"/>
          <w:sz w:val="28"/>
          <w:szCs w:val="28"/>
          <w:lang w:val="en-US" w:eastAsia="zh-CN"/>
        </w:rPr>
        <w:t>张廷辉</w:t>
      </w:r>
    </w:p>
    <w:p w14:paraId="290FA7B4">
      <w:pPr>
        <w:widowControl w:val="0"/>
        <w:kinsoku/>
        <w:wordWrap/>
        <w:overflowPunct/>
        <w:topLinePunct w:val="0"/>
        <w:bidi w:val="0"/>
        <w:spacing w:line="360" w:lineRule="auto"/>
        <w:ind w:firstLine="0" w:firstLineChars="0"/>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评价项目负责人：</w:t>
      </w:r>
      <w:r>
        <w:rPr>
          <w:rFonts w:hint="default" w:ascii="Times New Roman" w:hAnsi="Times New Roman" w:cs="Times New Roman"/>
          <w:color w:val="auto"/>
          <w:sz w:val="28"/>
          <w:szCs w:val="28"/>
          <w:lang w:val="en-US" w:eastAsia="zh-CN"/>
        </w:rPr>
        <w:t>杨会明</w:t>
      </w:r>
    </w:p>
    <w:p w14:paraId="696F37DA">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pPr>
    </w:p>
    <w:p w14:paraId="3695CF09">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24"/>
        </w:rPr>
      </w:pPr>
      <w:r>
        <w:rPr>
          <w:rFonts w:hint="default" w:ascii="Times New Roman" w:hAnsi="Times New Roman" w:cs="Times New Roman"/>
          <w:b/>
          <w:color w:val="auto"/>
          <w:sz w:val="24"/>
        </w:rPr>
        <w:t>202</w:t>
      </w:r>
      <w:r>
        <w:rPr>
          <w:rFonts w:hint="eastAsia" w:cs="Times New Roman"/>
          <w:b/>
          <w:color w:val="auto"/>
          <w:sz w:val="24"/>
          <w:lang w:val="en-US" w:eastAsia="zh-CN"/>
        </w:rPr>
        <w:t>5</w:t>
      </w:r>
      <w:r>
        <w:rPr>
          <w:rFonts w:hint="default" w:ascii="Times New Roman" w:hAnsi="Times New Roman" w:cs="Times New Roman"/>
          <w:b/>
          <w:color w:val="auto"/>
          <w:sz w:val="24"/>
        </w:rPr>
        <w:t>年</w:t>
      </w:r>
      <w:r>
        <w:rPr>
          <w:rFonts w:hint="eastAsia" w:cs="Times New Roman"/>
          <w:b/>
          <w:color w:val="auto"/>
          <w:sz w:val="24"/>
          <w:lang w:val="en-US" w:eastAsia="zh-CN"/>
        </w:rPr>
        <w:t>3</w:t>
      </w:r>
      <w:r>
        <w:rPr>
          <w:rFonts w:hint="default" w:ascii="Times New Roman" w:hAnsi="Times New Roman" w:cs="Times New Roman"/>
          <w:b/>
          <w:color w:val="auto"/>
          <w:sz w:val="24"/>
        </w:rPr>
        <w:t>月</w:t>
      </w:r>
    </w:p>
    <w:p w14:paraId="3B770FBC">
      <w:pPr>
        <w:widowControl w:val="0"/>
        <w:kinsoku/>
        <w:wordWrap/>
        <w:overflowPunct/>
        <w:topLinePunct w:val="0"/>
        <w:bidi w:val="0"/>
        <w:ind w:firstLine="0" w:firstLineChars="0"/>
        <w:jc w:val="center"/>
        <w:textAlignment w:val="auto"/>
        <w:rPr>
          <w:rFonts w:hint="default" w:ascii="Times New Roman" w:hAnsi="Times New Roman" w:cs="Times New Roman"/>
          <w:color w:val="auto"/>
        </w:rPr>
        <w:sectPr>
          <w:footerReference r:id="rId7" w:type="default"/>
          <w:pgSz w:w="11905" w:h="16838"/>
          <w:pgMar w:top="1417" w:right="1134" w:bottom="1134"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86" w:charSpace="0"/>
        </w:sectPr>
      </w:pPr>
      <w:r>
        <w:rPr>
          <w:rFonts w:hint="default" w:ascii="Times New Roman" w:hAnsi="Times New Roman" w:cs="Times New Roman"/>
          <w:color w:val="auto"/>
          <w:szCs w:val="21"/>
        </w:rPr>
        <w:t>（安全评价机构公章）</w:t>
      </w:r>
      <w:bookmarkStart w:id="38" w:name="_Toc25642"/>
      <w:bookmarkStart w:id="39" w:name="_Toc17072"/>
    </w:p>
    <w:p w14:paraId="6939632A">
      <w:pPr>
        <w:pageBreakBefore/>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pPr>
      <w:bookmarkStart w:id="40" w:name="_Toc7609"/>
      <w:bookmarkStart w:id="41" w:name="_Toc1021"/>
      <w:bookmarkStart w:id="42" w:name="_Toc22273"/>
      <w:bookmarkStart w:id="43" w:name="_Toc16397"/>
      <w:bookmarkStart w:id="44" w:name="_Toc17128"/>
      <w:bookmarkStart w:id="45" w:name="_Toc19156"/>
      <w:bookmarkStart w:id="46" w:name="_Toc2958"/>
      <w:bookmarkStart w:id="47" w:name="_Toc5600"/>
      <w:r>
        <w:rPr>
          <w:rFonts w:hint="default" w:ascii="Times New Roman" w:hAnsi="Times New Roman" w:cs="Times New Roman"/>
          <w:b/>
          <w:color w:val="auto"/>
          <w:kern w:val="0"/>
          <w:sz w:val="32"/>
          <w:szCs w:val="32"/>
        </w:rPr>
        <w:t>评价人员</w:t>
      </w:r>
    </w:p>
    <w:tbl>
      <w:tblPr>
        <w:tblStyle w:val="18"/>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1236"/>
        <w:gridCol w:w="1387"/>
        <w:gridCol w:w="2300"/>
        <w:gridCol w:w="1880"/>
        <w:gridCol w:w="1594"/>
      </w:tblGrid>
      <w:tr w14:paraId="2EBB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1761DA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评价单位</w:t>
            </w:r>
          </w:p>
        </w:tc>
        <w:tc>
          <w:tcPr>
            <w:tcW w:w="8397" w:type="dxa"/>
            <w:gridSpan w:val="5"/>
            <w:tcBorders>
              <w:top w:val="single" w:color="auto" w:sz="4" w:space="0"/>
              <w:left w:val="single" w:color="auto" w:sz="4" w:space="0"/>
              <w:bottom w:val="single" w:color="auto" w:sz="4" w:space="0"/>
              <w:right w:val="single" w:color="auto" w:sz="4" w:space="0"/>
            </w:tcBorders>
            <w:noWrap w:val="0"/>
            <w:vAlign w:val="center"/>
          </w:tcPr>
          <w:p w14:paraId="73C781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辽宁</w:t>
            </w:r>
            <w:r>
              <w:rPr>
                <w:rFonts w:hint="default" w:ascii="Times New Roman" w:hAnsi="Times New Roman" w:eastAsia="宋体" w:cs="Times New Roman"/>
                <w:color w:val="auto"/>
                <w:sz w:val="24"/>
                <w:lang w:val="en-US" w:eastAsia="zh-CN"/>
              </w:rPr>
              <w:t>诺诚安全科技</w:t>
            </w:r>
            <w:r>
              <w:rPr>
                <w:rFonts w:hint="default" w:ascii="Times New Roman" w:hAnsi="Times New Roman" w:eastAsia="宋体" w:cs="Times New Roman"/>
                <w:color w:val="auto"/>
                <w:sz w:val="24"/>
              </w:rPr>
              <w:t>有限公司</w:t>
            </w:r>
          </w:p>
        </w:tc>
      </w:tr>
      <w:tr w14:paraId="1400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48C6E6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项目名称</w:t>
            </w:r>
          </w:p>
        </w:tc>
        <w:tc>
          <w:tcPr>
            <w:tcW w:w="8397" w:type="dxa"/>
            <w:gridSpan w:val="5"/>
            <w:tcBorders>
              <w:top w:val="single" w:color="auto" w:sz="4" w:space="0"/>
              <w:left w:val="single" w:color="auto" w:sz="4" w:space="0"/>
              <w:bottom w:val="single" w:color="auto" w:sz="4" w:space="0"/>
              <w:right w:val="single" w:color="auto" w:sz="4" w:space="0"/>
            </w:tcBorders>
            <w:noWrap w:val="0"/>
            <w:vAlign w:val="center"/>
          </w:tcPr>
          <w:p w14:paraId="109DB8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22"/>
                <w:lang w:val="en-US" w:eastAsia="zh-CN"/>
              </w:rPr>
              <w:t>寻甸金林钛矿有限公司尾矿处理技改升级建设项目安全验收评价</w:t>
            </w:r>
          </w:p>
        </w:tc>
      </w:tr>
      <w:tr w14:paraId="770A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4BDF48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评价人员</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2521F9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姓  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B89B1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sz w:val="24"/>
              </w:rPr>
              <w:t>专业能力</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1FB94D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sz w:val="24"/>
              </w:rPr>
              <w:t>资格证书号</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39843C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sz w:val="24"/>
              </w:rPr>
              <w:t>从业登记编号</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3B9ED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签  字</w:t>
            </w:r>
          </w:p>
        </w:tc>
      </w:tr>
      <w:tr w14:paraId="67F4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0498BF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项目负责人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D4C9E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39BB2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cs="Times New Roman"/>
                <w:color w:val="auto"/>
                <w:kern w:val="0"/>
                <w:sz w:val="24"/>
                <w:szCs w:val="24"/>
                <w:lang w:val="en-US" w:bidi="zh-CN"/>
              </w:rPr>
              <w:t>通风</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28C2A2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fldChar w:fldCharType="begin"/>
            </w:r>
            <w:r>
              <w:rPr>
                <w:rFonts w:hint="default" w:ascii="Times New Roman" w:hAnsi="Times New Roman" w:eastAsia="宋体" w:cs="Times New Roman"/>
                <w:color w:val="auto"/>
                <w:kern w:val="0"/>
                <w:sz w:val="24"/>
                <w:szCs w:val="24"/>
                <w:lang w:bidi="zh-CN"/>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eastAsia="宋体" w:cs="Times New Roman"/>
                <w:color w:val="auto"/>
                <w:kern w:val="0"/>
                <w:sz w:val="24"/>
                <w:szCs w:val="24"/>
                <w:lang w:bidi="zh-CN"/>
              </w:rPr>
              <w:fldChar w:fldCharType="separate"/>
            </w:r>
            <w:r>
              <w:rPr>
                <w:rFonts w:hint="default" w:ascii="Times New Roman" w:hAnsi="Times New Roman" w:eastAsia="宋体" w:cs="Times New Roman"/>
                <w:color w:val="auto"/>
                <w:kern w:val="0"/>
                <w:sz w:val="24"/>
                <w:szCs w:val="24"/>
                <w:lang w:bidi="zh-CN"/>
              </w:rPr>
              <w:t>S011053000110192003194</w:t>
            </w:r>
            <w:r>
              <w:rPr>
                <w:rFonts w:hint="default" w:ascii="Times New Roman" w:hAnsi="Times New Roman" w:eastAsia="宋体" w:cs="Times New Roman"/>
                <w:color w:val="auto"/>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4EDDE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524D7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1334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restart"/>
            <w:tcBorders>
              <w:left w:val="single" w:color="auto" w:sz="4" w:space="0"/>
              <w:right w:val="single" w:color="auto" w:sz="4" w:space="0"/>
            </w:tcBorders>
            <w:noWrap w:val="0"/>
            <w:vAlign w:val="center"/>
          </w:tcPr>
          <w:p w14:paraId="1BAD8C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项目组成员</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65BF36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val="en-US" w:bidi="zh-CN"/>
              </w:rPr>
              <w:t>李欣泽</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D78BB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ascii="Times New Roman" w:hAnsi="Times New Roman" w:eastAsia="宋体" w:cs="Times New Roman"/>
                <w:color w:val="auto"/>
                <w:kern w:val="0"/>
                <w:sz w:val="24"/>
                <w:szCs w:val="24"/>
                <w:lang w:val="en-US" w:bidi="zh-CN"/>
              </w:rPr>
              <w:t>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4BE37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1600000000200299</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768D3B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019600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AF1B6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6653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357FB5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20754F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eastAsia" w:cs="Times New Roman"/>
                <w:color w:val="auto"/>
                <w:kern w:val="0"/>
                <w:sz w:val="24"/>
                <w:szCs w:val="24"/>
                <w:lang w:val="en-US" w:eastAsia="zh-CN" w:bidi="zh-CN"/>
              </w:rPr>
              <w:t>侯  岗</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332EE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电气</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6953BF6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rPr>
                <w:rFonts w:hint="default" w:ascii="Times New Roman" w:hAnsi="Times New Roman" w:eastAsia="宋体" w:cs="Times New Roman"/>
                <w:color w:val="auto"/>
                <w:sz w:val="24"/>
                <w:lang w:val="zh-CN" w:eastAsia="zh-CN"/>
              </w:rPr>
            </w:pPr>
            <w:r>
              <w:rPr>
                <w:rFonts w:hint="eastAsia" w:ascii="Times New Roman" w:hAnsi="Times New Roman" w:cs="Times New Roman"/>
                <w:color w:val="auto"/>
                <w:kern w:val="0"/>
                <w:sz w:val="24"/>
                <w:szCs w:val="24"/>
                <w:lang w:val="en-US" w:eastAsia="zh-CN" w:bidi="zh-CN"/>
              </w:rPr>
              <w:t>1500000000302693</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290AAFA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rPr>
                <w:rFonts w:hint="default" w:ascii="Times New Roman" w:hAnsi="Times New Roman" w:eastAsia="宋体" w:cs="Times New Roman"/>
                <w:color w:val="auto"/>
                <w:sz w:val="24"/>
                <w:lang w:val="en-US" w:eastAsia="zh-CN"/>
              </w:rPr>
            </w:pPr>
            <w:r>
              <w:rPr>
                <w:rFonts w:hint="eastAsia" w:ascii="Times New Roman" w:hAnsi="Times New Roman" w:cs="Times New Roman"/>
                <w:color w:val="auto"/>
                <w:kern w:val="0"/>
                <w:sz w:val="24"/>
                <w:szCs w:val="24"/>
                <w:lang w:val="en-US" w:eastAsia="zh-CN" w:bidi="zh-CN"/>
              </w:rPr>
              <w:t>026194</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DB53B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7DEE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6078E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05B01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bidi="zh-CN"/>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DF7FA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采矿</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599BBB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S011053000110203001658</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70A536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BC342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0DCF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0B21C6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66C9A3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杨  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2BB11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水工结构</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68138C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fldChar w:fldCharType="begin"/>
            </w:r>
            <w:r>
              <w:rPr>
                <w:rFonts w:hint="default" w:ascii="Times New Roman" w:hAnsi="Times New Roman" w:eastAsia="宋体" w:cs="Times New Roman"/>
                <w:color w:val="auto"/>
                <w:kern w:val="0"/>
                <w:sz w:val="24"/>
                <w:szCs w:val="24"/>
                <w:lang w:bidi="zh-CN"/>
              </w:rPr>
              <w:instrText xml:space="preserve"> HYPERLINK "http://cydj.5anquan.com/Admin/AprySearch/path=/Files/Image/ApryImg/Profession/Edit9607/" \o "http://cydj.5anquan.com/Admin/AprySearch/path=/Files/Image/ApryImg/Profession/Edit9607/" </w:instrText>
            </w:r>
            <w:r>
              <w:rPr>
                <w:rFonts w:hint="default" w:ascii="Times New Roman" w:hAnsi="Times New Roman" w:eastAsia="宋体" w:cs="Times New Roman"/>
                <w:color w:val="auto"/>
                <w:kern w:val="0"/>
                <w:sz w:val="24"/>
                <w:szCs w:val="24"/>
                <w:lang w:bidi="zh-CN"/>
              </w:rPr>
              <w:fldChar w:fldCharType="separate"/>
            </w:r>
            <w:r>
              <w:rPr>
                <w:rFonts w:hint="default" w:ascii="Times New Roman" w:hAnsi="Times New Roman" w:eastAsia="宋体" w:cs="Times New Roman"/>
                <w:color w:val="auto"/>
                <w:kern w:val="0"/>
                <w:sz w:val="24"/>
                <w:szCs w:val="24"/>
                <w:lang w:bidi="zh-CN"/>
              </w:rPr>
              <w:t>1100000000302455</w:t>
            </w:r>
            <w:r>
              <w:rPr>
                <w:rFonts w:hint="default" w:ascii="Times New Roman" w:hAnsi="Times New Roman" w:eastAsia="宋体" w:cs="Times New Roman"/>
                <w:color w:val="auto"/>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7F3216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020433</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804A3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4AA2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0D818C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5ABBDE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bidi="zh-CN"/>
              </w:rPr>
              <w:t>王英楠</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A1F3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地质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5CA8E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1100000000302557</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5F0E8D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020437</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3A808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50CF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7B6672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3033A6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cs="Times New Roman"/>
                <w:color w:val="auto"/>
                <w:kern w:val="0"/>
                <w:sz w:val="24"/>
                <w:szCs w:val="24"/>
                <w:lang w:val="en-US" w:bidi="zh-CN"/>
              </w:rPr>
              <w:t>于贺苓</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6F7F8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cs="Times New Roman"/>
                <w:color w:val="auto"/>
                <w:kern w:val="0"/>
                <w:sz w:val="24"/>
                <w:szCs w:val="24"/>
                <w:lang w:val="en-US" w:bidi="zh-CN"/>
              </w:rPr>
              <w:t>机械</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4F7765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cs="Times New Roman"/>
                <w:color w:val="auto"/>
                <w:kern w:val="0"/>
                <w:sz w:val="24"/>
                <w:szCs w:val="24"/>
                <w:lang w:val="en-US" w:bidi="zh-CN"/>
              </w:rPr>
              <w:t>1500000000302540</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49E4CC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cs="Times New Roman"/>
                <w:color w:val="auto"/>
                <w:kern w:val="0"/>
                <w:sz w:val="24"/>
                <w:szCs w:val="24"/>
                <w:lang w:val="en-US" w:bidi="zh-CN"/>
              </w:rPr>
              <w:t>026191</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3197A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433F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restart"/>
            <w:tcBorders>
              <w:top w:val="single" w:color="auto" w:sz="4" w:space="0"/>
              <w:left w:val="single" w:color="auto" w:sz="4" w:space="0"/>
              <w:right w:val="single" w:color="auto" w:sz="4" w:space="0"/>
            </w:tcBorders>
            <w:noWrap w:val="0"/>
            <w:vAlign w:val="center"/>
          </w:tcPr>
          <w:p w14:paraId="7EC3C1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报告编制人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C2761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9DAF8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eastAsia" w:cs="Times New Roman"/>
                <w:color w:val="auto"/>
                <w:kern w:val="0"/>
                <w:sz w:val="24"/>
                <w:szCs w:val="24"/>
                <w:lang w:val="en-US" w:bidi="zh-CN"/>
              </w:rPr>
              <w:t>通风</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22EA05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fldChar w:fldCharType="begin"/>
            </w:r>
            <w:r>
              <w:rPr>
                <w:rFonts w:hint="default" w:ascii="Times New Roman" w:hAnsi="Times New Roman" w:eastAsia="宋体" w:cs="Times New Roman"/>
                <w:color w:val="auto"/>
                <w:kern w:val="0"/>
                <w:sz w:val="24"/>
                <w:szCs w:val="24"/>
                <w:lang w:bidi="zh-CN"/>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eastAsia="宋体" w:cs="Times New Roman"/>
                <w:color w:val="auto"/>
                <w:kern w:val="0"/>
                <w:sz w:val="24"/>
                <w:szCs w:val="24"/>
                <w:lang w:bidi="zh-CN"/>
              </w:rPr>
              <w:fldChar w:fldCharType="separate"/>
            </w:r>
            <w:r>
              <w:rPr>
                <w:rFonts w:hint="default" w:ascii="Times New Roman" w:hAnsi="Times New Roman" w:eastAsia="宋体" w:cs="Times New Roman"/>
                <w:color w:val="auto"/>
                <w:kern w:val="0"/>
                <w:sz w:val="24"/>
                <w:szCs w:val="24"/>
                <w:lang w:bidi="zh-CN"/>
              </w:rPr>
              <w:t>S011053000110192003194</w:t>
            </w:r>
            <w:r>
              <w:rPr>
                <w:rFonts w:hint="default" w:ascii="Times New Roman" w:hAnsi="Times New Roman" w:eastAsia="宋体" w:cs="Times New Roman"/>
                <w:color w:val="auto"/>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3436CE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37D4B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2BB1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bottom w:val="single" w:color="auto" w:sz="4" w:space="0"/>
              <w:right w:val="single" w:color="auto" w:sz="4" w:space="0"/>
            </w:tcBorders>
            <w:noWrap w:val="0"/>
            <w:vAlign w:val="center"/>
          </w:tcPr>
          <w:p w14:paraId="44033E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171CF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B8C62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default" w:ascii="Times New Roman" w:hAnsi="Times New Roman" w:eastAsia="宋体" w:cs="Times New Roman"/>
                <w:color w:val="auto"/>
                <w:kern w:val="0"/>
                <w:sz w:val="24"/>
                <w:szCs w:val="24"/>
                <w:lang w:bidi="zh-CN"/>
              </w:rPr>
              <w:t>采矿</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826BF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S011053000110203001658</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164141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24CB6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085C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22A38F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报告审核人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19D7BF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李</w:t>
            </w:r>
            <w:r>
              <w:rPr>
                <w:rFonts w:hint="eastAsia" w:cs="Times New Roman"/>
                <w:color w:val="auto"/>
                <w:kern w:val="0"/>
                <w:sz w:val="24"/>
                <w:szCs w:val="24"/>
                <w:lang w:val="en-US" w:bidi="zh-CN"/>
              </w:rPr>
              <w:t xml:space="preserve">  </w:t>
            </w:r>
            <w:r>
              <w:rPr>
                <w:rFonts w:hint="default" w:ascii="Times New Roman" w:hAnsi="Times New Roman" w:eastAsia="宋体" w:cs="Times New Roman"/>
                <w:color w:val="auto"/>
                <w:kern w:val="0"/>
                <w:sz w:val="24"/>
                <w:szCs w:val="24"/>
                <w:lang w:bidi="zh-CN"/>
              </w:rPr>
              <w:t>超</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A08A0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default" w:ascii="Times New Roman" w:hAnsi="Times New Roman" w:eastAsia="宋体" w:cs="Times New Roman"/>
                <w:color w:val="auto"/>
                <w:kern w:val="0"/>
                <w:sz w:val="24"/>
                <w:szCs w:val="24"/>
                <w:lang w:bidi="zh-CN"/>
              </w:rPr>
              <w:t>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68437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kern w:val="0"/>
                <w:sz w:val="24"/>
                <w:szCs w:val="24"/>
                <w:lang w:bidi="zh-CN"/>
              </w:rPr>
              <w:t>S011021000110202000521</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3DEB14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kern w:val="0"/>
                <w:sz w:val="24"/>
                <w:szCs w:val="24"/>
                <w:lang w:bidi="zh-CN"/>
              </w:rPr>
              <w:t>041289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6761D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7DA3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669DE9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过程控制</w:t>
            </w:r>
          </w:p>
          <w:p w14:paraId="6658EC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负责人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0522D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val="en-US" w:eastAsia="zh-CN" w:bidi="zh-CN"/>
              </w:rPr>
              <w:t>吴家辉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73ED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val="en-US" w:eastAsia="zh-CN" w:bidi="zh-CN"/>
              </w:rPr>
              <w:t>/</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12F675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zh-CN" w:eastAsia="zh-CN" w:bidi="zh-CN"/>
              </w:rPr>
            </w:pPr>
            <w:r>
              <w:rPr>
                <w:rFonts w:hint="default" w:ascii="Times New Roman" w:hAnsi="Times New Roman" w:eastAsia="宋体" w:cs="Times New Roman"/>
                <w:color w:val="auto"/>
                <w:kern w:val="0"/>
                <w:sz w:val="24"/>
                <w:szCs w:val="24"/>
                <w:lang w:val="zh-CN" w:eastAsia="zh-CN" w:bidi="zh-CN"/>
              </w:rPr>
              <w:t>CAWS210000230300034</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2D0819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zh-CN" w:eastAsia="zh-CN" w:bidi="zh-CN"/>
              </w:rPr>
            </w:pPr>
            <w:r>
              <w:rPr>
                <w:rFonts w:hint="default" w:ascii="Times New Roman" w:hAnsi="Times New Roman" w:eastAsia="宋体" w:cs="Times New Roman"/>
                <w:color w:val="auto"/>
                <w:kern w:val="0"/>
                <w:sz w:val="24"/>
                <w:szCs w:val="24"/>
                <w:lang w:val="zh-CN" w:eastAsia="zh-CN" w:bidi="zh-CN"/>
              </w:rPr>
              <w:t>043015</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DA35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p>
        </w:tc>
      </w:tr>
      <w:tr w14:paraId="6E4D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12C597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技术负责人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8DB49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default" w:ascii="Times New Roman" w:hAnsi="Times New Roman" w:eastAsia="宋体" w:cs="Times New Roman"/>
                <w:color w:val="auto"/>
                <w:kern w:val="0"/>
                <w:sz w:val="24"/>
                <w:szCs w:val="24"/>
                <w:lang w:bidi="zh-CN"/>
              </w:rPr>
              <w:t>张廷辉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B9500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eastAsia" w:cs="Times New Roman"/>
                <w:color w:val="auto"/>
                <w:kern w:val="0"/>
                <w:sz w:val="24"/>
                <w:szCs w:val="24"/>
                <w:lang w:val="en-US" w:bidi="zh-CN"/>
              </w:rPr>
              <w:t>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764883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default" w:ascii="Times New Roman" w:hAnsi="Times New Roman" w:eastAsia="宋体" w:cs="Times New Roman"/>
                <w:color w:val="auto"/>
                <w:kern w:val="0"/>
                <w:sz w:val="24"/>
                <w:szCs w:val="24"/>
                <w:lang w:bidi="zh-CN"/>
              </w:rPr>
              <w:t>1200000000100119</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69177C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default" w:ascii="Times New Roman" w:hAnsi="Times New Roman" w:eastAsia="宋体" w:cs="Times New Roman"/>
                <w:color w:val="auto"/>
                <w:kern w:val="0"/>
                <w:sz w:val="24"/>
                <w:szCs w:val="24"/>
                <w:lang w:bidi="zh-CN"/>
              </w:rPr>
              <w:t>009798</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E379E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bl>
    <w:p w14:paraId="1360BE65">
      <w:pPr>
        <w:bidi w:val="0"/>
        <w:rPr>
          <w:rFonts w:hint="default"/>
          <w:color w:val="auto"/>
        </w:rPr>
      </w:pPr>
    </w:p>
    <w:p w14:paraId="683E95CB">
      <w:pPr>
        <w:bidi w:val="0"/>
        <w:rPr>
          <w:rFonts w:hint="default"/>
          <w:color w:val="auto"/>
        </w:rPr>
        <w:sectPr>
          <w:pgSz w:w="11905" w:h="16838"/>
          <w:pgMar w:top="1417" w:right="1134" w:bottom="1134"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86" w:charSpace="0"/>
        </w:sectPr>
      </w:pPr>
    </w:p>
    <w:p w14:paraId="68D8AEE4">
      <w:pPr>
        <w:keepNext/>
        <w:keepLines/>
        <w:pageBreakBefore w:val="0"/>
        <w:widowControl w:val="0"/>
        <w:kinsoku/>
        <w:wordWrap/>
        <w:overflowPunct/>
        <w:topLinePunct w:val="0"/>
        <w:autoSpaceDE w:val="0"/>
        <w:autoSpaceDN w:val="0"/>
        <w:bidi w:val="0"/>
        <w:adjustRightInd w:val="0"/>
        <w:snapToGrid w:val="0"/>
        <w:ind w:firstLine="0" w:firstLineChars="0"/>
        <w:jc w:val="center"/>
        <w:textAlignment w:val="auto"/>
        <w:outlineLvl w:val="9"/>
        <w:rPr>
          <w:rFonts w:hint="default" w:ascii="Times New Roman" w:hAnsi="Times New Roman" w:eastAsia="黑体" w:cs="Times New Roman"/>
          <w:bCs/>
          <w:color w:val="auto"/>
          <w:kern w:val="44"/>
          <w:sz w:val="32"/>
        </w:rPr>
      </w:pPr>
      <w:bookmarkStart w:id="48" w:name="_Toc13666"/>
      <w:bookmarkStart w:id="49" w:name="_Toc7244"/>
      <w:bookmarkStart w:id="50" w:name="_Toc29356"/>
      <w:r>
        <w:rPr>
          <w:rFonts w:hint="default" w:ascii="Times New Roman" w:hAnsi="Times New Roman" w:eastAsia="黑体" w:cs="Times New Roman"/>
          <w:bCs/>
          <w:color w:val="auto"/>
          <w:kern w:val="44"/>
          <w:sz w:val="32"/>
        </w:rPr>
        <w:t>前 言</w:t>
      </w:r>
      <w:bookmarkEnd w:id="40"/>
      <w:bookmarkEnd w:id="41"/>
      <w:bookmarkEnd w:id="42"/>
      <w:bookmarkEnd w:id="43"/>
      <w:bookmarkEnd w:id="44"/>
      <w:bookmarkEnd w:id="45"/>
      <w:bookmarkEnd w:id="46"/>
      <w:bookmarkEnd w:id="47"/>
      <w:bookmarkEnd w:id="48"/>
      <w:bookmarkEnd w:id="49"/>
      <w:bookmarkEnd w:id="50"/>
    </w:p>
    <w:p w14:paraId="3111EE88">
      <w:pPr>
        <w:adjustRightInd w:val="0"/>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根据国家有关法律法规的规定，建设项目安全验收评价的任务是在建设项目竣工、试生产运行正常后，通过对建设项目的设施、设备、装置实际情况和管理状况的调查分析，查找该建设项目投产后存在的危险、有害因素，确定其危险度，提出合理可行的安全对策措施及建议。</w:t>
      </w:r>
    </w:p>
    <w:p w14:paraId="6B4F034E">
      <w:pPr>
        <w:adjustRightInd w:val="0"/>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《中华人民共和国安全生产法》规定</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生产经营单位新建、改建、扩建工程项目的安全设施必须与主体工程同时设计、同时施工、同时投入生产和使用</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。建设项目安全设施的</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三同时</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体现了</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安全第一、预防为主、综合治理</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的方针，同时，建设项目安全验收评价也是落实</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安全第一、预防为主、综合治理</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安全生产方针的重要技术保障之一。</w:t>
      </w:r>
    </w:p>
    <w:p w14:paraId="4B3BFF80">
      <w:pPr>
        <w:adjustRightInd w:val="0"/>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为了落实</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安全第一、预防为主、综合治理</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的方针，保证安全生产，保障人民生命财产的安全，根据《中华人民共和国安全生产法》（中华人民共和国主席令[2021]第88号）、《建设项目安全设施</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三同时</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监督管理办法》（</w:t>
      </w:r>
      <w:r>
        <w:rPr>
          <w:rFonts w:hint="default" w:ascii="Times New Roman" w:hAnsi="Times New Roman" w:cs="Times New Roman"/>
          <w:color w:val="auto"/>
          <w:sz w:val="28"/>
          <w:szCs w:val="28"/>
          <w:lang w:val="en-US" w:eastAsia="zh-CN"/>
        </w:rPr>
        <w:t>原</w:t>
      </w:r>
      <w:r>
        <w:rPr>
          <w:rFonts w:hint="default" w:ascii="Times New Roman" w:hAnsi="Times New Roman" w:cs="Times New Roman"/>
          <w:color w:val="auto"/>
          <w:sz w:val="28"/>
          <w:szCs w:val="28"/>
        </w:rPr>
        <w:t>安监总局令第36号令，</w:t>
      </w:r>
      <w:r>
        <w:rPr>
          <w:rFonts w:hint="default" w:ascii="Times New Roman" w:hAnsi="Times New Roman" w:cs="Times New Roman"/>
          <w:color w:val="auto"/>
          <w:sz w:val="28"/>
          <w:szCs w:val="28"/>
          <w:lang w:val="en-US" w:eastAsia="zh-CN"/>
        </w:rPr>
        <w:t>原</w:t>
      </w:r>
      <w:r>
        <w:rPr>
          <w:rFonts w:hint="default" w:ascii="Times New Roman" w:hAnsi="Times New Roman" w:cs="Times New Roman"/>
          <w:color w:val="auto"/>
          <w:sz w:val="28"/>
          <w:szCs w:val="28"/>
        </w:rPr>
        <w:t>安监总局令77号令修订）以及《安全验收评价导则》等法律、法规的有关规定，</w:t>
      </w:r>
      <w:r>
        <w:rPr>
          <w:rFonts w:hint="eastAsia" w:cs="Times New Roman"/>
          <w:color w:val="auto"/>
          <w:sz w:val="28"/>
          <w:szCs w:val="28"/>
          <w:lang w:val="en-US" w:eastAsia="zh-CN"/>
        </w:rPr>
        <w:t>寻甸金林钛矿有限公司</w:t>
      </w:r>
      <w:r>
        <w:rPr>
          <w:rFonts w:hint="default" w:ascii="Times New Roman" w:hAnsi="Times New Roman" w:cs="Times New Roman"/>
          <w:color w:val="auto"/>
          <w:sz w:val="28"/>
          <w:szCs w:val="28"/>
        </w:rPr>
        <w:t>委托我公司对</w:t>
      </w:r>
      <w:r>
        <w:rPr>
          <w:rFonts w:hint="default" w:ascii="Times New Roman" w:hAnsi="Times New Roman" w:cs="Times New Roman"/>
          <w:color w:val="auto"/>
          <w:sz w:val="28"/>
          <w:szCs w:val="28"/>
          <w:lang w:val="en-US" w:eastAsia="zh-CN"/>
        </w:rPr>
        <w:t>其</w:t>
      </w:r>
      <w:r>
        <w:rPr>
          <w:rFonts w:hint="eastAsia" w:cs="Times New Roman"/>
          <w:color w:val="auto"/>
          <w:sz w:val="28"/>
          <w:szCs w:val="28"/>
          <w:lang w:val="en-US" w:eastAsia="zh-CN"/>
        </w:rPr>
        <w:t>尾矿处理技改升级建设项目</w:t>
      </w:r>
      <w:r>
        <w:rPr>
          <w:rFonts w:hint="default" w:ascii="Times New Roman" w:hAnsi="Times New Roman" w:cs="Times New Roman"/>
          <w:color w:val="auto"/>
          <w:sz w:val="28"/>
          <w:szCs w:val="28"/>
        </w:rPr>
        <w:t>进行安全验收评价。</w:t>
      </w:r>
    </w:p>
    <w:p w14:paraId="406A8F05">
      <w:pPr>
        <w:adjustRightInd w:val="0"/>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在接受安全验收评价工作的委托之后，我公司成立了安全评价项目组，</w:t>
      </w:r>
      <w:r>
        <w:rPr>
          <w:rFonts w:hint="default" w:ascii="Times New Roman" w:hAnsi="Times New Roman" w:cs="Times New Roman"/>
          <w:color w:val="auto"/>
          <w:sz w:val="28"/>
          <w:szCs w:val="28"/>
          <w:lang w:val="en-US" w:eastAsia="zh-CN"/>
        </w:rPr>
        <w:t>组织</w:t>
      </w:r>
      <w:r>
        <w:rPr>
          <w:rFonts w:hint="default" w:ascii="Times New Roman" w:hAnsi="Times New Roman" w:cs="Times New Roman"/>
          <w:color w:val="auto"/>
          <w:sz w:val="28"/>
          <w:szCs w:val="28"/>
        </w:rPr>
        <w:t>本公司有关安全评价人员开展本项目的安全评价工作：对法律、法规和规范进行收集；根据被评企业情况编制安全</w:t>
      </w:r>
      <w:r>
        <w:rPr>
          <w:rFonts w:hint="default" w:ascii="Times New Roman" w:hAnsi="Times New Roman" w:cs="Times New Roman"/>
          <w:color w:val="auto"/>
          <w:sz w:val="28"/>
          <w:szCs w:val="28"/>
          <w:lang w:val="en-US" w:eastAsia="zh-CN"/>
        </w:rPr>
        <w:t>设施</w:t>
      </w:r>
      <w:r>
        <w:rPr>
          <w:rFonts w:hint="default" w:ascii="Times New Roman" w:hAnsi="Times New Roman" w:cs="Times New Roman"/>
          <w:color w:val="auto"/>
          <w:sz w:val="28"/>
          <w:szCs w:val="28"/>
        </w:rPr>
        <w:t>验收评价计划；20</w:t>
      </w:r>
      <w:r>
        <w:rPr>
          <w:rFonts w:hint="default" w:ascii="Times New Roman" w:hAnsi="Times New Roman" w:cs="Times New Roman"/>
          <w:color w:val="auto"/>
          <w:sz w:val="28"/>
          <w:szCs w:val="28"/>
          <w:lang w:val="en-US" w:eastAsia="zh-CN"/>
        </w:rPr>
        <w:t>2</w:t>
      </w:r>
      <w:r>
        <w:rPr>
          <w:rFonts w:hint="eastAsia" w:cs="Times New Roman"/>
          <w:color w:val="auto"/>
          <w:sz w:val="28"/>
          <w:szCs w:val="28"/>
          <w:lang w:val="en-US" w:eastAsia="zh-CN"/>
        </w:rPr>
        <w:t>5</w:t>
      </w:r>
      <w:r>
        <w:rPr>
          <w:rFonts w:hint="default" w:ascii="Times New Roman" w:hAnsi="Times New Roman" w:cs="Times New Roman"/>
          <w:color w:val="auto"/>
          <w:sz w:val="28"/>
          <w:szCs w:val="28"/>
        </w:rPr>
        <w:t>年</w:t>
      </w:r>
      <w:r>
        <w:rPr>
          <w:rFonts w:hint="eastAsia" w:cs="Times New Roman"/>
          <w:color w:val="auto"/>
          <w:sz w:val="28"/>
          <w:szCs w:val="28"/>
          <w:lang w:val="en-US" w:eastAsia="zh-CN"/>
        </w:rPr>
        <w:t>02</w:t>
      </w:r>
      <w:r>
        <w:rPr>
          <w:rFonts w:hint="default" w:ascii="Times New Roman" w:hAnsi="Times New Roman" w:cs="Times New Roman"/>
          <w:color w:val="auto"/>
          <w:sz w:val="28"/>
          <w:szCs w:val="28"/>
        </w:rPr>
        <w:t>月</w:t>
      </w:r>
      <w:r>
        <w:rPr>
          <w:rFonts w:hint="default" w:ascii="Times New Roman" w:hAnsi="Times New Roman" w:cs="Times New Roman"/>
          <w:color w:val="auto"/>
          <w:sz w:val="28"/>
          <w:szCs w:val="28"/>
          <w:lang w:val="en-US" w:eastAsia="zh-CN"/>
        </w:rPr>
        <w:t>1</w:t>
      </w:r>
      <w:r>
        <w:rPr>
          <w:rFonts w:hint="eastAsia" w:cs="Times New Roman"/>
          <w:color w:val="auto"/>
          <w:sz w:val="28"/>
          <w:szCs w:val="28"/>
          <w:lang w:val="en-US" w:eastAsia="zh-CN"/>
        </w:rPr>
        <w:t>4</w:t>
      </w:r>
      <w:r>
        <w:rPr>
          <w:rFonts w:hint="default" w:ascii="Times New Roman" w:hAnsi="Times New Roman" w:cs="Times New Roman"/>
          <w:color w:val="auto"/>
          <w:sz w:val="28"/>
          <w:szCs w:val="28"/>
        </w:rPr>
        <w:t>日开展现场勘查和有关资料数据的收集整理；对</w:t>
      </w:r>
      <w:r>
        <w:rPr>
          <w:rFonts w:hint="eastAsia" w:cs="Times New Roman"/>
          <w:color w:val="auto"/>
          <w:sz w:val="28"/>
          <w:szCs w:val="28"/>
          <w:lang w:val="en-US" w:eastAsia="zh-CN"/>
        </w:rPr>
        <w:t>寻甸金林钛矿有限公司尾矿处理技改升级建设项目</w:t>
      </w:r>
      <w:r>
        <w:rPr>
          <w:rFonts w:hint="default" w:ascii="Times New Roman" w:hAnsi="Times New Roman" w:cs="Times New Roman"/>
          <w:color w:val="auto"/>
          <w:sz w:val="28"/>
          <w:szCs w:val="28"/>
        </w:rPr>
        <w:t>的生产和安全管理的</w:t>
      </w:r>
      <w:r>
        <w:rPr>
          <w:rFonts w:hint="default" w:ascii="Times New Roman" w:hAnsi="Times New Roman" w:cs="Times New Roman"/>
          <w:color w:val="auto"/>
          <w:sz w:val="28"/>
          <w:szCs w:val="28"/>
          <w:lang w:val="en-US" w:eastAsia="zh-CN"/>
        </w:rPr>
        <w:t>建设情况进</w:t>
      </w:r>
      <w:r>
        <w:rPr>
          <w:rFonts w:hint="default" w:ascii="Times New Roman" w:hAnsi="Times New Roman" w:cs="Times New Roman"/>
          <w:color w:val="auto"/>
          <w:sz w:val="28"/>
          <w:szCs w:val="28"/>
        </w:rPr>
        <w:t>行全面的调查、分析，运用安全系统工程的方法，对该工程危险有害因素的识别及其危险度的评价；划分评价单元；采用可靠、适用的评价方法对该工程进行评价，做出评价结论，提出科学、合理、可行的安全技术和管理措施，为该项目的验收和生产提供依据，最后编制形成《</w:t>
      </w:r>
      <w:r>
        <w:rPr>
          <w:rFonts w:hint="eastAsia" w:cs="Times New Roman"/>
          <w:color w:val="auto"/>
          <w:sz w:val="28"/>
          <w:szCs w:val="28"/>
          <w:lang w:val="en-US" w:eastAsia="zh-CN"/>
        </w:rPr>
        <w:t>寻甸金林钛矿有限公司尾矿处理技改升级建设项目</w:t>
      </w:r>
      <w:r>
        <w:rPr>
          <w:rFonts w:hint="default" w:ascii="Times New Roman" w:hAnsi="Times New Roman" w:cs="Times New Roman"/>
          <w:color w:val="auto"/>
          <w:sz w:val="28"/>
          <w:szCs w:val="28"/>
        </w:rPr>
        <w:t>安全验收评价报告》。</w:t>
      </w:r>
    </w:p>
    <w:p w14:paraId="53059253">
      <w:pPr>
        <w:adjustRightInd w:val="0"/>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在编写评价报告的过程中得到了</w:t>
      </w:r>
      <w:r>
        <w:rPr>
          <w:rFonts w:hint="eastAsia" w:cs="Times New Roman"/>
          <w:color w:val="auto"/>
          <w:sz w:val="28"/>
          <w:szCs w:val="28"/>
          <w:lang w:val="en-US" w:eastAsia="zh-CN"/>
        </w:rPr>
        <w:t>寻甸金林钛矿有限公司</w:t>
      </w:r>
      <w:r>
        <w:rPr>
          <w:rFonts w:hint="default" w:ascii="Times New Roman" w:hAnsi="Times New Roman" w:cs="Times New Roman"/>
          <w:color w:val="auto"/>
          <w:sz w:val="28"/>
          <w:szCs w:val="28"/>
        </w:rPr>
        <w:t>的大力支持，同时引用了前人的一些研究成果和技术资料，在此一并表示感谢。</w:t>
      </w:r>
    </w:p>
    <w:p w14:paraId="2DB44993">
      <w:pPr>
        <w:ind w:firstLine="618" w:firstLineChars="221"/>
        <w:rPr>
          <w:rFonts w:hint="default" w:ascii="Times New Roman" w:hAnsi="Times New Roman" w:cs="Times New Roman"/>
          <w:color w:val="auto"/>
          <w:sz w:val="28"/>
        </w:rPr>
      </w:pPr>
    </w:p>
    <w:p w14:paraId="0782F9B0">
      <w:pPr>
        <w:rPr>
          <w:rFonts w:hint="default" w:ascii="Times New Roman" w:hAnsi="Times New Roman" w:cs="Times New Roman"/>
          <w:color w:val="auto"/>
        </w:rPr>
        <w:sectPr>
          <w:pgSz w:w="11905" w:h="16838"/>
          <w:pgMar w:top="1417" w:right="1134" w:bottom="1134"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86" w:charSpace="0"/>
        </w:sect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7BB43BB4">
      <w:pPr>
        <w:ind w:left="0" w:leftChars="0" w:firstLine="0" w:firstLineChars="0"/>
        <w:jc w:val="center"/>
        <w:rPr>
          <w:rFonts w:hint="eastAsia" w:eastAsia="黑体"/>
          <w:color w:val="auto"/>
          <w:sz w:val="32"/>
          <w:lang w:val="en-US" w:eastAsia="zh-CN"/>
        </w:rPr>
      </w:pPr>
      <w:r>
        <w:rPr>
          <w:rFonts w:hint="eastAsia" w:eastAsia="黑体"/>
          <w:color w:val="auto"/>
          <w:sz w:val="32"/>
          <w:lang w:val="en-US" w:eastAsia="zh-CN"/>
        </w:rPr>
        <w:t>目录</w:t>
      </w:r>
    </w:p>
    <w:p w14:paraId="5F4224A4">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rPr>
        <w:fldChar w:fldCharType="begin"/>
      </w:r>
      <w:r>
        <w:rPr>
          <w:color w:val="auto"/>
        </w:rPr>
        <w:instrText xml:space="preserve">TOC \o "1-3" \h \u </w:instrText>
      </w:r>
      <w:r>
        <w:rPr>
          <w:color w:val="auto"/>
        </w:rPr>
        <w:fldChar w:fldCharType="separate"/>
      </w:r>
      <w:r>
        <w:rPr>
          <w:color w:val="auto"/>
          <w:sz w:val="24"/>
        </w:rPr>
        <w:fldChar w:fldCharType="begin"/>
      </w:r>
      <w:r>
        <w:rPr>
          <w:sz w:val="24"/>
        </w:rPr>
        <w:instrText xml:space="preserve"> HYPERLINK \l _Toc26292 </w:instrText>
      </w:r>
      <w:r>
        <w:rPr>
          <w:sz w:val="24"/>
        </w:rPr>
        <w:fldChar w:fldCharType="separate"/>
      </w:r>
      <w:r>
        <w:rPr>
          <w:rFonts w:hint="eastAsia"/>
          <w:sz w:val="24"/>
        </w:rPr>
        <w:t>1</w:t>
      </w:r>
      <w:r>
        <w:rPr>
          <w:rFonts w:hint="eastAsia"/>
          <w:sz w:val="24"/>
          <w:lang w:val="en-US" w:eastAsia="zh-CN"/>
        </w:rPr>
        <w:t xml:space="preserve"> </w:t>
      </w:r>
      <w:r>
        <w:rPr>
          <w:rFonts w:hint="eastAsia"/>
          <w:sz w:val="24"/>
        </w:rPr>
        <w:t>编制说明</w:t>
      </w:r>
      <w:r>
        <w:rPr>
          <w:sz w:val="24"/>
        </w:rPr>
        <w:tab/>
      </w:r>
      <w:r>
        <w:rPr>
          <w:sz w:val="24"/>
        </w:rPr>
        <w:fldChar w:fldCharType="begin"/>
      </w:r>
      <w:r>
        <w:rPr>
          <w:sz w:val="24"/>
        </w:rPr>
        <w:instrText xml:space="preserve"> PAGEREF _Toc26292 \h </w:instrText>
      </w:r>
      <w:r>
        <w:rPr>
          <w:sz w:val="24"/>
        </w:rPr>
        <w:fldChar w:fldCharType="separate"/>
      </w:r>
      <w:r>
        <w:rPr>
          <w:sz w:val="24"/>
        </w:rPr>
        <w:t>1</w:t>
      </w:r>
      <w:r>
        <w:rPr>
          <w:sz w:val="24"/>
        </w:rPr>
        <w:fldChar w:fldCharType="end"/>
      </w:r>
      <w:r>
        <w:rPr>
          <w:color w:val="auto"/>
          <w:sz w:val="24"/>
        </w:rPr>
        <w:fldChar w:fldCharType="end"/>
      </w:r>
    </w:p>
    <w:p w14:paraId="71B916BB">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_Toc15516 </w:instrText>
      </w:r>
      <w:r>
        <w:rPr>
          <w:sz w:val="24"/>
        </w:rPr>
        <w:fldChar w:fldCharType="separate"/>
      </w:r>
      <w:r>
        <w:rPr>
          <w:rFonts w:hint="eastAsia"/>
          <w:sz w:val="24"/>
        </w:rPr>
        <w:t>1.1</w:t>
      </w:r>
      <w:r>
        <w:rPr>
          <w:rFonts w:hint="eastAsia"/>
          <w:sz w:val="24"/>
          <w:lang w:val="en-US" w:eastAsia="zh-CN"/>
        </w:rPr>
        <w:t xml:space="preserve"> </w:t>
      </w:r>
      <w:r>
        <w:rPr>
          <w:rFonts w:hint="eastAsia"/>
          <w:sz w:val="24"/>
        </w:rPr>
        <w:t>评价目的及范围</w:t>
      </w:r>
      <w:r>
        <w:rPr>
          <w:sz w:val="24"/>
        </w:rPr>
        <w:tab/>
      </w:r>
      <w:r>
        <w:rPr>
          <w:sz w:val="24"/>
        </w:rPr>
        <w:fldChar w:fldCharType="begin"/>
      </w:r>
      <w:r>
        <w:rPr>
          <w:sz w:val="24"/>
        </w:rPr>
        <w:instrText xml:space="preserve"> PAGEREF _Toc15516 \h </w:instrText>
      </w:r>
      <w:r>
        <w:rPr>
          <w:sz w:val="24"/>
        </w:rPr>
        <w:fldChar w:fldCharType="separate"/>
      </w:r>
      <w:r>
        <w:rPr>
          <w:sz w:val="24"/>
        </w:rPr>
        <w:t>1</w:t>
      </w:r>
      <w:r>
        <w:rPr>
          <w:sz w:val="24"/>
        </w:rPr>
        <w:fldChar w:fldCharType="end"/>
      </w:r>
      <w:r>
        <w:rPr>
          <w:color w:val="auto"/>
          <w:sz w:val="24"/>
        </w:rPr>
        <w:fldChar w:fldCharType="end"/>
      </w:r>
    </w:p>
    <w:p w14:paraId="248DA8EA">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_Toc2284 </w:instrText>
      </w:r>
      <w:r>
        <w:rPr>
          <w:sz w:val="24"/>
        </w:rPr>
        <w:fldChar w:fldCharType="separate"/>
      </w:r>
      <w:r>
        <w:rPr>
          <w:rFonts w:hint="eastAsia"/>
          <w:sz w:val="24"/>
        </w:rPr>
        <w:t>1.1.1</w:t>
      </w:r>
      <w:r>
        <w:rPr>
          <w:rFonts w:hint="eastAsia"/>
          <w:sz w:val="24"/>
          <w:lang w:val="en-US" w:eastAsia="zh-CN"/>
        </w:rPr>
        <w:t xml:space="preserve"> </w:t>
      </w:r>
      <w:r>
        <w:rPr>
          <w:rFonts w:hint="eastAsia"/>
          <w:sz w:val="24"/>
        </w:rPr>
        <w:t>评价目的</w:t>
      </w:r>
      <w:r>
        <w:rPr>
          <w:sz w:val="24"/>
        </w:rPr>
        <w:tab/>
      </w:r>
      <w:r>
        <w:rPr>
          <w:sz w:val="24"/>
        </w:rPr>
        <w:fldChar w:fldCharType="begin"/>
      </w:r>
      <w:r>
        <w:rPr>
          <w:sz w:val="24"/>
        </w:rPr>
        <w:instrText xml:space="preserve"> PAGEREF _Toc2284 \h </w:instrText>
      </w:r>
      <w:r>
        <w:rPr>
          <w:sz w:val="24"/>
        </w:rPr>
        <w:fldChar w:fldCharType="separate"/>
      </w:r>
      <w:r>
        <w:rPr>
          <w:sz w:val="24"/>
        </w:rPr>
        <w:t>1</w:t>
      </w:r>
      <w:r>
        <w:rPr>
          <w:sz w:val="24"/>
        </w:rPr>
        <w:fldChar w:fldCharType="end"/>
      </w:r>
      <w:r>
        <w:rPr>
          <w:color w:val="auto"/>
          <w:sz w:val="24"/>
        </w:rPr>
        <w:fldChar w:fldCharType="end"/>
      </w:r>
    </w:p>
    <w:p w14:paraId="1D74E962">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_Toc23697 </w:instrText>
      </w:r>
      <w:r>
        <w:rPr>
          <w:sz w:val="24"/>
        </w:rPr>
        <w:fldChar w:fldCharType="separate"/>
      </w:r>
      <w:r>
        <w:rPr>
          <w:rFonts w:hint="eastAsia"/>
          <w:sz w:val="24"/>
        </w:rPr>
        <w:t>1.1.2</w:t>
      </w:r>
      <w:r>
        <w:rPr>
          <w:rFonts w:hint="eastAsia"/>
          <w:sz w:val="24"/>
          <w:lang w:val="en-US" w:eastAsia="zh-CN"/>
        </w:rPr>
        <w:t xml:space="preserve"> </w:t>
      </w:r>
      <w:r>
        <w:rPr>
          <w:rFonts w:hint="eastAsia"/>
          <w:sz w:val="24"/>
        </w:rPr>
        <w:t>评价范围</w:t>
      </w:r>
      <w:r>
        <w:rPr>
          <w:sz w:val="24"/>
        </w:rPr>
        <w:tab/>
      </w:r>
      <w:r>
        <w:rPr>
          <w:sz w:val="24"/>
        </w:rPr>
        <w:fldChar w:fldCharType="begin"/>
      </w:r>
      <w:r>
        <w:rPr>
          <w:sz w:val="24"/>
        </w:rPr>
        <w:instrText xml:space="preserve"> PAGEREF _Toc23697 \h </w:instrText>
      </w:r>
      <w:r>
        <w:rPr>
          <w:sz w:val="24"/>
        </w:rPr>
        <w:fldChar w:fldCharType="separate"/>
      </w:r>
      <w:r>
        <w:rPr>
          <w:sz w:val="24"/>
        </w:rPr>
        <w:t>1</w:t>
      </w:r>
      <w:r>
        <w:rPr>
          <w:sz w:val="24"/>
        </w:rPr>
        <w:fldChar w:fldCharType="end"/>
      </w:r>
      <w:r>
        <w:rPr>
          <w:color w:val="auto"/>
          <w:sz w:val="24"/>
        </w:rPr>
        <w:fldChar w:fldCharType="end"/>
      </w:r>
    </w:p>
    <w:p w14:paraId="1AB3397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_Toc4052 </w:instrText>
      </w:r>
      <w:r>
        <w:rPr>
          <w:sz w:val="24"/>
        </w:rPr>
        <w:fldChar w:fldCharType="separate"/>
      </w:r>
      <w:r>
        <w:rPr>
          <w:rFonts w:hint="eastAsia"/>
          <w:sz w:val="24"/>
        </w:rPr>
        <w:t>1.1.3</w:t>
      </w:r>
      <w:r>
        <w:rPr>
          <w:rFonts w:hint="eastAsia"/>
          <w:sz w:val="24"/>
          <w:lang w:val="en-US" w:eastAsia="zh-CN"/>
        </w:rPr>
        <w:t xml:space="preserve"> </w:t>
      </w:r>
      <w:r>
        <w:rPr>
          <w:rFonts w:hint="eastAsia"/>
          <w:sz w:val="24"/>
        </w:rPr>
        <w:t>评价原则</w:t>
      </w:r>
      <w:r>
        <w:rPr>
          <w:sz w:val="24"/>
        </w:rPr>
        <w:tab/>
      </w:r>
      <w:r>
        <w:rPr>
          <w:sz w:val="24"/>
        </w:rPr>
        <w:fldChar w:fldCharType="begin"/>
      </w:r>
      <w:r>
        <w:rPr>
          <w:sz w:val="24"/>
        </w:rPr>
        <w:instrText xml:space="preserve"> PAGEREF _Toc4052 \h </w:instrText>
      </w:r>
      <w:r>
        <w:rPr>
          <w:sz w:val="24"/>
        </w:rPr>
        <w:fldChar w:fldCharType="separate"/>
      </w:r>
      <w:r>
        <w:rPr>
          <w:sz w:val="24"/>
        </w:rPr>
        <w:t>1</w:t>
      </w:r>
      <w:r>
        <w:rPr>
          <w:sz w:val="24"/>
        </w:rPr>
        <w:fldChar w:fldCharType="end"/>
      </w:r>
      <w:r>
        <w:rPr>
          <w:color w:val="auto"/>
          <w:sz w:val="24"/>
        </w:rPr>
        <w:fldChar w:fldCharType="end"/>
      </w:r>
    </w:p>
    <w:p w14:paraId="3D6C5BAB">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_Toc9129 </w:instrText>
      </w:r>
      <w:r>
        <w:rPr>
          <w:sz w:val="24"/>
        </w:rPr>
        <w:fldChar w:fldCharType="separate"/>
      </w:r>
      <w:r>
        <w:rPr>
          <w:rFonts w:hint="eastAsia"/>
          <w:sz w:val="24"/>
        </w:rPr>
        <w:t>1.2 评价依据</w:t>
      </w:r>
      <w:r>
        <w:rPr>
          <w:sz w:val="24"/>
        </w:rPr>
        <w:tab/>
      </w:r>
      <w:r>
        <w:rPr>
          <w:sz w:val="24"/>
        </w:rPr>
        <w:fldChar w:fldCharType="begin"/>
      </w:r>
      <w:r>
        <w:rPr>
          <w:sz w:val="24"/>
        </w:rPr>
        <w:instrText xml:space="preserve"> PAGEREF _Toc9129 \h </w:instrText>
      </w:r>
      <w:r>
        <w:rPr>
          <w:sz w:val="24"/>
        </w:rPr>
        <w:fldChar w:fldCharType="separate"/>
      </w:r>
      <w:r>
        <w:rPr>
          <w:sz w:val="24"/>
        </w:rPr>
        <w:t>2</w:t>
      </w:r>
      <w:r>
        <w:rPr>
          <w:sz w:val="24"/>
        </w:rPr>
        <w:fldChar w:fldCharType="end"/>
      </w:r>
      <w:r>
        <w:rPr>
          <w:color w:val="auto"/>
          <w:sz w:val="24"/>
        </w:rPr>
        <w:fldChar w:fldCharType="end"/>
      </w:r>
    </w:p>
    <w:p w14:paraId="190DE155">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_Toc30396 </w:instrText>
      </w:r>
      <w:r>
        <w:rPr>
          <w:sz w:val="24"/>
        </w:rPr>
        <w:fldChar w:fldCharType="separate"/>
      </w:r>
      <w:r>
        <w:rPr>
          <w:rFonts w:hint="eastAsia"/>
          <w:sz w:val="24"/>
        </w:rPr>
        <w:t>1.2.1 国家法律</w:t>
      </w:r>
      <w:r>
        <w:rPr>
          <w:sz w:val="24"/>
        </w:rPr>
        <w:tab/>
      </w:r>
      <w:r>
        <w:rPr>
          <w:sz w:val="24"/>
        </w:rPr>
        <w:fldChar w:fldCharType="begin"/>
      </w:r>
      <w:r>
        <w:rPr>
          <w:sz w:val="24"/>
        </w:rPr>
        <w:instrText xml:space="preserve"> PAGEREF _Toc30396 \h </w:instrText>
      </w:r>
      <w:r>
        <w:rPr>
          <w:sz w:val="24"/>
        </w:rPr>
        <w:fldChar w:fldCharType="separate"/>
      </w:r>
      <w:r>
        <w:rPr>
          <w:sz w:val="24"/>
        </w:rPr>
        <w:t>2</w:t>
      </w:r>
      <w:r>
        <w:rPr>
          <w:sz w:val="24"/>
        </w:rPr>
        <w:fldChar w:fldCharType="end"/>
      </w:r>
      <w:r>
        <w:rPr>
          <w:color w:val="auto"/>
          <w:sz w:val="24"/>
        </w:rPr>
        <w:fldChar w:fldCharType="end"/>
      </w:r>
    </w:p>
    <w:p w14:paraId="1700335B">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_Toc19324 </w:instrText>
      </w:r>
      <w:r>
        <w:rPr>
          <w:sz w:val="24"/>
        </w:rPr>
        <w:fldChar w:fldCharType="separate"/>
      </w:r>
      <w:r>
        <w:rPr>
          <w:rFonts w:hint="eastAsia"/>
          <w:sz w:val="24"/>
        </w:rPr>
        <w:t>1.2.2 行政法规</w:t>
      </w:r>
      <w:r>
        <w:rPr>
          <w:sz w:val="24"/>
        </w:rPr>
        <w:tab/>
      </w:r>
      <w:r>
        <w:rPr>
          <w:sz w:val="24"/>
        </w:rPr>
        <w:fldChar w:fldCharType="begin"/>
      </w:r>
      <w:r>
        <w:rPr>
          <w:sz w:val="24"/>
        </w:rPr>
        <w:instrText xml:space="preserve"> PAGEREF _Toc19324 \h </w:instrText>
      </w:r>
      <w:r>
        <w:rPr>
          <w:sz w:val="24"/>
        </w:rPr>
        <w:fldChar w:fldCharType="separate"/>
      </w:r>
      <w:r>
        <w:rPr>
          <w:sz w:val="24"/>
        </w:rPr>
        <w:t>4</w:t>
      </w:r>
      <w:r>
        <w:rPr>
          <w:sz w:val="24"/>
        </w:rPr>
        <w:fldChar w:fldCharType="end"/>
      </w:r>
      <w:r>
        <w:rPr>
          <w:color w:val="auto"/>
          <w:sz w:val="24"/>
        </w:rPr>
        <w:fldChar w:fldCharType="end"/>
      </w:r>
    </w:p>
    <w:p w14:paraId="48A4D31D">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_Toc13893 </w:instrText>
      </w:r>
      <w:r>
        <w:rPr>
          <w:sz w:val="24"/>
        </w:rPr>
        <w:fldChar w:fldCharType="separate"/>
      </w:r>
      <w:r>
        <w:rPr>
          <w:rFonts w:hint="eastAsia"/>
          <w:sz w:val="24"/>
        </w:rPr>
        <w:t>1.2.3 部门规章</w:t>
      </w:r>
      <w:r>
        <w:rPr>
          <w:sz w:val="24"/>
        </w:rPr>
        <w:tab/>
      </w:r>
      <w:r>
        <w:rPr>
          <w:sz w:val="24"/>
        </w:rPr>
        <w:fldChar w:fldCharType="begin"/>
      </w:r>
      <w:r>
        <w:rPr>
          <w:sz w:val="24"/>
        </w:rPr>
        <w:instrText xml:space="preserve"> PAGEREF _Toc13893 \h </w:instrText>
      </w:r>
      <w:r>
        <w:rPr>
          <w:sz w:val="24"/>
        </w:rPr>
        <w:fldChar w:fldCharType="separate"/>
      </w:r>
      <w:r>
        <w:rPr>
          <w:sz w:val="24"/>
        </w:rPr>
        <w:t>4</w:t>
      </w:r>
      <w:r>
        <w:rPr>
          <w:sz w:val="24"/>
        </w:rPr>
        <w:fldChar w:fldCharType="end"/>
      </w:r>
      <w:r>
        <w:rPr>
          <w:color w:val="auto"/>
          <w:sz w:val="24"/>
        </w:rPr>
        <w:fldChar w:fldCharType="end"/>
      </w:r>
    </w:p>
    <w:p w14:paraId="6417C7EA">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_Toc513 </w:instrText>
      </w:r>
      <w:r>
        <w:rPr>
          <w:sz w:val="24"/>
        </w:rPr>
        <w:fldChar w:fldCharType="separate"/>
      </w:r>
      <w:r>
        <w:rPr>
          <w:rFonts w:hint="eastAsia"/>
          <w:sz w:val="24"/>
        </w:rPr>
        <w:t>1.2.4 地方性法规及文件</w:t>
      </w:r>
      <w:r>
        <w:rPr>
          <w:sz w:val="24"/>
        </w:rPr>
        <w:tab/>
      </w:r>
      <w:r>
        <w:rPr>
          <w:sz w:val="24"/>
        </w:rPr>
        <w:fldChar w:fldCharType="begin"/>
      </w:r>
      <w:r>
        <w:rPr>
          <w:sz w:val="24"/>
        </w:rPr>
        <w:instrText xml:space="preserve"> PAGEREF _Toc513 \h </w:instrText>
      </w:r>
      <w:r>
        <w:rPr>
          <w:sz w:val="24"/>
        </w:rPr>
        <w:fldChar w:fldCharType="separate"/>
      </w:r>
      <w:r>
        <w:rPr>
          <w:sz w:val="24"/>
        </w:rPr>
        <w:t>6</w:t>
      </w:r>
      <w:r>
        <w:rPr>
          <w:sz w:val="24"/>
        </w:rPr>
        <w:fldChar w:fldCharType="end"/>
      </w:r>
      <w:r>
        <w:rPr>
          <w:color w:val="auto"/>
          <w:sz w:val="24"/>
        </w:rPr>
        <w:fldChar w:fldCharType="end"/>
      </w:r>
    </w:p>
    <w:p w14:paraId="1594B0F7">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_Toc25844 </w:instrText>
      </w:r>
      <w:r>
        <w:rPr>
          <w:sz w:val="24"/>
        </w:rPr>
        <w:fldChar w:fldCharType="separate"/>
      </w:r>
      <w:r>
        <w:rPr>
          <w:rFonts w:hint="eastAsia"/>
          <w:sz w:val="24"/>
        </w:rPr>
        <w:t>1.2.5 标准规范</w:t>
      </w:r>
      <w:r>
        <w:rPr>
          <w:sz w:val="24"/>
        </w:rPr>
        <w:tab/>
      </w:r>
      <w:r>
        <w:rPr>
          <w:sz w:val="24"/>
        </w:rPr>
        <w:fldChar w:fldCharType="begin"/>
      </w:r>
      <w:r>
        <w:rPr>
          <w:sz w:val="24"/>
        </w:rPr>
        <w:instrText xml:space="preserve"> PAGEREF _Toc25844 \h </w:instrText>
      </w:r>
      <w:r>
        <w:rPr>
          <w:sz w:val="24"/>
        </w:rPr>
        <w:fldChar w:fldCharType="separate"/>
      </w:r>
      <w:r>
        <w:rPr>
          <w:sz w:val="24"/>
        </w:rPr>
        <w:t>7</w:t>
      </w:r>
      <w:r>
        <w:rPr>
          <w:sz w:val="24"/>
        </w:rPr>
        <w:fldChar w:fldCharType="end"/>
      </w:r>
      <w:r>
        <w:rPr>
          <w:color w:val="auto"/>
          <w:sz w:val="24"/>
        </w:rPr>
        <w:fldChar w:fldCharType="end"/>
      </w:r>
    </w:p>
    <w:p w14:paraId="6F6A0353">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_Toc27220 </w:instrText>
      </w:r>
      <w:r>
        <w:rPr>
          <w:sz w:val="24"/>
        </w:rPr>
        <w:fldChar w:fldCharType="separate"/>
      </w:r>
      <w:r>
        <w:rPr>
          <w:rFonts w:hint="eastAsia"/>
          <w:sz w:val="24"/>
        </w:rPr>
        <w:t>1.2.6 行业规范</w:t>
      </w:r>
      <w:r>
        <w:rPr>
          <w:sz w:val="24"/>
        </w:rPr>
        <w:tab/>
      </w:r>
      <w:r>
        <w:rPr>
          <w:sz w:val="24"/>
        </w:rPr>
        <w:fldChar w:fldCharType="begin"/>
      </w:r>
      <w:r>
        <w:rPr>
          <w:sz w:val="24"/>
        </w:rPr>
        <w:instrText xml:space="preserve"> PAGEREF _Toc27220 \h </w:instrText>
      </w:r>
      <w:r>
        <w:rPr>
          <w:sz w:val="24"/>
        </w:rPr>
        <w:fldChar w:fldCharType="separate"/>
      </w:r>
      <w:r>
        <w:rPr>
          <w:sz w:val="24"/>
        </w:rPr>
        <w:t>11</w:t>
      </w:r>
      <w:r>
        <w:rPr>
          <w:sz w:val="24"/>
        </w:rPr>
        <w:fldChar w:fldCharType="end"/>
      </w:r>
      <w:r>
        <w:rPr>
          <w:color w:val="auto"/>
          <w:sz w:val="24"/>
        </w:rPr>
        <w:fldChar w:fldCharType="end"/>
      </w:r>
    </w:p>
    <w:p w14:paraId="4CBBBB2E">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_Toc3456 </w:instrText>
      </w:r>
      <w:r>
        <w:rPr>
          <w:sz w:val="24"/>
        </w:rPr>
        <w:fldChar w:fldCharType="separate"/>
      </w:r>
      <w:r>
        <w:rPr>
          <w:rFonts w:hint="eastAsia"/>
          <w:sz w:val="24"/>
        </w:rPr>
        <w:t>1.2.7 技术文件及有关资料</w:t>
      </w:r>
      <w:r>
        <w:rPr>
          <w:sz w:val="24"/>
        </w:rPr>
        <w:tab/>
      </w:r>
      <w:r>
        <w:rPr>
          <w:sz w:val="24"/>
        </w:rPr>
        <w:fldChar w:fldCharType="begin"/>
      </w:r>
      <w:r>
        <w:rPr>
          <w:sz w:val="24"/>
        </w:rPr>
        <w:instrText xml:space="preserve"> PAGEREF _Toc3456 \h </w:instrText>
      </w:r>
      <w:r>
        <w:rPr>
          <w:sz w:val="24"/>
        </w:rPr>
        <w:fldChar w:fldCharType="separate"/>
      </w:r>
      <w:r>
        <w:rPr>
          <w:sz w:val="24"/>
        </w:rPr>
        <w:t>11</w:t>
      </w:r>
      <w:r>
        <w:rPr>
          <w:sz w:val="24"/>
        </w:rPr>
        <w:fldChar w:fldCharType="end"/>
      </w:r>
      <w:r>
        <w:rPr>
          <w:color w:val="auto"/>
          <w:sz w:val="24"/>
        </w:rPr>
        <w:fldChar w:fldCharType="end"/>
      </w:r>
    </w:p>
    <w:p w14:paraId="4AFE5D36">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_Toc4168 </w:instrText>
      </w:r>
      <w:r>
        <w:rPr>
          <w:sz w:val="24"/>
        </w:rPr>
        <w:fldChar w:fldCharType="separate"/>
      </w:r>
      <w:r>
        <w:rPr>
          <w:rFonts w:hint="eastAsia"/>
          <w:sz w:val="24"/>
        </w:rPr>
        <w:t>1.3 评价程序</w:t>
      </w:r>
      <w:r>
        <w:rPr>
          <w:sz w:val="24"/>
        </w:rPr>
        <w:tab/>
      </w:r>
      <w:r>
        <w:rPr>
          <w:sz w:val="24"/>
        </w:rPr>
        <w:fldChar w:fldCharType="begin"/>
      </w:r>
      <w:r>
        <w:rPr>
          <w:sz w:val="24"/>
        </w:rPr>
        <w:instrText xml:space="preserve"> PAGEREF _Toc4168 \h </w:instrText>
      </w:r>
      <w:r>
        <w:rPr>
          <w:sz w:val="24"/>
        </w:rPr>
        <w:fldChar w:fldCharType="separate"/>
      </w:r>
      <w:r>
        <w:rPr>
          <w:sz w:val="24"/>
        </w:rPr>
        <w:t>12</w:t>
      </w:r>
      <w:r>
        <w:rPr>
          <w:sz w:val="24"/>
        </w:rPr>
        <w:fldChar w:fldCharType="end"/>
      </w:r>
      <w:r>
        <w:rPr>
          <w:color w:val="auto"/>
          <w:sz w:val="24"/>
        </w:rPr>
        <w:fldChar w:fldCharType="end"/>
      </w:r>
    </w:p>
    <w:p w14:paraId="3A005457">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_Toc28793 </w:instrText>
      </w:r>
      <w:r>
        <w:rPr>
          <w:sz w:val="24"/>
        </w:rPr>
        <w:fldChar w:fldCharType="separate"/>
      </w:r>
      <w:r>
        <w:rPr>
          <w:rFonts w:hint="eastAsia"/>
          <w:sz w:val="24"/>
        </w:rPr>
        <w:t>2 建设项目概</w:t>
      </w:r>
      <w:r>
        <w:rPr>
          <w:rFonts w:hint="eastAsia"/>
          <w:sz w:val="24"/>
          <w:lang w:val="en-US" w:eastAsia="zh-CN"/>
        </w:rPr>
        <w:t>述</w:t>
      </w:r>
      <w:r>
        <w:rPr>
          <w:sz w:val="24"/>
        </w:rPr>
        <w:tab/>
      </w:r>
      <w:r>
        <w:rPr>
          <w:sz w:val="24"/>
        </w:rPr>
        <w:fldChar w:fldCharType="begin"/>
      </w:r>
      <w:r>
        <w:rPr>
          <w:sz w:val="24"/>
        </w:rPr>
        <w:instrText xml:space="preserve"> PAGEREF _Toc28793 \h </w:instrText>
      </w:r>
      <w:r>
        <w:rPr>
          <w:sz w:val="24"/>
        </w:rPr>
        <w:fldChar w:fldCharType="separate"/>
      </w:r>
      <w:r>
        <w:rPr>
          <w:sz w:val="24"/>
        </w:rPr>
        <w:t>14</w:t>
      </w:r>
      <w:r>
        <w:rPr>
          <w:sz w:val="24"/>
        </w:rPr>
        <w:fldChar w:fldCharType="end"/>
      </w:r>
      <w:r>
        <w:rPr>
          <w:color w:val="auto"/>
          <w:sz w:val="24"/>
        </w:rPr>
        <w:fldChar w:fldCharType="end"/>
      </w:r>
    </w:p>
    <w:p w14:paraId="25CE44EB">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_Toc19960 </w:instrText>
      </w:r>
      <w:r>
        <w:rPr>
          <w:sz w:val="24"/>
        </w:rPr>
        <w:fldChar w:fldCharType="separate"/>
      </w:r>
      <w:r>
        <w:rPr>
          <w:rFonts w:hint="eastAsia"/>
          <w:sz w:val="24"/>
        </w:rPr>
        <w:t>2.1 建设单位概况</w:t>
      </w:r>
      <w:r>
        <w:rPr>
          <w:sz w:val="24"/>
        </w:rPr>
        <w:tab/>
      </w:r>
      <w:r>
        <w:rPr>
          <w:sz w:val="24"/>
        </w:rPr>
        <w:fldChar w:fldCharType="begin"/>
      </w:r>
      <w:r>
        <w:rPr>
          <w:sz w:val="24"/>
        </w:rPr>
        <w:instrText xml:space="preserve"> PAGEREF _Toc19960 \h </w:instrText>
      </w:r>
      <w:r>
        <w:rPr>
          <w:sz w:val="24"/>
        </w:rPr>
        <w:fldChar w:fldCharType="separate"/>
      </w:r>
      <w:r>
        <w:rPr>
          <w:sz w:val="24"/>
        </w:rPr>
        <w:t>14</w:t>
      </w:r>
      <w:r>
        <w:rPr>
          <w:sz w:val="24"/>
        </w:rPr>
        <w:fldChar w:fldCharType="end"/>
      </w:r>
      <w:r>
        <w:rPr>
          <w:color w:val="auto"/>
          <w:sz w:val="24"/>
        </w:rPr>
        <w:fldChar w:fldCharType="end"/>
      </w:r>
    </w:p>
    <w:p w14:paraId="2C7AF146">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_Toc21560 </w:instrText>
      </w:r>
      <w:r>
        <w:rPr>
          <w:sz w:val="24"/>
        </w:rPr>
        <w:fldChar w:fldCharType="separate"/>
      </w:r>
      <w:r>
        <w:rPr>
          <w:rFonts w:hint="eastAsia"/>
          <w:sz w:val="24"/>
        </w:rPr>
        <w:t>2.1.1 建设单位简介</w:t>
      </w:r>
      <w:r>
        <w:rPr>
          <w:sz w:val="24"/>
        </w:rPr>
        <w:tab/>
      </w:r>
      <w:r>
        <w:rPr>
          <w:sz w:val="24"/>
        </w:rPr>
        <w:fldChar w:fldCharType="begin"/>
      </w:r>
      <w:r>
        <w:rPr>
          <w:sz w:val="24"/>
        </w:rPr>
        <w:instrText xml:space="preserve"> PAGEREF _Toc21560 \h </w:instrText>
      </w:r>
      <w:r>
        <w:rPr>
          <w:sz w:val="24"/>
        </w:rPr>
        <w:fldChar w:fldCharType="separate"/>
      </w:r>
      <w:r>
        <w:rPr>
          <w:sz w:val="24"/>
        </w:rPr>
        <w:t>14</w:t>
      </w:r>
      <w:r>
        <w:rPr>
          <w:sz w:val="24"/>
        </w:rPr>
        <w:fldChar w:fldCharType="end"/>
      </w:r>
      <w:r>
        <w:rPr>
          <w:color w:val="auto"/>
          <w:sz w:val="24"/>
        </w:rPr>
        <w:fldChar w:fldCharType="end"/>
      </w:r>
    </w:p>
    <w:p w14:paraId="28A75DA0">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_Toc23157 </w:instrText>
      </w:r>
      <w:r>
        <w:rPr>
          <w:sz w:val="24"/>
        </w:rPr>
        <w:fldChar w:fldCharType="separate"/>
      </w:r>
      <w:r>
        <w:rPr>
          <w:rFonts w:hint="eastAsia"/>
          <w:sz w:val="24"/>
        </w:rPr>
        <w:t>2.1.2 建设项目背景</w:t>
      </w:r>
      <w:r>
        <w:rPr>
          <w:sz w:val="24"/>
        </w:rPr>
        <w:tab/>
      </w:r>
      <w:r>
        <w:rPr>
          <w:sz w:val="24"/>
        </w:rPr>
        <w:fldChar w:fldCharType="begin"/>
      </w:r>
      <w:r>
        <w:rPr>
          <w:sz w:val="24"/>
        </w:rPr>
        <w:instrText xml:space="preserve"> PAGEREF _Toc23157 \h </w:instrText>
      </w:r>
      <w:r>
        <w:rPr>
          <w:sz w:val="24"/>
        </w:rPr>
        <w:fldChar w:fldCharType="separate"/>
      </w:r>
      <w:r>
        <w:rPr>
          <w:sz w:val="24"/>
        </w:rPr>
        <w:t>15</w:t>
      </w:r>
      <w:r>
        <w:rPr>
          <w:sz w:val="24"/>
        </w:rPr>
        <w:fldChar w:fldCharType="end"/>
      </w:r>
      <w:r>
        <w:rPr>
          <w:color w:val="auto"/>
          <w:sz w:val="24"/>
        </w:rPr>
        <w:fldChar w:fldCharType="end"/>
      </w:r>
    </w:p>
    <w:p w14:paraId="2F46FDFC">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_Toc23861 </w:instrText>
      </w:r>
      <w:r>
        <w:rPr>
          <w:sz w:val="24"/>
        </w:rPr>
        <w:fldChar w:fldCharType="separate"/>
      </w:r>
      <w:r>
        <w:rPr>
          <w:rFonts w:hint="eastAsia"/>
          <w:sz w:val="24"/>
        </w:rPr>
        <w:t>2.1.3 项目建设审批情况慨况</w:t>
      </w:r>
      <w:r>
        <w:rPr>
          <w:sz w:val="24"/>
        </w:rPr>
        <w:tab/>
      </w:r>
      <w:r>
        <w:rPr>
          <w:sz w:val="24"/>
        </w:rPr>
        <w:fldChar w:fldCharType="begin"/>
      </w:r>
      <w:r>
        <w:rPr>
          <w:sz w:val="24"/>
        </w:rPr>
        <w:instrText xml:space="preserve"> PAGEREF _Toc23861 \h </w:instrText>
      </w:r>
      <w:r>
        <w:rPr>
          <w:sz w:val="24"/>
        </w:rPr>
        <w:fldChar w:fldCharType="separate"/>
      </w:r>
      <w:r>
        <w:rPr>
          <w:sz w:val="24"/>
        </w:rPr>
        <w:t>15</w:t>
      </w:r>
      <w:r>
        <w:rPr>
          <w:sz w:val="24"/>
        </w:rPr>
        <w:fldChar w:fldCharType="end"/>
      </w:r>
      <w:r>
        <w:rPr>
          <w:color w:val="auto"/>
          <w:sz w:val="24"/>
        </w:rPr>
        <w:fldChar w:fldCharType="end"/>
      </w:r>
    </w:p>
    <w:p w14:paraId="6FBC0216">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_Toc13117 </w:instrText>
      </w:r>
      <w:r>
        <w:rPr>
          <w:sz w:val="24"/>
        </w:rPr>
        <w:fldChar w:fldCharType="separate"/>
      </w:r>
      <w:r>
        <w:rPr>
          <w:rFonts w:hint="eastAsia"/>
          <w:sz w:val="24"/>
        </w:rPr>
        <w:t>2.1.4 项目产业政策的符合性</w:t>
      </w:r>
      <w:r>
        <w:rPr>
          <w:sz w:val="24"/>
        </w:rPr>
        <w:tab/>
      </w:r>
      <w:r>
        <w:rPr>
          <w:sz w:val="24"/>
        </w:rPr>
        <w:fldChar w:fldCharType="begin"/>
      </w:r>
      <w:r>
        <w:rPr>
          <w:sz w:val="24"/>
        </w:rPr>
        <w:instrText xml:space="preserve"> PAGEREF _Toc13117 \h </w:instrText>
      </w:r>
      <w:r>
        <w:rPr>
          <w:sz w:val="24"/>
        </w:rPr>
        <w:fldChar w:fldCharType="separate"/>
      </w:r>
      <w:r>
        <w:rPr>
          <w:sz w:val="24"/>
        </w:rPr>
        <w:t>15</w:t>
      </w:r>
      <w:r>
        <w:rPr>
          <w:sz w:val="24"/>
        </w:rPr>
        <w:fldChar w:fldCharType="end"/>
      </w:r>
      <w:r>
        <w:rPr>
          <w:color w:val="auto"/>
          <w:sz w:val="24"/>
        </w:rPr>
        <w:fldChar w:fldCharType="end"/>
      </w:r>
    </w:p>
    <w:p w14:paraId="04C579FF">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_Toc31293 </w:instrText>
      </w:r>
      <w:r>
        <w:rPr>
          <w:sz w:val="24"/>
        </w:rPr>
        <w:fldChar w:fldCharType="separate"/>
      </w:r>
      <w:r>
        <w:rPr>
          <w:rFonts w:hint="eastAsia"/>
          <w:sz w:val="24"/>
        </w:rPr>
        <w:t>2.2 项目地理位置和自然环境</w:t>
      </w:r>
      <w:r>
        <w:rPr>
          <w:sz w:val="24"/>
        </w:rPr>
        <w:tab/>
      </w:r>
      <w:r>
        <w:rPr>
          <w:sz w:val="24"/>
        </w:rPr>
        <w:fldChar w:fldCharType="begin"/>
      </w:r>
      <w:r>
        <w:rPr>
          <w:sz w:val="24"/>
        </w:rPr>
        <w:instrText xml:space="preserve"> PAGEREF _Toc31293 \h </w:instrText>
      </w:r>
      <w:r>
        <w:rPr>
          <w:sz w:val="24"/>
        </w:rPr>
        <w:fldChar w:fldCharType="separate"/>
      </w:r>
      <w:r>
        <w:rPr>
          <w:sz w:val="24"/>
        </w:rPr>
        <w:t>16</w:t>
      </w:r>
      <w:r>
        <w:rPr>
          <w:sz w:val="24"/>
        </w:rPr>
        <w:fldChar w:fldCharType="end"/>
      </w:r>
      <w:r>
        <w:rPr>
          <w:color w:val="auto"/>
          <w:sz w:val="24"/>
        </w:rPr>
        <w:fldChar w:fldCharType="end"/>
      </w:r>
    </w:p>
    <w:p w14:paraId="3007041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_Toc24104 </w:instrText>
      </w:r>
      <w:r>
        <w:rPr>
          <w:sz w:val="24"/>
        </w:rPr>
        <w:fldChar w:fldCharType="separate"/>
      </w:r>
      <w:r>
        <w:rPr>
          <w:rFonts w:hint="eastAsia"/>
          <w:sz w:val="24"/>
        </w:rPr>
        <w:t>2.2.1 项目地理位置及交通情况</w:t>
      </w:r>
      <w:r>
        <w:rPr>
          <w:sz w:val="24"/>
        </w:rPr>
        <w:tab/>
      </w:r>
      <w:r>
        <w:rPr>
          <w:sz w:val="24"/>
        </w:rPr>
        <w:fldChar w:fldCharType="begin"/>
      </w:r>
      <w:r>
        <w:rPr>
          <w:sz w:val="24"/>
        </w:rPr>
        <w:instrText xml:space="preserve"> PAGEREF _Toc24104 \h </w:instrText>
      </w:r>
      <w:r>
        <w:rPr>
          <w:sz w:val="24"/>
        </w:rPr>
        <w:fldChar w:fldCharType="separate"/>
      </w:r>
      <w:r>
        <w:rPr>
          <w:sz w:val="24"/>
        </w:rPr>
        <w:t>16</w:t>
      </w:r>
      <w:r>
        <w:rPr>
          <w:sz w:val="24"/>
        </w:rPr>
        <w:fldChar w:fldCharType="end"/>
      </w:r>
      <w:r>
        <w:rPr>
          <w:color w:val="auto"/>
          <w:sz w:val="24"/>
        </w:rPr>
        <w:fldChar w:fldCharType="end"/>
      </w:r>
    </w:p>
    <w:p w14:paraId="72327522">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_Toc2840 </w:instrText>
      </w:r>
      <w:r>
        <w:rPr>
          <w:sz w:val="24"/>
        </w:rPr>
        <w:fldChar w:fldCharType="separate"/>
      </w:r>
      <w:r>
        <w:rPr>
          <w:rFonts w:hint="eastAsia"/>
          <w:sz w:val="24"/>
        </w:rPr>
        <w:t>2.2.2 周边环境</w:t>
      </w:r>
      <w:r>
        <w:rPr>
          <w:sz w:val="24"/>
        </w:rPr>
        <w:tab/>
      </w:r>
      <w:r>
        <w:rPr>
          <w:sz w:val="24"/>
        </w:rPr>
        <w:fldChar w:fldCharType="begin"/>
      </w:r>
      <w:r>
        <w:rPr>
          <w:sz w:val="24"/>
        </w:rPr>
        <w:instrText xml:space="preserve"> PAGEREF _Toc2840 \h </w:instrText>
      </w:r>
      <w:r>
        <w:rPr>
          <w:sz w:val="24"/>
        </w:rPr>
        <w:fldChar w:fldCharType="separate"/>
      </w:r>
      <w:r>
        <w:rPr>
          <w:sz w:val="24"/>
        </w:rPr>
        <w:t>16</w:t>
      </w:r>
      <w:r>
        <w:rPr>
          <w:sz w:val="24"/>
        </w:rPr>
        <w:fldChar w:fldCharType="end"/>
      </w:r>
      <w:r>
        <w:rPr>
          <w:color w:val="auto"/>
          <w:sz w:val="24"/>
        </w:rPr>
        <w:fldChar w:fldCharType="end"/>
      </w:r>
    </w:p>
    <w:p w14:paraId="76A2AAB9">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_Toc12259 </w:instrText>
      </w:r>
      <w:r>
        <w:rPr>
          <w:sz w:val="24"/>
        </w:rPr>
        <w:fldChar w:fldCharType="separate"/>
      </w:r>
      <w:r>
        <w:rPr>
          <w:rFonts w:hint="eastAsia"/>
          <w:sz w:val="24"/>
        </w:rPr>
        <w:t>2.2.3 气象条件</w:t>
      </w:r>
      <w:r>
        <w:rPr>
          <w:sz w:val="24"/>
        </w:rPr>
        <w:tab/>
      </w:r>
      <w:r>
        <w:rPr>
          <w:sz w:val="24"/>
        </w:rPr>
        <w:fldChar w:fldCharType="begin"/>
      </w:r>
      <w:r>
        <w:rPr>
          <w:sz w:val="24"/>
        </w:rPr>
        <w:instrText xml:space="preserve"> PAGEREF _Toc12259 \h </w:instrText>
      </w:r>
      <w:r>
        <w:rPr>
          <w:sz w:val="24"/>
        </w:rPr>
        <w:fldChar w:fldCharType="separate"/>
      </w:r>
      <w:r>
        <w:rPr>
          <w:sz w:val="24"/>
        </w:rPr>
        <w:t>19</w:t>
      </w:r>
      <w:r>
        <w:rPr>
          <w:sz w:val="24"/>
        </w:rPr>
        <w:fldChar w:fldCharType="end"/>
      </w:r>
      <w:r>
        <w:rPr>
          <w:color w:val="auto"/>
          <w:sz w:val="24"/>
        </w:rPr>
        <w:fldChar w:fldCharType="end"/>
      </w:r>
    </w:p>
    <w:p w14:paraId="3E572FD6">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_Toc23968 </w:instrText>
      </w:r>
      <w:r>
        <w:rPr>
          <w:sz w:val="24"/>
        </w:rPr>
        <w:fldChar w:fldCharType="separate"/>
      </w:r>
      <w:r>
        <w:rPr>
          <w:rFonts w:hint="eastAsia"/>
          <w:sz w:val="24"/>
        </w:rPr>
        <w:t>2.2.4 地形地貌</w:t>
      </w:r>
      <w:r>
        <w:rPr>
          <w:sz w:val="24"/>
        </w:rPr>
        <w:tab/>
      </w:r>
      <w:r>
        <w:rPr>
          <w:sz w:val="24"/>
        </w:rPr>
        <w:fldChar w:fldCharType="begin"/>
      </w:r>
      <w:r>
        <w:rPr>
          <w:sz w:val="24"/>
        </w:rPr>
        <w:instrText xml:space="preserve"> PAGEREF _Toc23968 \h </w:instrText>
      </w:r>
      <w:r>
        <w:rPr>
          <w:sz w:val="24"/>
        </w:rPr>
        <w:fldChar w:fldCharType="separate"/>
      </w:r>
      <w:r>
        <w:rPr>
          <w:sz w:val="24"/>
        </w:rPr>
        <w:t>19</w:t>
      </w:r>
      <w:r>
        <w:rPr>
          <w:sz w:val="24"/>
        </w:rPr>
        <w:fldChar w:fldCharType="end"/>
      </w:r>
      <w:r>
        <w:rPr>
          <w:color w:val="auto"/>
          <w:sz w:val="24"/>
        </w:rPr>
        <w:fldChar w:fldCharType="end"/>
      </w:r>
    </w:p>
    <w:p w14:paraId="424BF87C">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_Toc25405 </w:instrText>
      </w:r>
      <w:r>
        <w:rPr>
          <w:sz w:val="24"/>
        </w:rPr>
        <w:fldChar w:fldCharType="separate"/>
      </w:r>
      <w:r>
        <w:rPr>
          <w:rFonts w:hint="eastAsia"/>
          <w:sz w:val="24"/>
        </w:rPr>
        <w:t>2.2.5 水文</w:t>
      </w:r>
      <w:r>
        <w:rPr>
          <w:sz w:val="24"/>
        </w:rPr>
        <w:tab/>
      </w:r>
      <w:r>
        <w:rPr>
          <w:sz w:val="24"/>
        </w:rPr>
        <w:fldChar w:fldCharType="begin"/>
      </w:r>
      <w:r>
        <w:rPr>
          <w:sz w:val="24"/>
        </w:rPr>
        <w:instrText xml:space="preserve"> PAGEREF _Toc25405 \h </w:instrText>
      </w:r>
      <w:r>
        <w:rPr>
          <w:sz w:val="24"/>
        </w:rPr>
        <w:fldChar w:fldCharType="separate"/>
      </w:r>
      <w:r>
        <w:rPr>
          <w:sz w:val="24"/>
        </w:rPr>
        <w:t>20</w:t>
      </w:r>
      <w:r>
        <w:rPr>
          <w:sz w:val="24"/>
        </w:rPr>
        <w:fldChar w:fldCharType="end"/>
      </w:r>
      <w:r>
        <w:rPr>
          <w:color w:val="auto"/>
          <w:sz w:val="24"/>
        </w:rPr>
        <w:fldChar w:fldCharType="end"/>
      </w:r>
    </w:p>
    <w:p w14:paraId="034B28B7">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_Toc15452 </w:instrText>
      </w:r>
      <w:r>
        <w:rPr>
          <w:sz w:val="24"/>
        </w:rPr>
        <w:fldChar w:fldCharType="separate"/>
      </w:r>
      <w:r>
        <w:rPr>
          <w:rFonts w:hint="eastAsia"/>
          <w:sz w:val="24"/>
        </w:rPr>
        <w:t>2.2.6 地震</w:t>
      </w:r>
      <w:r>
        <w:rPr>
          <w:sz w:val="24"/>
        </w:rPr>
        <w:tab/>
      </w:r>
      <w:r>
        <w:rPr>
          <w:sz w:val="24"/>
        </w:rPr>
        <w:fldChar w:fldCharType="begin"/>
      </w:r>
      <w:r>
        <w:rPr>
          <w:sz w:val="24"/>
        </w:rPr>
        <w:instrText xml:space="preserve"> PAGEREF _Toc15452 \h </w:instrText>
      </w:r>
      <w:r>
        <w:rPr>
          <w:sz w:val="24"/>
        </w:rPr>
        <w:fldChar w:fldCharType="separate"/>
      </w:r>
      <w:r>
        <w:rPr>
          <w:sz w:val="24"/>
        </w:rPr>
        <w:t>21</w:t>
      </w:r>
      <w:r>
        <w:rPr>
          <w:sz w:val="24"/>
        </w:rPr>
        <w:fldChar w:fldCharType="end"/>
      </w:r>
      <w:r>
        <w:rPr>
          <w:color w:val="auto"/>
          <w:sz w:val="24"/>
        </w:rPr>
        <w:fldChar w:fldCharType="end"/>
      </w:r>
    </w:p>
    <w:p w14:paraId="40237CD2">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_Toc28616 </w:instrText>
      </w:r>
      <w:r>
        <w:rPr>
          <w:sz w:val="24"/>
        </w:rPr>
        <w:fldChar w:fldCharType="separate"/>
      </w:r>
      <w:r>
        <w:rPr>
          <w:rFonts w:hint="eastAsia"/>
          <w:sz w:val="24"/>
        </w:rPr>
        <w:t>2.</w:t>
      </w:r>
      <w:r>
        <w:rPr>
          <w:rFonts w:hint="eastAsia"/>
          <w:sz w:val="24"/>
          <w:lang w:val="en-US" w:eastAsia="zh-CN"/>
        </w:rPr>
        <w:t xml:space="preserve">3 </w:t>
      </w:r>
      <w:r>
        <w:rPr>
          <w:rFonts w:hint="eastAsia"/>
          <w:sz w:val="24"/>
        </w:rPr>
        <w:t>场区地质情况</w:t>
      </w:r>
      <w:r>
        <w:rPr>
          <w:sz w:val="24"/>
        </w:rPr>
        <w:tab/>
      </w:r>
      <w:r>
        <w:rPr>
          <w:sz w:val="24"/>
        </w:rPr>
        <w:fldChar w:fldCharType="begin"/>
      </w:r>
      <w:r>
        <w:rPr>
          <w:sz w:val="24"/>
        </w:rPr>
        <w:instrText xml:space="preserve"> PAGEREF _Toc28616 \h </w:instrText>
      </w:r>
      <w:r>
        <w:rPr>
          <w:sz w:val="24"/>
        </w:rPr>
        <w:fldChar w:fldCharType="separate"/>
      </w:r>
      <w:r>
        <w:rPr>
          <w:sz w:val="24"/>
        </w:rPr>
        <w:t>21</w:t>
      </w:r>
      <w:r>
        <w:rPr>
          <w:sz w:val="24"/>
        </w:rPr>
        <w:fldChar w:fldCharType="end"/>
      </w:r>
      <w:r>
        <w:rPr>
          <w:color w:val="auto"/>
          <w:sz w:val="24"/>
        </w:rPr>
        <w:fldChar w:fldCharType="end"/>
      </w:r>
    </w:p>
    <w:p w14:paraId="09443C0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_Toc25368 </w:instrText>
      </w:r>
      <w:r>
        <w:rPr>
          <w:sz w:val="24"/>
        </w:rPr>
        <w:fldChar w:fldCharType="separate"/>
      </w:r>
      <w:r>
        <w:rPr>
          <w:rFonts w:hint="eastAsia"/>
          <w:sz w:val="24"/>
        </w:rPr>
        <w:t>2.</w:t>
      </w:r>
      <w:r>
        <w:rPr>
          <w:rFonts w:hint="eastAsia"/>
          <w:sz w:val="24"/>
          <w:lang w:val="en-US" w:eastAsia="zh-CN"/>
        </w:rPr>
        <w:t>3</w:t>
      </w:r>
      <w:r>
        <w:rPr>
          <w:rFonts w:hint="eastAsia"/>
          <w:sz w:val="24"/>
        </w:rPr>
        <w:t>.1</w:t>
      </w:r>
      <w:r>
        <w:rPr>
          <w:rFonts w:hint="eastAsia"/>
          <w:sz w:val="24"/>
          <w:lang w:val="en-US" w:eastAsia="zh-CN"/>
        </w:rPr>
        <w:t xml:space="preserve"> </w:t>
      </w:r>
      <w:r>
        <w:rPr>
          <w:rFonts w:hint="eastAsia"/>
          <w:sz w:val="24"/>
        </w:rPr>
        <w:t>地质构造</w:t>
      </w:r>
      <w:r>
        <w:rPr>
          <w:sz w:val="24"/>
        </w:rPr>
        <w:tab/>
      </w:r>
      <w:r>
        <w:rPr>
          <w:sz w:val="24"/>
        </w:rPr>
        <w:fldChar w:fldCharType="begin"/>
      </w:r>
      <w:r>
        <w:rPr>
          <w:sz w:val="24"/>
        </w:rPr>
        <w:instrText xml:space="preserve"> PAGEREF _Toc25368 \h </w:instrText>
      </w:r>
      <w:r>
        <w:rPr>
          <w:sz w:val="24"/>
        </w:rPr>
        <w:fldChar w:fldCharType="separate"/>
      </w:r>
      <w:r>
        <w:rPr>
          <w:sz w:val="24"/>
        </w:rPr>
        <w:t>21</w:t>
      </w:r>
      <w:r>
        <w:rPr>
          <w:sz w:val="24"/>
        </w:rPr>
        <w:fldChar w:fldCharType="end"/>
      </w:r>
      <w:r>
        <w:rPr>
          <w:color w:val="auto"/>
          <w:sz w:val="24"/>
        </w:rPr>
        <w:fldChar w:fldCharType="end"/>
      </w:r>
    </w:p>
    <w:p w14:paraId="6429747F">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_Toc17057 </w:instrText>
      </w:r>
      <w:r>
        <w:rPr>
          <w:sz w:val="24"/>
        </w:rPr>
        <w:fldChar w:fldCharType="separate"/>
      </w:r>
      <w:r>
        <w:rPr>
          <w:rFonts w:hint="eastAsia"/>
          <w:sz w:val="24"/>
        </w:rPr>
        <w:t>2.</w:t>
      </w:r>
      <w:r>
        <w:rPr>
          <w:rFonts w:hint="eastAsia"/>
          <w:sz w:val="24"/>
          <w:lang w:val="en-US" w:eastAsia="zh-CN"/>
        </w:rPr>
        <w:t>3</w:t>
      </w:r>
      <w:r>
        <w:rPr>
          <w:rFonts w:hint="eastAsia"/>
          <w:sz w:val="24"/>
        </w:rPr>
        <w:t>.</w:t>
      </w:r>
      <w:r>
        <w:rPr>
          <w:rFonts w:hint="eastAsia"/>
          <w:sz w:val="24"/>
          <w:lang w:val="en-US" w:eastAsia="zh-CN"/>
        </w:rPr>
        <w:t xml:space="preserve">2 </w:t>
      </w:r>
      <w:r>
        <w:rPr>
          <w:rFonts w:hint="eastAsia"/>
          <w:sz w:val="24"/>
        </w:rPr>
        <w:t>不良地质作用</w:t>
      </w:r>
      <w:r>
        <w:rPr>
          <w:sz w:val="24"/>
        </w:rPr>
        <w:tab/>
      </w:r>
      <w:r>
        <w:rPr>
          <w:sz w:val="24"/>
        </w:rPr>
        <w:fldChar w:fldCharType="begin"/>
      </w:r>
      <w:r>
        <w:rPr>
          <w:sz w:val="24"/>
        </w:rPr>
        <w:instrText xml:space="preserve"> PAGEREF _Toc17057 \h </w:instrText>
      </w:r>
      <w:r>
        <w:rPr>
          <w:sz w:val="24"/>
        </w:rPr>
        <w:fldChar w:fldCharType="separate"/>
      </w:r>
      <w:r>
        <w:rPr>
          <w:sz w:val="24"/>
        </w:rPr>
        <w:t>22</w:t>
      </w:r>
      <w:r>
        <w:rPr>
          <w:sz w:val="24"/>
        </w:rPr>
        <w:fldChar w:fldCharType="end"/>
      </w:r>
      <w:r>
        <w:rPr>
          <w:color w:val="auto"/>
          <w:sz w:val="24"/>
        </w:rPr>
        <w:fldChar w:fldCharType="end"/>
      </w:r>
    </w:p>
    <w:p w14:paraId="34BE1B1A">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_Toc4366 </w:instrText>
      </w:r>
      <w:r>
        <w:rPr>
          <w:sz w:val="24"/>
        </w:rPr>
        <w:fldChar w:fldCharType="separate"/>
      </w:r>
      <w:r>
        <w:rPr>
          <w:rFonts w:hint="eastAsia"/>
          <w:sz w:val="24"/>
        </w:rPr>
        <w:t>2.</w:t>
      </w:r>
      <w:r>
        <w:rPr>
          <w:rFonts w:hint="eastAsia"/>
          <w:sz w:val="24"/>
          <w:lang w:val="en-US" w:eastAsia="zh-CN"/>
        </w:rPr>
        <w:t xml:space="preserve">4 </w:t>
      </w:r>
      <w:r>
        <w:rPr>
          <w:rFonts w:hint="eastAsia"/>
          <w:sz w:val="24"/>
        </w:rPr>
        <w:t>选矿厂基本情况</w:t>
      </w:r>
      <w:r>
        <w:rPr>
          <w:sz w:val="24"/>
        </w:rPr>
        <w:tab/>
      </w:r>
      <w:r>
        <w:rPr>
          <w:sz w:val="24"/>
        </w:rPr>
        <w:fldChar w:fldCharType="begin"/>
      </w:r>
      <w:r>
        <w:rPr>
          <w:sz w:val="24"/>
        </w:rPr>
        <w:instrText xml:space="preserve"> PAGEREF _Toc4366 \h </w:instrText>
      </w:r>
      <w:r>
        <w:rPr>
          <w:sz w:val="24"/>
        </w:rPr>
        <w:fldChar w:fldCharType="separate"/>
      </w:r>
      <w:r>
        <w:rPr>
          <w:sz w:val="24"/>
        </w:rPr>
        <w:t>22</w:t>
      </w:r>
      <w:r>
        <w:rPr>
          <w:sz w:val="24"/>
        </w:rPr>
        <w:fldChar w:fldCharType="end"/>
      </w:r>
      <w:r>
        <w:rPr>
          <w:color w:val="auto"/>
          <w:sz w:val="24"/>
        </w:rPr>
        <w:fldChar w:fldCharType="end"/>
      </w:r>
    </w:p>
    <w:p w14:paraId="1597890E">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_Toc21084 </w:instrText>
      </w:r>
      <w:r>
        <w:rPr>
          <w:sz w:val="24"/>
        </w:rPr>
        <w:fldChar w:fldCharType="separate"/>
      </w:r>
      <w:r>
        <w:rPr>
          <w:rFonts w:hint="eastAsia"/>
          <w:sz w:val="24"/>
          <w:lang w:val="en-US" w:eastAsia="zh-CN"/>
        </w:rPr>
        <w:t xml:space="preserve">2.5 </w:t>
      </w:r>
      <w:r>
        <w:rPr>
          <w:rFonts w:hint="eastAsia"/>
          <w:sz w:val="24"/>
        </w:rPr>
        <w:t>建设项目概况</w:t>
      </w:r>
      <w:r>
        <w:rPr>
          <w:sz w:val="24"/>
        </w:rPr>
        <w:tab/>
      </w:r>
      <w:r>
        <w:rPr>
          <w:sz w:val="24"/>
        </w:rPr>
        <w:fldChar w:fldCharType="begin"/>
      </w:r>
      <w:r>
        <w:rPr>
          <w:sz w:val="24"/>
        </w:rPr>
        <w:instrText xml:space="preserve"> PAGEREF _Toc21084 \h </w:instrText>
      </w:r>
      <w:r>
        <w:rPr>
          <w:sz w:val="24"/>
        </w:rPr>
        <w:fldChar w:fldCharType="separate"/>
      </w:r>
      <w:r>
        <w:rPr>
          <w:sz w:val="24"/>
        </w:rPr>
        <w:t>23</w:t>
      </w:r>
      <w:r>
        <w:rPr>
          <w:sz w:val="24"/>
        </w:rPr>
        <w:fldChar w:fldCharType="end"/>
      </w:r>
      <w:r>
        <w:rPr>
          <w:color w:val="auto"/>
          <w:sz w:val="24"/>
        </w:rPr>
        <w:fldChar w:fldCharType="end"/>
      </w:r>
    </w:p>
    <w:p w14:paraId="48D9FEFB">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_Toc28068 </w:instrText>
      </w:r>
      <w:r>
        <w:rPr>
          <w:sz w:val="24"/>
        </w:rPr>
        <w:fldChar w:fldCharType="separate"/>
      </w:r>
      <w:r>
        <w:rPr>
          <w:rFonts w:hint="eastAsia"/>
          <w:sz w:val="24"/>
        </w:rPr>
        <w:t>2.</w:t>
      </w:r>
      <w:r>
        <w:rPr>
          <w:rFonts w:hint="eastAsia"/>
          <w:sz w:val="24"/>
          <w:lang w:val="en-US" w:eastAsia="zh-CN"/>
        </w:rPr>
        <w:t>5</w:t>
      </w:r>
      <w:r>
        <w:rPr>
          <w:rFonts w:hint="eastAsia"/>
          <w:sz w:val="24"/>
        </w:rPr>
        <w:t>.</w:t>
      </w:r>
      <w:r>
        <w:rPr>
          <w:rFonts w:hint="eastAsia"/>
          <w:sz w:val="24"/>
          <w:lang w:val="en-US" w:eastAsia="zh-CN"/>
        </w:rPr>
        <w:t xml:space="preserve">1 </w:t>
      </w:r>
      <w:r>
        <w:rPr>
          <w:rFonts w:hint="eastAsia"/>
          <w:sz w:val="24"/>
        </w:rPr>
        <w:t>规模、指标及工作制度</w:t>
      </w:r>
      <w:r>
        <w:rPr>
          <w:sz w:val="24"/>
        </w:rPr>
        <w:tab/>
      </w:r>
      <w:r>
        <w:rPr>
          <w:sz w:val="24"/>
        </w:rPr>
        <w:fldChar w:fldCharType="begin"/>
      </w:r>
      <w:r>
        <w:rPr>
          <w:sz w:val="24"/>
        </w:rPr>
        <w:instrText xml:space="preserve"> PAGEREF _Toc28068 \h </w:instrText>
      </w:r>
      <w:r>
        <w:rPr>
          <w:sz w:val="24"/>
        </w:rPr>
        <w:fldChar w:fldCharType="separate"/>
      </w:r>
      <w:r>
        <w:rPr>
          <w:sz w:val="24"/>
        </w:rPr>
        <w:t>23</w:t>
      </w:r>
      <w:r>
        <w:rPr>
          <w:sz w:val="24"/>
        </w:rPr>
        <w:fldChar w:fldCharType="end"/>
      </w:r>
      <w:r>
        <w:rPr>
          <w:color w:val="auto"/>
          <w:sz w:val="24"/>
        </w:rPr>
        <w:fldChar w:fldCharType="end"/>
      </w:r>
    </w:p>
    <w:p w14:paraId="3C54948A">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_Toc3940 </w:instrText>
      </w:r>
      <w:r>
        <w:rPr>
          <w:sz w:val="24"/>
        </w:rPr>
        <w:fldChar w:fldCharType="separate"/>
      </w:r>
      <w:r>
        <w:rPr>
          <w:rFonts w:hint="eastAsia"/>
          <w:sz w:val="24"/>
        </w:rPr>
        <w:t>2.5.</w:t>
      </w:r>
      <w:r>
        <w:rPr>
          <w:rFonts w:hint="eastAsia"/>
          <w:sz w:val="24"/>
          <w:lang w:val="en-US" w:eastAsia="zh-CN"/>
        </w:rPr>
        <w:t>2</w:t>
      </w:r>
      <w:r>
        <w:rPr>
          <w:rFonts w:hint="eastAsia"/>
          <w:sz w:val="24"/>
        </w:rPr>
        <w:t xml:space="preserve"> 生产工艺</w:t>
      </w:r>
      <w:r>
        <w:rPr>
          <w:sz w:val="24"/>
        </w:rPr>
        <w:tab/>
      </w:r>
      <w:r>
        <w:rPr>
          <w:sz w:val="24"/>
        </w:rPr>
        <w:fldChar w:fldCharType="begin"/>
      </w:r>
      <w:r>
        <w:rPr>
          <w:sz w:val="24"/>
        </w:rPr>
        <w:instrText xml:space="preserve"> PAGEREF _Toc3940 \h </w:instrText>
      </w:r>
      <w:r>
        <w:rPr>
          <w:sz w:val="24"/>
        </w:rPr>
        <w:fldChar w:fldCharType="separate"/>
      </w:r>
      <w:r>
        <w:rPr>
          <w:sz w:val="24"/>
        </w:rPr>
        <w:t>23</w:t>
      </w:r>
      <w:r>
        <w:rPr>
          <w:sz w:val="24"/>
        </w:rPr>
        <w:fldChar w:fldCharType="end"/>
      </w:r>
      <w:r>
        <w:rPr>
          <w:color w:val="auto"/>
          <w:sz w:val="24"/>
        </w:rPr>
        <w:fldChar w:fldCharType="end"/>
      </w:r>
    </w:p>
    <w:p w14:paraId="06A5D7EF">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_Toc23498 </w:instrText>
      </w:r>
      <w:r>
        <w:rPr>
          <w:sz w:val="24"/>
        </w:rPr>
        <w:fldChar w:fldCharType="separate"/>
      </w:r>
      <w:r>
        <w:rPr>
          <w:rFonts w:hint="eastAsia"/>
          <w:sz w:val="24"/>
          <w:lang w:val="en-US" w:eastAsia="zh-CN"/>
        </w:rPr>
        <w:t xml:space="preserve">2.5.3 </w:t>
      </w:r>
      <w:r>
        <w:rPr>
          <w:rFonts w:hint="eastAsia"/>
          <w:sz w:val="24"/>
        </w:rPr>
        <w:t>主要设备</w:t>
      </w:r>
      <w:r>
        <w:rPr>
          <w:sz w:val="24"/>
        </w:rPr>
        <w:tab/>
      </w:r>
      <w:r>
        <w:rPr>
          <w:sz w:val="24"/>
        </w:rPr>
        <w:fldChar w:fldCharType="begin"/>
      </w:r>
      <w:r>
        <w:rPr>
          <w:sz w:val="24"/>
        </w:rPr>
        <w:instrText xml:space="preserve"> PAGEREF _Toc23498 \h </w:instrText>
      </w:r>
      <w:r>
        <w:rPr>
          <w:sz w:val="24"/>
        </w:rPr>
        <w:fldChar w:fldCharType="separate"/>
      </w:r>
      <w:r>
        <w:rPr>
          <w:sz w:val="24"/>
        </w:rPr>
        <w:t>24</w:t>
      </w:r>
      <w:r>
        <w:rPr>
          <w:sz w:val="24"/>
        </w:rPr>
        <w:fldChar w:fldCharType="end"/>
      </w:r>
      <w:r>
        <w:rPr>
          <w:color w:val="auto"/>
          <w:sz w:val="24"/>
        </w:rPr>
        <w:fldChar w:fldCharType="end"/>
      </w:r>
    </w:p>
    <w:p w14:paraId="2777385C">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_Toc31829 </w:instrText>
      </w:r>
      <w:r>
        <w:rPr>
          <w:sz w:val="24"/>
        </w:rPr>
        <w:fldChar w:fldCharType="separate"/>
      </w:r>
      <w:r>
        <w:rPr>
          <w:rFonts w:hint="eastAsia"/>
          <w:sz w:val="24"/>
        </w:rPr>
        <w:t>2.</w:t>
      </w:r>
      <w:r>
        <w:rPr>
          <w:rFonts w:hint="eastAsia"/>
          <w:sz w:val="24"/>
          <w:lang w:val="en-US" w:eastAsia="zh-CN"/>
        </w:rPr>
        <w:t>5</w:t>
      </w:r>
      <w:r>
        <w:rPr>
          <w:rFonts w:hint="eastAsia"/>
          <w:sz w:val="24"/>
        </w:rPr>
        <w:t>.</w:t>
      </w:r>
      <w:r>
        <w:rPr>
          <w:rFonts w:hint="eastAsia"/>
          <w:sz w:val="24"/>
          <w:lang w:val="en-US" w:eastAsia="zh-CN"/>
        </w:rPr>
        <w:t>4 总平面布置</w:t>
      </w:r>
      <w:r>
        <w:rPr>
          <w:sz w:val="24"/>
        </w:rPr>
        <w:tab/>
      </w:r>
      <w:r>
        <w:rPr>
          <w:sz w:val="24"/>
        </w:rPr>
        <w:fldChar w:fldCharType="begin"/>
      </w:r>
      <w:r>
        <w:rPr>
          <w:sz w:val="24"/>
        </w:rPr>
        <w:instrText xml:space="preserve"> PAGEREF _Toc31829 \h </w:instrText>
      </w:r>
      <w:r>
        <w:rPr>
          <w:sz w:val="24"/>
        </w:rPr>
        <w:fldChar w:fldCharType="separate"/>
      </w:r>
      <w:r>
        <w:rPr>
          <w:sz w:val="24"/>
        </w:rPr>
        <w:t>26</w:t>
      </w:r>
      <w:r>
        <w:rPr>
          <w:sz w:val="24"/>
        </w:rPr>
        <w:fldChar w:fldCharType="end"/>
      </w:r>
      <w:r>
        <w:rPr>
          <w:color w:val="auto"/>
          <w:sz w:val="24"/>
        </w:rPr>
        <w:fldChar w:fldCharType="end"/>
      </w:r>
    </w:p>
    <w:p w14:paraId="37FA1F38">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_Toc31090 </w:instrText>
      </w:r>
      <w:r>
        <w:rPr>
          <w:sz w:val="24"/>
        </w:rPr>
        <w:fldChar w:fldCharType="separate"/>
      </w:r>
      <w:r>
        <w:rPr>
          <w:rFonts w:hint="eastAsia"/>
          <w:sz w:val="24"/>
        </w:rPr>
        <w:t>2.</w:t>
      </w:r>
      <w:r>
        <w:rPr>
          <w:rFonts w:hint="eastAsia"/>
          <w:sz w:val="24"/>
          <w:lang w:val="en-US" w:eastAsia="zh-CN"/>
        </w:rPr>
        <w:t>5</w:t>
      </w:r>
      <w:r>
        <w:rPr>
          <w:rFonts w:hint="eastAsia"/>
          <w:sz w:val="24"/>
        </w:rPr>
        <w:t>.</w:t>
      </w:r>
      <w:r>
        <w:rPr>
          <w:rFonts w:hint="eastAsia"/>
          <w:sz w:val="24"/>
          <w:lang w:val="en-US" w:eastAsia="zh-CN"/>
        </w:rPr>
        <w:t xml:space="preserve">5 </w:t>
      </w:r>
      <w:r>
        <w:rPr>
          <w:rFonts w:hint="eastAsia"/>
          <w:sz w:val="24"/>
        </w:rPr>
        <w:t>辅助设施</w:t>
      </w:r>
      <w:r>
        <w:rPr>
          <w:sz w:val="24"/>
        </w:rPr>
        <w:tab/>
      </w:r>
      <w:r>
        <w:rPr>
          <w:sz w:val="24"/>
        </w:rPr>
        <w:fldChar w:fldCharType="begin"/>
      </w:r>
      <w:r>
        <w:rPr>
          <w:sz w:val="24"/>
        </w:rPr>
        <w:instrText xml:space="preserve"> PAGEREF _Toc31090 \h </w:instrText>
      </w:r>
      <w:r>
        <w:rPr>
          <w:sz w:val="24"/>
        </w:rPr>
        <w:fldChar w:fldCharType="separate"/>
      </w:r>
      <w:r>
        <w:rPr>
          <w:sz w:val="24"/>
        </w:rPr>
        <w:t>27</w:t>
      </w:r>
      <w:r>
        <w:rPr>
          <w:sz w:val="24"/>
        </w:rPr>
        <w:fldChar w:fldCharType="end"/>
      </w:r>
      <w:r>
        <w:rPr>
          <w:color w:val="auto"/>
          <w:sz w:val="24"/>
        </w:rPr>
        <w:fldChar w:fldCharType="end"/>
      </w:r>
    </w:p>
    <w:p w14:paraId="4FCA8AD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_Toc22032 </w:instrText>
      </w:r>
      <w:r>
        <w:rPr>
          <w:sz w:val="24"/>
        </w:rPr>
        <w:fldChar w:fldCharType="separate"/>
      </w:r>
      <w:r>
        <w:rPr>
          <w:rFonts w:hint="eastAsia"/>
          <w:sz w:val="24"/>
        </w:rPr>
        <w:t>2.</w:t>
      </w:r>
      <w:r>
        <w:rPr>
          <w:rFonts w:hint="eastAsia"/>
          <w:sz w:val="24"/>
          <w:lang w:val="en-US" w:eastAsia="zh-CN"/>
        </w:rPr>
        <w:t>5</w:t>
      </w:r>
      <w:r>
        <w:rPr>
          <w:rFonts w:hint="eastAsia"/>
          <w:sz w:val="24"/>
        </w:rPr>
        <w:t>.</w:t>
      </w:r>
      <w:r>
        <w:rPr>
          <w:rFonts w:hint="eastAsia"/>
          <w:sz w:val="24"/>
          <w:lang w:val="en-US" w:eastAsia="zh-CN"/>
        </w:rPr>
        <w:t xml:space="preserve">6 </w:t>
      </w:r>
      <w:r>
        <w:rPr>
          <w:rFonts w:hint="eastAsia"/>
          <w:sz w:val="24"/>
        </w:rPr>
        <w:t>尾矿设施</w:t>
      </w:r>
      <w:r>
        <w:rPr>
          <w:sz w:val="24"/>
        </w:rPr>
        <w:tab/>
      </w:r>
      <w:r>
        <w:rPr>
          <w:sz w:val="24"/>
        </w:rPr>
        <w:fldChar w:fldCharType="begin"/>
      </w:r>
      <w:r>
        <w:rPr>
          <w:sz w:val="24"/>
        </w:rPr>
        <w:instrText xml:space="preserve"> PAGEREF _Toc22032 \h </w:instrText>
      </w:r>
      <w:r>
        <w:rPr>
          <w:sz w:val="24"/>
        </w:rPr>
        <w:fldChar w:fldCharType="separate"/>
      </w:r>
      <w:r>
        <w:rPr>
          <w:sz w:val="24"/>
        </w:rPr>
        <w:t>28</w:t>
      </w:r>
      <w:r>
        <w:rPr>
          <w:sz w:val="24"/>
        </w:rPr>
        <w:fldChar w:fldCharType="end"/>
      </w:r>
      <w:r>
        <w:rPr>
          <w:color w:val="auto"/>
          <w:sz w:val="24"/>
        </w:rPr>
        <w:fldChar w:fldCharType="end"/>
      </w:r>
    </w:p>
    <w:p w14:paraId="539A029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_Toc13254 </w:instrText>
      </w:r>
      <w:r>
        <w:rPr>
          <w:sz w:val="24"/>
        </w:rPr>
        <w:fldChar w:fldCharType="separate"/>
      </w:r>
      <w:r>
        <w:rPr>
          <w:rFonts w:hint="eastAsia"/>
          <w:sz w:val="24"/>
        </w:rPr>
        <w:t>2.</w:t>
      </w:r>
      <w:r>
        <w:rPr>
          <w:rFonts w:hint="eastAsia"/>
          <w:sz w:val="24"/>
          <w:lang w:val="en-US" w:eastAsia="zh-CN"/>
        </w:rPr>
        <w:t>5</w:t>
      </w:r>
      <w:r>
        <w:rPr>
          <w:rFonts w:hint="eastAsia"/>
          <w:sz w:val="24"/>
        </w:rPr>
        <w:t>.</w:t>
      </w:r>
      <w:r>
        <w:rPr>
          <w:rFonts w:hint="eastAsia"/>
          <w:sz w:val="24"/>
          <w:lang w:val="en-US" w:eastAsia="zh-CN"/>
        </w:rPr>
        <w:t xml:space="preserve">7 </w:t>
      </w:r>
      <w:r>
        <w:rPr>
          <w:rFonts w:hint="eastAsia"/>
          <w:sz w:val="24"/>
        </w:rPr>
        <w:t>配套工程</w:t>
      </w:r>
      <w:r>
        <w:rPr>
          <w:sz w:val="24"/>
        </w:rPr>
        <w:tab/>
      </w:r>
      <w:r>
        <w:rPr>
          <w:sz w:val="24"/>
        </w:rPr>
        <w:fldChar w:fldCharType="begin"/>
      </w:r>
      <w:r>
        <w:rPr>
          <w:sz w:val="24"/>
        </w:rPr>
        <w:instrText xml:space="preserve"> PAGEREF _Toc13254 \h </w:instrText>
      </w:r>
      <w:r>
        <w:rPr>
          <w:sz w:val="24"/>
        </w:rPr>
        <w:fldChar w:fldCharType="separate"/>
      </w:r>
      <w:r>
        <w:rPr>
          <w:sz w:val="24"/>
        </w:rPr>
        <w:t>28</w:t>
      </w:r>
      <w:r>
        <w:rPr>
          <w:sz w:val="24"/>
        </w:rPr>
        <w:fldChar w:fldCharType="end"/>
      </w:r>
      <w:r>
        <w:rPr>
          <w:color w:val="auto"/>
          <w:sz w:val="24"/>
        </w:rPr>
        <w:fldChar w:fldCharType="end"/>
      </w:r>
    </w:p>
    <w:p w14:paraId="2A46EC5B">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_Toc12708 </w:instrText>
      </w:r>
      <w:r>
        <w:rPr>
          <w:sz w:val="24"/>
        </w:rPr>
        <w:fldChar w:fldCharType="separate"/>
      </w:r>
      <w:r>
        <w:rPr>
          <w:rFonts w:hint="eastAsia"/>
          <w:sz w:val="24"/>
          <w:lang w:val="en-US" w:eastAsia="zh-CN"/>
        </w:rPr>
        <w:t>2.5.8 通风、除尘</w:t>
      </w:r>
      <w:r>
        <w:rPr>
          <w:sz w:val="24"/>
        </w:rPr>
        <w:tab/>
      </w:r>
      <w:r>
        <w:rPr>
          <w:sz w:val="24"/>
        </w:rPr>
        <w:fldChar w:fldCharType="begin"/>
      </w:r>
      <w:r>
        <w:rPr>
          <w:sz w:val="24"/>
        </w:rPr>
        <w:instrText xml:space="preserve"> PAGEREF _Toc12708 \h </w:instrText>
      </w:r>
      <w:r>
        <w:rPr>
          <w:sz w:val="24"/>
        </w:rPr>
        <w:fldChar w:fldCharType="separate"/>
      </w:r>
      <w:r>
        <w:rPr>
          <w:sz w:val="24"/>
        </w:rPr>
        <w:t>32</w:t>
      </w:r>
      <w:r>
        <w:rPr>
          <w:sz w:val="24"/>
        </w:rPr>
        <w:fldChar w:fldCharType="end"/>
      </w:r>
      <w:r>
        <w:rPr>
          <w:color w:val="auto"/>
          <w:sz w:val="24"/>
        </w:rPr>
        <w:fldChar w:fldCharType="end"/>
      </w:r>
    </w:p>
    <w:p w14:paraId="66DDE20E">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_Toc24064 </w:instrText>
      </w:r>
      <w:r>
        <w:rPr>
          <w:sz w:val="24"/>
        </w:rPr>
        <w:fldChar w:fldCharType="separate"/>
      </w:r>
      <w:r>
        <w:rPr>
          <w:rFonts w:hint="eastAsia"/>
          <w:sz w:val="24"/>
          <w:lang w:val="en-US" w:eastAsia="zh-CN"/>
        </w:rPr>
        <w:t>2.5.9 新水池、回水池、事故池</w:t>
      </w:r>
      <w:r>
        <w:rPr>
          <w:sz w:val="24"/>
        </w:rPr>
        <w:tab/>
      </w:r>
      <w:r>
        <w:rPr>
          <w:sz w:val="24"/>
        </w:rPr>
        <w:fldChar w:fldCharType="begin"/>
      </w:r>
      <w:r>
        <w:rPr>
          <w:sz w:val="24"/>
        </w:rPr>
        <w:instrText xml:space="preserve"> PAGEREF _Toc24064 \h </w:instrText>
      </w:r>
      <w:r>
        <w:rPr>
          <w:sz w:val="24"/>
        </w:rPr>
        <w:fldChar w:fldCharType="separate"/>
      </w:r>
      <w:r>
        <w:rPr>
          <w:sz w:val="24"/>
        </w:rPr>
        <w:t>32</w:t>
      </w:r>
      <w:r>
        <w:rPr>
          <w:sz w:val="24"/>
        </w:rPr>
        <w:fldChar w:fldCharType="end"/>
      </w:r>
      <w:r>
        <w:rPr>
          <w:color w:val="auto"/>
          <w:sz w:val="24"/>
        </w:rPr>
        <w:fldChar w:fldCharType="end"/>
      </w:r>
    </w:p>
    <w:p w14:paraId="641E720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_Toc26170 </w:instrText>
      </w:r>
      <w:r>
        <w:rPr>
          <w:sz w:val="24"/>
        </w:rPr>
        <w:fldChar w:fldCharType="separate"/>
      </w:r>
      <w:r>
        <w:rPr>
          <w:rFonts w:hint="eastAsia"/>
          <w:sz w:val="24"/>
          <w:lang w:val="en-US" w:eastAsia="zh-CN"/>
        </w:rPr>
        <w:t>2.5.10 消防</w:t>
      </w:r>
      <w:r>
        <w:rPr>
          <w:sz w:val="24"/>
        </w:rPr>
        <w:tab/>
      </w:r>
      <w:r>
        <w:rPr>
          <w:sz w:val="24"/>
        </w:rPr>
        <w:fldChar w:fldCharType="begin"/>
      </w:r>
      <w:r>
        <w:rPr>
          <w:sz w:val="24"/>
        </w:rPr>
        <w:instrText xml:space="preserve"> PAGEREF _Toc26170 \h </w:instrText>
      </w:r>
      <w:r>
        <w:rPr>
          <w:sz w:val="24"/>
        </w:rPr>
        <w:fldChar w:fldCharType="separate"/>
      </w:r>
      <w:r>
        <w:rPr>
          <w:sz w:val="24"/>
        </w:rPr>
        <w:t>33</w:t>
      </w:r>
      <w:r>
        <w:rPr>
          <w:sz w:val="24"/>
        </w:rPr>
        <w:fldChar w:fldCharType="end"/>
      </w:r>
      <w:r>
        <w:rPr>
          <w:color w:val="auto"/>
          <w:sz w:val="24"/>
        </w:rPr>
        <w:fldChar w:fldCharType="end"/>
      </w:r>
    </w:p>
    <w:p w14:paraId="4357EB1C">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_Toc26641 </w:instrText>
      </w:r>
      <w:r>
        <w:rPr>
          <w:sz w:val="24"/>
        </w:rPr>
        <w:fldChar w:fldCharType="separate"/>
      </w:r>
      <w:r>
        <w:rPr>
          <w:rFonts w:hint="eastAsia"/>
          <w:sz w:val="24"/>
        </w:rPr>
        <w:t>2.</w:t>
      </w:r>
      <w:r>
        <w:rPr>
          <w:rFonts w:hint="eastAsia"/>
          <w:sz w:val="24"/>
          <w:lang w:val="en-US" w:eastAsia="zh-CN"/>
        </w:rPr>
        <w:t>5</w:t>
      </w:r>
      <w:r>
        <w:rPr>
          <w:rFonts w:hint="eastAsia"/>
          <w:sz w:val="24"/>
        </w:rPr>
        <w:t>.</w:t>
      </w:r>
      <w:r>
        <w:rPr>
          <w:rFonts w:hint="eastAsia"/>
          <w:sz w:val="24"/>
          <w:lang w:val="en-US" w:eastAsia="zh-CN"/>
        </w:rPr>
        <w:t xml:space="preserve">11 </w:t>
      </w:r>
      <w:r>
        <w:rPr>
          <w:rFonts w:hint="eastAsia"/>
          <w:sz w:val="24"/>
        </w:rPr>
        <w:t>通讯</w:t>
      </w:r>
      <w:r>
        <w:rPr>
          <w:sz w:val="24"/>
        </w:rPr>
        <w:tab/>
      </w:r>
      <w:r>
        <w:rPr>
          <w:sz w:val="24"/>
        </w:rPr>
        <w:fldChar w:fldCharType="begin"/>
      </w:r>
      <w:r>
        <w:rPr>
          <w:sz w:val="24"/>
        </w:rPr>
        <w:instrText xml:space="preserve"> PAGEREF _Toc26641 \h </w:instrText>
      </w:r>
      <w:r>
        <w:rPr>
          <w:sz w:val="24"/>
        </w:rPr>
        <w:fldChar w:fldCharType="separate"/>
      </w:r>
      <w:r>
        <w:rPr>
          <w:sz w:val="24"/>
        </w:rPr>
        <w:t>35</w:t>
      </w:r>
      <w:r>
        <w:rPr>
          <w:sz w:val="24"/>
        </w:rPr>
        <w:fldChar w:fldCharType="end"/>
      </w:r>
      <w:r>
        <w:rPr>
          <w:color w:val="auto"/>
          <w:sz w:val="24"/>
        </w:rPr>
        <w:fldChar w:fldCharType="end"/>
      </w:r>
    </w:p>
    <w:p w14:paraId="18CFF31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_Toc2983 </w:instrText>
      </w:r>
      <w:r>
        <w:rPr>
          <w:sz w:val="24"/>
        </w:rPr>
        <w:fldChar w:fldCharType="separate"/>
      </w:r>
      <w:r>
        <w:rPr>
          <w:rFonts w:hint="eastAsia"/>
          <w:sz w:val="24"/>
        </w:rPr>
        <w:t>2.</w:t>
      </w:r>
      <w:r>
        <w:rPr>
          <w:rFonts w:hint="eastAsia"/>
          <w:sz w:val="24"/>
          <w:lang w:val="en-US" w:eastAsia="zh-CN"/>
        </w:rPr>
        <w:t>5</w:t>
      </w:r>
      <w:r>
        <w:rPr>
          <w:rFonts w:hint="eastAsia"/>
          <w:sz w:val="24"/>
        </w:rPr>
        <w:t>.</w:t>
      </w:r>
      <w:r>
        <w:rPr>
          <w:rFonts w:hint="eastAsia"/>
          <w:sz w:val="24"/>
          <w:lang w:val="en-US" w:eastAsia="zh-CN"/>
        </w:rPr>
        <w:t xml:space="preserve">12 </w:t>
      </w:r>
      <w:r>
        <w:rPr>
          <w:rFonts w:hint="eastAsia"/>
          <w:sz w:val="24"/>
        </w:rPr>
        <w:t>劳动定员</w:t>
      </w:r>
      <w:r>
        <w:rPr>
          <w:sz w:val="24"/>
        </w:rPr>
        <w:tab/>
      </w:r>
      <w:r>
        <w:rPr>
          <w:sz w:val="24"/>
        </w:rPr>
        <w:fldChar w:fldCharType="begin"/>
      </w:r>
      <w:r>
        <w:rPr>
          <w:sz w:val="24"/>
        </w:rPr>
        <w:instrText xml:space="preserve"> PAGEREF _Toc2983 \h </w:instrText>
      </w:r>
      <w:r>
        <w:rPr>
          <w:sz w:val="24"/>
        </w:rPr>
        <w:fldChar w:fldCharType="separate"/>
      </w:r>
      <w:r>
        <w:rPr>
          <w:sz w:val="24"/>
        </w:rPr>
        <w:t>35</w:t>
      </w:r>
      <w:r>
        <w:rPr>
          <w:sz w:val="24"/>
        </w:rPr>
        <w:fldChar w:fldCharType="end"/>
      </w:r>
      <w:r>
        <w:rPr>
          <w:color w:val="auto"/>
          <w:sz w:val="24"/>
        </w:rPr>
        <w:fldChar w:fldCharType="end"/>
      </w:r>
    </w:p>
    <w:p w14:paraId="142E3FB5">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_Toc31617 </w:instrText>
      </w:r>
      <w:r>
        <w:rPr>
          <w:sz w:val="24"/>
        </w:rPr>
        <w:fldChar w:fldCharType="separate"/>
      </w:r>
      <w:r>
        <w:rPr>
          <w:rFonts w:hint="eastAsia"/>
          <w:sz w:val="24"/>
          <w:lang w:val="en-US" w:eastAsia="zh-CN"/>
        </w:rPr>
        <w:t>2.6 安全管理</w:t>
      </w:r>
      <w:r>
        <w:rPr>
          <w:sz w:val="24"/>
        </w:rPr>
        <w:tab/>
      </w:r>
      <w:r>
        <w:rPr>
          <w:sz w:val="24"/>
        </w:rPr>
        <w:fldChar w:fldCharType="begin"/>
      </w:r>
      <w:r>
        <w:rPr>
          <w:sz w:val="24"/>
        </w:rPr>
        <w:instrText xml:space="preserve"> PAGEREF _Toc31617 \h </w:instrText>
      </w:r>
      <w:r>
        <w:rPr>
          <w:sz w:val="24"/>
        </w:rPr>
        <w:fldChar w:fldCharType="separate"/>
      </w:r>
      <w:r>
        <w:rPr>
          <w:sz w:val="24"/>
        </w:rPr>
        <w:t>36</w:t>
      </w:r>
      <w:r>
        <w:rPr>
          <w:sz w:val="24"/>
        </w:rPr>
        <w:fldChar w:fldCharType="end"/>
      </w:r>
      <w:r>
        <w:rPr>
          <w:color w:val="auto"/>
          <w:sz w:val="24"/>
        </w:rPr>
        <w:fldChar w:fldCharType="end"/>
      </w:r>
    </w:p>
    <w:p w14:paraId="1F5BA987">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_Toc23126 </w:instrText>
      </w:r>
      <w:r>
        <w:rPr>
          <w:sz w:val="24"/>
        </w:rPr>
        <w:fldChar w:fldCharType="separate"/>
      </w:r>
      <w:r>
        <w:rPr>
          <w:rFonts w:hint="eastAsia"/>
          <w:sz w:val="24"/>
        </w:rPr>
        <w:t>2.</w:t>
      </w:r>
      <w:r>
        <w:rPr>
          <w:rFonts w:hint="eastAsia"/>
          <w:sz w:val="24"/>
          <w:lang w:val="en-US" w:eastAsia="zh-CN"/>
        </w:rPr>
        <w:t>6.1</w:t>
      </w:r>
      <w:r>
        <w:rPr>
          <w:rFonts w:hint="eastAsia"/>
          <w:sz w:val="24"/>
        </w:rPr>
        <w:t xml:space="preserve"> 安全生产管理机构</w:t>
      </w:r>
      <w:r>
        <w:rPr>
          <w:sz w:val="24"/>
        </w:rPr>
        <w:tab/>
      </w:r>
      <w:r>
        <w:rPr>
          <w:sz w:val="24"/>
        </w:rPr>
        <w:fldChar w:fldCharType="begin"/>
      </w:r>
      <w:r>
        <w:rPr>
          <w:sz w:val="24"/>
        </w:rPr>
        <w:instrText xml:space="preserve"> PAGEREF _Toc23126 \h </w:instrText>
      </w:r>
      <w:r>
        <w:rPr>
          <w:sz w:val="24"/>
        </w:rPr>
        <w:fldChar w:fldCharType="separate"/>
      </w:r>
      <w:r>
        <w:rPr>
          <w:sz w:val="24"/>
        </w:rPr>
        <w:t>36</w:t>
      </w:r>
      <w:r>
        <w:rPr>
          <w:sz w:val="24"/>
        </w:rPr>
        <w:fldChar w:fldCharType="end"/>
      </w:r>
      <w:r>
        <w:rPr>
          <w:color w:val="auto"/>
          <w:sz w:val="24"/>
        </w:rPr>
        <w:fldChar w:fldCharType="end"/>
      </w:r>
    </w:p>
    <w:p w14:paraId="3B3B0BC9">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_Toc14365 </w:instrText>
      </w:r>
      <w:r>
        <w:rPr>
          <w:sz w:val="24"/>
        </w:rPr>
        <w:fldChar w:fldCharType="separate"/>
      </w:r>
      <w:r>
        <w:rPr>
          <w:rFonts w:hint="eastAsia"/>
          <w:sz w:val="24"/>
        </w:rPr>
        <w:t>2.</w:t>
      </w:r>
      <w:r>
        <w:rPr>
          <w:rFonts w:hint="eastAsia"/>
          <w:sz w:val="24"/>
          <w:lang w:val="en-US" w:eastAsia="zh-CN"/>
        </w:rPr>
        <w:t xml:space="preserve">6.2 </w:t>
      </w:r>
      <w:r>
        <w:rPr>
          <w:rFonts w:hint="eastAsia"/>
          <w:sz w:val="24"/>
        </w:rPr>
        <w:t>安全教育培训及人员持证情况</w:t>
      </w:r>
      <w:r>
        <w:rPr>
          <w:sz w:val="24"/>
        </w:rPr>
        <w:tab/>
      </w:r>
      <w:r>
        <w:rPr>
          <w:sz w:val="24"/>
        </w:rPr>
        <w:fldChar w:fldCharType="begin"/>
      </w:r>
      <w:r>
        <w:rPr>
          <w:sz w:val="24"/>
        </w:rPr>
        <w:instrText xml:space="preserve"> PAGEREF _Toc14365 \h </w:instrText>
      </w:r>
      <w:r>
        <w:rPr>
          <w:sz w:val="24"/>
        </w:rPr>
        <w:fldChar w:fldCharType="separate"/>
      </w:r>
      <w:r>
        <w:rPr>
          <w:sz w:val="24"/>
        </w:rPr>
        <w:t>36</w:t>
      </w:r>
      <w:r>
        <w:rPr>
          <w:sz w:val="24"/>
        </w:rPr>
        <w:fldChar w:fldCharType="end"/>
      </w:r>
      <w:r>
        <w:rPr>
          <w:color w:val="auto"/>
          <w:sz w:val="24"/>
        </w:rPr>
        <w:fldChar w:fldCharType="end"/>
      </w:r>
    </w:p>
    <w:p w14:paraId="2CA8AAAE">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_Toc24480 </w:instrText>
      </w:r>
      <w:r>
        <w:rPr>
          <w:sz w:val="24"/>
        </w:rPr>
        <w:fldChar w:fldCharType="separate"/>
      </w:r>
      <w:r>
        <w:rPr>
          <w:rFonts w:hint="eastAsia"/>
          <w:sz w:val="24"/>
        </w:rPr>
        <w:t>2.</w:t>
      </w:r>
      <w:r>
        <w:rPr>
          <w:rFonts w:hint="eastAsia"/>
          <w:sz w:val="24"/>
          <w:lang w:val="en-US" w:eastAsia="zh-CN"/>
        </w:rPr>
        <w:t>6</w:t>
      </w:r>
      <w:r>
        <w:rPr>
          <w:rFonts w:hint="eastAsia"/>
          <w:sz w:val="24"/>
        </w:rPr>
        <w:t>.3</w:t>
      </w:r>
      <w:r>
        <w:rPr>
          <w:rFonts w:hint="eastAsia"/>
          <w:sz w:val="24"/>
          <w:lang w:val="en-US" w:eastAsia="zh-CN"/>
        </w:rPr>
        <w:t xml:space="preserve"> </w:t>
      </w:r>
      <w:r>
        <w:rPr>
          <w:rFonts w:hint="eastAsia"/>
          <w:sz w:val="24"/>
        </w:rPr>
        <w:t>安全生产责任制、安全管理制度及安全操作规程</w:t>
      </w:r>
      <w:r>
        <w:rPr>
          <w:sz w:val="24"/>
        </w:rPr>
        <w:tab/>
      </w:r>
      <w:r>
        <w:rPr>
          <w:sz w:val="24"/>
        </w:rPr>
        <w:fldChar w:fldCharType="begin"/>
      </w:r>
      <w:r>
        <w:rPr>
          <w:sz w:val="24"/>
        </w:rPr>
        <w:instrText xml:space="preserve"> PAGEREF _Toc24480 \h </w:instrText>
      </w:r>
      <w:r>
        <w:rPr>
          <w:sz w:val="24"/>
        </w:rPr>
        <w:fldChar w:fldCharType="separate"/>
      </w:r>
      <w:r>
        <w:rPr>
          <w:sz w:val="24"/>
        </w:rPr>
        <w:t>37</w:t>
      </w:r>
      <w:r>
        <w:rPr>
          <w:sz w:val="24"/>
        </w:rPr>
        <w:fldChar w:fldCharType="end"/>
      </w:r>
      <w:r>
        <w:rPr>
          <w:color w:val="auto"/>
          <w:sz w:val="24"/>
        </w:rPr>
        <w:fldChar w:fldCharType="end"/>
      </w:r>
    </w:p>
    <w:p w14:paraId="5BE9AEAA">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_Toc22402 </w:instrText>
      </w:r>
      <w:r>
        <w:rPr>
          <w:sz w:val="24"/>
        </w:rPr>
        <w:fldChar w:fldCharType="separate"/>
      </w:r>
      <w:r>
        <w:rPr>
          <w:rFonts w:hint="eastAsia"/>
          <w:sz w:val="24"/>
        </w:rPr>
        <w:t>2.</w:t>
      </w:r>
      <w:r>
        <w:rPr>
          <w:rFonts w:hint="eastAsia"/>
          <w:sz w:val="24"/>
          <w:lang w:val="en-US" w:eastAsia="zh-CN"/>
        </w:rPr>
        <w:t>6</w:t>
      </w:r>
      <w:r>
        <w:rPr>
          <w:rFonts w:hint="eastAsia"/>
          <w:sz w:val="24"/>
        </w:rPr>
        <w:t>.</w:t>
      </w:r>
      <w:r>
        <w:rPr>
          <w:rFonts w:hint="eastAsia"/>
          <w:sz w:val="24"/>
          <w:lang w:val="en-US" w:eastAsia="zh-CN"/>
        </w:rPr>
        <w:t xml:space="preserve">4 </w:t>
      </w:r>
      <w:r>
        <w:rPr>
          <w:rFonts w:hint="eastAsia"/>
          <w:sz w:val="24"/>
        </w:rPr>
        <w:t>应急管理</w:t>
      </w:r>
      <w:r>
        <w:rPr>
          <w:sz w:val="24"/>
        </w:rPr>
        <w:tab/>
      </w:r>
      <w:r>
        <w:rPr>
          <w:sz w:val="24"/>
        </w:rPr>
        <w:fldChar w:fldCharType="begin"/>
      </w:r>
      <w:r>
        <w:rPr>
          <w:sz w:val="24"/>
        </w:rPr>
        <w:instrText xml:space="preserve"> PAGEREF _Toc22402 \h </w:instrText>
      </w:r>
      <w:r>
        <w:rPr>
          <w:sz w:val="24"/>
        </w:rPr>
        <w:fldChar w:fldCharType="separate"/>
      </w:r>
      <w:r>
        <w:rPr>
          <w:sz w:val="24"/>
        </w:rPr>
        <w:t>37</w:t>
      </w:r>
      <w:r>
        <w:rPr>
          <w:sz w:val="24"/>
        </w:rPr>
        <w:fldChar w:fldCharType="end"/>
      </w:r>
      <w:r>
        <w:rPr>
          <w:color w:val="auto"/>
          <w:sz w:val="24"/>
        </w:rPr>
        <w:fldChar w:fldCharType="end"/>
      </w:r>
    </w:p>
    <w:p w14:paraId="73813EC3">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_Toc20944 </w:instrText>
      </w:r>
      <w:r>
        <w:rPr>
          <w:sz w:val="24"/>
        </w:rPr>
        <w:fldChar w:fldCharType="separate"/>
      </w:r>
      <w:r>
        <w:rPr>
          <w:rFonts w:hint="eastAsia"/>
          <w:sz w:val="24"/>
        </w:rPr>
        <w:t>2.</w:t>
      </w:r>
      <w:r>
        <w:rPr>
          <w:rFonts w:hint="eastAsia"/>
          <w:sz w:val="24"/>
          <w:lang w:val="en-US" w:eastAsia="zh-CN"/>
        </w:rPr>
        <w:t>6</w:t>
      </w:r>
      <w:r>
        <w:rPr>
          <w:rFonts w:hint="eastAsia"/>
          <w:sz w:val="24"/>
        </w:rPr>
        <w:t>.</w:t>
      </w:r>
      <w:r>
        <w:rPr>
          <w:rFonts w:hint="eastAsia"/>
          <w:sz w:val="24"/>
          <w:lang w:val="en-US" w:eastAsia="zh-CN"/>
        </w:rPr>
        <w:t xml:space="preserve">5 </w:t>
      </w:r>
      <w:r>
        <w:rPr>
          <w:rFonts w:hint="eastAsia"/>
          <w:sz w:val="24"/>
        </w:rPr>
        <w:t>保险</w:t>
      </w:r>
      <w:r>
        <w:rPr>
          <w:sz w:val="24"/>
        </w:rPr>
        <w:tab/>
      </w:r>
      <w:r>
        <w:rPr>
          <w:sz w:val="24"/>
        </w:rPr>
        <w:fldChar w:fldCharType="begin"/>
      </w:r>
      <w:r>
        <w:rPr>
          <w:sz w:val="24"/>
        </w:rPr>
        <w:instrText xml:space="preserve"> PAGEREF _Toc20944 \h </w:instrText>
      </w:r>
      <w:r>
        <w:rPr>
          <w:sz w:val="24"/>
        </w:rPr>
        <w:fldChar w:fldCharType="separate"/>
      </w:r>
      <w:r>
        <w:rPr>
          <w:sz w:val="24"/>
        </w:rPr>
        <w:t>37</w:t>
      </w:r>
      <w:r>
        <w:rPr>
          <w:sz w:val="24"/>
        </w:rPr>
        <w:fldChar w:fldCharType="end"/>
      </w:r>
      <w:r>
        <w:rPr>
          <w:color w:val="auto"/>
          <w:sz w:val="24"/>
        </w:rPr>
        <w:fldChar w:fldCharType="end"/>
      </w:r>
    </w:p>
    <w:p w14:paraId="3CDCC056">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_Toc30076 </w:instrText>
      </w:r>
      <w:r>
        <w:rPr>
          <w:sz w:val="24"/>
        </w:rPr>
        <w:fldChar w:fldCharType="separate"/>
      </w:r>
      <w:r>
        <w:rPr>
          <w:rFonts w:hint="eastAsia"/>
          <w:sz w:val="24"/>
        </w:rPr>
        <w:t>2.</w:t>
      </w:r>
      <w:r>
        <w:rPr>
          <w:rFonts w:hint="eastAsia"/>
          <w:sz w:val="24"/>
          <w:lang w:val="en-US" w:eastAsia="zh-CN"/>
        </w:rPr>
        <w:t>6</w:t>
      </w:r>
      <w:r>
        <w:rPr>
          <w:rFonts w:hint="eastAsia"/>
          <w:sz w:val="24"/>
        </w:rPr>
        <w:t>.</w:t>
      </w:r>
      <w:r>
        <w:rPr>
          <w:rFonts w:hint="eastAsia"/>
          <w:sz w:val="24"/>
          <w:lang w:val="en-US" w:eastAsia="zh-CN"/>
        </w:rPr>
        <w:t xml:space="preserve">6 </w:t>
      </w:r>
      <w:r>
        <w:rPr>
          <w:rFonts w:hint="eastAsia"/>
          <w:sz w:val="24"/>
        </w:rPr>
        <w:t>劳保用品</w:t>
      </w:r>
      <w:r>
        <w:rPr>
          <w:sz w:val="24"/>
        </w:rPr>
        <w:tab/>
      </w:r>
      <w:r>
        <w:rPr>
          <w:sz w:val="24"/>
        </w:rPr>
        <w:fldChar w:fldCharType="begin"/>
      </w:r>
      <w:r>
        <w:rPr>
          <w:sz w:val="24"/>
        </w:rPr>
        <w:instrText xml:space="preserve"> PAGEREF _Toc30076 \h </w:instrText>
      </w:r>
      <w:r>
        <w:rPr>
          <w:sz w:val="24"/>
        </w:rPr>
        <w:fldChar w:fldCharType="separate"/>
      </w:r>
      <w:r>
        <w:rPr>
          <w:sz w:val="24"/>
        </w:rPr>
        <w:t>37</w:t>
      </w:r>
      <w:r>
        <w:rPr>
          <w:sz w:val="24"/>
        </w:rPr>
        <w:fldChar w:fldCharType="end"/>
      </w:r>
      <w:r>
        <w:rPr>
          <w:color w:val="auto"/>
          <w:sz w:val="24"/>
        </w:rPr>
        <w:fldChar w:fldCharType="end"/>
      </w:r>
    </w:p>
    <w:p w14:paraId="5FE68804">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_Toc26982 </w:instrText>
      </w:r>
      <w:r>
        <w:rPr>
          <w:sz w:val="24"/>
        </w:rPr>
        <w:fldChar w:fldCharType="separate"/>
      </w:r>
      <w:r>
        <w:rPr>
          <w:rFonts w:hint="eastAsia"/>
          <w:sz w:val="24"/>
        </w:rPr>
        <w:t>2.7 安全设施投入</w:t>
      </w:r>
      <w:r>
        <w:rPr>
          <w:sz w:val="24"/>
        </w:rPr>
        <w:tab/>
      </w:r>
      <w:r>
        <w:rPr>
          <w:sz w:val="24"/>
        </w:rPr>
        <w:fldChar w:fldCharType="begin"/>
      </w:r>
      <w:r>
        <w:rPr>
          <w:sz w:val="24"/>
        </w:rPr>
        <w:instrText xml:space="preserve"> PAGEREF _Toc26982 \h </w:instrText>
      </w:r>
      <w:r>
        <w:rPr>
          <w:sz w:val="24"/>
        </w:rPr>
        <w:fldChar w:fldCharType="separate"/>
      </w:r>
      <w:r>
        <w:rPr>
          <w:sz w:val="24"/>
        </w:rPr>
        <w:t>37</w:t>
      </w:r>
      <w:r>
        <w:rPr>
          <w:sz w:val="24"/>
        </w:rPr>
        <w:fldChar w:fldCharType="end"/>
      </w:r>
      <w:r>
        <w:rPr>
          <w:color w:val="auto"/>
          <w:sz w:val="24"/>
        </w:rPr>
        <w:fldChar w:fldCharType="end"/>
      </w:r>
    </w:p>
    <w:p w14:paraId="7FFBDB17">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_Toc27853 </w:instrText>
      </w:r>
      <w:r>
        <w:rPr>
          <w:sz w:val="24"/>
        </w:rPr>
        <w:fldChar w:fldCharType="separate"/>
      </w:r>
      <w:r>
        <w:rPr>
          <w:rFonts w:hint="eastAsia"/>
          <w:sz w:val="24"/>
        </w:rPr>
        <w:t>2.8 安全设施情况</w:t>
      </w:r>
      <w:r>
        <w:rPr>
          <w:sz w:val="24"/>
        </w:rPr>
        <w:tab/>
      </w:r>
      <w:r>
        <w:rPr>
          <w:sz w:val="24"/>
        </w:rPr>
        <w:fldChar w:fldCharType="begin"/>
      </w:r>
      <w:r>
        <w:rPr>
          <w:sz w:val="24"/>
        </w:rPr>
        <w:instrText xml:space="preserve"> PAGEREF _Toc27853 \h </w:instrText>
      </w:r>
      <w:r>
        <w:rPr>
          <w:sz w:val="24"/>
        </w:rPr>
        <w:fldChar w:fldCharType="separate"/>
      </w:r>
      <w:r>
        <w:rPr>
          <w:sz w:val="24"/>
        </w:rPr>
        <w:t>38</w:t>
      </w:r>
      <w:r>
        <w:rPr>
          <w:sz w:val="24"/>
        </w:rPr>
        <w:fldChar w:fldCharType="end"/>
      </w:r>
      <w:r>
        <w:rPr>
          <w:color w:val="auto"/>
          <w:sz w:val="24"/>
        </w:rPr>
        <w:fldChar w:fldCharType="end"/>
      </w:r>
    </w:p>
    <w:p w14:paraId="523EC2F2">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_Toc4440 </w:instrText>
      </w:r>
      <w:r>
        <w:rPr>
          <w:sz w:val="24"/>
        </w:rPr>
        <w:fldChar w:fldCharType="separate"/>
      </w:r>
      <w:r>
        <w:rPr>
          <w:rFonts w:hint="eastAsia"/>
          <w:sz w:val="24"/>
        </w:rPr>
        <w:t>2.9 施工及监理概况</w:t>
      </w:r>
      <w:r>
        <w:rPr>
          <w:sz w:val="24"/>
        </w:rPr>
        <w:tab/>
      </w:r>
      <w:r>
        <w:rPr>
          <w:sz w:val="24"/>
        </w:rPr>
        <w:fldChar w:fldCharType="begin"/>
      </w:r>
      <w:r>
        <w:rPr>
          <w:sz w:val="24"/>
        </w:rPr>
        <w:instrText xml:space="preserve"> PAGEREF _Toc4440 \h </w:instrText>
      </w:r>
      <w:r>
        <w:rPr>
          <w:sz w:val="24"/>
        </w:rPr>
        <w:fldChar w:fldCharType="separate"/>
      </w:r>
      <w:r>
        <w:rPr>
          <w:sz w:val="24"/>
        </w:rPr>
        <w:t>40</w:t>
      </w:r>
      <w:r>
        <w:rPr>
          <w:sz w:val="24"/>
        </w:rPr>
        <w:fldChar w:fldCharType="end"/>
      </w:r>
      <w:r>
        <w:rPr>
          <w:color w:val="auto"/>
          <w:sz w:val="24"/>
        </w:rPr>
        <w:fldChar w:fldCharType="end"/>
      </w:r>
    </w:p>
    <w:p w14:paraId="74130CEC">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_Toc29415 </w:instrText>
      </w:r>
      <w:r>
        <w:rPr>
          <w:sz w:val="24"/>
        </w:rPr>
        <w:fldChar w:fldCharType="separate"/>
      </w:r>
      <w:r>
        <w:rPr>
          <w:rFonts w:hint="eastAsia"/>
          <w:sz w:val="24"/>
        </w:rPr>
        <w:t>2.</w:t>
      </w:r>
      <w:r>
        <w:rPr>
          <w:rFonts w:hint="eastAsia"/>
          <w:sz w:val="24"/>
          <w:lang w:val="en-US" w:eastAsia="zh-CN"/>
        </w:rPr>
        <w:t>10</w:t>
      </w:r>
      <w:r>
        <w:rPr>
          <w:rFonts w:hint="eastAsia"/>
          <w:sz w:val="24"/>
        </w:rPr>
        <w:t xml:space="preserve"> 建设项目情况照片</w:t>
      </w:r>
      <w:r>
        <w:rPr>
          <w:sz w:val="24"/>
        </w:rPr>
        <w:tab/>
      </w:r>
      <w:r>
        <w:rPr>
          <w:sz w:val="24"/>
        </w:rPr>
        <w:fldChar w:fldCharType="begin"/>
      </w:r>
      <w:r>
        <w:rPr>
          <w:sz w:val="24"/>
        </w:rPr>
        <w:instrText xml:space="preserve"> PAGEREF _Toc29415 \h </w:instrText>
      </w:r>
      <w:r>
        <w:rPr>
          <w:sz w:val="24"/>
        </w:rPr>
        <w:fldChar w:fldCharType="separate"/>
      </w:r>
      <w:r>
        <w:rPr>
          <w:sz w:val="24"/>
        </w:rPr>
        <w:t>41</w:t>
      </w:r>
      <w:r>
        <w:rPr>
          <w:sz w:val="24"/>
        </w:rPr>
        <w:fldChar w:fldCharType="end"/>
      </w:r>
      <w:r>
        <w:rPr>
          <w:color w:val="auto"/>
          <w:sz w:val="24"/>
        </w:rPr>
        <w:fldChar w:fldCharType="end"/>
      </w:r>
    </w:p>
    <w:p w14:paraId="0C18D6DD">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_Toc3674 </w:instrText>
      </w:r>
      <w:r>
        <w:rPr>
          <w:sz w:val="24"/>
        </w:rPr>
        <w:fldChar w:fldCharType="separate"/>
      </w:r>
      <w:r>
        <w:rPr>
          <w:rFonts w:hint="eastAsia"/>
          <w:sz w:val="24"/>
        </w:rPr>
        <w:t>3 危险、有害因素辨识与分析</w:t>
      </w:r>
      <w:r>
        <w:rPr>
          <w:sz w:val="24"/>
        </w:rPr>
        <w:tab/>
      </w:r>
      <w:r>
        <w:rPr>
          <w:sz w:val="24"/>
        </w:rPr>
        <w:fldChar w:fldCharType="begin"/>
      </w:r>
      <w:r>
        <w:rPr>
          <w:sz w:val="24"/>
        </w:rPr>
        <w:instrText xml:space="preserve"> PAGEREF _Toc3674 \h </w:instrText>
      </w:r>
      <w:r>
        <w:rPr>
          <w:sz w:val="24"/>
        </w:rPr>
        <w:fldChar w:fldCharType="separate"/>
      </w:r>
      <w:r>
        <w:rPr>
          <w:sz w:val="24"/>
        </w:rPr>
        <w:t>50</w:t>
      </w:r>
      <w:r>
        <w:rPr>
          <w:sz w:val="24"/>
        </w:rPr>
        <w:fldChar w:fldCharType="end"/>
      </w:r>
      <w:r>
        <w:rPr>
          <w:color w:val="auto"/>
          <w:sz w:val="24"/>
        </w:rPr>
        <w:fldChar w:fldCharType="end"/>
      </w:r>
    </w:p>
    <w:p w14:paraId="2265B2B1">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_Toc12941 </w:instrText>
      </w:r>
      <w:r>
        <w:rPr>
          <w:sz w:val="24"/>
        </w:rPr>
        <w:fldChar w:fldCharType="separate"/>
      </w:r>
      <w:r>
        <w:rPr>
          <w:rFonts w:hint="eastAsia"/>
          <w:sz w:val="24"/>
        </w:rPr>
        <w:t>3.1 主要物料危险、有害因素、有害程度分析</w:t>
      </w:r>
      <w:r>
        <w:rPr>
          <w:sz w:val="24"/>
        </w:rPr>
        <w:tab/>
      </w:r>
      <w:r>
        <w:rPr>
          <w:sz w:val="24"/>
        </w:rPr>
        <w:fldChar w:fldCharType="begin"/>
      </w:r>
      <w:r>
        <w:rPr>
          <w:sz w:val="24"/>
        </w:rPr>
        <w:instrText xml:space="preserve"> PAGEREF _Toc12941 \h </w:instrText>
      </w:r>
      <w:r>
        <w:rPr>
          <w:sz w:val="24"/>
        </w:rPr>
        <w:fldChar w:fldCharType="separate"/>
      </w:r>
      <w:r>
        <w:rPr>
          <w:sz w:val="24"/>
        </w:rPr>
        <w:t>50</w:t>
      </w:r>
      <w:r>
        <w:rPr>
          <w:sz w:val="24"/>
        </w:rPr>
        <w:fldChar w:fldCharType="end"/>
      </w:r>
      <w:r>
        <w:rPr>
          <w:color w:val="auto"/>
          <w:sz w:val="24"/>
        </w:rPr>
        <w:fldChar w:fldCharType="end"/>
      </w:r>
    </w:p>
    <w:p w14:paraId="274A9FBC">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_Toc32125 </w:instrText>
      </w:r>
      <w:r>
        <w:rPr>
          <w:sz w:val="24"/>
        </w:rPr>
        <w:fldChar w:fldCharType="separate"/>
      </w:r>
      <w:r>
        <w:rPr>
          <w:rFonts w:hint="eastAsia"/>
          <w:sz w:val="24"/>
        </w:rPr>
        <w:t>3.1.1 危险化学品辨识</w:t>
      </w:r>
      <w:r>
        <w:rPr>
          <w:sz w:val="24"/>
        </w:rPr>
        <w:tab/>
      </w:r>
      <w:r>
        <w:rPr>
          <w:sz w:val="24"/>
        </w:rPr>
        <w:fldChar w:fldCharType="begin"/>
      </w:r>
      <w:r>
        <w:rPr>
          <w:sz w:val="24"/>
        </w:rPr>
        <w:instrText xml:space="preserve"> PAGEREF _Toc32125 \h </w:instrText>
      </w:r>
      <w:r>
        <w:rPr>
          <w:sz w:val="24"/>
        </w:rPr>
        <w:fldChar w:fldCharType="separate"/>
      </w:r>
      <w:r>
        <w:rPr>
          <w:sz w:val="24"/>
        </w:rPr>
        <w:t>50</w:t>
      </w:r>
      <w:r>
        <w:rPr>
          <w:sz w:val="24"/>
        </w:rPr>
        <w:fldChar w:fldCharType="end"/>
      </w:r>
      <w:r>
        <w:rPr>
          <w:color w:val="auto"/>
          <w:sz w:val="24"/>
        </w:rPr>
        <w:fldChar w:fldCharType="end"/>
      </w:r>
    </w:p>
    <w:p w14:paraId="0D3C390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_Toc25732 </w:instrText>
      </w:r>
      <w:r>
        <w:rPr>
          <w:sz w:val="24"/>
        </w:rPr>
        <w:fldChar w:fldCharType="separate"/>
      </w:r>
      <w:r>
        <w:rPr>
          <w:rFonts w:hint="eastAsia"/>
          <w:sz w:val="24"/>
        </w:rPr>
        <w:t>3.1.</w:t>
      </w:r>
      <w:r>
        <w:rPr>
          <w:rFonts w:hint="eastAsia"/>
          <w:sz w:val="24"/>
          <w:lang w:val="en-US" w:eastAsia="zh-CN"/>
        </w:rPr>
        <w:t xml:space="preserve">2 </w:t>
      </w:r>
      <w:r>
        <w:rPr>
          <w:rFonts w:hint="eastAsia"/>
          <w:sz w:val="24"/>
        </w:rPr>
        <w:t>危险、有害物质的主要危险特性</w:t>
      </w:r>
      <w:r>
        <w:rPr>
          <w:sz w:val="24"/>
        </w:rPr>
        <w:tab/>
      </w:r>
      <w:r>
        <w:rPr>
          <w:sz w:val="24"/>
        </w:rPr>
        <w:fldChar w:fldCharType="begin"/>
      </w:r>
      <w:r>
        <w:rPr>
          <w:sz w:val="24"/>
        </w:rPr>
        <w:instrText xml:space="preserve"> PAGEREF _Toc25732 \h </w:instrText>
      </w:r>
      <w:r>
        <w:rPr>
          <w:sz w:val="24"/>
        </w:rPr>
        <w:fldChar w:fldCharType="separate"/>
      </w:r>
      <w:r>
        <w:rPr>
          <w:sz w:val="24"/>
        </w:rPr>
        <w:t>51</w:t>
      </w:r>
      <w:r>
        <w:rPr>
          <w:sz w:val="24"/>
        </w:rPr>
        <w:fldChar w:fldCharType="end"/>
      </w:r>
      <w:r>
        <w:rPr>
          <w:color w:val="auto"/>
          <w:sz w:val="24"/>
        </w:rPr>
        <w:fldChar w:fldCharType="end"/>
      </w:r>
    </w:p>
    <w:p w14:paraId="2532CD68">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_Toc19613 </w:instrText>
      </w:r>
      <w:r>
        <w:rPr>
          <w:sz w:val="24"/>
        </w:rPr>
        <w:fldChar w:fldCharType="separate"/>
      </w:r>
      <w:r>
        <w:rPr>
          <w:rFonts w:hint="eastAsia"/>
          <w:sz w:val="24"/>
        </w:rPr>
        <w:t>3.2</w:t>
      </w:r>
      <w:r>
        <w:rPr>
          <w:rFonts w:hint="eastAsia"/>
          <w:sz w:val="24"/>
          <w:lang w:val="en-US" w:eastAsia="zh-CN"/>
        </w:rPr>
        <w:t xml:space="preserve"> </w:t>
      </w:r>
      <w:r>
        <w:rPr>
          <w:rFonts w:hint="eastAsia"/>
          <w:sz w:val="24"/>
        </w:rPr>
        <w:t>场区布置、自然环境及周边环境安全影响分析</w:t>
      </w:r>
      <w:r>
        <w:rPr>
          <w:sz w:val="24"/>
        </w:rPr>
        <w:tab/>
      </w:r>
      <w:r>
        <w:rPr>
          <w:sz w:val="24"/>
        </w:rPr>
        <w:fldChar w:fldCharType="begin"/>
      </w:r>
      <w:r>
        <w:rPr>
          <w:sz w:val="24"/>
        </w:rPr>
        <w:instrText xml:space="preserve"> PAGEREF _Toc19613 \h </w:instrText>
      </w:r>
      <w:r>
        <w:rPr>
          <w:sz w:val="24"/>
        </w:rPr>
        <w:fldChar w:fldCharType="separate"/>
      </w:r>
      <w:r>
        <w:rPr>
          <w:sz w:val="24"/>
        </w:rPr>
        <w:t>60</w:t>
      </w:r>
      <w:r>
        <w:rPr>
          <w:sz w:val="24"/>
        </w:rPr>
        <w:fldChar w:fldCharType="end"/>
      </w:r>
      <w:r>
        <w:rPr>
          <w:color w:val="auto"/>
          <w:sz w:val="24"/>
        </w:rPr>
        <w:fldChar w:fldCharType="end"/>
      </w:r>
    </w:p>
    <w:p w14:paraId="19F3CC9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_Toc7860 </w:instrText>
      </w:r>
      <w:r>
        <w:rPr>
          <w:sz w:val="24"/>
        </w:rPr>
        <w:fldChar w:fldCharType="separate"/>
      </w:r>
      <w:r>
        <w:rPr>
          <w:rFonts w:hint="eastAsia"/>
          <w:sz w:val="24"/>
        </w:rPr>
        <w:t>3.2.1</w:t>
      </w:r>
      <w:r>
        <w:rPr>
          <w:rFonts w:hint="eastAsia"/>
          <w:sz w:val="24"/>
          <w:lang w:val="en-US" w:eastAsia="zh-CN"/>
        </w:rPr>
        <w:t xml:space="preserve"> </w:t>
      </w:r>
      <w:r>
        <w:rPr>
          <w:rFonts w:hint="eastAsia"/>
          <w:sz w:val="24"/>
        </w:rPr>
        <w:t>建筑及场地危险有害因素及程度分析</w:t>
      </w:r>
      <w:r>
        <w:rPr>
          <w:sz w:val="24"/>
        </w:rPr>
        <w:tab/>
      </w:r>
      <w:r>
        <w:rPr>
          <w:sz w:val="24"/>
        </w:rPr>
        <w:fldChar w:fldCharType="begin"/>
      </w:r>
      <w:r>
        <w:rPr>
          <w:sz w:val="24"/>
        </w:rPr>
        <w:instrText xml:space="preserve"> PAGEREF _Toc7860 \h </w:instrText>
      </w:r>
      <w:r>
        <w:rPr>
          <w:sz w:val="24"/>
        </w:rPr>
        <w:fldChar w:fldCharType="separate"/>
      </w:r>
      <w:r>
        <w:rPr>
          <w:sz w:val="24"/>
        </w:rPr>
        <w:t>60</w:t>
      </w:r>
      <w:r>
        <w:rPr>
          <w:sz w:val="24"/>
        </w:rPr>
        <w:fldChar w:fldCharType="end"/>
      </w:r>
      <w:r>
        <w:rPr>
          <w:color w:val="auto"/>
          <w:sz w:val="24"/>
        </w:rPr>
        <w:fldChar w:fldCharType="end"/>
      </w:r>
    </w:p>
    <w:p w14:paraId="289DD6EB">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_Toc9085 </w:instrText>
      </w:r>
      <w:r>
        <w:rPr>
          <w:sz w:val="24"/>
        </w:rPr>
        <w:fldChar w:fldCharType="separate"/>
      </w:r>
      <w:r>
        <w:rPr>
          <w:rFonts w:hint="eastAsia"/>
          <w:sz w:val="24"/>
        </w:rPr>
        <w:t>3.2.2</w:t>
      </w:r>
      <w:r>
        <w:rPr>
          <w:rFonts w:hint="eastAsia"/>
          <w:sz w:val="24"/>
          <w:lang w:val="en-US" w:eastAsia="zh-CN"/>
        </w:rPr>
        <w:t xml:space="preserve"> </w:t>
      </w:r>
      <w:r>
        <w:rPr>
          <w:rFonts w:hint="eastAsia"/>
          <w:sz w:val="24"/>
        </w:rPr>
        <w:t>自然环境安全影响分析</w:t>
      </w:r>
      <w:r>
        <w:rPr>
          <w:sz w:val="24"/>
        </w:rPr>
        <w:tab/>
      </w:r>
      <w:r>
        <w:rPr>
          <w:sz w:val="24"/>
        </w:rPr>
        <w:fldChar w:fldCharType="begin"/>
      </w:r>
      <w:r>
        <w:rPr>
          <w:sz w:val="24"/>
        </w:rPr>
        <w:instrText xml:space="preserve"> PAGEREF _Toc9085 \h </w:instrText>
      </w:r>
      <w:r>
        <w:rPr>
          <w:sz w:val="24"/>
        </w:rPr>
        <w:fldChar w:fldCharType="separate"/>
      </w:r>
      <w:r>
        <w:rPr>
          <w:sz w:val="24"/>
        </w:rPr>
        <w:t>61</w:t>
      </w:r>
      <w:r>
        <w:rPr>
          <w:sz w:val="24"/>
        </w:rPr>
        <w:fldChar w:fldCharType="end"/>
      </w:r>
      <w:r>
        <w:rPr>
          <w:color w:val="auto"/>
          <w:sz w:val="24"/>
        </w:rPr>
        <w:fldChar w:fldCharType="end"/>
      </w:r>
    </w:p>
    <w:p w14:paraId="1F352921">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_Toc5481 </w:instrText>
      </w:r>
      <w:r>
        <w:rPr>
          <w:sz w:val="24"/>
        </w:rPr>
        <w:fldChar w:fldCharType="separate"/>
      </w:r>
      <w:r>
        <w:rPr>
          <w:rFonts w:hint="eastAsia"/>
          <w:sz w:val="24"/>
        </w:rPr>
        <w:t>3.2.3</w:t>
      </w:r>
      <w:r>
        <w:rPr>
          <w:rFonts w:hint="eastAsia"/>
          <w:sz w:val="24"/>
          <w:lang w:val="en-US" w:eastAsia="zh-CN"/>
        </w:rPr>
        <w:t xml:space="preserve"> </w:t>
      </w:r>
      <w:r>
        <w:rPr>
          <w:rFonts w:hint="eastAsia"/>
          <w:sz w:val="24"/>
        </w:rPr>
        <w:t>周边环境危险因素分析</w:t>
      </w:r>
      <w:r>
        <w:rPr>
          <w:sz w:val="24"/>
        </w:rPr>
        <w:tab/>
      </w:r>
      <w:r>
        <w:rPr>
          <w:sz w:val="24"/>
        </w:rPr>
        <w:fldChar w:fldCharType="begin"/>
      </w:r>
      <w:r>
        <w:rPr>
          <w:sz w:val="24"/>
        </w:rPr>
        <w:instrText xml:space="preserve"> PAGEREF _Toc5481 \h </w:instrText>
      </w:r>
      <w:r>
        <w:rPr>
          <w:sz w:val="24"/>
        </w:rPr>
        <w:fldChar w:fldCharType="separate"/>
      </w:r>
      <w:r>
        <w:rPr>
          <w:sz w:val="24"/>
        </w:rPr>
        <w:t>63</w:t>
      </w:r>
      <w:r>
        <w:rPr>
          <w:sz w:val="24"/>
        </w:rPr>
        <w:fldChar w:fldCharType="end"/>
      </w:r>
      <w:r>
        <w:rPr>
          <w:color w:val="auto"/>
          <w:sz w:val="24"/>
        </w:rPr>
        <w:fldChar w:fldCharType="end"/>
      </w:r>
    </w:p>
    <w:p w14:paraId="4B686C36">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_Toc10880 </w:instrText>
      </w:r>
      <w:r>
        <w:rPr>
          <w:sz w:val="24"/>
        </w:rPr>
        <w:fldChar w:fldCharType="separate"/>
      </w:r>
      <w:r>
        <w:rPr>
          <w:rFonts w:hint="eastAsia"/>
          <w:sz w:val="24"/>
        </w:rPr>
        <w:t>3.3</w:t>
      </w:r>
      <w:r>
        <w:rPr>
          <w:rFonts w:hint="eastAsia"/>
          <w:sz w:val="24"/>
          <w:lang w:val="en-US" w:eastAsia="zh-CN"/>
        </w:rPr>
        <w:t xml:space="preserve"> </w:t>
      </w:r>
      <w:r>
        <w:rPr>
          <w:rFonts w:hint="eastAsia"/>
          <w:sz w:val="24"/>
        </w:rPr>
        <w:t>生产过程中的危险性分析</w:t>
      </w:r>
      <w:r>
        <w:rPr>
          <w:sz w:val="24"/>
        </w:rPr>
        <w:tab/>
      </w:r>
      <w:r>
        <w:rPr>
          <w:sz w:val="24"/>
        </w:rPr>
        <w:fldChar w:fldCharType="begin"/>
      </w:r>
      <w:r>
        <w:rPr>
          <w:sz w:val="24"/>
        </w:rPr>
        <w:instrText xml:space="preserve"> PAGEREF _Toc10880 \h </w:instrText>
      </w:r>
      <w:r>
        <w:rPr>
          <w:sz w:val="24"/>
        </w:rPr>
        <w:fldChar w:fldCharType="separate"/>
      </w:r>
      <w:r>
        <w:rPr>
          <w:sz w:val="24"/>
        </w:rPr>
        <w:t>63</w:t>
      </w:r>
      <w:r>
        <w:rPr>
          <w:sz w:val="24"/>
        </w:rPr>
        <w:fldChar w:fldCharType="end"/>
      </w:r>
      <w:r>
        <w:rPr>
          <w:color w:val="auto"/>
          <w:sz w:val="24"/>
        </w:rPr>
        <w:fldChar w:fldCharType="end"/>
      </w:r>
    </w:p>
    <w:p w14:paraId="28B7DE72">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_Toc10138 </w:instrText>
      </w:r>
      <w:r>
        <w:rPr>
          <w:sz w:val="24"/>
        </w:rPr>
        <w:fldChar w:fldCharType="separate"/>
      </w:r>
      <w:r>
        <w:rPr>
          <w:rFonts w:hint="eastAsia"/>
          <w:sz w:val="24"/>
        </w:rPr>
        <w:t>3.3.1</w:t>
      </w:r>
      <w:r>
        <w:rPr>
          <w:rFonts w:hint="eastAsia"/>
          <w:sz w:val="24"/>
          <w:lang w:val="en-US" w:eastAsia="zh-CN"/>
        </w:rPr>
        <w:t xml:space="preserve"> </w:t>
      </w:r>
      <w:r>
        <w:rPr>
          <w:rFonts w:hint="eastAsia"/>
          <w:sz w:val="24"/>
        </w:rPr>
        <w:t>机械伤害</w:t>
      </w:r>
      <w:r>
        <w:rPr>
          <w:sz w:val="24"/>
        </w:rPr>
        <w:tab/>
      </w:r>
      <w:r>
        <w:rPr>
          <w:sz w:val="24"/>
        </w:rPr>
        <w:fldChar w:fldCharType="begin"/>
      </w:r>
      <w:r>
        <w:rPr>
          <w:sz w:val="24"/>
        </w:rPr>
        <w:instrText xml:space="preserve"> PAGEREF _Toc10138 \h </w:instrText>
      </w:r>
      <w:r>
        <w:rPr>
          <w:sz w:val="24"/>
        </w:rPr>
        <w:fldChar w:fldCharType="separate"/>
      </w:r>
      <w:r>
        <w:rPr>
          <w:sz w:val="24"/>
        </w:rPr>
        <w:t>63</w:t>
      </w:r>
      <w:r>
        <w:rPr>
          <w:sz w:val="24"/>
        </w:rPr>
        <w:fldChar w:fldCharType="end"/>
      </w:r>
      <w:r>
        <w:rPr>
          <w:color w:val="auto"/>
          <w:sz w:val="24"/>
        </w:rPr>
        <w:fldChar w:fldCharType="end"/>
      </w:r>
    </w:p>
    <w:p w14:paraId="192EA8B9">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_Toc17499 </w:instrText>
      </w:r>
      <w:r>
        <w:rPr>
          <w:sz w:val="24"/>
        </w:rPr>
        <w:fldChar w:fldCharType="separate"/>
      </w:r>
      <w:r>
        <w:rPr>
          <w:rFonts w:hint="eastAsia"/>
          <w:sz w:val="24"/>
        </w:rPr>
        <w:t>3.3.2</w:t>
      </w:r>
      <w:r>
        <w:rPr>
          <w:rFonts w:hint="eastAsia"/>
          <w:sz w:val="24"/>
          <w:lang w:val="en-US" w:eastAsia="zh-CN"/>
        </w:rPr>
        <w:t xml:space="preserve"> </w:t>
      </w:r>
      <w:r>
        <w:rPr>
          <w:rFonts w:hint="eastAsia"/>
          <w:sz w:val="24"/>
        </w:rPr>
        <w:t>物体打击</w:t>
      </w:r>
      <w:r>
        <w:rPr>
          <w:sz w:val="24"/>
        </w:rPr>
        <w:tab/>
      </w:r>
      <w:r>
        <w:rPr>
          <w:sz w:val="24"/>
        </w:rPr>
        <w:fldChar w:fldCharType="begin"/>
      </w:r>
      <w:r>
        <w:rPr>
          <w:sz w:val="24"/>
        </w:rPr>
        <w:instrText xml:space="preserve"> PAGEREF _Toc17499 \h </w:instrText>
      </w:r>
      <w:r>
        <w:rPr>
          <w:sz w:val="24"/>
        </w:rPr>
        <w:fldChar w:fldCharType="separate"/>
      </w:r>
      <w:r>
        <w:rPr>
          <w:sz w:val="24"/>
        </w:rPr>
        <w:t>64</w:t>
      </w:r>
      <w:r>
        <w:rPr>
          <w:sz w:val="24"/>
        </w:rPr>
        <w:fldChar w:fldCharType="end"/>
      </w:r>
      <w:r>
        <w:rPr>
          <w:color w:val="auto"/>
          <w:sz w:val="24"/>
        </w:rPr>
        <w:fldChar w:fldCharType="end"/>
      </w:r>
    </w:p>
    <w:p w14:paraId="1EBED54D">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_Toc5724 </w:instrText>
      </w:r>
      <w:r>
        <w:rPr>
          <w:sz w:val="24"/>
        </w:rPr>
        <w:fldChar w:fldCharType="separate"/>
      </w:r>
      <w:r>
        <w:rPr>
          <w:rFonts w:hint="eastAsia"/>
          <w:sz w:val="24"/>
        </w:rPr>
        <w:t>3.3.3</w:t>
      </w:r>
      <w:r>
        <w:rPr>
          <w:rFonts w:hint="eastAsia"/>
          <w:sz w:val="24"/>
          <w:lang w:val="en-US" w:eastAsia="zh-CN"/>
        </w:rPr>
        <w:t xml:space="preserve"> </w:t>
      </w:r>
      <w:r>
        <w:rPr>
          <w:rFonts w:hint="eastAsia"/>
          <w:sz w:val="24"/>
        </w:rPr>
        <w:t>高处坠落</w:t>
      </w:r>
      <w:r>
        <w:rPr>
          <w:sz w:val="24"/>
        </w:rPr>
        <w:tab/>
      </w:r>
      <w:r>
        <w:rPr>
          <w:sz w:val="24"/>
        </w:rPr>
        <w:fldChar w:fldCharType="begin"/>
      </w:r>
      <w:r>
        <w:rPr>
          <w:sz w:val="24"/>
        </w:rPr>
        <w:instrText xml:space="preserve"> PAGEREF _Toc5724 \h </w:instrText>
      </w:r>
      <w:r>
        <w:rPr>
          <w:sz w:val="24"/>
        </w:rPr>
        <w:fldChar w:fldCharType="separate"/>
      </w:r>
      <w:r>
        <w:rPr>
          <w:sz w:val="24"/>
        </w:rPr>
        <w:t>64</w:t>
      </w:r>
      <w:r>
        <w:rPr>
          <w:sz w:val="24"/>
        </w:rPr>
        <w:fldChar w:fldCharType="end"/>
      </w:r>
      <w:r>
        <w:rPr>
          <w:color w:val="auto"/>
          <w:sz w:val="24"/>
        </w:rPr>
        <w:fldChar w:fldCharType="end"/>
      </w:r>
    </w:p>
    <w:p w14:paraId="0194EB5D">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_Toc14908 </w:instrText>
      </w:r>
      <w:r>
        <w:rPr>
          <w:sz w:val="24"/>
        </w:rPr>
        <w:fldChar w:fldCharType="separate"/>
      </w:r>
      <w:r>
        <w:rPr>
          <w:rFonts w:hint="eastAsia"/>
          <w:sz w:val="24"/>
        </w:rPr>
        <w:t>3.3.4</w:t>
      </w:r>
      <w:r>
        <w:rPr>
          <w:rFonts w:hint="eastAsia"/>
          <w:sz w:val="24"/>
          <w:lang w:val="en-US" w:eastAsia="zh-CN"/>
        </w:rPr>
        <w:t xml:space="preserve"> </w:t>
      </w:r>
      <w:r>
        <w:rPr>
          <w:rFonts w:hint="eastAsia"/>
          <w:sz w:val="24"/>
        </w:rPr>
        <w:t>触电</w:t>
      </w:r>
      <w:r>
        <w:rPr>
          <w:sz w:val="24"/>
        </w:rPr>
        <w:tab/>
      </w:r>
      <w:r>
        <w:rPr>
          <w:sz w:val="24"/>
        </w:rPr>
        <w:fldChar w:fldCharType="begin"/>
      </w:r>
      <w:r>
        <w:rPr>
          <w:sz w:val="24"/>
        </w:rPr>
        <w:instrText xml:space="preserve"> PAGEREF _Toc14908 \h </w:instrText>
      </w:r>
      <w:r>
        <w:rPr>
          <w:sz w:val="24"/>
        </w:rPr>
        <w:fldChar w:fldCharType="separate"/>
      </w:r>
      <w:r>
        <w:rPr>
          <w:sz w:val="24"/>
        </w:rPr>
        <w:t>65</w:t>
      </w:r>
      <w:r>
        <w:rPr>
          <w:sz w:val="24"/>
        </w:rPr>
        <w:fldChar w:fldCharType="end"/>
      </w:r>
      <w:r>
        <w:rPr>
          <w:color w:val="auto"/>
          <w:sz w:val="24"/>
        </w:rPr>
        <w:fldChar w:fldCharType="end"/>
      </w:r>
    </w:p>
    <w:p w14:paraId="74A7FEFC">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_Toc2278 </w:instrText>
      </w:r>
      <w:r>
        <w:rPr>
          <w:sz w:val="24"/>
        </w:rPr>
        <w:fldChar w:fldCharType="separate"/>
      </w:r>
      <w:r>
        <w:rPr>
          <w:rFonts w:hint="eastAsia"/>
          <w:sz w:val="24"/>
        </w:rPr>
        <w:t>3.3.5</w:t>
      </w:r>
      <w:r>
        <w:rPr>
          <w:rFonts w:hint="eastAsia"/>
          <w:sz w:val="24"/>
          <w:lang w:val="en-US" w:eastAsia="zh-CN"/>
        </w:rPr>
        <w:t xml:space="preserve"> </w:t>
      </w:r>
      <w:r>
        <w:rPr>
          <w:rFonts w:hint="eastAsia"/>
          <w:sz w:val="24"/>
        </w:rPr>
        <w:t>起重伤害</w:t>
      </w:r>
      <w:r>
        <w:rPr>
          <w:sz w:val="24"/>
        </w:rPr>
        <w:tab/>
      </w:r>
      <w:r>
        <w:rPr>
          <w:sz w:val="24"/>
        </w:rPr>
        <w:fldChar w:fldCharType="begin"/>
      </w:r>
      <w:r>
        <w:rPr>
          <w:sz w:val="24"/>
        </w:rPr>
        <w:instrText xml:space="preserve"> PAGEREF _Toc2278 \h </w:instrText>
      </w:r>
      <w:r>
        <w:rPr>
          <w:sz w:val="24"/>
        </w:rPr>
        <w:fldChar w:fldCharType="separate"/>
      </w:r>
      <w:r>
        <w:rPr>
          <w:sz w:val="24"/>
        </w:rPr>
        <w:t>68</w:t>
      </w:r>
      <w:r>
        <w:rPr>
          <w:sz w:val="24"/>
        </w:rPr>
        <w:fldChar w:fldCharType="end"/>
      </w:r>
      <w:r>
        <w:rPr>
          <w:color w:val="auto"/>
          <w:sz w:val="24"/>
        </w:rPr>
        <w:fldChar w:fldCharType="end"/>
      </w:r>
    </w:p>
    <w:p w14:paraId="3207D62D">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_Toc5683 </w:instrText>
      </w:r>
      <w:r>
        <w:rPr>
          <w:sz w:val="24"/>
        </w:rPr>
        <w:fldChar w:fldCharType="separate"/>
      </w:r>
      <w:r>
        <w:rPr>
          <w:rFonts w:hint="eastAsia"/>
          <w:sz w:val="24"/>
        </w:rPr>
        <w:t>3.3.6</w:t>
      </w:r>
      <w:r>
        <w:rPr>
          <w:rFonts w:hint="eastAsia"/>
          <w:sz w:val="24"/>
          <w:lang w:val="en-US" w:eastAsia="zh-CN"/>
        </w:rPr>
        <w:t xml:space="preserve"> </w:t>
      </w:r>
      <w:r>
        <w:rPr>
          <w:rFonts w:hint="eastAsia"/>
          <w:sz w:val="24"/>
        </w:rPr>
        <w:t>淹溺</w:t>
      </w:r>
      <w:r>
        <w:rPr>
          <w:sz w:val="24"/>
        </w:rPr>
        <w:tab/>
      </w:r>
      <w:r>
        <w:rPr>
          <w:sz w:val="24"/>
        </w:rPr>
        <w:fldChar w:fldCharType="begin"/>
      </w:r>
      <w:r>
        <w:rPr>
          <w:sz w:val="24"/>
        </w:rPr>
        <w:instrText xml:space="preserve"> PAGEREF _Toc5683 \h </w:instrText>
      </w:r>
      <w:r>
        <w:rPr>
          <w:sz w:val="24"/>
        </w:rPr>
        <w:fldChar w:fldCharType="separate"/>
      </w:r>
      <w:r>
        <w:rPr>
          <w:sz w:val="24"/>
        </w:rPr>
        <w:t>70</w:t>
      </w:r>
      <w:r>
        <w:rPr>
          <w:sz w:val="24"/>
        </w:rPr>
        <w:fldChar w:fldCharType="end"/>
      </w:r>
      <w:r>
        <w:rPr>
          <w:color w:val="auto"/>
          <w:sz w:val="24"/>
        </w:rPr>
        <w:fldChar w:fldCharType="end"/>
      </w:r>
    </w:p>
    <w:p w14:paraId="23CD1BC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_Toc18908 </w:instrText>
      </w:r>
      <w:r>
        <w:rPr>
          <w:sz w:val="24"/>
        </w:rPr>
        <w:fldChar w:fldCharType="separate"/>
      </w:r>
      <w:r>
        <w:rPr>
          <w:rFonts w:hint="eastAsia"/>
          <w:sz w:val="24"/>
        </w:rPr>
        <w:t>3.3.7</w:t>
      </w:r>
      <w:r>
        <w:rPr>
          <w:rFonts w:hint="eastAsia"/>
          <w:sz w:val="24"/>
          <w:lang w:val="en-US" w:eastAsia="zh-CN"/>
        </w:rPr>
        <w:t xml:space="preserve"> </w:t>
      </w:r>
      <w:r>
        <w:rPr>
          <w:rFonts w:hint="eastAsia"/>
          <w:sz w:val="24"/>
        </w:rPr>
        <w:t>火灾</w:t>
      </w:r>
      <w:r>
        <w:rPr>
          <w:sz w:val="24"/>
        </w:rPr>
        <w:tab/>
      </w:r>
      <w:r>
        <w:rPr>
          <w:sz w:val="24"/>
        </w:rPr>
        <w:fldChar w:fldCharType="begin"/>
      </w:r>
      <w:r>
        <w:rPr>
          <w:sz w:val="24"/>
        </w:rPr>
        <w:instrText xml:space="preserve"> PAGEREF _Toc18908 \h </w:instrText>
      </w:r>
      <w:r>
        <w:rPr>
          <w:sz w:val="24"/>
        </w:rPr>
        <w:fldChar w:fldCharType="separate"/>
      </w:r>
      <w:r>
        <w:rPr>
          <w:sz w:val="24"/>
        </w:rPr>
        <w:t>70</w:t>
      </w:r>
      <w:r>
        <w:rPr>
          <w:sz w:val="24"/>
        </w:rPr>
        <w:fldChar w:fldCharType="end"/>
      </w:r>
      <w:r>
        <w:rPr>
          <w:color w:val="auto"/>
          <w:sz w:val="24"/>
        </w:rPr>
        <w:fldChar w:fldCharType="end"/>
      </w:r>
    </w:p>
    <w:p w14:paraId="5AA4AA8D">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_Toc1508 </w:instrText>
      </w:r>
      <w:r>
        <w:rPr>
          <w:sz w:val="24"/>
        </w:rPr>
        <w:fldChar w:fldCharType="separate"/>
      </w:r>
      <w:r>
        <w:rPr>
          <w:rFonts w:hint="eastAsia"/>
          <w:sz w:val="24"/>
        </w:rPr>
        <w:t>3.3.8</w:t>
      </w:r>
      <w:r>
        <w:rPr>
          <w:rFonts w:hint="eastAsia"/>
          <w:sz w:val="24"/>
          <w:lang w:val="en-US" w:eastAsia="zh-CN"/>
        </w:rPr>
        <w:t xml:space="preserve"> </w:t>
      </w:r>
      <w:r>
        <w:rPr>
          <w:rFonts w:hint="eastAsia"/>
          <w:sz w:val="24"/>
        </w:rPr>
        <w:t>车辆伤害</w:t>
      </w:r>
      <w:r>
        <w:rPr>
          <w:sz w:val="24"/>
        </w:rPr>
        <w:tab/>
      </w:r>
      <w:r>
        <w:rPr>
          <w:sz w:val="24"/>
        </w:rPr>
        <w:fldChar w:fldCharType="begin"/>
      </w:r>
      <w:r>
        <w:rPr>
          <w:sz w:val="24"/>
        </w:rPr>
        <w:instrText xml:space="preserve"> PAGEREF _Toc1508 \h </w:instrText>
      </w:r>
      <w:r>
        <w:rPr>
          <w:sz w:val="24"/>
        </w:rPr>
        <w:fldChar w:fldCharType="separate"/>
      </w:r>
      <w:r>
        <w:rPr>
          <w:sz w:val="24"/>
        </w:rPr>
        <w:t>72</w:t>
      </w:r>
      <w:r>
        <w:rPr>
          <w:sz w:val="24"/>
        </w:rPr>
        <w:fldChar w:fldCharType="end"/>
      </w:r>
      <w:r>
        <w:rPr>
          <w:color w:val="auto"/>
          <w:sz w:val="24"/>
        </w:rPr>
        <w:fldChar w:fldCharType="end"/>
      </w:r>
    </w:p>
    <w:p w14:paraId="08D855A8">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_Toc20402 </w:instrText>
      </w:r>
      <w:r>
        <w:rPr>
          <w:sz w:val="24"/>
        </w:rPr>
        <w:fldChar w:fldCharType="separate"/>
      </w:r>
      <w:r>
        <w:rPr>
          <w:rFonts w:hint="eastAsia"/>
          <w:sz w:val="24"/>
        </w:rPr>
        <w:t>3.3.9</w:t>
      </w:r>
      <w:r>
        <w:rPr>
          <w:rFonts w:hint="eastAsia"/>
          <w:sz w:val="24"/>
          <w:lang w:val="en-US" w:eastAsia="zh-CN"/>
        </w:rPr>
        <w:t xml:space="preserve"> </w:t>
      </w:r>
      <w:r>
        <w:rPr>
          <w:rFonts w:hint="eastAsia"/>
          <w:sz w:val="24"/>
        </w:rPr>
        <w:t>窒息</w:t>
      </w:r>
      <w:r>
        <w:rPr>
          <w:sz w:val="24"/>
        </w:rPr>
        <w:tab/>
      </w:r>
      <w:r>
        <w:rPr>
          <w:sz w:val="24"/>
        </w:rPr>
        <w:fldChar w:fldCharType="begin"/>
      </w:r>
      <w:r>
        <w:rPr>
          <w:sz w:val="24"/>
        </w:rPr>
        <w:instrText xml:space="preserve"> PAGEREF _Toc20402 \h </w:instrText>
      </w:r>
      <w:r>
        <w:rPr>
          <w:sz w:val="24"/>
        </w:rPr>
        <w:fldChar w:fldCharType="separate"/>
      </w:r>
      <w:r>
        <w:rPr>
          <w:sz w:val="24"/>
        </w:rPr>
        <w:t>73</w:t>
      </w:r>
      <w:r>
        <w:rPr>
          <w:sz w:val="24"/>
        </w:rPr>
        <w:fldChar w:fldCharType="end"/>
      </w:r>
      <w:r>
        <w:rPr>
          <w:color w:val="auto"/>
          <w:sz w:val="24"/>
        </w:rPr>
        <w:fldChar w:fldCharType="end"/>
      </w:r>
    </w:p>
    <w:p w14:paraId="38959DF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_Toc12235 </w:instrText>
      </w:r>
      <w:r>
        <w:rPr>
          <w:sz w:val="24"/>
        </w:rPr>
        <w:fldChar w:fldCharType="separate"/>
      </w:r>
      <w:r>
        <w:rPr>
          <w:rFonts w:hint="eastAsia"/>
          <w:sz w:val="24"/>
        </w:rPr>
        <w:t>3.3.10</w:t>
      </w:r>
      <w:r>
        <w:rPr>
          <w:rFonts w:hint="eastAsia"/>
          <w:sz w:val="24"/>
          <w:lang w:val="en-US" w:eastAsia="zh-CN"/>
        </w:rPr>
        <w:t xml:space="preserve"> </w:t>
      </w:r>
      <w:r>
        <w:rPr>
          <w:rFonts w:hint="eastAsia"/>
          <w:sz w:val="24"/>
        </w:rPr>
        <w:t>容器爆炸</w:t>
      </w:r>
      <w:r>
        <w:rPr>
          <w:sz w:val="24"/>
        </w:rPr>
        <w:tab/>
      </w:r>
      <w:r>
        <w:rPr>
          <w:sz w:val="24"/>
        </w:rPr>
        <w:fldChar w:fldCharType="begin"/>
      </w:r>
      <w:r>
        <w:rPr>
          <w:sz w:val="24"/>
        </w:rPr>
        <w:instrText xml:space="preserve"> PAGEREF _Toc12235 \h </w:instrText>
      </w:r>
      <w:r>
        <w:rPr>
          <w:sz w:val="24"/>
        </w:rPr>
        <w:fldChar w:fldCharType="separate"/>
      </w:r>
      <w:r>
        <w:rPr>
          <w:sz w:val="24"/>
        </w:rPr>
        <w:t>73</w:t>
      </w:r>
      <w:r>
        <w:rPr>
          <w:sz w:val="24"/>
        </w:rPr>
        <w:fldChar w:fldCharType="end"/>
      </w:r>
      <w:r>
        <w:rPr>
          <w:color w:val="auto"/>
          <w:sz w:val="24"/>
        </w:rPr>
        <w:fldChar w:fldCharType="end"/>
      </w:r>
    </w:p>
    <w:p w14:paraId="29A99135">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_Toc29030 </w:instrText>
      </w:r>
      <w:r>
        <w:rPr>
          <w:sz w:val="24"/>
        </w:rPr>
        <w:fldChar w:fldCharType="separate"/>
      </w:r>
      <w:r>
        <w:rPr>
          <w:rFonts w:hint="eastAsia"/>
          <w:sz w:val="24"/>
        </w:rPr>
        <w:t>3.3.11</w:t>
      </w:r>
      <w:r>
        <w:rPr>
          <w:rFonts w:hint="eastAsia"/>
          <w:sz w:val="24"/>
          <w:lang w:val="en-US" w:eastAsia="zh-CN"/>
        </w:rPr>
        <w:t xml:space="preserve"> </w:t>
      </w:r>
      <w:r>
        <w:rPr>
          <w:rFonts w:hint="eastAsia"/>
          <w:sz w:val="24"/>
        </w:rPr>
        <w:t>化学腐蚀及化学灼伤</w:t>
      </w:r>
      <w:r>
        <w:rPr>
          <w:sz w:val="24"/>
        </w:rPr>
        <w:tab/>
      </w:r>
      <w:r>
        <w:rPr>
          <w:sz w:val="24"/>
        </w:rPr>
        <w:fldChar w:fldCharType="begin"/>
      </w:r>
      <w:r>
        <w:rPr>
          <w:sz w:val="24"/>
        </w:rPr>
        <w:instrText xml:space="preserve"> PAGEREF _Toc29030 \h </w:instrText>
      </w:r>
      <w:r>
        <w:rPr>
          <w:sz w:val="24"/>
        </w:rPr>
        <w:fldChar w:fldCharType="separate"/>
      </w:r>
      <w:r>
        <w:rPr>
          <w:sz w:val="24"/>
        </w:rPr>
        <w:t>74</w:t>
      </w:r>
      <w:r>
        <w:rPr>
          <w:sz w:val="24"/>
        </w:rPr>
        <w:fldChar w:fldCharType="end"/>
      </w:r>
      <w:r>
        <w:rPr>
          <w:color w:val="auto"/>
          <w:sz w:val="24"/>
        </w:rPr>
        <w:fldChar w:fldCharType="end"/>
      </w:r>
    </w:p>
    <w:p w14:paraId="0109D6D3">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_Toc30615 </w:instrText>
      </w:r>
      <w:r>
        <w:rPr>
          <w:sz w:val="24"/>
        </w:rPr>
        <w:fldChar w:fldCharType="separate"/>
      </w:r>
      <w:r>
        <w:rPr>
          <w:rFonts w:hint="eastAsia"/>
          <w:sz w:val="24"/>
        </w:rPr>
        <w:t>3.3.12</w:t>
      </w:r>
      <w:r>
        <w:rPr>
          <w:rFonts w:hint="eastAsia"/>
          <w:sz w:val="24"/>
          <w:lang w:val="en-US" w:eastAsia="zh-CN"/>
        </w:rPr>
        <w:t xml:space="preserve"> </w:t>
      </w:r>
      <w:r>
        <w:rPr>
          <w:rFonts w:hint="eastAsia"/>
          <w:sz w:val="24"/>
        </w:rPr>
        <w:t>坍塌、滑坡</w:t>
      </w:r>
      <w:r>
        <w:rPr>
          <w:sz w:val="24"/>
        </w:rPr>
        <w:tab/>
      </w:r>
      <w:r>
        <w:rPr>
          <w:sz w:val="24"/>
        </w:rPr>
        <w:fldChar w:fldCharType="begin"/>
      </w:r>
      <w:r>
        <w:rPr>
          <w:sz w:val="24"/>
        </w:rPr>
        <w:instrText xml:space="preserve"> PAGEREF _Toc30615 \h </w:instrText>
      </w:r>
      <w:r>
        <w:rPr>
          <w:sz w:val="24"/>
        </w:rPr>
        <w:fldChar w:fldCharType="separate"/>
      </w:r>
      <w:r>
        <w:rPr>
          <w:sz w:val="24"/>
        </w:rPr>
        <w:t>74</w:t>
      </w:r>
      <w:r>
        <w:rPr>
          <w:sz w:val="24"/>
        </w:rPr>
        <w:fldChar w:fldCharType="end"/>
      </w:r>
      <w:r>
        <w:rPr>
          <w:color w:val="auto"/>
          <w:sz w:val="24"/>
        </w:rPr>
        <w:fldChar w:fldCharType="end"/>
      </w:r>
    </w:p>
    <w:p w14:paraId="518F27A5">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_Toc29162 </w:instrText>
      </w:r>
      <w:r>
        <w:rPr>
          <w:sz w:val="24"/>
        </w:rPr>
        <w:fldChar w:fldCharType="separate"/>
      </w:r>
      <w:r>
        <w:rPr>
          <w:rFonts w:hint="eastAsia"/>
          <w:sz w:val="24"/>
        </w:rPr>
        <w:t>3.3.13</w:t>
      </w:r>
      <w:r>
        <w:rPr>
          <w:rFonts w:hint="eastAsia"/>
          <w:sz w:val="24"/>
          <w:lang w:val="en-US" w:eastAsia="zh-CN"/>
        </w:rPr>
        <w:t xml:space="preserve"> </w:t>
      </w:r>
      <w:r>
        <w:rPr>
          <w:rFonts w:hint="eastAsia"/>
          <w:sz w:val="24"/>
        </w:rPr>
        <w:t>设备、设施、工具、附件缺陷</w:t>
      </w:r>
      <w:r>
        <w:rPr>
          <w:sz w:val="24"/>
        </w:rPr>
        <w:tab/>
      </w:r>
      <w:r>
        <w:rPr>
          <w:sz w:val="24"/>
        </w:rPr>
        <w:fldChar w:fldCharType="begin"/>
      </w:r>
      <w:r>
        <w:rPr>
          <w:sz w:val="24"/>
        </w:rPr>
        <w:instrText xml:space="preserve"> PAGEREF _Toc29162 \h </w:instrText>
      </w:r>
      <w:r>
        <w:rPr>
          <w:sz w:val="24"/>
        </w:rPr>
        <w:fldChar w:fldCharType="separate"/>
      </w:r>
      <w:r>
        <w:rPr>
          <w:sz w:val="24"/>
        </w:rPr>
        <w:t>75</w:t>
      </w:r>
      <w:r>
        <w:rPr>
          <w:sz w:val="24"/>
        </w:rPr>
        <w:fldChar w:fldCharType="end"/>
      </w:r>
      <w:r>
        <w:rPr>
          <w:color w:val="auto"/>
          <w:sz w:val="24"/>
        </w:rPr>
        <w:fldChar w:fldCharType="end"/>
      </w:r>
    </w:p>
    <w:p w14:paraId="08DE4DBF">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_Toc21098 </w:instrText>
      </w:r>
      <w:r>
        <w:rPr>
          <w:sz w:val="24"/>
        </w:rPr>
        <w:fldChar w:fldCharType="separate"/>
      </w:r>
      <w:r>
        <w:rPr>
          <w:rFonts w:hint="eastAsia"/>
          <w:sz w:val="24"/>
        </w:rPr>
        <w:t>3.3.14</w:t>
      </w:r>
      <w:r>
        <w:rPr>
          <w:rFonts w:hint="eastAsia"/>
          <w:sz w:val="24"/>
          <w:lang w:val="en-US" w:eastAsia="zh-CN"/>
        </w:rPr>
        <w:t xml:space="preserve"> </w:t>
      </w:r>
      <w:r>
        <w:rPr>
          <w:rFonts w:hint="eastAsia"/>
          <w:sz w:val="24"/>
        </w:rPr>
        <w:t>其他危害</w:t>
      </w:r>
      <w:r>
        <w:rPr>
          <w:sz w:val="24"/>
        </w:rPr>
        <w:tab/>
      </w:r>
      <w:r>
        <w:rPr>
          <w:sz w:val="24"/>
        </w:rPr>
        <w:fldChar w:fldCharType="begin"/>
      </w:r>
      <w:r>
        <w:rPr>
          <w:sz w:val="24"/>
        </w:rPr>
        <w:instrText xml:space="preserve"> PAGEREF _Toc21098 \h </w:instrText>
      </w:r>
      <w:r>
        <w:rPr>
          <w:sz w:val="24"/>
        </w:rPr>
        <w:fldChar w:fldCharType="separate"/>
      </w:r>
      <w:r>
        <w:rPr>
          <w:sz w:val="24"/>
        </w:rPr>
        <w:t>75</w:t>
      </w:r>
      <w:r>
        <w:rPr>
          <w:sz w:val="24"/>
        </w:rPr>
        <w:fldChar w:fldCharType="end"/>
      </w:r>
      <w:r>
        <w:rPr>
          <w:color w:val="auto"/>
          <w:sz w:val="24"/>
        </w:rPr>
        <w:fldChar w:fldCharType="end"/>
      </w:r>
    </w:p>
    <w:p w14:paraId="304FA401">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_Toc8177 </w:instrText>
      </w:r>
      <w:r>
        <w:rPr>
          <w:sz w:val="24"/>
        </w:rPr>
        <w:fldChar w:fldCharType="separate"/>
      </w:r>
      <w:r>
        <w:rPr>
          <w:rFonts w:hint="eastAsia"/>
          <w:sz w:val="24"/>
        </w:rPr>
        <w:t>3.3.15</w:t>
      </w:r>
      <w:r>
        <w:rPr>
          <w:rFonts w:hint="eastAsia"/>
          <w:sz w:val="24"/>
          <w:lang w:val="en-US" w:eastAsia="zh-CN"/>
        </w:rPr>
        <w:t xml:space="preserve"> </w:t>
      </w:r>
      <w:r>
        <w:rPr>
          <w:rFonts w:hint="eastAsia"/>
          <w:sz w:val="24"/>
        </w:rPr>
        <w:t>放射源及危险特性</w:t>
      </w:r>
      <w:r>
        <w:rPr>
          <w:sz w:val="24"/>
        </w:rPr>
        <w:tab/>
      </w:r>
      <w:r>
        <w:rPr>
          <w:sz w:val="24"/>
        </w:rPr>
        <w:fldChar w:fldCharType="begin"/>
      </w:r>
      <w:r>
        <w:rPr>
          <w:sz w:val="24"/>
        </w:rPr>
        <w:instrText xml:space="preserve"> PAGEREF _Toc8177 \h </w:instrText>
      </w:r>
      <w:r>
        <w:rPr>
          <w:sz w:val="24"/>
        </w:rPr>
        <w:fldChar w:fldCharType="separate"/>
      </w:r>
      <w:r>
        <w:rPr>
          <w:sz w:val="24"/>
        </w:rPr>
        <w:t>77</w:t>
      </w:r>
      <w:r>
        <w:rPr>
          <w:sz w:val="24"/>
        </w:rPr>
        <w:fldChar w:fldCharType="end"/>
      </w:r>
      <w:r>
        <w:rPr>
          <w:color w:val="auto"/>
          <w:sz w:val="24"/>
        </w:rPr>
        <w:fldChar w:fldCharType="end"/>
      </w:r>
    </w:p>
    <w:p w14:paraId="0082B0FC">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_Toc4602 </w:instrText>
      </w:r>
      <w:r>
        <w:rPr>
          <w:sz w:val="24"/>
        </w:rPr>
        <w:fldChar w:fldCharType="separate"/>
      </w:r>
      <w:r>
        <w:rPr>
          <w:rFonts w:hint="eastAsia"/>
          <w:sz w:val="24"/>
        </w:rPr>
        <w:t>3.4安全管理危险有害因素辨识与分析</w:t>
      </w:r>
      <w:r>
        <w:rPr>
          <w:sz w:val="24"/>
        </w:rPr>
        <w:tab/>
      </w:r>
      <w:r>
        <w:rPr>
          <w:sz w:val="24"/>
        </w:rPr>
        <w:fldChar w:fldCharType="begin"/>
      </w:r>
      <w:r>
        <w:rPr>
          <w:sz w:val="24"/>
        </w:rPr>
        <w:instrText xml:space="preserve"> PAGEREF _Toc4602 \h </w:instrText>
      </w:r>
      <w:r>
        <w:rPr>
          <w:sz w:val="24"/>
        </w:rPr>
        <w:fldChar w:fldCharType="separate"/>
      </w:r>
      <w:r>
        <w:rPr>
          <w:sz w:val="24"/>
        </w:rPr>
        <w:t>77</w:t>
      </w:r>
      <w:r>
        <w:rPr>
          <w:sz w:val="24"/>
        </w:rPr>
        <w:fldChar w:fldCharType="end"/>
      </w:r>
      <w:r>
        <w:rPr>
          <w:color w:val="auto"/>
          <w:sz w:val="24"/>
        </w:rPr>
        <w:fldChar w:fldCharType="end"/>
      </w:r>
    </w:p>
    <w:p w14:paraId="0081452C">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_Toc29941 </w:instrText>
      </w:r>
      <w:r>
        <w:rPr>
          <w:sz w:val="24"/>
        </w:rPr>
        <w:fldChar w:fldCharType="separate"/>
      </w:r>
      <w:r>
        <w:rPr>
          <w:rFonts w:hint="eastAsia"/>
          <w:sz w:val="24"/>
        </w:rPr>
        <w:t>3.5</w:t>
      </w:r>
      <w:r>
        <w:rPr>
          <w:rFonts w:hint="eastAsia"/>
          <w:sz w:val="24"/>
          <w:lang w:val="en-US" w:eastAsia="zh-CN"/>
        </w:rPr>
        <w:t xml:space="preserve"> </w:t>
      </w:r>
      <w:r>
        <w:rPr>
          <w:rFonts w:hint="eastAsia"/>
          <w:sz w:val="24"/>
        </w:rPr>
        <w:t>重大危险源辨识</w:t>
      </w:r>
      <w:r>
        <w:rPr>
          <w:sz w:val="24"/>
        </w:rPr>
        <w:tab/>
      </w:r>
      <w:r>
        <w:rPr>
          <w:sz w:val="24"/>
        </w:rPr>
        <w:fldChar w:fldCharType="begin"/>
      </w:r>
      <w:r>
        <w:rPr>
          <w:sz w:val="24"/>
        </w:rPr>
        <w:instrText xml:space="preserve"> PAGEREF _Toc29941 \h </w:instrText>
      </w:r>
      <w:r>
        <w:rPr>
          <w:sz w:val="24"/>
        </w:rPr>
        <w:fldChar w:fldCharType="separate"/>
      </w:r>
      <w:r>
        <w:rPr>
          <w:sz w:val="24"/>
        </w:rPr>
        <w:t>78</w:t>
      </w:r>
      <w:r>
        <w:rPr>
          <w:sz w:val="24"/>
        </w:rPr>
        <w:fldChar w:fldCharType="end"/>
      </w:r>
      <w:r>
        <w:rPr>
          <w:color w:val="auto"/>
          <w:sz w:val="24"/>
        </w:rPr>
        <w:fldChar w:fldCharType="end"/>
      </w:r>
    </w:p>
    <w:p w14:paraId="1EA1AAF5">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_Toc1517 </w:instrText>
      </w:r>
      <w:r>
        <w:rPr>
          <w:sz w:val="24"/>
        </w:rPr>
        <w:fldChar w:fldCharType="separate"/>
      </w:r>
      <w:r>
        <w:rPr>
          <w:rFonts w:hint="eastAsia"/>
          <w:sz w:val="24"/>
        </w:rPr>
        <w:t>3.5.1</w:t>
      </w:r>
      <w:r>
        <w:rPr>
          <w:rFonts w:hint="eastAsia"/>
          <w:sz w:val="24"/>
          <w:lang w:val="en-US" w:eastAsia="zh-CN"/>
        </w:rPr>
        <w:t xml:space="preserve"> </w:t>
      </w:r>
      <w:r>
        <w:rPr>
          <w:rFonts w:hint="eastAsia"/>
          <w:sz w:val="24"/>
        </w:rPr>
        <w:t>重大危险源辨识方法介绍</w:t>
      </w:r>
      <w:r>
        <w:rPr>
          <w:sz w:val="24"/>
        </w:rPr>
        <w:tab/>
      </w:r>
      <w:r>
        <w:rPr>
          <w:sz w:val="24"/>
        </w:rPr>
        <w:fldChar w:fldCharType="begin"/>
      </w:r>
      <w:r>
        <w:rPr>
          <w:sz w:val="24"/>
        </w:rPr>
        <w:instrText xml:space="preserve"> PAGEREF _Toc1517 \h </w:instrText>
      </w:r>
      <w:r>
        <w:rPr>
          <w:sz w:val="24"/>
        </w:rPr>
        <w:fldChar w:fldCharType="separate"/>
      </w:r>
      <w:r>
        <w:rPr>
          <w:sz w:val="24"/>
        </w:rPr>
        <w:t>78</w:t>
      </w:r>
      <w:r>
        <w:rPr>
          <w:sz w:val="24"/>
        </w:rPr>
        <w:fldChar w:fldCharType="end"/>
      </w:r>
      <w:r>
        <w:rPr>
          <w:color w:val="auto"/>
          <w:sz w:val="24"/>
        </w:rPr>
        <w:fldChar w:fldCharType="end"/>
      </w:r>
    </w:p>
    <w:p w14:paraId="3DD76551">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_Toc13755 </w:instrText>
      </w:r>
      <w:r>
        <w:rPr>
          <w:sz w:val="24"/>
        </w:rPr>
        <w:fldChar w:fldCharType="separate"/>
      </w:r>
      <w:r>
        <w:rPr>
          <w:rFonts w:hint="eastAsia"/>
          <w:sz w:val="24"/>
        </w:rPr>
        <w:t>3.5.2</w:t>
      </w:r>
      <w:r>
        <w:rPr>
          <w:rFonts w:hint="eastAsia"/>
          <w:sz w:val="24"/>
          <w:lang w:val="en-US" w:eastAsia="zh-CN"/>
        </w:rPr>
        <w:t xml:space="preserve"> </w:t>
      </w:r>
      <w:r>
        <w:rPr>
          <w:rFonts w:hint="eastAsia"/>
          <w:sz w:val="24"/>
        </w:rPr>
        <w:t>重大危险源辨识</w:t>
      </w:r>
      <w:r>
        <w:rPr>
          <w:sz w:val="24"/>
        </w:rPr>
        <w:tab/>
      </w:r>
      <w:r>
        <w:rPr>
          <w:sz w:val="24"/>
        </w:rPr>
        <w:fldChar w:fldCharType="begin"/>
      </w:r>
      <w:r>
        <w:rPr>
          <w:sz w:val="24"/>
        </w:rPr>
        <w:instrText xml:space="preserve"> PAGEREF _Toc13755 \h </w:instrText>
      </w:r>
      <w:r>
        <w:rPr>
          <w:sz w:val="24"/>
        </w:rPr>
        <w:fldChar w:fldCharType="separate"/>
      </w:r>
      <w:r>
        <w:rPr>
          <w:sz w:val="24"/>
        </w:rPr>
        <w:t>79</w:t>
      </w:r>
      <w:r>
        <w:rPr>
          <w:sz w:val="24"/>
        </w:rPr>
        <w:fldChar w:fldCharType="end"/>
      </w:r>
      <w:r>
        <w:rPr>
          <w:color w:val="auto"/>
          <w:sz w:val="24"/>
        </w:rPr>
        <w:fldChar w:fldCharType="end"/>
      </w:r>
    </w:p>
    <w:p w14:paraId="2E57F74C">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_Toc3301 </w:instrText>
      </w:r>
      <w:r>
        <w:rPr>
          <w:sz w:val="24"/>
        </w:rPr>
        <w:fldChar w:fldCharType="separate"/>
      </w:r>
      <w:r>
        <w:rPr>
          <w:rFonts w:hint="eastAsia"/>
          <w:sz w:val="24"/>
        </w:rPr>
        <w:t>4 评价单元划分及评价方法选择</w:t>
      </w:r>
      <w:r>
        <w:rPr>
          <w:sz w:val="24"/>
        </w:rPr>
        <w:tab/>
      </w:r>
      <w:r>
        <w:rPr>
          <w:sz w:val="24"/>
        </w:rPr>
        <w:fldChar w:fldCharType="begin"/>
      </w:r>
      <w:r>
        <w:rPr>
          <w:sz w:val="24"/>
        </w:rPr>
        <w:instrText xml:space="preserve"> PAGEREF _Toc3301 \h </w:instrText>
      </w:r>
      <w:r>
        <w:rPr>
          <w:sz w:val="24"/>
        </w:rPr>
        <w:fldChar w:fldCharType="separate"/>
      </w:r>
      <w:r>
        <w:rPr>
          <w:sz w:val="24"/>
        </w:rPr>
        <w:t>80</w:t>
      </w:r>
      <w:r>
        <w:rPr>
          <w:sz w:val="24"/>
        </w:rPr>
        <w:fldChar w:fldCharType="end"/>
      </w:r>
      <w:r>
        <w:rPr>
          <w:color w:val="auto"/>
          <w:sz w:val="24"/>
        </w:rPr>
        <w:fldChar w:fldCharType="end"/>
      </w:r>
    </w:p>
    <w:p w14:paraId="47CA4010">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_Toc26520 </w:instrText>
      </w:r>
      <w:r>
        <w:rPr>
          <w:sz w:val="24"/>
        </w:rPr>
        <w:fldChar w:fldCharType="separate"/>
      </w:r>
      <w:r>
        <w:rPr>
          <w:rFonts w:hint="eastAsia"/>
          <w:sz w:val="24"/>
        </w:rPr>
        <w:t>4.1 评价单元划分</w:t>
      </w:r>
      <w:r>
        <w:rPr>
          <w:sz w:val="24"/>
        </w:rPr>
        <w:tab/>
      </w:r>
      <w:r>
        <w:rPr>
          <w:sz w:val="24"/>
        </w:rPr>
        <w:fldChar w:fldCharType="begin"/>
      </w:r>
      <w:r>
        <w:rPr>
          <w:sz w:val="24"/>
        </w:rPr>
        <w:instrText xml:space="preserve"> PAGEREF _Toc26520 \h </w:instrText>
      </w:r>
      <w:r>
        <w:rPr>
          <w:sz w:val="24"/>
        </w:rPr>
        <w:fldChar w:fldCharType="separate"/>
      </w:r>
      <w:r>
        <w:rPr>
          <w:sz w:val="24"/>
        </w:rPr>
        <w:t>80</w:t>
      </w:r>
      <w:r>
        <w:rPr>
          <w:sz w:val="24"/>
        </w:rPr>
        <w:fldChar w:fldCharType="end"/>
      </w:r>
      <w:r>
        <w:rPr>
          <w:color w:val="auto"/>
          <w:sz w:val="24"/>
        </w:rPr>
        <w:fldChar w:fldCharType="end"/>
      </w:r>
    </w:p>
    <w:p w14:paraId="78955B00">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_Toc15127 </w:instrText>
      </w:r>
      <w:r>
        <w:rPr>
          <w:sz w:val="24"/>
        </w:rPr>
        <w:fldChar w:fldCharType="separate"/>
      </w:r>
      <w:r>
        <w:rPr>
          <w:rFonts w:hint="eastAsia"/>
          <w:sz w:val="24"/>
        </w:rPr>
        <w:t>4.1.1 评价单元划分原则</w:t>
      </w:r>
      <w:r>
        <w:rPr>
          <w:sz w:val="24"/>
        </w:rPr>
        <w:tab/>
      </w:r>
      <w:r>
        <w:rPr>
          <w:sz w:val="24"/>
        </w:rPr>
        <w:fldChar w:fldCharType="begin"/>
      </w:r>
      <w:r>
        <w:rPr>
          <w:sz w:val="24"/>
        </w:rPr>
        <w:instrText xml:space="preserve"> PAGEREF _Toc15127 \h </w:instrText>
      </w:r>
      <w:r>
        <w:rPr>
          <w:sz w:val="24"/>
        </w:rPr>
        <w:fldChar w:fldCharType="separate"/>
      </w:r>
      <w:r>
        <w:rPr>
          <w:sz w:val="24"/>
        </w:rPr>
        <w:t>80</w:t>
      </w:r>
      <w:r>
        <w:rPr>
          <w:sz w:val="24"/>
        </w:rPr>
        <w:fldChar w:fldCharType="end"/>
      </w:r>
      <w:r>
        <w:rPr>
          <w:color w:val="auto"/>
          <w:sz w:val="24"/>
        </w:rPr>
        <w:fldChar w:fldCharType="end"/>
      </w:r>
    </w:p>
    <w:p w14:paraId="73E2B066">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_Toc18759 </w:instrText>
      </w:r>
      <w:r>
        <w:rPr>
          <w:sz w:val="24"/>
        </w:rPr>
        <w:fldChar w:fldCharType="separate"/>
      </w:r>
      <w:r>
        <w:rPr>
          <w:rFonts w:hint="eastAsia"/>
          <w:sz w:val="24"/>
        </w:rPr>
        <w:t>4.1.2 评价单元的划分</w:t>
      </w:r>
      <w:r>
        <w:rPr>
          <w:sz w:val="24"/>
        </w:rPr>
        <w:tab/>
      </w:r>
      <w:r>
        <w:rPr>
          <w:sz w:val="24"/>
        </w:rPr>
        <w:fldChar w:fldCharType="begin"/>
      </w:r>
      <w:r>
        <w:rPr>
          <w:sz w:val="24"/>
        </w:rPr>
        <w:instrText xml:space="preserve"> PAGEREF _Toc18759 \h </w:instrText>
      </w:r>
      <w:r>
        <w:rPr>
          <w:sz w:val="24"/>
        </w:rPr>
        <w:fldChar w:fldCharType="separate"/>
      </w:r>
      <w:r>
        <w:rPr>
          <w:sz w:val="24"/>
        </w:rPr>
        <w:t>81</w:t>
      </w:r>
      <w:r>
        <w:rPr>
          <w:sz w:val="24"/>
        </w:rPr>
        <w:fldChar w:fldCharType="end"/>
      </w:r>
      <w:r>
        <w:rPr>
          <w:color w:val="auto"/>
          <w:sz w:val="24"/>
        </w:rPr>
        <w:fldChar w:fldCharType="end"/>
      </w:r>
    </w:p>
    <w:p w14:paraId="1DC22A4A">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_Toc10845 </w:instrText>
      </w:r>
      <w:r>
        <w:rPr>
          <w:sz w:val="24"/>
        </w:rPr>
        <w:fldChar w:fldCharType="separate"/>
      </w:r>
      <w:r>
        <w:rPr>
          <w:rFonts w:hint="eastAsia"/>
          <w:sz w:val="24"/>
        </w:rPr>
        <w:t>4.2 评价方法的选择</w:t>
      </w:r>
      <w:r>
        <w:rPr>
          <w:sz w:val="24"/>
        </w:rPr>
        <w:tab/>
      </w:r>
      <w:r>
        <w:rPr>
          <w:sz w:val="24"/>
        </w:rPr>
        <w:fldChar w:fldCharType="begin"/>
      </w:r>
      <w:r>
        <w:rPr>
          <w:sz w:val="24"/>
        </w:rPr>
        <w:instrText xml:space="preserve"> PAGEREF _Toc10845 \h </w:instrText>
      </w:r>
      <w:r>
        <w:rPr>
          <w:sz w:val="24"/>
        </w:rPr>
        <w:fldChar w:fldCharType="separate"/>
      </w:r>
      <w:r>
        <w:rPr>
          <w:sz w:val="24"/>
        </w:rPr>
        <w:t>81</w:t>
      </w:r>
      <w:r>
        <w:rPr>
          <w:sz w:val="24"/>
        </w:rPr>
        <w:fldChar w:fldCharType="end"/>
      </w:r>
      <w:r>
        <w:rPr>
          <w:color w:val="auto"/>
          <w:sz w:val="24"/>
        </w:rPr>
        <w:fldChar w:fldCharType="end"/>
      </w:r>
    </w:p>
    <w:p w14:paraId="051C9B0D">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_Toc13079 </w:instrText>
      </w:r>
      <w:r>
        <w:rPr>
          <w:sz w:val="24"/>
        </w:rPr>
        <w:fldChar w:fldCharType="separate"/>
      </w:r>
      <w:r>
        <w:rPr>
          <w:rFonts w:hint="eastAsia"/>
          <w:sz w:val="24"/>
        </w:rPr>
        <w:t>4.2.1 评价方法选择</w:t>
      </w:r>
      <w:r>
        <w:rPr>
          <w:sz w:val="24"/>
        </w:rPr>
        <w:tab/>
      </w:r>
      <w:r>
        <w:rPr>
          <w:sz w:val="24"/>
        </w:rPr>
        <w:fldChar w:fldCharType="begin"/>
      </w:r>
      <w:r>
        <w:rPr>
          <w:sz w:val="24"/>
        </w:rPr>
        <w:instrText xml:space="preserve"> PAGEREF _Toc13079 \h </w:instrText>
      </w:r>
      <w:r>
        <w:rPr>
          <w:sz w:val="24"/>
        </w:rPr>
        <w:fldChar w:fldCharType="separate"/>
      </w:r>
      <w:r>
        <w:rPr>
          <w:sz w:val="24"/>
        </w:rPr>
        <w:t>81</w:t>
      </w:r>
      <w:r>
        <w:rPr>
          <w:sz w:val="24"/>
        </w:rPr>
        <w:fldChar w:fldCharType="end"/>
      </w:r>
      <w:r>
        <w:rPr>
          <w:color w:val="auto"/>
          <w:sz w:val="24"/>
        </w:rPr>
        <w:fldChar w:fldCharType="end"/>
      </w:r>
    </w:p>
    <w:p w14:paraId="0B50E78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_Toc26665 </w:instrText>
      </w:r>
      <w:r>
        <w:rPr>
          <w:sz w:val="24"/>
        </w:rPr>
        <w:fldChar w:fldCharType="separate"/>
      </w:r>
      <w:r>
        <w:rPr>
          <w:rFonts w:hint="eastAsia"/>
          <w:sz w:val="24"/>
        </w:rPr>
        <w:t>4.2.2 评价方法简介</w:t>
      </w:r>
      <w:r>
        <w:rPr>
          <w:sz w:val="24"/>
        </w:rPr>
        <w:tab/>
      </w:r>
      <w:r>
        <w:rPr>
          <w:sz w:val="24"/>
        </w:rPr>
        <w:fldChar w:fldCharType="begin"/>
      </w:r>
      <w:r>
        <w:rPr>
          <w:sz w:val="24"/>
        </w:rPr>
        <w:instrText xml:space="preserve"> PAGEREF _Toc26665 \h </w:instrText>
      </w:r>
      <w:r>
        <w:rPr>
          <w:sz w:val="24"/>
        </w:rPr>
        <w:fldChar w:fldCharType="separate"/>
      </w:r>
      <w:r>
        <w:rPr>
          <w:sz w:val="24"/>
        </w:rPr>
        <w:t>82</w:t>
      </w:r>
      <w:r>
        <w:rPr>
          <w:sz w:val="24"/>
        </w:rPr>
        <w:fldChar w:fldCharType="end"/>
      </w:r>
      <w:r>
        <w:rPr>
          <w:color w:val="auto"/>
          <w:sz w:val="24"/>
        </w:rPr>
        <w:fldChar w:fldCharType="end"/>
      </w:r>
    </w:p>
    <w:p w14:paraId="5B93ED8C">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_Toc8614 </w:instrText>
      </w:r>
      <w:r>
        <w:rPr>
          <w:sz w:val="24"/>
        </w:rPr>
        <w:fldChar w:fldCharType="separate"/>
      </w:r>
      <w:r>
        <w:rPr>
          <w:rFonts w:hint="eastAsia"/>
          <w:sz w:val="24"/>
        </w:rPr>
        <w:t>5 定性、定量分析评价</w:t>
      </w:r>
      <w:r>
        <w:rPr>
          <w:sz w:val="24"/>
        </w:rPr>
        <w:tab/>
      </w:r>
      <w:r>
        <w:rPr>
          <w:sz w:val="24"/>
        </w:rPr>
        <w:fldChar w:fldCharType="begin"/>
      </w:r>
      <w:r>
        <w:rPr>
          <w:sz w:val="24"/>
        </w:rPr>
        <w:instrText xml:space="preserve"> PAGEREF _Toc8614 \h </w:instrText>
      </w:r>
      <w:r>
        <w:rPr>
          <w:sz w:val="24"/>
        </w:rPr>
        <w:fldChar w:fldCharType="separate"/>
      </w:r>
      <w:r>
        <w:rPr>
          <w:sz w:val="24"/>
        </w:rPr>
        <w:t>86</w:t>
      </w:r>
      <w:r>
        <w:rPr>
          <w:sz w:val="24"/>
        </w:rPr>
        <w:fldChar w:fldCharType="end"/>
      </w:r>
      <w:r>
        <w:rPr>
          <w:color w:val="auto"/>
          <w:sz w:val="24"/>
        </w:rPr>
        <w:fldChar w:fldCharType="end"/>
      </w:r>
    </w:p>
    <w:p w14:paraId="2569FA68">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_Toc22467 </w:instrText>
      </w:r>
      <w:r>
        <w:rPr>
          <w:sz w:val="24"/>
        </w:rPr>
        <w:fldChar w:fldCharType="separate"/>
      </w:r>
      <w:r>
        <w:rPr>
          <w:rFonts w:hint="eastAsia"/>
          <w:sz w:val="24"/>
        </w:rPr>
        <w:t>5.1 建设程序单元分析评价</w:t>
      </w:r>
      <w:r>
        <w:rPr>
          <w:sz w:val="24"/>
        </w:rPr>
        <w:tab/>
      </w:r>
      <w:r>
        <w:rPr>
          <w:sz w:val="24"/>
        </w:rPr>
        <w:fldChar w:fldCharType="begin"/>
      </w:r>
      <w:r>
        <w:rPr>
          <w:sz w:val="24"/>
        </w:rPr>
        <w:instrText xml:space="preserve"> PAGEREF _Toc22467 \h </w:instrText>
      </w:r>
      <w:r>
        <w:rPr>
          <w:sz w:val="24"/>
        </w:rPr>
        <w:fldChar w:fldCharType="separate"/>
      </w:r>
      <w:r>
        <w:rPr>
          <w:sz w:val="24"/>
        </w:rPr>
        <w:t>86</w:t>
      </w:r>
      <w:r>
        <w:rPr>
          <w:sz w:val="24"/>
        </w:rPr>
        <w:fldChar w:fldCharType="end"/>
      </w:r>
      <w:r>
        <w:rPr>
          <w:color w:val="auto"/>
          <w:sz w:val="24"/>
        </w:rPr>
        <w:fldChar w:fldCharType="end"/>
      </w:r>
    </w:p>
    <w:p w14:paraId="2EA6D82E">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_Toc1949 </w:instrText>
      </w:r>
      <w:r>
        <w:rPr>
          <w:sz w:val="24"/>
        </w:rPr>
        <w:fldChar w:fldCharType="separate"/>
      </w:r>
      <w:r>
        <w:rPr>
          <w:rFonts w:hint="eastAsia"/>
          <w:sz w:val="24"/>
        </w:rPr>
        <w:t>5.1.1 建设程序安全检查表</w:t>
      </w:r>
      <w:r>
        <w:rPr>
          <w:sz w:val="24"/>
        </w:rPr>
        <w:tab/>
      </w:r>
      <w:r>
        <w:rPr>
          <w:sz w:val="24"/>
        </w:rPr>
        <w:fldChar w:fldCharType="begin"/>
      </w:r>
      <w:r>
        <w:rPr>
          <w:sz w:val="24"/>
        </w:rPr>
        <w:instrText xml:space="preserve"> PAGEREF _Toc1949 \h </w:instrText>
      </w:r>
      <w:r>
        <w:rPr>
          <w:sz w:val="24"/>
        </w:rPr>
        <w:fldChar w:fldCharType="separate"/>
      </w:r>
      <w:r>
        <w:rPr>
          <w:sz w:val="24"/>
        </w:rPr>
        <w:t>86</w:t>
      </w:r>
      <w:r>
        <w:rPr>
          <w:sz w:val="24"/>
        </w:rPr>
        <w:fldChar w:fldCharType="end"/>
      </w:r>
      <w:r>
        <w:rPr>
          <w:color w:val="auto"/>
          <w:sz w:val="24"/>
        </w:rPr>
        <w:fldChar w:fldCharType="end"/>
      </w:r>
    </w:p>
    <w:p w14:paraId="0B56021E">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_Toc21426 </w:instrText>
      </w:r>
      <w:r>
        <w:rPr>
          <w:sz w:val="24"/>
        </w:rPr>
        <w:fldChar w:fldCharType="separate"/>
      </w:r>
      <w:r>
        <w:rPr>
          <w:rFonts w:hint="eastAsia"/>
          <w:sz w:val="24"/>
        </w:rPr>
        <w:t>5.1.2</w:t>
      </w:r>
      <w:r>
        <w:rPr>
          <w:rFonts w:hint="eastAsia"/>
          <w:sz w:val="24"/>
          <w:lang w:val="en-US" w:eastAsia="zh-CN"/>
        </w:rPr>
        <w:t xml:space="preserve"> </w:t>
      </w:r>
      <w:r>
        <w:rPr>
          <w:rFonts w:hint="eastAsia"/>
          <w:sz w:val="24"/>
        </w:rPr>
        <w:t>单元评价小结</w:t>
      </w:r>
      <w:r>
        <w:rPr>
          <w:sz w:val="24"/>
        </w:rPr>
        <w:tab/>
      </w:r>
      <w:r>
        <w:rPr>
          <w:sz w:val="24"/>
        </w:rPr>
        <w:fldChar w:fldCharType="begin"/>
      </w:r>
      <w:r>
        <w:rPr>
          <w:sz w:val="24"/>
        </w:rPr>
        <w:instrText xml:space="preserve"> PAGEREF _Toc21426 \h </w:instrText>
      </w:r>
      <w:r>
        <w:rPr>
          <w:sz w:val="24"/>
        </w:rPr>
        <w:fldChar w:fldCharType="separate"/>
      </w:r>
      <w:r>
        <w:rPr>
          <w:sz w:val="24"/>
        </w:rPr>
        <w:t>88</w:t>
      </w:r>
      <w:r>
        <w:rPr>
          <w:sz w:val="24"/>
        </w:rPr>
        <w:fldChar w:fldCharType="end"/>
      </w:r>
      <w:r>
        <w:rPr>
          <w:color w:val="auto"/>
          <w:sz w:val="24"/>
        </w:rPr>
        <w:fldChar w:fldCharType="end"/>
      </w:r>
    </w:p>
    <w:p w14:paraId="74CC3845">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_Toc9719 </w:instrText>
      </w:r>
      <w:r>
        <w:rPr>
          <w:sz w:val="24"/>
        </w:rPr>
        <w:fldChar w:fldCharType="separate"/>
      </w:r>
      <w:r>
        <w:rPr>
          <w:rFonts w:hint="eastAsia"/>
          <w:sz w:val="24"/>
        </w:rPr>
        <w:t>5.2 厂址及总平面布置单元分析评价</w:t>
      </w:r>
      <w:r>
        <w:rPr>
          <w:sz w:val="24"/>
        </w:rPr>
        <w:tab/>
      </w:r>
      <w:r>
        <w:rPr>
          <w:sz w:val="24"/>
        </w:rPr>
        <w:fldChar w:fldCharType="begin"/>
      </w:r>
      <w:r>
        <w:rPr>
          <w:sz w:val="24"/>
        </w:rPr>
        <w:instrText xml:space="preserve"> PAGEREF _Toc9719 \h </w:instrText>
      </w:r>
      <w:r>
        <w:rPr>
          <w:sz w:val="24"/>
        </w:rPr>
        <w:fldChar w:fldCharType="separate"/>
      </w:r>
      <w:r>
        <w:rPr>
          <w:sz w:val="24"/>
        </w:rPr>
        <w:t>88</w:t>
      </w:r>
      <w:r>
        <w:rPr>
          <w:sz w:val="24"/>
        </w:rPr>
        <w:fldChar w:fldCharType="end"/>
      </w:r>
      <w:r>
        <w:rPr>
          <w:color w:val="auto"/>
          <w:sz w:val="24"/>
        </w:rPr>
        <w:fldChar w:fldCharType="end"/>
      </w:r>
    </w:p>
    <w:p w14:paraId="7EB1F222">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_Toc28490 </w:instrText>
      </w:r>
      <w:r>
        <w:rPr>
          <w:sz w:val="24"/>
        </w:rPr>
        <w:fldChar w:fldCharType="separate"/>
      </w:r>
      <w:r>
        <w:rPr>
          <w:rFonts w:hint="eastAsia"/>
          <w:sz w:val="24"/>
        </w:rPr>
        <w:t>5.2.1</w:t>
      </w:r>
      <w:r>
        <w:rPr>
          <w:rFonts w:hint="eastAsia"/>
          <w:sz w:val="24"/>
          <w:lang w:val="en-US" w:eastAsia="zh-CN"/>
        </w:rPr>
        <w:t xml:space="preserve"> </w:t>
      </w:r>
      <w:r>
        <w:rPr>
          <w:rFonts w:hint="eastAsia"/>
          <w:sz w:val="24"/>
        </w:rPr>
        <w:t>厂址及总平面布置安全检查表</w:t>
      </w:r>
      <w:r>
        <w:rPr>
          <w:sz w:val="24"/>
        </w:rPr>
        <w:tab/>
      </w:r>
      <w:r>
        <w:rPr>
          <w:sz w:val="24"/>
        </w:rPr>
        <w:fldChar w:fldCharType="begin"/>
      </w:r>
      <w:r>
        <w:rPr>
          <w:sz w:val="24"/>
        </w:rPr>
        <w:instrText xml:space="preserve"> PAGEREF _Toc28490 \h </w:instrText>
      </w:r>
      <w:r>
        <w:rPr>
          <w:sz w:val="24"/>
        </w:rPr>
        <w:fldChar w:fldCharType="separate"/>
      </w:r>
      <w:r>
        <w:rPr>
          <w:sz w:val="24"/>
        </w:rPr>
        <w:t>88</w:t>
      </w:r>
      <w:r>
        <w:rPr>
          <w:sz w:val="24"/>
        </w:rPr>
        <w:fldChar w:fldCharType="end"/>
      </w:r>
      <w:r>
        <w:rPr>
          <w:color w:val="auto"/>
          <w:sz w:val="24"/>
        </w:rPr>
        <w:fldChar w:fldCharType="end"/>
      </w:r>
    </w:p>
    <w:p w14:paraId="64C6E14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_Toc26589 </w:instrText>
      </w:r>
      <w:r>
        <w:rPr>
          <w:sz w:val="24"/>
        </w:rPr>
        <w:fldChar w:fldCharType="separate"/>
      </w:r>
      <w:r>
        <w:rPr>
          <w:rFonts w:hint="eastAsia"/>
          <w:sz w:val="24"/>
        </w:rPr>
        <w:t>5.2.2 单元评价小结</w:t>
      </w:r>
      <w:r>
        <w:rPr>
          <w:sz w:val="24"/>
        </w:rPr>
        <w:tab/>
      </w:r>
      <w:r>
        <w:rPr>
          <w:sz w:val="24"/>
        </w:rPr>
        <w:fldChar w:fldCharType="begin"/>
      </w:r>
      <w:r>
        <w:rPr>
          <w:sz w:val="24"/>
        </w:rPr>
        <w:instrText xml:space="preserve"> PAGEREF _Toc26589 \h </w:instrText>
      </w:r>
      <w:r>
        <w:rPr>
          <w:sz w:val="24"/>
        </w:rPr>
        <w:fldChar w:fldCharType="separate"/>
      </w:r>
      <w:r>
        <w:rPr>
          <w:sz w:val="24"/>
        </w:rPr>
        <w:t>95</w:t>
      </w:r>
      <w:r>
        <w:rPr>
          <w:sz w:val="24"/>
        </w:rPr>
        <w:fldChar w:fldCharType="end"/>
      </w:r>
      <w:r>
        <w:rPr>
          <w:color w:val="auto"/>
          <w:sz w:val="24"/>
        </w:rPr>
        <w:fldChar w:fldCharType="end"/>
      </w:r>
    </w:p>
    <w:p w14:paraId="17498C07">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_Toc425 </w:instrText>
      </w:r>
      <w:r>
        <w:rPr>
          <w:sz w:val="24"/>
        </w:rPr>
        <w:fldChar w:fldCharType="separate"/>
      </w:r>
      <w:r>
        <w:rPr>
          <w:rFonts w:hint="eastAsia"/>
          <w:sz w:val="24"/>
        </w:rPr>
        <w:t>5.3 生产工艺及设备单元分析评价</w:t>
      </w:r>
      <w:r>
        <w:rPr>
          <w:sz w:val="24"/>
        </w:rPr>
        <w:tab/>
      </w:r>
      <w:r>
        <w:rPr>
          <w:sz w:val="24"/>
        </w:rPr>
        <w:fldChar w:fldCharType="begin"/>
      </w:r>
      <w:r>
        <w:rPr>
          <w:sz w:val="24"/>
        </w:rPr>
        <w:instrText xml:space="preserve"> PAGEREF _Toc425 \h </w:instrText>
      </w:r>
      <w:r>
        <w:rPr>
          <w:sz w:val="24"/>
        </w:rPr>
        <w:fldChar w:fldCharType="separate"/>
      </w:r>
      <w:r>
        <w:rPr>
          <w:sz w:val="24"/>
        </w:rPr>
        <w:t>96</w:t>
      </w:r>
      <w:r>
        <w:rPr>
          <w:sz w:val="24"/>
        </w:rPr>
        <w:fldChar w:fldCharType="end"/>
      </w:r>
      <w:r>
        <w:rPr>
          <w:color w:val="auto"/>
          <w:sz w:val="24"/>
        </w:rPr>
        <w:fldChar w:fldCharType="end"/>
      </w:r>
    </w:p>
    <w:p w14:paraId="1AE120D2">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_Toc26154 </w:instrText>
      </w:r>
      <w:r>
        <w:rPr>
          <w:sz w:val="24"/>
        </w:rPr>
        <w:fldChar w:fldCharType="separate"/>
      </w:r>
      <w:r>
        <w:rPr>
          <w:rFonts w:hint="eastAsia"/>
          <w:sz w:val="24"/>
        </w:rPr>
        <w:t>5.3.1</w:t>
      </w:r>
      <w:r>
        <w:rPr>
          <w:rFonts w:hint="eastAsia"/>
          <w:sz w:val="24"/>
          <w:lang w:val="en-US" w:eastAsia="zh-CN"/>
        </w:rPr>
        <w:t xml:space="preserve"> </w:t>
      </w:r>
      <w:r>
        <w:rPr>
          <w:rFonts w:hint="eastAsia"/>
          <w:sz w:val="24"/>
        </w:rPr>
        <w:t>生产工艺及设备安全检查表</w:t>
      </w:r>
      <w:r>
        <w:rPr>
          <w:sz w:val="24"/>
        </w:rPr>
        <w:tab/>
      </w:r>
      <w:r>
        <w:rPr>
          <w:sz w:val="24"/>
        </w:rPr>
        <w:fldChar w:fldCharType="begin"/>
      </w:r>
      <w:r>
        <w:rPr>
          <w:sz w:val="24"/>
        </w:rPr>
        <w:instrText xml:space="preserve"> PAGEREF _Toc26154 \h </w:instrText>
      </w:r>
      <w:r>
        <w:rPr>
          <w:sz w:val="24"/>
        </w:rPr>
        <w:fldChar w:fldCharType="separate"/>
      </w:r>
      <w:r>
        <w:rPr>
          <w:sz w:val="24"/>
        </w:rPr>
        <w:t>96</w:t>
      </w:r>
      <w:r>
        <w:rPr>
          <w:sz w:val="24"/>
        </w:rPr>
        <w:fldChar w:fldCharType="end"/>
      </w:r>
      <w:r>
        <w:rPr>
          <w:color w:val="auto"/>
          <w:sz w:val="24"/>
        </w:rPr>
        <w:fldChar w:fldCharType="end"/>
      </w:r>
    </w:p>
    <w:p w14:paraId="1F6671AC">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_Toc11695 </w:instrText>
      </w:r>
      <w:r>
        <w:rPr>
          <w:sz w:val="24"/>
        </w:rPr>
        <w:fldChar w:fldCharType="separate"/>
      </w:r>
      <w:r>
        <w:rPr>
          <w:rFonts w:hint="eastAsia"/>
          <w:sz w:val="24"/>
        </w:rPr>
        <w:t>5.3.2</w:t>
      </w:r>
      <w:r>
        <w:rPr>
          <w:rFonts w:hint="eastAsia"/>
          <w:sz w:val="24"/>
          <w:lang w:val="en-US" w:eastAsia="zh-CN"/>
        </w:rPr>
        <w:t xml:space="preserve"> </w:t>
      </w:r>
      <w:r>
        <w:rPr>
          <w:rFonts w:hint="eastAsia"/>
          <w:sz w:val="24"/>
        </w:rPr>
        <w:t>单元评价小结</w:t>
      </w:r>
      <w:r>
        <w:rPr>
          <w:sz w:val="24"/>
        </w:rPr>
        <w:tab/>
      </w:r>
      <w:r>
        <w:rPr>
          <w:sz w:val="24"/>
        </w:rPr>
        <w:fldChar w:fldCharType="begin"/>
      </w:r>
      <w:r>
        <w:rPr>
          <w:sz w:val="24"/>
        </w:rPr>
        <w:instrText xml:space="preserve"> PAGEREF _Toc11695 \h </w:instrText>
      </w:r>
      <w:r>
        <w:rPr>
          <w:sz w:val="24"/>
        </w:rPr>
        <w:fldChar w:fldCharType="separate"/>
      </w:r>
      <w:r>
        <w:rPr>
          <w:sz w:val="24"/>
        </w:rPr>
        <w:t>107</w:t>
      </w:r>
      <w:r>
        <w:rPr>
          <w:sz w:val="24"/>
        </w:rPr>
        <w:fldChar w:fldCharType="end"/>
      </w:r>
      <w:r>
        <w:rPr>
          <w:color w:val="auto"/>
          <w:sz w:val="24"/>
        </w:rPr>
        <w:fldChar w:fldCharType="end"/>
      </w:r>
    </w:p>
    <w:p w14:paraId="30F4D97B">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_Toc6138 </w:instrText>
      </w:r>
      <w:r>
        <w:rPr>
          <w:sz w:val="24"/>
        </w:rPr>
        <w:fldChar w:fldCharType="separate"/>
      </w:r>
      <w:r>
        <w:rPr>
          <w:rFonts w:hint="eastAsia"/>
          <w:sz w:val="24"/>
        </w:rPr>
        <w:t>5.4 公用工程及辅助设施</w:t>
      </w:r>
      <w:r>
        <w:rPr>
          <w:rFonts w:hint="eastAsia"/>
          <w:sz w:val="24"/>
          <w:lang w:val="en-US" w:eastAsia="zh-CN"/>
        </w:rPr>
        <w:t>单元</w:t>
      </w:r>
      <w:r>
        <w:rPr>
          <w:rFonts w:hint="eastAsia"/>
          <w:sz w:val="24"/>
        </w:rPr>
        <w:t>分析评价</w:t>
      </w:r>
      <w:r>
        <w:rPr>
          <w:sz w:val="24"/>
        </w:rPr>
        <w:tab/>
      </w:r>
      <w:r>
        <w:rPr>
          <w:sz w:val="24"/>
        </w:rPr>
        <w:fldChar w:fldCharType="begin"/>
      </w:r>
      <w:r>
        <w:rPr>
          <w:sz w:val="24"/>
        </w:rPr>
        <w:instrText xml:space="preserve"> PAGEREF _Toc6138 \h </w:instrText>
      </w:r>
      <w:r>
        <w:rPr>
          <w:sz w:val="24"/>
        </w:rPr>
        <w:fldChar w:fldCharType="separate"/>
      </w:r>
      <w:r>
        <w:rPr>
          <w:sz w:val="24"/>
        </w:rPr>
        <w:t>108</w:t>
      </w:r>
      <w:r>
        <w:rPr>
          <w:sz w:val="24"/>
        </w:rPr>
        <w:fldChar w:fldCharType="end"/>
      </w:r>
      <w:r>
        <w:rPr>
          <w:color w:val="auto"/>
          <w:sz w:val="24"/>
        </w:rPr>
        <w:fldChar w:fldCharType="end"/>
      </w:r>
    </w:p>
    <w:p w14:paraId="3ED07E81">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_Toc30393 </w:instrText>
      </w:r>
      <w:r>
        <w:rPr>
          <w:sz w:val="24"/>
        </w:rPr>
        <w:fldChar w:fldCharType="separate"/>
      </w:r>
      <w:r>
        <w:rPr>
          <w:rFonts w:hint="eastAsia"/>
          <w:sz w:val="24"/>
        </w:rPr>
        <w:t>5.4.1</w:t>
      </w:r>
      <w:r>
        <w:rPr>
          <w:rFonts w:hint="eastAsia"/>
          <w:sz w:val="24"/>
          <w:lang w:val="en-US" w:eastAsia="zh-CN"/>
        </w:rPr>
        <w:t xml:space="preserve"> </w:t>
      </w:r>
      <w:r>
        <w:rPr>
          <w:rFonts w:hint="eastAsia"/>
          <w:sz w:val="24"/>
        </w:rPr>
        <w:t>供配电系统分析评价</w:t>
      </w:r>
      <w:r>
        <w:rPr>
          <w:sz w:val="24"/>
        </w:rPr>
        <w:tab/>
      </w:r>
      <w:r>
        <w:rPr>
          <w:sz w:val="24"/>
        </w:rPr>
        <w:fldChar w:fldCharType="begin"/>
      </w:r>
      <w:r>
        <w:rPr>
          <w:sz w:val="24"/>
        </w:rPr>
        <w:instrText xml:space="preserve"> PAGEREF _Toc30393 \h </w:instrText>
      </w:r>
      <w:r>
        <w:rPr>
          <w:sz w:val="24"/>
        </w:rPr>
        <w:fldChar w:fldCharType="separate"/>
      </w:r>
      <w:r>
        <w:rPr>
          <w:sz w:val="24"/>
        </w:rPr>
        <w:t>108</w:t>
      </w:r>
      <w:r>
        <w:rPr>
          <w:sz w:val="24"/>
        </w:rPr>
        <w:fldChar w:fldCharType="end"/>
      </w:r>
      <w:r>
        <w:rPr>
          <w:color w:val="auto"/>
          <w:sz w:val="24"/>
        </w:rPr>
        <w:fldChar w:fldCharType="end"/>
      </w:r>
    </w:p>
    <w:p w14:paraId="41648A23">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_Toc8457 </w:instrText>
      </w:r>
      <w:r>
        <w:rPr>
          <w:sz w:val="24"/>
        </w:rPr>
        <w:fldChar w:fldCharType="separate"/>
      </w:r>
      <w:r>
        <w:rPr>
          <w:rFonts w:hint="eastAsia"/>
          <w:sz w:val="24"/>
        </w:rPr>
        <w:t>5.4.2</w:t>
      </w:r>
      <w:r>
        <w:rPr>
          <w:rFonts w:hint="eastAsia"/>
          <w:sz w:val="24"/>
          <w:lang w:val="en-US" w:eastAsia="zh-CN"/>
        </w:rPr>
        <w:t xml:space="preserve"> </w:t>
      </w:r>
      <w:r>
        <w:rPr>
          <w:rFonts w:hint="eastAsia"/>
          <w:sz w:val="24"/>
        </w:rPr>
        <w:t>给排水系统分析评价</w:t>
      </w:r>
      <w:r>
        <w:rPr>
          <w:sz w:val="24"/>
        </w:rPr>
        <w:tab/>
      </w:r>
      <w:r>
        <w:rPr>
          <w:sz w:val="24"/>
        </w:rPr>
        <w:fldChar w:fldCharType="begin"/>
      </w:r>
      <w:r>
        <w:rPr>
          <w:sz w:val="24"/>
        </w:rPr>
        <w:instrText xml:space="preserve"> PAGEREF _Toc8457 \h </w:instrText>
      </w:r>
      <w:r>
        <w:rPr>
          <w:sz w:val="24"/>
        </w:rPr>
        <w:fldChar w:fldCharType="separate"/>
      </w:r>
      <w:r>
        <w:rPr>
          <w:sz w:val="24"/>
        </w:rPr>
        <w:t>112</w:t>
      </w:r>
      <w:r>
        <w:rPr>
          <w:sz w:val="24"/>
        </w:rPr>
        <w:fldChar w:fldCharType="end"/>
      </w:r>
      <w:r>
        <w:rPr>
          <w:color w:val="auto"/>
          <w:sz w:val="24"/>
        </w:rPr>
        <w:fldChar w:fldCharType="end"/>
      </w:r>
    </w:p>
    <w:p w14:paraId="2BD5D148">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_Toc12324 </w:instrText>
      </w:r>
      <w:r>
        <w:rPr>
          <w:sz w:val="24"/>
        </w:rPr>
        <w:fldChar w:fldCharType="separate"/>
      </w:r>
      <w:r>
        <w:rPr>
          <w:rFonts w:hint="eastAsia"/>
          <w:sz w:val="24"/>
        </w:rPr>
        <w:t>5.4.3</w:t>
      </w:r>
      <w:r>
        <w:rPr>
          <w:rFonts w:hint="eastAsia"/>
          <w:sz w:val="24"/>
          <w:lang w:val="en-US" w:eastAsia="zh-CN"/>
        </w:rPr>
        <w:t xml:space="preserve"> </w:t>
      </w:r>
      <w:r>
        <w:rPr>
          <w:rFonts w:hint="eastAsia"/>
          <w:sz w:val="24"/>
        </w:rPr>
        <w:t>消防设施分析评价</w:t>
      </w:r>
      <w:r>
        <w:rPr>
          <w:sz w:val="24"/>
        </w:rPr>
        <w:tab/>
      </w:r>
      <w:r>
        <w:rPr>
          <w:sz w:val="24"/>
        </w:rPr>
        <w:fldChar w:fldCharType="begin"/>
      </w:r>
      <w:r>
        <w:rPr>
          <w:sz w:val="24"/>
        </w:rPr>
        <w:instrText xml:space="preserve"> PAGEREF _Toc12324 \h </w:instrText>
      </w:r>
      <w:r>
        <w:rPr>
          <w:sz w:val="24"/>
        </w:rPr>
        <w:fldChar w:fldCharType="separate"/>
      </w:r>
      <w:r>
        <w:rPr>
          <w:sz w:val="24"/>
        </w:rPr>
        <w:t>112</w:t>
      </w:r>
      <w:r>
        <w:rPr>
          <w:sz w:val="24"/>
        </w:rPr>
        <w:fldChar w:fldCharType="end"/>
      </w:r>
      <w:r>
        <w:rPr>
          <w:color w:val="auto"/>
          <w:sz w:val="24"/>
        </w:rPr>
        <w:fldChar w:fldCharType="end"/>
      </w:r>
    </w:p>
    <w:p w14:paraId="5D3A175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_Toc29604 </w:instrText>
      </w:r>
      <w:r>
        <w:rPr>
          <w:sz w:val="24"/>
        </w:rPr>
        <w:fldChar w:fldCharType="separate"/>
      </w:r>
      <w:r>
        <w:rPr>
          <w:rFonts w:hint="eastAsia"/>
          <w:sz w:val="24"/>
        </w:rPr>
        <w:t>5.4.4</w:t>
      </w:r>
      <w:r>
        <w:rPr>
          <w:rFonts w:hint="eastAsia"/>
          <w:sz w:val="24"/>
          <w:lang w:val="en-US" w:eastAsia="zh-CN"/>
        </w:rPr>
        <w:t xml:space="preserve"> </w:t>
      </w:r>
      <w:r>
        <w:rPr>
          <w:rFonts w:hint="eastAsia"/>
          <w:sz w:val="24"/>
        </w:rPr>
        <w:t>通风、采光</w:t>
      </w:r>
      <w:r>
        <w:rPr>
          <w:rFonts w:hint="eastAsia"/>
          <w:sz w:val="24"/>
          <w:lang w:eastAsia="zh-CN"/>
        </w:rPr>
        <w:t>、</w:t>
      </w:r>
      <w:r>
        <w:rPr>
          <w:rFonts w:hint="eastAsia"/>
          <w:sz w:val="24"/>
          <w:lang w:val="en-US" w:eastAsia="zh-CN"/>
        </w:rPr>
        <w:t>除尘</w:t>
      </w:r>
      <w:r>
        <w:rPr>
          <w:sz w:val="24"/>
        </w:rPr>
        <w:tab/>
      </w:r>
      <w:r>
        <w:rPr>
          <w:sz w:val="24"/>
        </w:rPr>
        <w:fldChar w:fldCharType="begin"/>
      </w:r>
      <w:r>
        <w:rPr>
          <w:sz w:val="24"/>
        </w:rPr>
        <w:instrText xml:space="preserve"> PAGEREF _Toc29604 \h </w:instrText>
      </w:r>
      <w:r>
        <w:rPr>
          <w:sz w:val="24"/>
        </w:rPr>
        <w:fldChar w:fldCharType="separate"/>
      </w:r>
      <w:r>
        <w:rPr>
          <w:sz w:val="24"/>
        </w:rPr>
        <w:t>116</w:t>
      </w:r>
      <w:r>
        <w:rPr>
          <w:sz w:val="24"/>
        </w:rPr>
        <w:fldChar w:fldCharType="end"/>
      </w:r>
      <w:r>
        <w:rPr>
          <w:color w:val="auto"/>
          <w:sz w:val="24"/>
        </w:rPr>
        <w:fldChar w:fldCharType="end"/>
      </w:r>
    </w:p>
    <w:p w14:paraId="64D1B252">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_Toc17884 </w:instrText>
      </w:r>
      <w:r>
        <w:rPr>
          <w:sz w:val="24"/>
        </w:rPr>
        <w:fldChar w:fldCharType="separate"/>
      </w:r>
      <w:r>
        <w:rPr>
          <w:rFonts w:hint="eastAsia"/>
          <w:sz w:val="24"/>
        </w:rPr>
        <w:t>5.4.5</w:t>
      </w:r>
      <w:r>
        <w:rPr>
          <w:rFonts w:hint="eastAsia"/>
          <w:sz w:val="24"/>
          <w:lang w:val="en-US" w:eastAsia="zh-CN"/>
        </w:rPr>
        <w:t xml:space="preserve"> </w:t>
      </w:r>
      <w:r>
        <w:rPr>
          <w:rFonts w:hint="eastAsia"/>
          <w:sz w:val="24"/>
        </w:rPr>
        <w:t>单元评价小结</w:t>
      </w:r>
      <w:r>
        <w:rPr>
          <w:sz w:val="24"/>
        </w:rPr>
        <w:tab/>
      </w:r>
      <w:r>
        <w:rPr>
          <w:sz w:val="24"/>
        </w:rPr>
        <w:fldChar w:fldCharType="begin"/>
      </w:r>
      <w:r>
        <w:rPr>
          <w:sz w:val="24"/>
        </w:rPr>
        <w:instrText xml:space="preserve"> PAGEREF _Toc17884 \h </w:instrText>
      </w:r>
      <w:r>
        <w:rPr>
          <w:sz w:val="24"/>
        </w:rPr>
        <w:fldChar w:fldCharType="separate"/>
      </w:r>
      <w:r>
        <w:rPr>
          <w:sz w:val="24"/>
        </w:rPr>
        <w:t>117</w:t>
      </w:r>
      <w:r>
        <w:rPr>
          <w:sz w:val="24"/>
        </w:rPr>
        <w:fldChar w:fldCharType="end"/>
      </w:r>
      <w:r>
        <w:rPr>
          <w:color w:val="auto"/>
          <w:sz w:val="24"/>
        </w:rPr>
        <w:fldChar w:fldCharType="end"/>
      </w:r>
    </w:p>
    <w:p w14:paraId="15038A1C">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_Toc27512 </w:instrText>
      </w:r>
      <w:r>
        <w:rPr>
          <w:sz w:val="24"/>
        </w:rPr>
        <w:fldChar w:fldCharType="separate"/>
      </w:r>
      <w:r>
        <w:rPr>
          <w:rFonts w:hint="eastAsia"/>
          <w:sz w:val="24"/>
        </w:rPr>
        <w:t>5.5 安全设施单元分析评价</w:t>
      </w:r>
      <w:r>
        <w:rPr>
          <w:sz w:val="24"/>
        </w:rPr>
        <w:tab/>
      </w:r>
      <w:r>
        <w:rPr>
          <w:sz w:val="24"/>
        </w:rPr>
        <w:fldChar w:fldCharType="begin"/>
      </w:r>
      <w:r>
        <w:rPr>
          <w:sz w:val="24"/>
        </w:rPr>
        <w:instrText xml:space="preserve"> PAGEREF _Toc27512 \h </w:instrText>
      </w:r>
      <w:r>
        <w:rPr>
          <w:sz w:val="24"/>
        </w:rPr>
        <w:fldChar w:fldCharType="separate"/>
      </w:r>
      <w:r>
        <w:rPr>
          <w:sz w:val="24"/>
        </w:rPr>
        <w:t>118</w:t>
      </w:r>
      <w:r>
        <w:rPr>
          <w:sz w:val="24"/>
        </w:rPr>
        <w:fldChar w:fldCharType="end"/>
      </w:r>
      <w:r>
        <w:rPr>
          <w:color w:val="auto"/>
          <w:sz w:val="24"/>
        </w:rPr>
        <w:fldChar w:fldCharType="end"/>
      </w:r>
    </w:p>
    <w:p w14:paraId="11970867">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_Toc3725 </w:instrText>
      </w:r>
      <w:r>
        <w:rPr>
          <w:sz w:val="24"/>
        </w:rPr>
        <w:fldChar w:fldCharType="separate"/>
      </w:r>
      <w:r>
        <w:rPr>
          <w:rFonts w:hint="eastAsia"/>
          <w:sz w:val="24"/>
        </w:rPr>
        <w:t>5.5.1</w:t>
      </w:r>
      <w:r>
        <w:rPr>
          <w:rFonts w:hint="eastAsia"/>
          <w:sz w:val="24"/>
          <w:lang w:val="en-US" w:eastAsia="zh-CN"/>
        </w:rPr>
        <w:t xml:space="preserve"> </w:t>
      </w:r>
      <w:r>
        <w:rPr>
          <w:rFonts w:hint="eastAsia"/>
          <w:sz w:val="24"/>
        </w:rPr>
        <w:t>常规防护设施分析评价</w:t>
      </w:r>
      <w:r>
        <w:rPr>
          <w:sz w:val="24"/>
        </w:rPr>
        <w:tab/>
      </w:r>
      <w:r>
        <w:rPr>
          <w:sz w:val="24"/>
        </w:rPr>
        <w:fldChar w:fldCharType="begin"/>
      </w:r>
      <w:r>
        <w:rPr>
          <w:sz w:val="24"/>
        </w:rPr>
        <w:instrText xml:space="preserve"> PAGEREF _Toc3725 \h </w:instrText>
      </w:r>
      <w:r>
        <w:rPr>
          <w:sz w:val="24"/>
        </w:rPr>
        <w:fldChar w:fldCharType="separate"/>
      </w:r>
      <w:r>
        <w:rPr>
          <w:sz w:val="24"/>
        </w:rPr>
        <w:t>118</w:t>
      </w:r>
      <w:r>
        <w:rPr>
          <w:sz w:val="24"/>
        </w:rPr>
        <w:fldChar w:fldCharType="end"/>
      </w:r>
      <w:r>
        <w:rPr>
          <w:color w:val="auto"/>
          <w:sz w:val="24"/>
        </w:rPr>
        <w:fldChar w:fldCharType="end"/>
      </w:r>
    </w:p>
    <w:p w14:paraId="6B197291">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_Toc28549 </w:instrText>
      </w:r>
      <w:r>
        <w:rPr>
          <w:sz w:val="24"/>
        </w:rPr>
        <w:fldChar w:fldCharType="separate"/>
      </w:r>
      <w:r>
        <w:rPr>
          <w:rFonts w:hint="eastAsia"/>
          <w:sz w:val="24"/>
        </w:rPr>
        <w:t>5.5.2</w:t>
      </w:r>
      <w:r>
        <w:rPr>
          <w:rFonts w:hint="eastAsia"/>
          <w:sz w:val="24"/>
          <w:lang w:val="en-US" w:eastAsia="zh-CN"/>
        </w:rPr>
        <w:t xml:space="preserve"> </w:t>
      </w:r>
      <w:r>
        <w:rPr>
          <w:rFonts w:hint="eastAsia"/>
          <w:sz w:val="24"/>
        </w:rPr>
        <w:t>应急设施分析评价</w:t>
      </w:r>
      <w:r>
        <w:rPr>
          <w:sz w:val="24"/>
        </w:rPr>
        <w:tab/>
      </w:r>
      <w:r>
        <w:rPr>
          <w:sz w:val="24"/>
        </w:rPr>
        <w:fldChar w:fldCharType="begin"/>
      </w:r>
      <w:r>
        <w:rPr>
          <w:sz w:val="24"/>
        </w:rPr>
        <w:instrText xml:space="preserve"> PAGEREF _Toc28549 \h </w:instrText>
      </w:r>
      <w:r>
        <w:rPr>
          <w:sz w:val="24"/>
        </w:rPr>
        <w:fldChar w:fldCharType="separate"/>
      </w:r>
      <w:r>
        <w:rPr>
          <w:sz w:val="24"/>
        </w:rPr>
        <w:t>122</w:t>
      </w:r>
      <w:r>
        <w:rPr>
          <w:sz w:val="24"/>
        </w:rPr>
        <w:fldChar w:fldCharType="end"/>
      </w:r>
      <w:r>
        <w:rPr>
          <w:color w:val="auto"/>
          <w:sz w:val="24"/>
        </w:rPr>
        <w:fldChar w:fldCharType="end"/>
      </w:r>
    </w:p>
    <w:p w14:paraId="233A5DA4">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_Toc7211 </w:instrText>
      </w:r>
      <w:r>
        <w:rPr>
          <w:sz w:val="24"/>
        </w:rPr>
        <w:fldChar w:fldCharType="separate"/>
      </w:r>
      <w:r>
        <w:rPr>
          <w:rFonts w:hint="eastAsia"/>
          <w:sz w:val="24"/>
        </w:rPr>
        <w:t>5.5.3</w:t>
      </w:r>
      <w:r>
        <w:rPr>
          <w:rFonts w:hint="eastAsia"/>
          <w:sz w:val="24"/>
          <w:lang w:val="en-US" w:eastAsia="zh-CN"/>
        </w:rPr>
        <w:t xml:space="preserve"> </w:t>
      </w:r>
      <w:r>
        <w:rPr>
          <w:rFonts w:hint="eastAsia"/>
          <w:sz w:val="24"/>
        </w:rPr>
        <w:t>个体防护设施</w:t>
      </w:r>
      <w:r>
        <w:rPr>
          <w:sz w:val="24"/>
        </w:rPr>
        <w:tab/>
      </w:r>
      <w:r>
        <w:rPr>
          <w:sz w:val="24"/>
        </w:rPr>
        <w:fldChar w:fldCharType="begin"/>
      </w:r>
      <w:r>
        <w:rPr>
          <w:sz w:val="24"/>
        </w:rPr>
        <w:instrText xml:space="preserve"> PAGEREF _Toc7211 \h </w:instrText>
      </w:r>
      <w:r>
        <w:rPr>
          <w:sz w:val="24"/>
        </w:rPr>
        <w:fldChar w:fldCharType="separate"/>
      </w:r>
      <w:r>
        <w:rPr>
          <w:sz w:val="24"/>
        </w:rPr>
        <w:t>122</w:t>
      </w:r>
      <w:r>
        <w:rPr>
          <w:sz w:val="24"/>
        </w:rPr>
        <w:fldChar w:fldCharType="end"/>
      </w:r>
      <w:r>
        <w:rPr>
          <w:color w:val="auto"/>
          <w:sz w:val="24"/>
        </w:rPr>
        <w:fldChar w:fldCharType="end"/>
      </w:r>
    </w:p>
    <w:p w14:paraId="54E92C01">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_Toc23803 </w:instrText>
      </w:r>
      <w:r>
        <w:rPr>
          <w:sz w:val="24"/>
        </w:rPr>
        <w:fldChar w:fldCharType="separate"/>
      </w:r>
      <w:r>
        <w:rPr>
          <w:rFonts w:hint="eastAsia"/>
          <w:sz w:val="24"/>
        </w:rPr>
        <w:t>5.5.4</w:t>
      </w:r>
      <w:r>
        <w:rPr>
          <w:rFonts w:hint="eastAsia"/>
          <w:sz w:val="24"/>
          <w:lang w:val="en-US" w:eastAsia="zh-CN"/>
        </w:rPr>
        <w:t xml:space="preserve"> </w:t>
      </w:r>
      <w:r>
        <w:rPr>
          <w:rFonts w:hint="eastAsia"/>
          <w:sz w:val="24"/>
        </w:rPr>
        <w:t>单元评价小结</w:t>
      </w:r>
      <w:r>
        <w:rPr>
          <w:sz w:val="24"/>
        </w:rPr>
        <w:tab/>
      </w:r>
      <w:r>
        <w:rPr>
          <w:sz w:val="24"/>
        </w:rPr>
        <w:fldChar w:fldCharType="begin"/>
      </w:r>
      <w:r>
        <w:rPr>
          <w:sz w:val="24"/>
        </w:rPr>
        <w:instrText xml:space="preserve"> PAGEREF _Toc23803 \h </w:instrText>
      </w:r>
      <w:r>
        <w:rPr>
          <w:sz w:val="24"/>
        </w:rPr>
        <w:fldChar w:fldCharType="separate"/>
      </w:r>
      <w:r>
        <w:rPr>
          <w:sz w:val="24"/>
        </w:rPr>
        <w:t>122</w:t>
      </w:r>
      <w:r>
        <w:rPr>
          <w:sz w:val="24"/>
        </w:rPr>
        <w:fldChar w:fldCharType="end"/>
      </w:r>
      <w:r>
        <w:rPr>
          <w:color w:val="auto"/>
          <w:sz w:val="24"/>
        </w:rPr>
        <w:fldChar w:fldCharType="end"/>
      </w:r>
    </w:p>
    <w:p w14:paraId="19A24C1B">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_Toc26094 </w:instrText>
      </w:r>
      <w:r>
        <w:rPr>
          <w:sz w:val="24"/>
        </w:rPr>
        <w:fldChar w:fldCharType="separate"/>
      </w:r>
      <w:r>
        <w:rPr>
          <w:rFonts w:hint="eastAsia"/>
          <w:sz w:val="24"/>
        </w:rPr>
        <w:t>5.6 安全管理单元分析评价</w:t>
      </w:r>
      <w:r>
        <w:rPr>
          <w:sz w:val="24"/>
        </w:rPr>
        <w:tab/>
      </w:r>
      <w:r>
        <w:rPr>
          <w:sz w:val="24"/>
        </w:rPr>
        <w:fldChar w:fldCharType="begin"/>
      </w:r>
      <w:r>
        <w:rPr>
          <w:sz w:val="24"/>
        </w:rPr>
        <w:instrText xml:space="preserve"> PAGEREF _Toc26094 \h </w:instrText>
      </w:r>
      <w:r>
        <w:rPr>
          <w:sz w:val="24"/>
        </w:rPr>
        <w:fldChar w:fldCharType="separate"/>
      </w:r>
      <w:r>
        <w:rPr>
          <w:sz w:val="24"/>
        </w:rPr>
        <w:t>123</w:t>
      </w:r>
      <w:r>
        <w:rPr>
          <w:sz w:val="24"/>
        </w:rPr>
        <w:fldChar w:fldCharType="end"/>
      </w:r>
      <w:r>
        <w:rPr>
          <w:color w:val="auto"/>
          <w:sz w:val="24"/>
        </w:rPr>
        <w:fldChar w:fldCharType="end"/>
      </w:r>
    </w:p>
    <w:p w14:paraId="0C6E675E">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_Toc18907 </w:instrText>
      </w:r>
      <w:r>
        <w:rPr>
          <w:sz w:val="24"/>
        </w:rPr>
        <w:fldChar w:fldCharType="separate"/>
      </w:r>
      <w:r>
        <w:rPr>
          <w:rFonts w:hint="eastAsia"/>
          <w:sz w:val="24"/>
        </w:rPr>
        <w:t>5.6.1</w:t>
      </w:r>
      <w:r>
        <w:rPr>
          <w:rFonts w:hint="eastAsia"/>
          <w:sz w:val="24"/>
          <w:lang w:val="en-US" w:eastAsia="zh-CN"/>
        </w:rPr>
        <w:t xml:space="preserve"> </w:t>
      </w:r>
      <w:r>
        <w:rPr>
          <w:rFonts w:hint="eastAsia"/>
          <w:sz w:val="24"/>
        </w:rPr>
        <w:t>安全生产管理检查表</w:t>
      </w:r>
      <w:r>
        <w:rPr>
          <w:sz w:val="24"/>
        </w:rPr>
        <w:tab/>
      </w:r>
      <w:r>
        <w:rPr>
          <w:sz w:val="24"/>
        </w:rPr>
        <w:fldChar w:fldCharType="begin"/>
      </w:r>
      <w:r>
        <w:rPr>
          <w:sz w:val="24"/>
        </w:rPr>
        <w:instrText xml:space="preserve"> PAGEREF _Toc18907 \h </w:instrText>
      </w:r>
      <w:r>
        <w:rPr>
          <w:sz w:val="24"/>
        </w:rPr>
        <w:fldChar w:fldCharType="separate"/>
      </w:r>
      <w:r>
        <w:rPr>
          <w:sz w:val="24"/>
        </w:rPr>
        <w:t>123</w:t>
      </w:r>
      <w:r>
        <w:rPr>
          <w:sz w:val="24"/>
        </w:rPr>
        <w:fldChar w:fldCharType="end"/>
      </w:r>
      <w:r>
        <w:rPr>
          <w:color w:val="auto"/>
          <w:sz w:val="24"/>
        </w:rPr>
        <w:fldChar w:fldCharType="end"/>
      </w:r>
    </w:p>
    <w:p w14:paraId="7E9C64E2">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_Toc16117 </w:instrText>
      </w:r>
      <w:r>
        <w:rPr>
          <w:sz w:val="24"/>
        </w:rPr>
        <w:fldChar w:fldCharType="separate"/>
      </w:r>
      <w:r>
        <w:rPr>
          <w:rFonts w:hint="eastAsia"/>
          <w:sz w:val="24"/>
        </w:rPr>
        <w:t>5.6.2</w:t>
      </w:r>
      <w:r>
        <w:rPr>
          <w:rFonts w:hint="eastAsia"/>
          <w:sz w:val="24"/>
          <w:lang w:val="en-US" w:eastAsia="zh-CN"/>
        </w:rPr>
        <w:t xml:space="preserve"> </w:t>
      </w:r>
      <w:r>
        <w:rPr>
          <w:rFonts w:hint="eastAsia"/>
          <w:sz w:val="24"/>
        </w:rPr>
        <w:t>单元评价小结</w:t>
      </w:r>
      <w:r>
        <w:rPr>
          <w:sz w:val="24"/>
        </w:rPr>
        <w:tab/>
      </w:r>
      <w:r>
        <w:rPr>
          <w:sz w:val="24"/>
        </w:rPr>
        <w:fldChar w:fldCharType="begin"/>
      </w:r>
      <w:r>
        <w:rPr>
          <w:sz w:val="24"/>
        </w:rPr>
        <w:instrText xml:space="preserve"> PAGEREF _Toc16117 \h </w:instrText>
      </w:r>
      <w:r>
        <w:rPr>
          <w:sz w:val="24"/>
        </w:rPr>
        <w:fldChar w:fldCharType="separate"/>
      </w:r>
      <w:r>
        <w:rPr>
          <w:sz w:val="24"/>
        </w:rPr>
        <w:t>128</w:t>
      </w:r>
      <w:r>
        <w:rPr>
          <w:sz w:val="24"/>
        </w:rPr>
        <w:fldChar w:fldCharType="end"/>
      </w:r>
      <w:r>
        <w:rPr>
          <w:color w:val="auto"/>
          <w:sz w:val="24"/>
        </w:rPr>
        <w:fldChar w:fldCharType="end"/>
      </w:r>
    </w:p>
    <w:p w14:paraId="03BAAF45">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_Toc25978 </w:instrText>
      </w:r>
      <w:r>
        <w:rPr>
          <w:sz w:val="24"/>
        </w:rPr>
        <w:fldChar w:fldCharType="separate"/>
      </w:r>
      <w:r>
        <w:rPr>
          <w:rFonts w:hint="eastAsia"/>
          <w:sz w:val="24"/>
        </w:rPr>
        <w:t>5.7 危险危害程度评价</w:t>
      </w:r>
      <w:r>
        <w:rPr>
          <w:sz w:val="24"/>
        </w:rPr>
        <w:tab/>
      </w:r>
      <w:r>
        <w:rPr>
          <w:sz w:val="24"/>
        </w:rPr>
        <w:fldChar w:fldCharType="begin"/>
      </w:r>
      <w:r>
        <w:rPr>
          <w:sz w:val="24"/>
        </w:rPr>
        <w:instrText xml:space="preserve"> PAGEREF _Toc25978 \h </w:instrText>
      </w:r>
      <w:r>
        <w:rPr>
          <w:sz w:val="24"/>
        </w:rPr>
        <w:fldChar w:fldCharType="separate"/>
      </w:r>
      <w:r>
        <w:rPr>
          <w:sz w:val="24"/>
        </w:rPr>
        <w:t>128</w:t>
      </w:r>
      <w:r>
        <w:rPr>
          <w:sz w:val="24"/>
        </w:rPr>
        <w:fldChar w:fldCharType="end"/>
      </w:r>
      <w:r>
        <w:rPr>
          <w:color w:val="auto"/>
          <w:sz w:val="24"/>
        </w:rPr>
        <w:fldChar w:fldCharType="end"/>
      </w:r>
    </w:p>
    <w:p w14:paraId="299A5BC8">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_Toc26404 </w:instrText>
      </w:r>
      <w:r>
        <w:rPr>
          <w:sz w:val="24"/>
        </w:rPr>
        <w:fldChar w:fldCharType="separate"/>
      </w:r>
      <w:r>
        <w:rPr>
          <w:rFonts w:hint="eastAsia"/>
          <w:sz w:val="24"/>
        </w:rPr>
        <w:t>5.7.1</w:t>
      </w:r>
      <w:r>
        <w:rPr>
          <w:rFonts w:hint="eastAsia"/>
          <w:sz w:val="24"/>
          <w:lang w:val="en-US" w:eastAsia="zh-CN"/>
        </w:rPr>
        <w:t xml:space="preserve"> </w:t>
      </w:r>
      <w:r>
        <w:rPr>
          <w:rFonts w:hint="eastAsia"/>
          <w:sz w:val="24"/>
        </w:rPr>
        <w:t>危险有害因素汇总</w:t>
      </w:r>
      <w:r>
        <w:rPr>
          <w:sz w:val="24"/>
        </w:rPr>
        <w:tab/>
      </w:r>
      <w:r>
        <w:rPr>
          <w:sz w:val="24"/>
        </w:rPr>
        <w:fldChar w:fldCharType="begin"/>
      </w:r>
      <w:r>
        <w:rPr>
          <w:sz w:val="24"/>
        </w:rPr>
        <w:instrText xml:space="preserve"> PAGEREF _Toc26404 \h </w:instrText>
      </w:r>
      <w:r>
        <w:rPr>
          <w:sz w:val="24"/>
        </w:rPr>
        <w:fldChar w:fldCharType="separate"/>
      </w:r>
      <w:r>
        <w:rPr>
          <w:sz w:val="24"/>
        </w:rPr>
        <w:t>128</w:t>
      </w:r>
      <w:r>
        <w:rPr>
          <w:sz w:val="24"/>
        </w:rPr>
        <w:fldChar w:fldCharType="end"/>
      </w:r>
      <w:r>
        <w:rPr>
          <w:color w:val="auto"/>
          <w:sz w:val="24"/>
        </w:rPr>
        <w:fldChar w:fldCharType="end"/>
      </w:r>
    </w:p>
    <w:p w14:paraId="098F9ED6">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_Toc11878 </w:instrText>
      </w:r>
      <w:r>
        <w:rPr>
          <w:sz w:val="24"/>
        </w:rPr>
        <w:fldChar w:fldCharType="separate"/>
      </w:r>
      <w:r>
        <w:rPr>
          <w:rFonts w:hint="eastAsia"/>
          <w:sz w:val="24"/>
        </w:rPr>
        <w:t>5.7.2</w:t>
      </w:r>
      <w:r>
        <w:rPr>
          <w:rFonts w:hint="eastAsia"/>
          <w:sz w:val="24"/>
          <w:lang w:val="en-US" w:eastAsia="zh-CN"/>
        </w:rPr>
        <w:t xml:space="preserve"> </w:t>
      </w:r>
      <w:r>
        <w:rPr>
          <w:rFonts w:hint="eastAsia"/>
          <w:sz w:val="24"/>
        </w:rPr>
        <w:t>危险性分值计算</w:t>
      </w:r>
      <w:r>
        <w:rPr>
          <w:sz w:val="24"/>
        </w:rPr>
        <w:tab/>
      </w:r>
      <w:r>
        <w:rPr>
          <w:sz w:val="24"/>
        </w:rPr>
        <w:fldChar w:fldCharType="begin"/>
      </w:r>
      <w:r>
        <w:rPr>
          <w:sz w:val="24"/>
        </w:rPr>
        <w:instrText xml:space="preserve"> PAGEREF _Toc11878 \h </w:instrText>
      </w:r>
      <w:r>
        <w:rPr>
          <w:sz w:val="24"/>
        </w:rPr>
        <w:fldChar w:fldCharType="separate"/>
      </w:r>
      <w:r>
        <w:rPr>
          <w:sz w:val="24"/>
        </w:rPr>
        <w:t>128</w:t>
      </w:r>
      <w:r>
        <w:rPr>
          <w:sz w:val="24"/>
        </w:rPr>
        <w:fldChar w:fldCharType="end"/>
      </w:r>
      <w:r>
        <w:rPr>
          <w:color w:val="auto"/>
          <w:sz w:val="24"/>
        </w:rPr>
        <w:fldChar w:fldCharType="end"/>
      </w:r>
    </w:p>
    <w:p w14:paraId="52C307A3">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_Toc12302 </w:instrText>
      </w:r>
      <w:r>
        <w:rPr>
          <w:sz w:val="24"/>
        </w:rPr>
        <w:fldChar w:fldCharType="separate"/>
      </w:r>
      <w:r>
        <w:rPr>
          <w:rFonts w:hint="eastAsia"/>
          <w:sz w:val="24"/>
        </w:rPr>
        <w:t>5.7.3</w:t>
      </w:r>
      <w:r>
        <w:rPr>
          <w:rFonts w:hint="eastAsia"/>
          <w:sz w:val="24"/>
          <w:lang w:val="en-US" w:eastAsia="zh-CN"/>
        </w:rPr>
        <w:t xml:space="preserve"> </w:t>
      </w:r>
      <w:r>
        <w:rPr>
          <w:rFonts w:hint="eastAsia"/>
          <w:sz w:val="24"/>
        </w:rPr>
        <w:t>危险危害程度分析</w:t>
      </w:r>
      <w:r>
        <w:rPr>
          <w:sz w:val="24"/>
        </w:rPr>
        <w:tab/>
      </w:r>
      <w:r>
        <w:rPr>
          <w:sz w:val="24"/>
        </w:rPr>
        <w:fldChar w:fldCharType="begin"/>
      </w:r>
      <w:r>
        <w:rPr>
          <w:sz w:val="24"/>
        </w:rPr>
        <w:instrText xml:space="preserve"> PAGEREF _Toc12302 \h </w:instrText>
      </w:r>
      <w:r>
        <w:rPr>
          <w:sz w:val="24"/>
        </w:rPr>
        <w:fldChar w:fldCharType="separate"/>
      </w:r>
      <w:r>
        <w:rPr>
          <w:sz w:val="24"/>
        </w:rPr>
        <w:t>129</w:t>
      </w:r>
      <w:r>
        <w:rPr>
          <w:sz w:val="24"/>
        </w:rPr>
        <w:fldChar w:fldCharType="end"/>
      </w:r>
      <w:r>
        <w:rPr>
          <w:color w:val="auto"/>
          <w:sz w:val="24"/>
        </w:rPr>
        <w:fldChar w:fldCharType="end"/>
      </w:r>
    </w:p>
    <w:p w14:paraId="079F6B9A">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_Toc12353 </w:instrText>
      </w:r>
      <w:r>
        <w:rPr>
          <w:sz w:val="24"/>
        </w:rPr>
        <w:fldChar w:fldCharType="separate"/>
      </w:r>
      <w:r>
        <w:rPr>
          <w:rFonts w:hint="eastAsia"/>
          <w:sz w:val="24"/>
        </w:rPr>
        <w:t>5.7.4</w:t>
      </w:r>
      <w:r>
        <w:rPr>
          <w:rFonts w:hint="eastAsia"/>
          <w:sz w:val="24"/>
          <w:lang w:val="en-US" w:eastAsia="zh-CN"/>
        </w:rPr>
        <w:t xml:space="preserve"> </w:t>
      </w:r>
      <w:r>
        <w:rPr>
          <w:rFonts w:hint="eastAsia"/>
          <w:sz w:val="24"/>
        </w:rPr>
        <w:t>单元小结</w:t>
      </w:r>
      <w:r>
        <w:rPr>
          <w:sz w:val="24"/>
        </w:rPr>
        <w:tab/>
      </w:r>
      <w:r>
        <w:rPr>
          <w:sz w:val="24"/>
        </w:rPr>
        <w:fldChar w:fldCharType="begin"/>
      </w:r>
      <w:r>
        <w:rPr>
          <w:sz w:val="24"/>
        </w:rPr>
        <w:instrText xml:space="preserve"> PAGEREF _Toc12353 \h </w:instrText>
      </w:r>
      <w:r>
        <w:rPr>
          <w:sz w:val="24"/>
        </w:rPr>
        <w:fldChar w:fldCharType="separate"/>
      </w:r>
      <w:r>
        <w:rPr>
          <w:sz w:val="24"/>
        </w:rPr>
        <w:t>130</w:t>
      </w:r>
      <w:r>
        <w:rPr>
          <w:sz w:val="24"/>
        </w:rPr>
        <w:fldChar w:fldCharType="end"/>
      </w:r>
      <w:r>
        <w:rPr>
          <w:color w:val="auto"/>
          <w:sz w:val="24"/>
        </w:rPr>
        <w:fldChar w:fldCharType="end"/>
      </w:r>
    </w:p>
    <w:p w14:paraId="4412FA2A">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_Toc15828 </w:instrText>
      </w:r>
      <w:r>
        <w:rPr>
          <w:sz w:val="24"/>
        </w:rPr>
        <w:fldChar w:fldCharType="separate"/>
      </w:r>
      <w:r>
        <w:rPr>
          <w:rFonts w:hint="eastAsia"/>
          <w:sz w:val="24"/>
          <w:lang w:val="en-US" w:eastAsia="zh-CN"/>
        </w:rPr>
        <w:t xml:space="preserve">5.8 </w:t>
      </w:r>
      <w:r>
        <w:rPr>
          <w:rFonts w:hint="eastAsia"/>
          <w:sz w:val="24"/>
        </w:rPr>
        <w:t>重大生产安全事故隐患判定单元</w:t>
      </w:r>
      <w:r>
        <w:rPr>
          <w:sz w:val="24"/>
        </w:rPr>
        <w:tab/>
      </w:r>
      <w:r>
        <w:rPr>
          <w:sz w:val="24"/>
        </w:rPr>
        <w:fldChar w:fldCharType="begin"/>
      </w:r>
      <w:r>
        <w:rPr>
          <w:sz w:val="24"/>
        </w:rPr>
        <w:instrText xml:space="preserve"> PAGEREF _Toc15828 \h </w:instrText>
      </w:r>
      <w:r>
        <w:rPr>
          <w:sz w:val="24"/>
        </w:rPr>
        <w:fldChar w:fldCharType="separate"/>
      </w:r>
      <w:r>
        <w:rPr>
          <w:sz w:val="24"/>
        </w:rPr>
        <w:t>130</w:t>
      </w:r>
      <w:r>
        <w:rPr>
          <w:sz w:val="24"/>
        </w:rPr>
        <w:fldChar w:fldCharType="end"/>
      </w:r>
      <w:r>
        <w:rPr>
          <w:color w:val="auto"/>
          <w:sz w:val="24"/>
        </w:rPr>
        <w:fldChar w:fldCharType="end"/>
      </w:r>
    </w:p>
    <w:p w14:paraId="092D0D29">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_Toc20868 </w:instrText>
      </w:r>
      <w:r>
        <w:rPr>
          <w:sz w:val="24"/>
        </w:rPr>
        <w:fldChar w:fldCharType="separate"/>
      </w:r>
      <w:r>
        <w:rPr>
          <w:rFonts w:hint="eastAsia"/>
          <w:sz w:val="24"/>
        </w:rPr>
        <w:t>6 安全对策措施及建议</w:t>
      </w:r>
      <w:r>
        <w:rPr>
          <w:sz w:val="24"/>
        </w:rPr>
        <w:tab/>
      </w:r>
      <w:r>
        <w:rPr>
          <w:sz w:val="24"/>
        </w:rPr>
        <w:fldChar w:fldCharType="begin"/>
      </w:r>
      <w:r>
        <w:rPr>
          <w:sz w:val="24"/>
        </w:rPr>
        <w:instrText xml:space="preserve"> PAGEREF _Toc20868 \h </w:instrText>
      </w:r>
      <w:r>
        <w:rPr>
          <w:sz w:val="24"/>
        </w:rPr>
        <w:fldChar w:fldCharType="separate"/>
      </w:r>
      <w:r>
        <w:rPr>
          <w:sz w:val="24"/>
        </w:rPr>
        <w:t>132</w:t>
      </w:r>
      <w:r>
        <w:rPr>
          <w:sz w:val="24"/>
        </w:rPr>
        <w:fldChar w:fldCharType="end"/>
      </w:r>
      <w:r>
        <w:rPr>
          <w:color w:val="auto"/>
          <w:sz w:val="24"/>
        </w:rPr>
        <w:fldChar w:fldCharType="end"/>
      </w:r>
    </w:p>
    <w:p w14:paraId="5755F430">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_Toc27753 </w:instrText>
      </w:r>
      <w:r>
        <w:rPr>
          <w:sz w:val="24"/>
        </w:rPr>
        <w:fldChar w:fldCharType="separate"/>
      </w:r>
      <w:r>
        <w:rPr>
          <w:rFonts w:hint="eastAsia"/>
          <w:sz w:val="24"/>
        </w:rPr>
        <w:t>6.1 存在的主要问题、整改建议及整改情况</w:t>
      </w:r>
      <w:r>
        <w:rPr>
          <w:sz w:val="24"/>
        </w:rPr>
        <w:tab/>
      </w:r>
      <w:r>
        <w:rPr>
          <w:sz w:val="24"/>
        </w:rPr>
        <w:fldChar w:fldCharType="begin"/>
      </w:r>
      <w:r>
        <w:rPr>
          <w:sz w:val="24"/>
        </w:rPr>
        <w:instrText xml:space="preserve"> PAGEREF _Toc27753 \h </w:instrText>
      </w:r>
      <w:r>
        <w:rPr>
          <w:sz w:val="24"/>
        </w:rPr>
        <w:fldChar w:fldCharType="separate"/>
      </w:r>
      <w:r>
        <w:rPr>
          <w:sz w:val="24"/>
        </w:rPr>
        <w:t>132</w:t>
      </w:r>
      <w:r>
        <w:rPr>
          <w:sz w:val="24"/>
        </w:rPr>
        <w:fldChar w:fldCharType="end"/>
      </w:r>
      <w:r>
        <w:rPr>
          <w:color w:val="auto"/>
          <w:sz w:val="24"/>
        </w:rPr>
        <w:fldChar w:fldCharType="end"/>
      </w:r>
    </w:p>
    <w:p w14:paraId="3957855A">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_Toc14411 </w:instrText>
      </w:r>
      <w:r>
        <w:rPr>
          <w:sz w:val="24"/>
        </w:rPr>
        <w:fldChar w:fldCharType="separate"/>
      </w:r>
      <w:r>
        <w:rPr>
          <w:rFonts w:hint="eastAsia"/>
          <w:sz w:val="24"/>
        </w:rPr>
        <w:t>6.1.1 存在的主要问题及整改建议</w:t>
      </w:r>
      <w:r>
        <w:rPr>
          <w:sz w:val="24"/>
        </w:rPr>
        <w:tab/>
      </w:r>
      <w:r>
        <w:rPr>
          <w:sz w:val="24"/>
        </w:rPr>
        <w:fldChar w:fldCharType="begin"/>
      </w:r>
      <w:r>
        <w:rPr>
          <w:sz w:val="24"/>
        </w:rPr>
        <w:instrText xml:space="preserve"> PAGEREF _Toc14411 \h </w:instrText>
      </w:r>
      <w:r>
        <w:rPr>
          <w:sz w:val="24"/>
        </w:rPr>
        <w:fldChar w:fldCharType="separate"/>
      </w:r>
      <w:r>
        <w:rPr>
          <w:sz w:val="24"/>
        </w:rPr>
        <w:t>132</w:t>
      </w:r>
      <w:r>
        <w:rPr>
          <w:sz w:val="24"/>
        </w:rPr>
        <w:fldChar w:fldCharType="end"/>
      </w:r>
      <w:r>
        <w:rPr>
          <w:color w:val="auto"/>
          <w:sz w:val="24"/>
        </w:rPr>
        <w:fldChar w:fldCharType="end"/>
      </w:r>
    </w:p>
    <w:p w14:paraId="234E0419">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_Toc25506 </w:instrText>
      </w:r>
      <w:r>
        <w:rPr>
          <w:sz w:val="24"/>
        </w:rPr>
        <w:fldChar w:fldCharType="separate"/>
      </w:r>
      <w:r>
        <w:rPr>
          <w:rFonts w:hint="eastAsia"/>
          <w:sz w:val="24"/>
        </w:rPr>
        <w:t>6.1.2 现场存在问题整改情况</w:t>
      </w:r>
      <w:r>
        <w:rPr>
          <w:sz w:val="24"/>
        </w:rPr>
        <w:tab/>
      </w:r>
      <w:r>
        <w:rPr>
          <w:sz w:val="24"/>
        </w:rPr>
        <w:fldChar w:fldCharType="begin"/>
      </w:r>
      <w:r>
        <w:rPr>
          <w:sz w:val="24"/>
        </w:rPr>
        <w:instrText xml:space="preserve"> PAGEREF _Toc25506 \h </w:instrText>
      </w:r>
      <w:r>
        <w:rPr>
          <w:sz w:val="24"/>
        </w:rPr>
        <w:fldChar w:fldCharType="separate"/>
      </w:r>
      <w:r>
        <w:rPr>
          <w:sz w:val="24"/>
        </w:rPr>
        <w:t>133</w:t>
      </w:r>
      <w:r>
        <w:rPr>
          <w:sz w:val="24"/>
        </w:rPr>
        <w:fldChar w:fldCharType="end"/>
      </w:r>
      <w:r>
        <w:rPr>
          <w:color w:val="auto"/>
          <w:sz w:val="24"/>
        </w:rPr>
        <w:fldChar w:fldCharType="end"/>
      </w:r>
    </w:p>
    <w:p w14:paraId="17602EA9">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_Toc18075 </w:instrText>
      </w:r>
      <w:r>
        <w:rPr>
          <w:sz w:val="24"/>
        </w:rPr>
        <w:fldChar w:fldCharType="separate"/>
      </w:r>
      <w:r>
        <w:rPr>
          <w:rFonts w:hint="eastAsia"/>
          <w:sz w:val="24"/>
        </w:rPr>
        <w:t>6.2 主要安全对策措施与建议</w:t>
      </w:r>
      <w:r>
        <w:rPr>
          <w:sz w:val="24"/>
        </w:rPr>
        <w:tab/>
      </w:r>
      <w:r>
        <w:rPr>
          <w:sz w:val="24"/>
        </w:rPr>
        <w:fldChar w:fldCharType="begin"/>
      </w:r>
      <w:r>
        <w:rPr>
          <w:sz w:val="24"/>
        </w:rPr>
        <w:instrText xml:space="preserve"> PAGEREF _Toc18075 \h </w:instrText>
      </w:r>
      <w:r>
        <w:rPr>
          <w:sz w:val="24"/>
        </w:rPr>
        <w:fldChar w:fldCharType="separate"/>
      </w:r>
      <w:r>
        <w:rPr>
          <w:sz w:val="24"/>
        </w:rPr>
        <w:t>133</w:t>
      </w:r>
      <w:r>
        <w:rPr>
          <w:sz w:val="24"/>
        </w:rPr>
        <w:fldChar w:fldCharType="end"/>
      </w:r>
      <w:r>
        <w:rPr>
          <w:color w:val="auto"/>
          <w:sz w:val="24"/>
        </w:rPr>
        <w:fldChar w:fldCharType="end"/>
      </w:r>
    </w:p>
    <w:p w14:paraId="5FF379B6">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_Toc30953 </w:instrText>
      </w:r>
      <w:r>
        <w:rPr>
          <w:sz w:val="24"/>
        </w:rPr>
        <w:fldChar w:fldCharType="separate"/>
      </w:r>
      <w:r>
        <w:rPr>
          <w:rFonts w:hint="eastAsia"/>
          <w:sz w:val="24"/>
        </w:rPr>
        <w:t>6.2.1 厂址及总平面布置单元安全对策措施建议</w:t>
      </w:r>
      <w:r>
        <w:rPr>
          <w:sz w:val="24"/>
        </w:rPr>
        <w:tab/>
      </w:r>
      <w:r>
        <w:rPr>
          <w:sz w:val="24"/>
        </w:rPr>
        <w:fldChar w:fldCharType="begin"/>
      </w:r>
      <w:r>
        <w:rPr>
          <w:sz w:val="24"/>
        </w:rPr>
        <w:instrText xml:space="preserve"> PAGEREF _Toc30953 \h </w:instrText>
      </w:r>
      <w:r>
        <w:rPr>
          <w:sz w:val="24"/>
        </w:rPr>
        <w:fldChar w:fldCharType="separate"/>
      </w:r>
      <w:r>
        <w:rPr>
          <w:sz w:val="24"/>
        </w:rPr>
        <w:t>133</w:t>
      </w:r>
      <w:r>
        <w:rPr>
          <w:sz w:val="24"/>
        </w:rPr>
        <w:fldChar w:fldCharType="end"/>
      </w:r>
      <w:r>
        <w:rPr>
          <w:color w:val="auto"/>
          <w:sz w:val="24"/>
        </w:rPr>
        <w:fldChar w:fldCharType="end"/>
      </w:r>
    </w:p>
    <w:p w14:paraId="04B1D202">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_Toc29120 </w:instrText>
      </w:r>
      <w:r>
        <w:rPr>
          <w:sz w:val="24"/>
        </w:rPr>
        <w:fldChar w:fldCharType="separate"/>
      </w:r>
      <w:r>
        <w:rPr>
          <w:rFonts w:hint="eastAsia"/>
          <w:sz w:val="24"/>
        </w:rPr>
        <w:t>6.2.2 生产工艺及设备单元安全对策措施建议</w:t>
      </w:r>
      <w:r>
        <w:rPr>
          <w:sz w:val="24"/>
        </w:rPr>
        <w:tab/>
      </w:r>
      <w:r>
        <w:rPr>
          <w:sz w:val="24"/>
        </w:rPr>
        <w:fldChar w:fldCharType="begin"/>
      </w:r>
      <w:r>
        <w:rPr>
          <w:sz w:val="24"/>
        </w:rPr>
        <w:instrText xml:space="preserve"> PAGEREF _Toc29120 \h </w:instrText>
      </w:r>
      <w:r>
        <w:rPr>
          <w:sz w:val="24"/>
        </w:rPr>
        <w:fldChar w:fldCharType="separate"/>
      </w:r>
      <w:r>
        <w:rPr>
          <w:sz w:val="24"/>
        </w:rPr>
        <w:t>135</w:t>
      </w:r>
      <w:r>
        <w:rPr>
          <w:sz w:val="24"/>
        </w:rPr>
        <w:fldChar w:fldCharType="end"/>
      </w:r>
      <w:r>
        <w:rPr>
          <w:color w:val="auto"/>
          <w:sz w:val="24"/>
        </w:rPr>
        <w:fldChar w:fldCharType="end"/>
      </w:r>
    </w:p>
    <w:p w14:paraId="02A1ED7A">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_Toc13219 </w:instrText>
      </w:r>
      <w:r>
        <w:rPr>
          <w:sz w:val="24"/>
        </w:rPr>
        <w:fldChar w:fldCharType="separate"/>
      </w:r>
      <w:r>
        <w:rPr>
          <w:rFonts w:hint="eastAsia"/>
          <w:sz w:val="24"/>
        </w:rPr>
        <w:t>6.2.3 公用工程及辅助设施单元安全对策措施建议</w:t>
      </w:r>
      <w:r>
        <w:rPr>
          <w:sz w:val="24"/>
        </w:rPr>
        <w:tab/>
      </w:r>
      <w:r>
        <w:rPr>
          <w:sz w:val="24"/>
        </w:rPr>
        <w:fldChar w:fldCharType="begin"/>
      </w:r>
      <w:r>
        <w:rPr>
          <w:sz w:val="24"/>
        </w:rPr>
        <w:instrText xml:space="preserve"> PAGEREF _Toc13219 \h </w:instrText>
      </w:r>
      <w:r>
        <w:rPr>
          <w:sz w:val="24"/>
        </w:rPr>
        <w:fldChar w:fldCharType="separate"/>
      </w:r>
      <w:r>
        <w:rPr>
          <w:sz w:val="24"/>
        </w:rPr>
        <w:t>139</w:t>
      </w:r>
      <w:r>
        <w:rPr>
          <w:sz w:val="24"/>
        </w:rPr>
        <w:fldChar w:fldCharType="end"/>
      </w:r>
      <w:r>
        <w:rPr>
          <w:color w:val="auto"/>
          <w:sz w:val="24"/>
        </w:rPr>
        <w:fldChar w:fldCharType="end"/>
      </w:r>
    </w:p>
    <w:p w14:paraId="0ACD703B">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_Toc5559 </w:instrText>
      </w:r>
      <w:r>
        <w:rPr>
          <w:sz w:val="24"/>
        </w:rPr>
        <w:fldChar w:fldCharType="separate"/>
      </w:r>
      <w:r>
        <w:rPr>
          <w:rFonts w:hint="eastAsia"/>
          <w:sz w:val="24"/>
        </w:rPr>
        <w:t>6.2.</w:t>
      </w:r>
      <w:r>
        <w:rPr>
          <w:rFonts w:hint="eastAsia"/>
          <w:sz w:val="24"/>
          <w:lang w:val="en-US" w:eastAsia="zh-CN"/>
        </w:rPr>
        <w:t>4</w:t>
      </w:r>
      <w:r>
        <w:rPr>
          <w:rFonts w:hint="eastAsia"/>
          <w:sz w:val="24"/>
        </w:rPr>
        <w:t xml:space="preserve"> 安全设施单元安全对策措施与建议</w:t>
      </w:r>
      <w:r>
        <w:rPr>
          <w:sz w:val="24"/>
        </w:rPr>
        <w:tab/>
      </w:r>
      <w:r>
        <w:rPr>
          <w:sz w:val="24"/>
        </w:rPr>
        <w:fldChar w:fldCharType="begin"/>
      </w:r>
      <w:r>
        <w:rPr>
          <w:sz w:val="24"/>
        </w:rPr>
        <w:instrText xml:space="preserve"> PAGEREF _Toc5559 \h </w:instrText>
      </w:r>
      <w:r>
        <w:rPr>
          <w:sz w:val="24"/>
        </w:rPr>
        <w:fldChar w:fldCharType="separate"/>
      </w:r>
      <w:r>
        <w:rPr>
          <w:sz w:val="24"/>
        </w:rPr>
        <w:t>146</w:t>
      </w:r>
      <w:r>
        <w:rPr>
          <w:sz w:val="24"/>
        </w:rPr>
        <w:fldChar w:fldCharType="end"/>
      </w:r>
      <w:r>
        <w:rPr>
          <w:color w:val="auto"/>
          <w:sz w:val="24"/>
        </w:rPr>
        <w:fldChar w:fldCharType="end"/>
      </w:r>
    </w:p>
    <w:p w14:paraId="08A5D60E">
      <w:pPr>
        <w:pStyle w:val="10"/>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_Toc12661 </w:instrText>
      </w:r>
      <w:r>
        <w:rPr>
          <w:sz w:val="24"/>
        </w:rPr>
        <w:fldChar w:fldCharType="separate"/>
      </w:r>
      <w:r>
        <w:rPr>
          <w:rFonts w:hint="eastAsia"/>
          <w:sz w:val="24"/>
        </w:rPr>
        <w:t>6.2.</w:t>
      </w:r>
      <w:r>
        <w:rPr>
          <w:rFonts w:hint="eastAsia"/>
          <w:sz w:val="24"/>
          <w:lang w:val="en-US" w:eastAsia="zh-CN"/>
        </w:rPr>
        <w:t>5</w:t>
      </w:r>
      <w:r>
        <w:rPr>
          <w:rFonts w:hint="eastAsia"/>
          <w:sz w:val="24"/>
        </w:rPr>
        <w:t xml:space="preserve"> 安全管理单元安全对策措施建议</w:t>
      </w:r>
      <w:r>
        <w:rPr>
          <w:sz w:val="24"/>
        </w:rPr>
        <w:tab/>
      </w:r>
      <w:r>
        <w:rPr>
          <w:sz w:val="24"/>
        </w:rPr>
        <w:fldChar w:fldCharType="begin"/>
      </w:r>
      <w:r>
        <w:rPr>
          <w:sz w:val="24"/>
        </w:rPr>
        <w:instrText xml:space="preserve"> PAGEREF _Toc12661 \h </w:instrText>
      </w:r>
      <w:r>
        <w:rPr>
          <w:sz w:val="24"/>
        </w:rPr>
        <w:fldChar w:fldCharType="separate"/>
      </w:r>
      <w:r>
        <w:rPr>
          <w:sz w:val="24"/>
        </w:rPr>
        <w:t>149</w:t>
      </w:r>
      <w:r>
        <w:rPr>
          <w:sz w:val="24"/>
        </w:rPr>
        <w:fldChar w:fldCharType="end"/>
      </w:r>
      <w:r>
        <w:rPr>
          <w:color w:val="auto"/>
          <w:sz w:val="24"/>
        </w:rPr>
        <w:fldChar w:fldCharType="end"/>
      </w:r>
    </w:p>
    <w:p w14:paraId="461C665E">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_Toc11452 </w:instrText>
      </w:r>
      <w:r>
        <w:rPr>
          <w:sz w:val="24"/>
        </w:rPr>
        <w:fldChar w:fldCharType="separate"/>
      </w:r>
      <w:r>
        <w:rPr>
          <w:rFonts w:hint="eastAsia"/>
          <w:sz w:val="24"/>
        </w:rPr>
        <w:t>7 安全验收评价结论</w:t>
      </w:r>
      <w:r>
        <w:rPr>
          <w:sz w:val="24"/>
        </w:rPr>
        <w:tab/>
      </w:r>
      <w:r>
        <w:rPr>
          <w:sz w:val="24"/>
        </w:rPr>
        <w:fldChar w:fldCharType="begin"/>
      </w:r>
      <w:r>
        <w:rPr>
          <w:sz w:val="24"/>
        </w:rPr>
        <w:instrText xml:space="preserve"> PAGEREF _Toc11452 \h </w:instrText>
      </w:r>
      <w:r>
        <w:rPr>
          <w:sz w:val="24"/>
        </w:rPr>
        <w:fldChar w:fldCharType="separate"/>
      </w:r>
      <w:r>
        <w:rPr>
          <w:sz w:val="24"/>
        </w:rPr>
        <w:t>156</w:t>
      </w:r>
      <w:r>
        <w:rPr>
          <w:sz w:val="24"/>
        </w:rPr>
        <w:fldChar w:fldCharType="end"/>
      </w:r>
      <w:r>
        <w:rPr>
          <w:color w:val="auto"/>
          <w:sz w:val="24"/>
        </w:rPr>
        <w:fldChar w:fldCharType="end"/>
      </w:r>
    </w:p>
    <w:p w14:paraId="73543E92">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_Toc21012 </w:instrText>
      </w:r>
      <w:r>
        <w:rPr>
          <w:sz w:val="24"/>
        </w:rPr>
        <w:fldChar w:fldCharType="separate"/>
      </w:r>
      <w:r>
        <w:rPr>
          <w:rFonts w:hint="eastAsia"/>
          <w:sz w:val="24"/>
        </w:rPr>
        <w:t>7.1 存在的主要危险、有害因素</w:t>
      </w:r>
      <w:r>
        <w:rPr>
          <w:sz w:val="24"/>
        </w:rPr>
        <w:tab/>
      </w:r>
      <w:r>
        <w:rPr>
          <w:sz w:val="24"/>
        </w:rPr>
        <w:fldChar w:fldCharType="begin"/>
      </w:r>
      <w:r>
        <w:rPr>
          <w:sz w:val="24"/>
        </w:rPr>
        <w:instrText xml:space="preserve"> PAGEREF _Toc21012 \h </w:instrText>
      </w:r>
      <w:r>
        <w:rPr>
          <w:sz w:val="24"/>
        </w:rPr>
        <w:fldChar w:fldCharType="separate"/>
      </w:r>
      <w:r>
        <w:rPr>
          <w:sz w:val="24"/>
        </w:rPr>
        <w:t>156</w:t>
      </w:r>
      <w:r>
        <w:rPr>
          <w:sz w:val="24"/>
        </w:rPr>
        <w:fldChar w:fldCharType="end"/>
      </w:r>
      <w:r>
        <w:rPr>
          <w:color w:val="auto"/>
          <w:sz w:val="24"/>
        </w:rPr>
        <w:fldChar w:fldCharType="end"/>
      </w:r>
    </w:p>
    <w:p w14:paraId="43A370BD">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_Toc21620 </w:instrText>
      </w:r>
      <w:r>
        <w:rPr>
          <w:sz w:val="24"/>
        </w:rPr>
        <w:fldChar w:fldCharType="separate"/>
      </w:r>
      <w:r>
        <w:rPr>
          <w:rFonts w:hint="eastAsia"/>
          <w:sz w:val="24"/>
        </w:rPr>
        <w:t>7.2 单元评价综述</w:t>
      </w:r>
      <w:r>
        <w:rPr>
          <w:sz w:val="24"/>
        </w:rPr>
        <w:tab/>
      </w:r>
      <w:r>
        <w:rPr>
          <w:sz w:val="24"/>
        </w:rPr>
        <w:fldChar w:fldCharType="begin"/>
      </w:r>
      <w:r>
        <w:rPr>
          <w:sz w:val="24"/>
        </w:rPr>
        <w:instrText xml:space="preserve"> PAGEREF _Toc21620 \h </w:instrText>
      </w:r>
      <w:r>
        <w:rPr>
          <w:sz w:val="24"/>
        </w:rPr>
        <w:fldChar w:fldCharType="separate"/>
      </w:r>
      <w:r>
        <w:rPr>
          <w:sz w:val="24"/>
        </w:rPr>
        <w:t>156</w:t>
      </w:r>
      <w:r>
        <w:rPr>
          <w:sz w:val="24"/>
        </w:rPr>
        <w:fldChar w:fldCharType="end"/>
      </w:r>
      <w:r>
        <w:rPr>
          <w:color w:val="auto"/>
          <w:sz w:val="24"/>
        </w:rPr>
        <w:fldChar w:fldCharType="end"/>
      </w:r>
    </w:p>
    <w:p w14:paraId="5FE09DDA">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_Toc3659 </w:instrText>
      </w:r>
      <w:r>
        <w:rPr>
          <w:sz w:val="24"/>
        </w:rPr>
        <w:fldChar w:fldCharType="separate"/>
      </w:r>
      <w:r>
        <w:rPr>
          <w:rFonts w:hint="eastAsia"/>
          <w:sz w:val="24"/>
        </w:rPr>
        <w:t>7.3 评价结论</w:t>
      </w:r>
      <w:r>
        <w:rPr>
          <w:sz w:val="24"/>
        </w:rPr>
        <w:tab/>
      </w:r>
      <w:r>
        <w:rPr>
          <w:sz w:val="24"/>
        </w:rPr>
        <w:fldChar w:fldCharType="begin"/>
      </w:r>
      <w:r>
        <w:rPr>
          <w:sz w:val="24"/>
        </w:rPr>
        <w:instrText xml:space="preserve"> PAGEREF _Toc3659 \h </w:instrText>
      </w:r>
      <w:r>
        <w:rPr>
          <w:sz w:val="24"/>
        </w:rPr>
        <w:fldChar w:fldCharType="separate"/>
      </w:r>
      <w:r>
        <w:rPr>
          <w:sz w:val="24"/>
        </w:rPr>
        <w:t>158</w:t>
      </w:r>
      <w:r>
        <w:rPr>
          <w:sz w:val="24"/>
        </w:rPr>
        <w:fldChar w:fldCharType="end"/>
      </w:r>
      <w:r>
        <w:rPr>
          <w:color w:val="auto"/>
          <w:sz w:val="24"/>
        </w:rPr>
        <w:fldChar w:fldCharType="end"/>
      </w:r>
    </w:p>
    <w:p w14:paraId="3056EED1">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_Toc5458 </w:instrText>
      </w:r>
      <w:r>
        <w:rPr>
          <w:sz w:val="24"/>
        </w:rPr>
        <w:fldChar w:fldCharType="separate"/>
      </w:r>
      <w:r>
        <w:rPr>
          <w:rFonts w:hint="eastAsia"/>
          <w:sz w:val="24"/>
          <w:lang w:val="en-US" w:eastAsia="zh-CN"/>
        </w:rPr>
        <w:t>9 附件和附图</w:t>
      </w:r>
      <w:r>
        <w:rPr>
          <w:sz w:val="24"/>
        </w:rPr>
        <w:tab/>
      </w:r>
      <w:r>
        <w:rPr>
          <w:sz w:val="24"/>
        </w:rPr>
        <w:fldChar w:fldCharType="begin"/>
      </w:r>
      <w:r>
        <w:rPr>
          <w:sz w:val="24"/>
        </w:rPr>
        <w:instrText xml:space="preserve"> PAGEREF _Toc5458 \h </w:instrText>
      </w:r>
      <w:r>
        <w:rPr>
          <w:sz w:val="24"/>
        </w:rPr>
        <w:fldChar w:fldCharType="separate"/>
      </w:r>
      <w:r>
        <w:rPr>
          <w:sz w:val="24"/>
        </w:rPr>
        <w:t>159</w:t>
      </w:r>
      <w:r>
        <w:rPr>
          <w:sz w:val="24"/>
        </w:rPr>
        <w:fldChar w:fldCharType="end"/>
      </w:r>
      <w:r>
        <w:rPr>
          <w:color w:val="auto"/>
          <w:sz w:val="24"/>
        </w:rPr>
        <w:fldChar w:fldCharType="end"/>
      </w:r>
    </w:p>
    <w:p w14:paraId="710B4EDF">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_Toc15436 </w:instrText>
      </w:r>
      <w:r>
        <w:rPr>
          <w:sz w:val="24"/>
        </w:rPr>
        <w:fldChar w:fldCharType="separate"/>
      </w:r>
      <w:r>
        <w:rPr>
          <w:rFonts w:hint="eastAsia"/>
          <w:sz w:val="24"/>
          <w:lang w:val="en-US" w:eastAsia="zh-CN"/>
        </w:rPr>
        <w:t>9.1 附件</w:t>
      </w:r>
      <w:r>
        <w:rPr>
          <w:sz w:val="24"/>
        </w:rPr>
        <w:tab/>
      </w:r>
      <w:r>
        <w:rPr>
          <w:sz w:val="24"/>
        </w:rPr>
        <w:fldChar w:fldCharType="begin"/>
      </w:r>
      <w:r>
        <w:rPr>
          <w:sz w:val="24"/>
        </w:rPr>
        <w:instrText xml:space="preserve"> PAGEREF _Toc15436 \h </w:instrText>
      </w:r>
      <w:r>
        <w:rPr>
          <w:sz w:val="24"/>
        </w:rPr>
        <w:fldChar w:fldCharType="separate"/>
      </w:r>
      <w:r>
        <w:rPr>
          <w:sz w:val="24"/>
        </w:rPr>
        <w:t>159</w:t>
      </w:r>
      <w:r>
        <w:rPr>
          <w:sz w:val="24"/>
        </w:rPr>
        <w:fldChar w:fldCharType="end"/>
      </w:r>
      <w:r>
        <w:rPr>
          <w:color w:val="auto"/>
          <w:sz w:val="24"/>
        </w:rPr>
        <w:fldChar w:fldCharType="end"/>
      </w:r>
    </w:p>
    <w:p w14:paraId="03109D83">
      <w:pPr>
        <w:pStyle w:val="15"/>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pPr>
      <w:r>
        <w:rPr>
          <w:color w:val="auto"/>
          <w:sz w:val="24"/>
        </w:rPr>
        <w:fldChar w:fldCharType="begin"/>
      </w:r>
      <w:r>
        <w:rPr>
          <w:sz w:val="24"/>
        </w:rPr>
        <w:instrText xml:space="preserve"> HYPERLINK \l _Toc17951 </w:instrText>
      </w:r>
      <w:r>
        <w:rPr>
          <w:sz w:val="24"/>
        </w:rPr>
        <w:fldChar w:fldCharType="separate"/>
      </w:r>
      <w:r>
        <w:rPr>
          <w:rFonts w:hint="eastAsia"/>
          <w:sz w:val="24"/>
          <w:lang w:val="en-US" w:eastAsia="zh-CN"/>
        </w:rPr>
        <w:t>9.2 附图</w:t>
      </w:r>
      <w:r>
        <w:rPr>
          <w:sz w:val="24"/>
        </w:rPr>
        <w:tab/>
      </w:r>
      <w:r>
        <w:rPr>
          <w:sz w:val="24"/>
        </w:rPr>
        <w:fldChar w:fldCharType="begin"/>
      </w:r>
      <w:r>
        <w:rPr>
          <w:sz w:val="24"/>
        </w:rPr>
        <w:instrText xml:space="preserve"> PAGEREF _Toc17951 \h </w:instrText>
      </w:r>
      <w:r>
        <w:rPr>
          <w:sz w:val="24"/>
        </w:rPr>
        <w:fldChar w:fldCharType="separate"/>
      </w:r>
      <w:r>
        <w:rPr>
          <w:sz w:val="24"/>
        </w:rPr>
        <w:t>160</w:t>
      </w:r>
      <w:r>
        <w:rPr>
          <w:sz w:val="24"/>
        </w:rPr>
        <w:fldChar w:fldCharType="end"/>
      </w:r>
      <w:r>
        <w:rPr>
          <w:color w:val="auto"/>
          <w:sz w:val="24"/>
        </w:rPr>
        <w:fldChar w:fldCharType="end"/>
      </w:r>
    </w:p>
    <w:p w14:paraId="03FA0969">
      <w:pPr>
        <w:ind w:left="0" w:leftChars="0" w:firstLine="0" w:firstLineChars="0"/>
        <w:rPr>
          <w:color w:val="auto"/>
        </w:rPr>
      </w:pPr>
      <w:r>
        <w:rPr>
          <w:color w:val="auto"/>
        </w:rPr>
        <w:fldChar w:fldCharType="end"/>
      </w:r>
    </w:p>
    <w:p w14:paraId="6C669376">
      <w:pPr>
        <w:rPr>
          <w:color w:val="auto"/>
        </w:rPr>
        <w:sectPr>
          <w:headerReference r:id="rId8" w:type="default"/>
          <w:footerReference r:id="rId9" w:type="default"/>
          <w:pgSz w:w="11905" w:h="16838"/>
          <w:pgMar w:top="1417" w:right="1134" w:bottom="1134" w:left="1587" w:header="851" w:footer="992" w:gutter="0"/>
          <w:pgBorders>
            <w:top w:val="thinThickSmallGap" w:color="auto" w:sz="12" w:space="1"/>
            <w:left w:val="none" w:sz="0" w:space="0"/>
            <w:bottom w:val="thickThinSmallGap" w:color="auto" w:sz="12" w:space="1"/>
            <w:right w:val="none" w:sz="0" w:space="0"/>
          </w:pgBorders>
          <w:pgNumType w:fmt="upperRoman" w:start="1"/>
          <w:cols w:space="0" w:num="1"/>
          <w:rtlGutter w:val="0"/>
          <w:docGrid w:type="lines" w:linePitch="386" w:charSpace="0"/>
        </w:sectPr>
      </w:pPr>
    </w:p>
    <w:p w14:paraId="3BA04974">
      <w:pPr>
        <w:pStyle w:val="2"/>
        <w:bidi w:val="0"/>
        <w:rPr>
          <w:rFonts w:hint="eastAsia"/>
          <w:color w:val="auto"/>
        </w:rPr>
      </w:pPr>
      <w:bookmarkStart w:id="51" w:name="_Toc26292"/>
      <w:r>
        <w:rPr>
          <w:rFonts w:hint="eastAsia"/>
          <w:color w:val="auto"/>
        </w:rPr>
        <w:t>1</w:t>
      </w:r>
      <w:r>
        <w:rPr>
          <w:rFonts w:hint="eastAsia"/>
          <w:color w:val="auto"/>
          <w:lang w:val="en-US" w:eastAsia="zh-CN"/>
        </w:rPr>
        <w:t xml:space="preserve"> </w:t>
      </w:r>
      <w:r>
        <w:rPr>
          <w:rFonts w:hint="eastAsia"/>
          <w:color w:val="auto"/>
        </w:rPr>
        <w:t>编制说明</w:t>
      </w:r>
      <w:bookmarkEnd w:id="51"/>
    </w:p>
    <w:p w14:paraId="41F13A17">
      <w:pPr>
        <w:pStyle w:val="3"/>
        <w:bidi w:val="0"/>
        <w:rPr>
          <w:rFonts w:hint="eastAsia"/>
          <w:color w:val="auto"/>
        </w:rPr>
      </w:pPr>
      <w:bookmarkStart w:id="52" w:name="_Toc15516"/>
      <w:r>
        <w:rPr>
          <w:rFonts w:hint="eastAsia"/>
          <w:color w:val="auto"/>
        </w:rPr>
        <w:t>1.1</w:t>
      </w:r>
      <w:r>
        <w:rPr>
          <w:rFonts w:hint="eastAsia"/>
          <w:color w:val="auto"/>
          <w:lang w:val="en-US" w:eastAsia="zh-CN"/>
        </w:rPr>
        <w:t xml:space="preserve"> </w:t>
      </w:r>
      <w:r>
        <w:rPr>
          <w:rFonts w:hint="eastAsia"/>
          <w:color w:val="auto"/>
        </w:rPr>
        <w:t>评价目的及范围</w:t>
      </w:r>
      <w:bookmarkEnd w:id="52"/>
    </w:p>
    <w:p w14:paraId="1388AD84">
      <w:pPr>
        <w:pStyle w:val="4"/>
        <w:bidi w:val="0"/>
        <w:rPr>
          <w:rFonts w:hint="eastAsia"/>
          <w:color w:val="auto"/>
        </w:rPr>
      </w:pPr>
      <w:bookmarkStart w:id="53" w:name="_Toc2284"/>
      <w:r>
        <w:rPr>
          <w:rFonts w:hint="eastAsia"/>
          <w:color w:val="auto"/>
        </w:rPr>
        <w:t>1.1.1</w:t>
      </w:r>
      <w:r>
        <w:rPr>
          <w:rFonts w:hint="eastAsia"/>
          <w:color w:val="auto"/>
          <w:lang w:val="en-US" w:eastAsia="zh-CN"/>
        </w:rPr>
        <w:t xml:space="preserve"> </w:t>
      </w:r>
      <w:r>
        <w:rPr>
          <w:rFonts w:hint="eastAsia"/>
          <w:color w:val="auto"/>
        </w:rPr>
        <w:t>评价目的</w:t>
      </w:r>
      <w:bookmarkEnd w:id="53"/>
    </w:p>
    <w:p w14:paraId="41BFA885">
      <w:pPr>
        <w:bidi w:val="0"/>
        <w:rPr>
          <w:rFonts w:hint="eastAsia"/>
          <w:color w:val="auto"/>
        </w:rPr>
      </w:pPr>
      <w:r>
        <w:rPr>
          <w:rFonts w:hint="eastAsia"/>
          <w:color w:val="auto"/>
        </w:rPr>
        <w:t>为贯彻“安全第一、预防为主、综合治理”的方针，通过评价查找其存在的危险、有害因素并确定危险程度，提出合理可行的安全对策措施及建议。</w:t>
      </w:r>
    </w:p>
    <w:p w14:paraId="6508092D">
      <w:pPr>
        <w:bidi w:val="0"/>
        <w:rPr>
          <w:rFonts w:hint="eastAsia"/>
          <w:color w:val="auto"/>
        </w:rPr>
      </w:pPr>
      <w:r>
        <w:rPr>
          <w:rFonts w:hint="eastAsia"/>
          <w:color w:val="auto"/>
        </w:rPr>
        <w:t>1、促进实现系统本质安全化生产；</w:t>
      </w:r>
    </w:p>
    <w:p w14:paraId="5D8D7C95">
      <w:pPr>
        <w:bidi w:val="0"/>
        <w:rPr>
          <w:rFonts w:hint="eastAsia"/>
          <w:color w:val="auto"/>
        </w:rPr>
      </w:pPr>
      <w:r>
        <w:rPr>
          <w:rFonts w:hint="eastAsia"/>
          <w:color w:val="auto"/>
        </w:rPr>
        <w:t>2、实现系统全过程安全控制；</w:t>
      </w:r>
    </w:p>
    <w:p w14:paraId="27EAB4AA">
      <w:pPr>
        <w:bidi w:val="0"/>
        <w:rPr>
          <w:rFonts w:hint="eastAsia"/>
          <w:color w:val="auto"/>
        </w:rPr>
      </w:pPr>
      <w:r>
        <w:rPr>
          <w:rFonts w:hint="eastAsia"/>
          <w:color w:val="auto"/>
        </w:rPr>
        <w:t>3、建立系统安全最优方案，为管理者提供安全管理依据；</w:t>
      </w:r>
    </w:p>
    <w:p w14:paraId="26123001">
      <w:pPr>
        <w:bidi w:val="0"/>
        <w:rPr>
          <w:rFonts w:hint="eastAsia"/>
          <w:color w:val="auto"/>
        </w:rPr>
      </w:pPr>
      <w:r>
        <w:rPr>
          <w:rFonts w:hint="eastAsia"/>
          <w:color w:val="auto"/>
        </w:rPr>
        <w:t>4、为实现安全技术、安全管理的标准化和科学化创造条件；</w:t>
      </w:r>
    </w:p>
    <w:p w14:paraId="2D9B1E00">
      <w:pPr>
        <w:bidi w:val="0"/>
        <w:rPr>
          <w:rFonts w:hint="eastAsia"/>
          <w:color w:val="auto"/>
        </w:rPr>
      </w:pPr>
      <w:r>
        <w:rPr>
          <w:rFonts w:hint="eastAsia"/>
          <w:color w:val="auto"/>
        </w:rPr>
        <w:t>5、为应急管理部门提供监督依据。</w:t>
      </w:r>
    </w:p>
    <w:p w14:paraId="363C3D0A">
      <w:pPr>
        <w:pStyle w:val="4"/>
        <w:bidi w:val="0"/>
        <w:rPr>
          <w:rFonts w:hint="eastAsia"/>
          <w:color w:val="auto"/>
        </w:rPr>
      </w:pPr>
      <w:bookmarkStart w:id="54" w:name="_Toc23697"/>
      <w:r>
        <w:rPr>
          <w:rFonts w:hint="eastAsia"/>
          <w:color w:val="auto"/>
        </w:rPr>
        <w:t>1.1.2</w:t>
      </w:r>
      <w:r>
        <w:rPr>
          <w:rFonts w:hint="eastAsia"/>
          <w:color w:val="auto"/>
          <w:lang w:val="en-US" w:eastAsia="zh-CN"/>
        </w:rPr>
        <w:t xml:space="preserve"> </w:t>
      </w:r>
      <w:r>
        <w:rPr>
          <w:rFonts w:hint="eastAsia"/>
          <w:color w:val="auto"/>
        </w:rPr>
        <w:t>评价范围</w:t>
      </w:r>
      <w:bookmarkEnd w:id="54"/>
    </w:p>
    <w:p w14:paraId="4A22C371">
      <w:pPr>
        <w:bidi w:val="0"/>
        <w:rPr>
          <w:color w:val="auto"/>
        </w:rPr>
      </w:pPr>
      <w:r>
        <w:rPr>
          <w:rFonts w:hint="eastAsia"/>
          <w:color w:val="auto"/>
        </w:rPr>
        <w:t>根据</w:t>
      </w:r>
      <w:r>
        <w:rPr>
          <w:rFonts w:hint="eastAsia"/>
          <w:color w:val="auto"/>
          <w:lang w:eastAsia="zh-CN"/>
        </w:rPr>
        <w:t>寻甸金林钛矿有限公司</w:t>
      </w:r>
      <w:r>
        <w:rPr>
          <w:rFonts w:hint="eastAsia"/>
          <w:color w:val="auto"/>
        </w:rPr>
        <w:t>与辽宁诺诚安全科技有限公司签订的安全验收评价技术服务合同和安全评价委托书的约定，本次安全评价的范围为</w:t>
      </w:r>
      <w:r>
        <w:rPr>
          <w:rFonts w:hint="eastAsia"/>
          <w:color w:val="auto"/>
          <w:lang w:eastAsia="zh-CN"/>
        </w:rPr>
        <w:t>寻甸金林钛矿有限公司尾矿处理技改升级建设项目的总图布置（浓缩车间、输送管线、压滤车间）、生产装置、物料储运与使用、公用工程及辅助设施及综合安全管理，选厂原有设施、尾矿库、职业病及职业病防治、环保、地质灾害评估、露天矿山、厂外运输等问题不在本次安全评价范围内，但在评价过程中会有所提及。</w:t>
      </w:r>
    </w:p>
    <w:p w14:paraId="255CE532">
      <w:pPr>
        <w:pStyle w:val="4"/>
        <w:bidi w:val="0"/>
        <w:rPr>
          <w:rFonts w:hint="eastAsia"/>
          <w:color w:val="auto"/>
        </w:rPr>
      </w:pPr>
      <w:bookmarkStart w:id="55" w:name="_Toc4052"/>
      <w:r>
        <w:rPr>
          <w:rFonts w:hint="eastAsia"/>
          <w:color w:val="auto"/>
        </w:rPr>
        <w:t>1.1.3</w:t>
      </w:r>
      <w:r>
        <w:rPr>
          <w:rFonts w:hint="eastAsia"/>
          <w:color w:val="auto"/>
          <w:lang w:val="en-US" w:eastAsia="zh-CN"/>
        </w:rPr>
        <w:t xml:space="preserve"> </w:t>
      </w:r>
      <w:r>
        <w:rPr>
          <w:rFonts w:hint="eastAsia"/>
          <w:color w:val="auto"/>
        </w:rPr>
        <w:t>评价原则</w:t>
      </w:r>
      <w:bookmarkEnd w:id="55"/>
    </w:p>
    <w:p w14:paraId="06487A52">
      <w:pPr>
        <w:bidi w:val="0"/>
        <w:rPr>
          <w:rFonts w:hint="eastAsia"/>
          <w:color w:val="auto"/>
        </w:rPr>
      </w:pPr>
      <w:r>
        <w:rPr>
          <w:rFonts w:hint="eastAsia"/>
          <w:color w:val="auto"/>
        </w:rPr>
        <w:t>安全评价基本原则是具备国家规定资质的安全评价机构科学、公正和合法的自主开展安全评价。</w:t>
      </w:r>
    </w:p>
    <w:p w14:paraId="1E0FA7D5">
      <w:pPr>
        <w:bidi w:val="0"/>
        <w:rPr>
          <w:rFonts w:hint="eastAsia"/>
          <w:color w:val="auto"/>
        </w:rPr>
      </w:pPr>
      <w:r>
        <w:rPr>
          <w:rFonts w:hint="eastAsia"/>
          <w:color w:val="auto"/>
        </w:rPr>
        <w:t>以该项目具体情况为基础，以国家安全法规及有关技术标准为依据，对评价项目安全生产进行全面、仔细、深入分析，由此作出科学、客观、公正的安全评价结论。</w:t>
      </w:r>
    </w:p>
    <w:p w14:paraId="510F6C53">
      <w:pPr>
        <w:bidi w:val="0"/>
        <w:rPr>
          <w:rFonts w:hint="eastAsia"/>
          <w:color w:val="auto"/>
        </w:rPr>
      </w:pPr>
      <w:r>
        <w:rPr>
          <w:rFonts w:hint="eastAsia"/>
          <w:color w:val="auto"/>
        </w:rPr>
        <w:t>在对该公司进行安全设施验收评价工作中，始终坚持以下原则：</w:t>
      </w:r>
    </w:p>
    <w:p w14:paraId="5353082F">
      <w:pPr>
        <w:bidi w:val="0"/>
        <w:rPr>
          <w:rFonts w:hint="eastAsia"/>
          <w:color w:val="auto"/>
        </w:rPr>
      </w:pPr>
      <w:r>
        <w:rPr>
          <w:rFonts w:hint="eastAsia"/>
          <w:color w:val="auto"/>
        </w:rPr>
        <w:t>1、严格执行国家现行有关法律、法规、标准和规范的要求，对该公司进行科学、客观、公正、独立的评价；</w:t>
      </w:r>
    </w:p>
    <w:p w14:paraId="5AD7BE3F">
      <w:pPr>
        <w:bidi w:val="0"/>
        <w:rPr>
          <w:rFonts w:hint="eastAsia"/>
          <w:color w:val="auto"/>
        </w:rPr>
      </w:pPr>
      <w:r>
        <w:rPr>
          <w:rFonts w:hint="eastAsia"/>
          <w:color w:val="auto"/>
        </w:rPr>
        <w:t>2、采用可靠、适用的评价技术和评价方法对项目进行定性、定量评价，遵循针对性、技术可行性、经济合理性、可操作性的原则，提出消除或减弱危险、有害因素的技术和管理对策措施建议；</w:t>
      </w:r>
    </w:p>
    <w:p w14:paraId="2D6161EE">
      <w:pPr>
        <w:bidi w:val="0"/>
        <w:rPr>
          <w:rFonts w:hint="eastAsia"/>
          <w:color w:val="auto"/>
        </w:rPr>
      </w:pPr>
      <w:r>
        <w:rPr>
          <w:rFonts w:hint="eastAsia"/>
          <w:color w:val="auto"/>
        </w:rPr>
        <w:t>3、真实、准确地做出评价结论，并对在当时条件下做出的安全评价结果承担法律责任；</w:t>
      </w:r>
    </w:p>
    <w:p w14:paraId="487AC341">
      <w:pPr>
        <w:bidi w:val="0"/>
        <w:rPr>
          <w:rFonts w:hint="eastAsia"/>
          <w:color w:val="auto"/>
        </w:rPr>
      </w:pPr>
      <w:r>
        <w:rPr>
          <w:rFonts w:hint="eastAsia"/>
          <w:color w:val="auto"/>
        </w:rPr>
        <w:t>4、遵纪守法、恪守职业道德、诚实守信，对被评价公司的技术和商业秘密保密。</w:t>
      </w:r>
    </w:p>
    <w:p w14:paraId="75E5576C">
      <w:pPr>
        <w:pStyle w:val="3"/>
        <w:bidi w:val="0"/>
        <w:rPr>
          <w:rFonts w:hint="eastAsia"/>
          <w:color w:val="auto"/>
        </w:rPr>
      </w:pPr>
      <w:bookmarkStart w:id="56" w:name="_Toc9129"/>
      <w:r>
        <w:rPr>
          <w:rFonts w:hint="eastAsia"/>
          <w:color w:val="auto"/>
        </w:rPr>
        <w:t>1.2 评价依据</w:t>
      </w:r>
      <w:bookmarkEnd w:id="56"/>
    </w:p>
    <w:p w14:paraId="3AC10CBF">
      <w:pPr>
        <w:bidi w:val="0"/>
        <w:rPr>
          <w:rFonts w:hint="eastAsia"/>
          <w:color w:val="auto"/>
        </w:rPr>
      </w:pPr>
      <w:r>
        <w:rPr>
          <w:rFonts w:hint="eastAsia"/>
          <w:color w:val="auto"/>
        </w:rPr>
        <w:t>本次评价主要依据以下国家有关安全生产方面的法律、法规、规章、规范性文件、标准、规范。</w:t>
      </w:r>
    </w:p>
    <w:p w14:paraId="755F23CE">
      <w:pPr>
        <w:pStyle w:val="4"/>
        <w:bidi w:val="0"/>
        <w:rPr>
          <w:rFonts w:hint="eastAsia"/>
          <w:color w:val="auto"/>
        </w:rPr>
      </w:pPr>
      <w:bookmarkStart w:id="57" w:name="_Toc30396"/>
      <w:r>
        <w:rPr>
          <w:rFonts w:hint="eastAsia"/>
          <w:color w:val="auto"/>
        </w:rPr>
        <w:t>1.2.1 国家法律</w:t>
      </w:r>
      <w:bookmarkEnd w:id="57"/>
    </w:p>
    <w:p w14:paraId="1F8E6D48">
      <w:pPr>
        <w:bidi w:val="0"/>
        <w:rPr>
          <w:rFonts w:hint="eastAsia"/>
          <w:color w:val="auto"/>
        </w:rPr>
      </w:pPr>
      <w:r>
        <w:rPr>
          <w:rFonts w:hint="eastAsia"/>
          <w:color w:val="auto"/>
        </w:rPr>
        <w:t>1、《中华人民共和国安全生产法》（中华人民共和国主席令第88号公布，根据2021年6月10日第十三届全国人民代表大会常务委员会第二十九次会议《关于修改〈中华人民共和国安全生产法〉的决定》第三次修正，自2021年9月1日起施行）；</w:t>
      </w:r>
    </w:p>
    <w:p w14:paraId="4F1EDF3E">
      <w:pPr>
        <w:bidi w:val="0"/>
        <w:rPr>
          <w:rFonts w:hint="eastAsia"/>
          <w:color w:val="auto"/>
        </w:rPr>
      </w:pPr>
      <w:r>
        <w:rPr>
          <w:rFonts w:hint="eastAsia"/>
          <w:color w:val="auto"/>
        </w:rPr>
        <w:t>2、《中华人民共和国消防法》（1998年4月29日第九届全国人民代表大会常务委员会第二次会议通过；2008年10月28日第十一届全国人民代表大会常务委员会第五次会议第一次修订，2019年4月23日第十三届全国人民代表大会常务委员会第十次会议《全国人民代表大会常务委员会关于修改〈中华人民共和国建筑法〉等八部法律的决定》第二次修订；2021年4月29日第十三届全国人民代表大会常务委员会第二十八次会议通过的《全国人民代表大会常务委员会关于修改〈中华人民共和国道路交通安全法〉等八部法律的决定》第三次修正）；</w:t>
      </w:r>
    </w:p>
    <w:p w14:paraId="26E62FFA">
      <w:pPr>
        <w:bidi w:val="0"/>
        <w:rPr>
          <w:rFonts w:hint="eastAsia"/>
          <w:color w:val="auto"/>
        </w:rPr>
      </w:pPr>
      <w:r>
        <w:rPr>
          <w:rFonts w:hint="eastAsia"/>
          <w:color w:val="auto"/>
        </w:rPr>
        <w:t>3、《中华人民共和国职业病防治法》（中华人民共和国主席令[2018]第二十四号，2018年12月29日施行）；</w:t>
      </w:r>
    </w:p>
    <w:p w14:paraId="215B008D">
      <w:pPr>
        <w:bidi w:val="0"/>
        <w:rPr>
          <w:rFonts w:hint="eastAsia"/>
          <w:color w:val="auto"/>
        </w:rPr>
      </w:pPr>
      <w:r>
        <w:rPr>
          <w:rFonts w:hint="eastAsia"/>
          <w:color w:val="auto"/>
        </w:rPr>
        <w:t>4、《中华人民共和国环境保护法》（中华人民共和国主席令[2014]第九号，2015年1月1日实施）；</w:t>
      </w:r>
    </w:p>
    <w:p w14:paraId="0DF95A54">
      <w:pPr>
        <w:bidi w:val="0"/>
        <w:rPr>
          <w:rFonts w:hint="eastAsia"/>
          <w:color w:val="auto"/>
        </w:rPr>
      </w:pPr>
      <w:r>
        <w:rPr>
          <w:rFonts w:hint="eastAsia"/>
          <w:color w:val="auto"/>
        </w:rPr>
        <w:t>5、《中华人民共和国防震减灾法》（中华人民共和国主席令[2008]第七号，中华人民共和国第十一届全国人民代表大会常务委员会第六次会议修订通过，自2009年5月1日起施行）；</w:t>
      </w:r>
    </w:p>
    <w:p w14:paraId="4B40FFD0">
      <w:pPr>
        <w:bidi w:val="0"/>
        <w:rPr>
          <w:rFonts w:hint="eastAsia"/>
          <w:color w:val="auto"/>
        </w:rPr>
      </w:pPr>
      <w:r>
        <w:rPr>
          <w:rFonts w:hint="eastAsia"/>
          <w:color w:val="auto"/>
        </w:rPr>
        <w:t>6、《中华人民共和国突发事件应对法》（中华人民共和国主席令[2007]第六十九号，2024年6月28日第十四届全国人民代表大会常务委员会第十次会议修订，自2024年11月1日起施行）；</w:t>
      </w:r>
    </w:p>
    <w:p w14:paraId="3DDB82AE">
      <w:pPr>
        <w:bidi w:val="0"/>
        <w:rPr>
          <w:rFonts w:hint="eastAsia"/>
          <w:color w:val="auto"/>
        </w:rPr>
      </w:pPr>
      <w:r>
        <w:rPr>
          <w:rFonts w:hint="eastAsia"/>
          <w:color w:val="auto"/>
        </w:rPr>
        <w:t>7、《中华人民共和国特种设备安全法》（中华人民共和国主席令[2013]第四号，2014年1月1日实施）；</w:t>
      </w:r>
    </w:p>
    <w:p w14:paraId="1DC4A868">
      <w:pPr>
        <w:bidi w:val="0"/>
        <w:rPr>
          <w:rFonts w:hint="eastAsia"/>
          <w:color w:val="auto"/>
        </w:rPr>
      </w:pPr>
      <w:r>
        <w:rPr>
          <w:rFonts w:hint="eastAsia"/>
          <w:color w:val="auto"/>
        </w:rPr>
        <w:t>8、《中华人民共和国气象法（2016年版）》（中华人民共和国主席令第23号，中华人民共和国主席令[2016]第五十七号修订，2016年11月7日）；</w:t>
      </w:r>
    </w:p>
    <w:p w14:paraId="370F3CA9">
      <w:pPr>
        <w:bidi w:val="0"/>
        <w:rPr>
          <w:rFonts w:hint="eastAsia"/>
          <w:color w:val="auto"/>
        </w:rPr>
      </w:pPr>
      <w:r>
        <w:rPr>
          <w:rFonts w:hint="eastAsia"/>
          <w:color w:val="auto"/>
        </w:rPr>
        <w:t>9、《中华人民共和国建筑法》（中华人民共和国主席令第91号，2019年4月23日第十三届全国人民代表大会常务委员会第十次会议《关于修改〈中华人民共和国建筑法〉等八部法律的决定》第二次修正）；</w:t>
      </w:r>
    </w:p>
    <w:p w14:paraId="33CEF5F6">
      <w:pPr>
        <w:bidi w:val="0"/>
        <w:rPr>
          <w:rFonts w:hint="eastAsia"/>
          <w:color w:val="auto"/>
        </w:rPr>
      </w:pPr>
      <w:r>
        <w:rPr>
          <w:rFonts w:hint="eastAsia"/>
          <w:color w:val="auto"/>
        </w:rPr>
        <w:t>10、《中华人民共和国劳动法》（中华人民共和国主席令第28号，1995年1月1日施行；2009年中华人民共和国主席令第18号修改，2009年8月27日施行，2018年12月29日第十三届全国人民代表大会常务委员会第七次会议修改）。</w:t>
      </w:r>
    </w:p>
    <w:p w14:paraId="03CCF734">
      <w:pPr>
        <w:pStyle w:val="4"/>
        <w:bidi w:val="0"/>
        <w:rPr>
          <w:rFonts w:hint="eastAsia"/>
          <w:color w:val="auto"/>
        </w:rPr>
      </w:pPr>
      <w:bookmarkStart w:id="58" w:name="_Toc19324"/>
      <w:r>
        <w:rPr>
          <w:rFonts w:hint="eastAsia"/>
          <w:color w:val="auto"/>
        </w:rPr>
        <w:t>1.2.2 行政法规</w:t>
      </w:r>
      <w:bookmarkEnd w:id="58"/>
    </w:p>
    <w:p w14:paraId="3FD7FCA5">
      <w:pPr>
        <w:bidi w:val="0"/>
        <w:rPr>
          <w:rFonts w:hint="eastAsia"/>
          <w:color w:val="auto"/>
        </w:rPr>
      </w:pPr>
      <w:r>
        <w:rPr>
          <w:rFonts w:hint="eastAsia"/>
          <w:color w:val="auto"/>
        </w:rPr>
        <w:t>1、《中共中央国务院关于推进安全生产领域改革发展的意见》（中共中央国务院，自2016年12月18日起施行）；</w:t>
      </w:r>
    </w:p>
    <w:p w14:paraId="15999449">
      <w:pPr>
        <w:bidi w:val="0"/>
        <w:rPr>
          <w:rFonts w:hint="eastAsia"/>
          <w:color w:val="auto"/>
        </w:rPr>
      </w:pPr>
      <w:r>
        <w:rPr>
          <w:rFonts w:hint="eastAsia"/>
          <w:color w:val="auto"/>
        </w:rPr>
        <w:t>2、《特种设备安全监察条例》（中华人民共和国国务院令[2009]第549号，2009年5月1日起施行）；</w:t>
      </w:r>
    </w:p>
    <w:p w14:paraId="79223690">
      <w:pPr>
        <w:bidi w:val="0"/>
        <w:rPr>
          <w:rFonts w:hint="eastAsia"/>
          <w:color w:val="auto"/>
        </w:rPr>
      </w:pPr>
      <w:r>
        <w:rPr>
          <w:rFonts w:hint="eastAsia"/>
          <w:color w:val="auto"/>
        </w:rPr>
        <w:t>3、《工伤保险条例》（中华人民共和国国务院令[2010]第586号，2011年1月1日实施）；</w:t>
      </w:r>
    </w:p>
    <w:p w14:paraId="7861DE49">
      <w:pPr>
        <w:bidi w:val="0"/>
        <w:rPr>
          <w:rFonts w:hint="eastAsia"/>
          <w:color w:val="auto"/>
        </w:rPr>
      </w:pPr>
      <w:r>
        <w:rPr>
          <w:rFonts w:hint="eastAsia"/>
          <w:color w:val="auto"/>
        </w:rPr>
        <w:t>4、《建设工程安全生产管理条例》（中华人民共和国国务院令[2003]第393号，2004年2月1日起施行）；</w:t>
      </w:r>
    </w:p>
    <w:p w14:paraId="44595313">
      <w:pPr>
        <w:bidi w:val="0"/>
        <w:rPr>
          <w:rFonts w:hint="eastAsia"/>
          <w:color w:val="auto"/>
        </w:rPr>
      </w:pPr>
      <w:r>
        <w:rPr>
          <w:rFonts w:hint="eastAsia"/>
          <w:color w:val="auto"/>
        </w:rPr>
        <w:t>5、《生产安全事故报告和调查处理条例》（中华人民共和国国务院令[2007]第493号，2007年6月1日起施行）；</w:t>
      </w:r>
    </w:p>
    <w:p w14:paraId="3F273A5D">
      <w:pPr>
        <w:bidi w:val="0"/>
        <w:rPr>
          <w:rFonts w:hint="eastAsia"/>
          <w:color w:val="auto"/>
        </w:rPr>
      </w:pPr>
      <w:r>
        <w:rPr>
          <w:rFonts w:hint="eastAsia"/>
          <w:color w:val="auto"/>
        </w:rPr>
        <w:t>6、《建设工程质量管理条例（2019修正）》（中华人民共和国国务院令[201</w:t>
      </w:r>
      <w:r>
        <w:rPr>
          <w:rFonts w:hint="eastAsia"/>
          <w:color w:val="auto"/>
          <w:lang w:val="en-US" w:eastAsia="zh-CN"/>
        </w:rPr>
        <w:t>9</w:t>
      </w:r>
      <w:r>
        <w:rPr>
          <w:rFonts w:hint="eastAsia"/>
          <w:color w:val="auto"/>
        </w:rPr>
        <w:t>]第</w:t>
      </w:r>
      <w:r>
        <w:rPr>
          <w:rFonts w:hint="eastAsia"/>
          <w:color w:val="auto"/>
          <w:lang w:val="en-US" w:eastAsia="zh-CN"/>
        </w:rPr>
        <w:t>709</w:t>
      </w:r>
      <w:r>
        <w:rPr>
          <w:rFonts w:hint="eastAsia"/>
          <w:color w:val="auto"/>
        </w:rPr>
        <w:t>号修订）；</w:t>
      </w:r>
    </w:p>
    <w:p w14:paraId="0B3A6CD4">
      <w:pPr>
        <w:bidi w:val="0"/>
        <w:rPr>
          <w:rFonts w:hint="eastAsia"/>
          <w:color w:val="auto"/>
        </w:rPr>
      </w:pPr>
      <w:r>
        <w:rPr>
          <w:rFonts w:hint="eastAsia"/>
          <w:color w:val="auto"/>
        </w:rPr>
        <w:t>7、《生产安全事故应急条例》（中华人民共和国国务院令第708号，2019年4月1日施行）；</w:t>
      </w:r>
    </w:p>
    <w:p w14:paraId="15CA32A5">
      <w:pPr>
        <w:bidi w:val="0"/>
        <w:rPr>
          <w:rFonts w:hint="eastAsia"/>
          <w:color w:val="auto"/>
        </w:rPr>
      </w:pPr>
      <w:r>
        <w:rPr>
          <w:rFonts w:hint="eastAsia"/>
          <w:color w:val="auto"/>
        </w:rPr>
        <w:t>8、《劳动保障监察条例》（中华人民共和国国务院令[2004]第423号，自2004年12月1日起施行）。</w:t>
      </w:r>
    </w:p>
    <w:p w14:paraId="1258C4B4">
      <w:pPr>
        <w:pStyle w:val="4"/>
        <w:bidi w:val="0"/>
        <w:rPr>
          <w:rFonts w:hint="eastAsia"/>
          <w:color w:val="auto"/>
        </w:rPr>
      </w:pPr>
      <w:bookmarkStart w:id="59" w:name="_Toc13893"/>
      <w:r>
        <w:rPr>
          <w:rFonts w:hint="eastAsia"/>
          <w:color w:val="auto"/>
        </w:rPr>
        <w:t>1.2.3 部门规章</w:t>
      </w:r>
      <w:bookmarkEnd w:id="59"/>
    </w:p>
    <w:p w14:paraId="5233FF2D">
      <w:pPr>
        <w:bidi w:val="0"/>
        <w:rPr>
          <w:rFonts w:hint="eastAsia"/>
          <w:color w:val="auto"/>
        </w:rPr>
      </w:pPr>
      <w:r>
        <w:rPr>
          <w:rFonts w:hint="eastAsia"/>
          <w:color w:val="auto"/>
        </w:rPr>
        <w:t>1、《建设项目安全设施“三同时”监督管理办法》（原国家安全生产监管总局令[2010]第36号，原国家安全生产监管总局令[2015]第77号修订，2015年5月1日起实施）；</w:t>
      </w:r>
    </w:p>
    <w:p w14:paraId="7F5C385F">
      <w:pPr>
        <w:bidi w:val="0"/>
        <w:rPr>
          <w:rFonts w:hint="eastAsia"/>
          <w:color w:val="auto"/>
        </w:rPr>
      </w:pPr>
      <w:r>
        <w:rPr>
          <w:rFonts w:hint="eastAsia"/>
          <w:color w:val="auto"/>
        </w:rPr>
        <w:t>2、《国家安全监管总局关于废止和修改劳动防护用品和安全培训等领域十部规章的决定》（原国家安全生产监督管理总局令[2015]第80号，2015年7月1日实施）；</w:t>
      </w:r>
    </w:p>
    <w:p w14:paraId="2C8BFD54">
      <w:pPr>
        <w:bidi w:val="0"/>
        <w:rPr>
          <w:rFonts w:hint="eastAsia"/>
          <w:color w:val="auto"/>
        </w:rPr>
      </w:pPr>
      <w:r>
        <w:rPr>
          <w:rFonts w:hint="eastAsia"/>
          <w:color w:val="auto"/>
        </w:rPr>
        <w:t>3、《国务院办公厅关于印发消防安全责任制实施办法的通知》（国办发〔2017〕87号）；</w:t>
      </w:r>
    </w:p>
    <w:p w14:paraId="748F71A8">
      <w:pPr>
        <w:bidi w:val="0"/>
        <w:rPr>
          <w:rFonts w:hint="eastAsia"/>
          <w:color w:val="auto"/>
        </w:rPr>
      </w:pPr>
      <w:r>
        <w:rPr>
          <w:rFonts w:hint="eastAsia"/>
          <w:color w:val="auto"/>
        </w:rPr>
        <w:t>4、《生产经营单位安全培训规定》（原国家安全生产监督管理总局令第3号，根据80号令修改，2015年7月1日起实施）；</w:t>
      </w:r>
    </w:p>
    <w:p w14:paraId="46283CAA">
      <w:pPr>
        <w:bidi w:val="0"/>
        <w:rPr>
          <w:rFonts w:hint="eastAsia"/>
          <w:color w:val="auto"/>
        </w:rPr>
      </w:pPr>
      <w:r>
        <w:rPr>
          <w:rFonts w:hint="eastAsia"/>
          <w:color w:val="auto"/>
        </w:rPr>
        <w:t>5、《生产安全事故应急预案管理办法》（原国家安全生产监督管理总局令第88号，中华人民共和国应急管理部令第2号修改，自2019年9月1日起施行）；</w:t>
      </w:r>
    </w:p>
    <w:p w14:paraId="4B94CD05">
      <w:pPr>
        <w:bidi w:val="0"/>
        <w:rPr>
          <w:rFonts w:hint="eastAsia"/>
          <w:color w:val="auto"/>
        </w:rPr>
      </w:pPr>
      <w:r>
        <w:rPr>
          <w:rFonts w:hint="eastAsia"/>
          <w:color w:val="auto"/>
        </w:rPr>
        <w:t>6、《工作场所职业卫生管理规定》（中华人民共和国国家卫生健康委员会令第5号，自2021年2月1日起施行）；</w:t>
      </w:r>
    </w:p>
    <w:p w14:paraId="2F59D21F">
      <w:pPr>
        <w:bidi w:val="0"/>
        <w:rPr>
          <w:rFonts w:hint="eastAsia"/>
          <w:color w:val="auto"/>
        </w:rPr>
      </w:pPr>
      <w:r>
        <w:rPr>
          <w:rFonts w:hint="eastAsia"/>
          <w:color w:val="auto"/>
        </w:rPr>
        <w:t>7、《职业病分类和目录》（国卫疾控发[2013]48号）；</w:t>
      </w:r>
    </w:p>
    <w:p w14:paraId="76A89343">
      <w:pPr>
        <w:bidi w:val="0"/>
        <w:rPr>
          <w:rFonts w:hint="eastAsia"/>
          <w:color w:val="auto"/>
        </w:rPr>
      </w:pPr>
      <w:r>
        <w:rPr>
          <w:rFonts w:hint="eastAsia"/>
          <w:color w:val="auto"/>
        </w:rPr>
        <w:t>8、《特种作业人员安全技术培训考核管理规定》（原国家安全生产监督管理总局令[2010]第30号，国家安全生产监督管理总局令[2015]第80号，2015年7月1日施行）；</w:t>
      </w:r>
    </w:p>
    <w:p w14:paraId="43E3B953">
      <w:pPr>
        <w:bidi w:val="0"/>
        <w:rPr>
          <w:rFonts w:hint="eastAsia"/>
          <w:color w:val="auto"/>
        </w:rPr>
      </w:pPr>
      <w:r>
        <w:rPr>
          <w:rFonts w:hint="eastAsia"/>
          <w:color w:val="auto"/>
        </w:rPr>
        <w:t>9、《安全生产培训管理办法》（原国家安全生产监督管理总局令第44号，国家安全生产监督管理总局令[2015]第80号令修订，自2015年7月1日起施行）；</w:t>
      </w:r>
    </w:p>
    <w:p w14:paraId="3ECE6266">
      <w:pPr>
        <w:bidi w:val="0"/>
        <w:rPr>
          <w:rFonts w:hint="eastAsia"/>
          <w:color w:val="auto"/>
        </w:rPr>
      </w:pPr>
      <w:r>
        <w:rPr>
          <w:rFonts w:hint="eastAsia"/>
          <w:color w:val="auto"/>
        </w:rPr>
        <w:t>10、《产业结构调整指导目录（2024年本）》经2023年12月1日第6次委务会议审议通过，自2024年2月1日起施行；</w:t>
      </w:r>
    </w:p>
    <w:p w14:paraId="149A41A5">
      <w:pPr>
        <w:bidi w:val="0"/>
        <w:rPr>
          <w:rFonts w:hint="eastAsia"/>
          <w:color w:val="auto"/>
        </w:rPr>
      </w:pPr>
      <w:r>
        <w:rPr>
          <w:rFonts w:hint="eastAsia"/>
          <w:color w:val="auto"/>
        </w:rPr>
        <w:t>11、《关于印发&lt;企业安全生产费用提取和使用管理办法&gt;的通知》（财资〔2022〕136号）；</w:t>
      </w:r>
    </w:p>
    <w:p w14:paraId="74F81662">
      <w:pPr>
        <w:bidi w:val="0"/>
        <w:rPr>
          <w:rFonts w:hint="eastAsia"/>
          <w:color w:val="auto"/>
        </w:rPr>
      </w:pPr>
      <w:r>
        <w:rPr>
          <w:rFonts w:hint="eastAsia"/>
          <w:color w:val="auto"/>
        </w:rPr>
        <w:t>12、《工贸企业有限空间作业安全规定》（应急管理部令第13号，自2024年1月1日起施行）；</w:t>
      </w:r>
    </w:p>
    <w:p w14:paraId="36BF425D">
      <w:pPr>
        <w:bidi w:val="0"/>
        <w:rPr>
          <w:rFonts w:hint="eastAsia"/>
          <w:color w:val="auto"/>
        </w:rPr>
      </w:pPr>
      <w:r>
        <w:rPr>
          <w:rFonts w:hint="eastAsia"/>
          <w:color w:val="auto"/>
        </w:rPr>
        <w:t>13、《仓库防火安全管理规则》（公安部令第6号，1990年4月10日起实施）；</w:t>
      </w:r>
    </w:p>
    <w:p w14:paraId="464599AF">
      <w:pPr>
        <w:bidi w:val="0"/>
        <w:rPr>
          <w:rFonts w:hint="eastAsia"/>
          <w:color w:val="auto"/>
        </w:rPr>
      </w:pPr>
      <w:r>
        <w:rPr>
          <w:rFonts w:hint="eastAsia"/>
          <w:color w:val="auto"/>
        </w:rPr>
        <w:t>14、《住房和城乡建设部关于修改〈建设工程消防设计审查验收管理暂行规定〉的决定》经2023年7月24日第2次部务会议审议通过，自2023年10月30日起施行；</w:t>
      </w:r>
    </w:p>
    <w:p w14:paraId="73B2ACB1">
      <w:pPr>
        <w:bidi w:val="0"/>
        <w:rPr>
          <w:rFonts w:hint="eastAsia"/>
          <w:color w:val="auto"/>
        </w:rPr>
      </w:pPr>
      <w:r>
        <w:rPr>
          <w:rFonts w:hint="eastAsia"/>
          <w:color w:val="auto"/>
        </w:rPr>
        <w:t>15、《工贸企业重大事故隐患判定标准》（中华人民共和国应急管理部令第10号）；</w:t>
      </w:r>
    </w:p>
    <w:p w14:paraId="3F13FBB8">
      <w:pPr>
        <w:bidi w:val="0"/>
        <w:rPr>
          <w:rFonts w:hint="eastAsia"/>
          <w:color w:val="auto"/>
        </w:rPr>
      </w:pPr>
      <w:r>
        <w:rPr>
          <w:rFonts w:hint="eastAsia"/>
          <w:color w:val="auto"/>
        </w:rPr>
        <w:t>16、应急管理部办公厅关于印发《有限空间作业安全指导手册》和4个专题系列折页的通知（应急厅函[2020]299号）；</w:t>
      </w:r>
    </w:p>
    <w:p w14:paraId="34387C7B">
      <w:pPr>
        <w:bidi w:val="0"/>
        <w:rPr>
          <w:rFonts w:hint="eastAsia"/>
          <w:color w:val="auto"/>
        </w:rPr>
      </w:pPr>
      <w:r>
        <w:rPr>
          <w:rFonts w:hint="eastAsia"/>
          <w:color w:val="auto"/>
        </w:rPr>
        <w:t>17、《国务院安委会办公室关于印发标本兼治遏制重特大事故工作指南的通知》（安委办[2016]3号）；</w:t>
      </w:r>
    </w:p>
    <w:p w14:paraId="0895FBEA">
      <w:pPr>
        <w:bidi w:val="0"/>
        <w:rPr>
          <w:rFonts w:hint="eastAsia"/>
          <w:color w:val="auto"/>
        </w:rPr>
      </w:pPr>
      <w:r>
        <w:rPr>
          <w:rFonts w:hint="eastAsia"/>
          <w:color w:val="auto"/>
        </w:rPr>
        <w:t>18、《国务院安委会办公室关于实施遏制重特大事故工作指南构建双重预防机制的意见》（安委办[2016]11号）。</w:t>
      </w:r>
    </w:p>
    <w:p w14:paraId="794EDC25">
      <w:pPr>
        <w:pStyle w:val="4"/>
        <w:bidi w:val="0"/>
        <w:rPr>
          <w:rFonts w:hint="eastAsia"/>
          <w:color w:val="auto"/>
        </w:rPr>
      </w:pPr>
      <w:bookmarkStart w:id="60" w:name="_Toc513"/>
      <w:r>
        <w:rPr>
          <w:rFonts w:hint="eastAsia"/>
          <w:color w:val="auto"/>
        </w:rPr>
        <w:t>1.2.4 地方性法规及文件</w:t>
      </w:r>
      <w:bookmarkEnd w:id="60"/>
    </w:p>
    <w:p w14:paraId="60E1E755">
      <w:pPr>
        <w:bidi w:val="0"/>
        <w:rPr>
          <w:rFonts w:hint="eastAsia"/>
          <w:color w:val="auto"/>
        </w:rPr>
      </w:pPr>
      <w:r>
        <w:rPr>
          <w:rFonts w:hint="eastAsia"/>
          <w:color w:val="auto"/>
        </w:rPr>
        <w:t>1、《云南省安全生产条例》（2017年11月30日云南省第十二届人民代表大会常务委员会第三十八次会议通过，2018年1月1日起施行）；</w:t>
      </w:r>
    </w:p>
    <w:p w14:paraId="32A2476C">
      <w:pPr>
        <w:bidi w:val="0"/>
        <w:rPr>
          <w:rFonts w:hint="eastAsia"/>
          <w:color w:val="auto"/>
        </w:rPr>
      </w:pPr>
      <w:r>
        <w:rPr>
          <w:rFonts w:hint="eastAsia"/>
          <w:color w:val="auto"/>
        </w:rPr>
        <w:t>2、《云南省消防条例》（2010年9月30日云南省第十一届人民代表大会常务委员会第十九次会议通过，根据2020年11月25日云南省第十三届人民代表大会常务委员会第二十一次会议《云南省人民代表大会常务委员会关于修改部分地方性法规的决定》修正）；</w:t>
      </w:r>
    </w:p>
    <w:p w14:paraId="658481FE">
      <w:pPr>
        <w:bidi w:val="0"/>
        <w:rPr>
          <w:rFonts w:hint="eastAsia"/>
          <w:color w:val="auto"/>
        </w:rPr>
      </w:pPr>
      <w:r>
        <w:rPr>
          <w:rFonts w:hint="eastAsia"/>
          <w:color w:val="auto"/>
        </w:rPr>
        <w:t>3、《云南省生产安全事故报告和调查处理规定》（云南省政府令[20</w:t>
      </w:r>
      <w:r>
        <w:rPr>
          <w:rFonts w:hint="eastAsia"/>
          <w:color w:val="auto"/>
          <w:lang w:val="en-US" w:eastAsia="zh-CN"/>
        </w:rPr>
        <w:t>09</w:t>
      </w:r>
      <w:r>
        <w:rPr>
          <w:rFonts w:hint="eastAsia"/>
          <w:color w:val="auto"/>
        </w:rPr>
        <w:t>]第155号）；</w:t>
      </w:r>
    </w:p>
    <w:p w14:paraId="7C0853CF">
      <w:pPr>
        <w:bidi w:val="0"/>
        <w:rPr>
          <w:rFonts w:hint="eastAsia"/>
          <w:color w:val="auto"/>
        </w:rPr>
      </w:pPr>
      <w:r>
        <w:rPr>
          <w:rFonts w:hint="eastAsia"/>
          <w:color w:val="auto"/>
        </w:rPr>
        <w:t>4、《云南省人民政府贯彻落实国务院关于进一步加强企业安全生产工作通知的实施意见》（云政发〔2010〕157号）；</w:t>
      </w:r>
    </w:p>
    <w:p w14:paraId="48DDC43C">
      <w:pPr>
        <w:bidi w:val="0"/>
        <w:rPr>
          <w:rFonts w:hint="eastAsia"/>
          <w:color w:val="auto"/>
        </w:rPr>
      </w:pPr>
      <w:r>
        <w:rPr>
          <w:rFonts w:hint="eastAsia"/>
          <w:color w:val="auto"/>
        </w:rPr>
        <w:t>5、《云南省应急管理厅关于印发云南省企业安全生产标准化建设定级实施办法的通知》（云应急〔2023〕6号）；</w:t>
      </w:r>
    </w:p>
    <w:p w14:paraId="2E1EBB38">
      <w:pPr>
        <w:bidi w:val="0"/>
        <w:rPr>
          <w:rFonts w:hint="eastAsia"/>
          <w:color w:val="auto"/>
        </w:rPr>
      </w:pPr>
      <w:r>
        <w:rPr>
          <w:rFonts w:hint="eastAsia"/>
          <w:color w:val="auto"/>
        </w:rPr>
        <w:t>6、《云南省安全生产监督管理局关于进一步加强工贸行业有限空间作业安全生产工作的通知》（云安监管函〔2016〕85号）；</w:t>
      </w:r>
    </w:p>
    <w:p w14:paraId="1658AD43">
      <w:pPr>
        <w:bidi w:val="0"/>
        <w:rPr>
          <w:rFonts w:hint="eastAsia"/>
          <w:color w:val="auto"/>
        </w:rPr>
      </w:pPr>
      <w:r>
        <w:rPr>
          <w:rFonts w:hint="eastAsia"/>
          <w:color w:val="auto"/>
        </w:rPr>
        <w:t>7、《云南省应急管理厅关于在重点工贸企业开展安全生产动态巡查和预警工作的通知》（云应急〔2020〕10号）；</w:t>
      </w:r>
    </w:p>
    <w:p w14:paraId="03DC82E2">
      <w:pPr>
        <w:bidi w:val="0"/>
        <w:rPr>
          <w:rFonts w:hint="eastAsia"/>
          <w:color w:val="auto"/>
        </w:rPr>
      </w:pPr>
      <w:r>
        <w:rPr>
          <w:rFonts w:hint="eastAsia"/>
          <w:color w:val="auto"/>
        </w:rPr>
        <w:t>8、《云南省安全生产委员会办公室关于印发＜云南省工贸行业安全生产综合治理实施方案＞的通知》（云安办〔2020〕16号）；</w:t>
      </w:r>
    </w:p>
    <w:p w14:paraId="78FE67BB">
      <w:pPr>
        <w:bidi w:val="0"/>
        <w:rPr>
          <w:rFonts w:hint="eastAsia"/>
          <w:color w:val="auto"/>
        </w:rPr>
      </w:pPr>
      <w:r>
        <w:rPr>
          <w:rFonts w:hint="eastAsia"/>
          <w:color w:val="auto"/>
        </w:rPr>
        <w:t>9、《云南省应急管理厅关于学习使用&lt;有限空间作业安全指导手册&gt;和4个专题系列折页的通知》（云应急函〔2020〕238号）；</w:t>
      </w:r>
    </w:p>
    <w:p w14:paraId="6BC6C881">
      <w:pPr>
        <w:bidi w:val="0"/>
        <w:rPr>
          <w:rFonts w:hint="eastAsia"/>
          <w:color w:val="auto"/>
        </w:rPr>
      </w:pPr>
      <w:r>
        <w:rPr>
          <w:rFonts w:hint="eastAsia"/>
          <w:color w:val="auto"/>
        </w:rPr>
        <w:t>10、《云南安全生产委员会关于建立完善安全风险分级管控和隐患排查治理双重预防机制的指导意见》（云安〔2021〕3号）；</w:t>
      </w:r>
    </w:p>
    <w:p w14:paraId="58F209A5">
      <w:pPr>
        <w:bidi w:val="0"/>
        <w:rPr>
          <w:rFonts w:hint="eastAsia"/>
          <w:color w:val="auto"/>
        </w:rPr>
      </w:pPr>
      <w:r>
        <w:rPr>
          <w:rFonts w:hint="eastAsia"/>
          <w:color w:val="auto"/>
        </w:rPr>
        <w:t>11、《云南省工贸行业企业安全风险源点定性定量判别参考标准指南（试行）》（云应急〔2022〕8号）。</w:t>
      </w:r>
    </w:p>
    <w:p w14:paraId="33DA4403">
      <w:pPr>
        <w:pStyle w:val="4"/>
        <w:bidi w:val="0"/>
        <w:rPr>
          <w:rFonts w:hint="eastAsia"/>
          <w:color w:val="auto"/>
        </w:rPr>
      </w:pPr>
      <w:bookmarkStart w:id="61" w:name="_Toc25844"/>
      <w:r>
        <w:rPr>
          <w:rFonts w:hint="eastAsia"/>
          <w:color w:val="auto"/>
        </w:rPr>
        <w:t>1.2.5 标准规范</w:t>
      </w:r>
      <w:bookmarkEnd w:id="61"/>
    </w:p>
    <w:p w14:paraId="7A80CC55">
      <w:pPr>
        <w:bidi w:val="0"/>
        <w:rPr>
          <w:rFonts w:hint="eastAsia"/>
          <w:color w:val="auto"/>
        </w:rPr>
      </w:pPr>
      <w:r>
        <w:rPr>
          <w:rFonts w:hint="eastAsia"/>
          <w:color w:val="auto"/>
        </w:rPr>
        <w:t>1、《选矿安全规程》（GB/T 18152-2000）；</w:t>
      </w:r>
    </w:p>
    <w:p w14:paraId="75D1806A">
      <w:pPr>
        <w:bidi w:val="0"/>
        <w:rPr>
          <w:rFonts w:hint="eastAsia"/>
          <w:color w:val="auto"/>
        </w:rPr>
      </w:pPr>
      <w:r>
        <w:rPr>
          <w:rFonts w:hint="eastAsia"/>
          <w:color w:val="auto"/>
        </w:rPr>
        <w:t>2、《工业企业总平面设计规范》（GB 50187-2012，2012年08月01日实施）；</w:t>
      </w:r>
    </w:p>
    <w:p w14:paraId="50091947">
      <w:pPr>
        <w:bidi w:val="0"/>
        <w:rPr>
          <w:rFonts w:hint="eastAsia"/>
          <w:color w:val="auto"/>
        </w:rPr>
      </w:pPr>
      <w:r>
        <w:rPr>
          <w:rFonts w:hint="eastAsia"/>
          <w:color w:val="auto"/>
        </w:rPr>
        <w:t>3、《工业企业设计卫生标准》（GB Z 1-2010，2010年8月1日施行）；</w:t>
      </w:r>
    </w:p>
    <w:p w14:paraId="187CA42C">
      <w:pPr>
        <w:bidi w:val="0"/>
        <w:rPr>
          <w:rFonts w:hint="eastAsia"/>
          <w:color w:val="auto"/>
        </w:rPr>
      </w:pPr>
      <w:r>
        <w:rPr>
          <w:rFonts w:hint="eastAsia"/>
          <w:color w:val="auto"/>
        </w:rPr>
        <w:t>4、《工业企业噪声控制设计规范》（GB /T 50087-2013，2014年06月01日实施）；</w:t>
      </w:r>
    </w:p>
    <w:p w14:paraId="62C0EC8D">
      <w:pPr>
        <w:bidi w:val="0"/>
        <w:rPr>
          <w:rFonts w:hint="eastAsia"/>
          <w:color w:val="auto"/>
        </w:rPr>
      </w:pPr>
      <w:r>
        <w:rPr>
          <w:rFonts w:hint="eastAsia"/>
          <w:color w:val="auto"/>
        </w:rPr>
        <w:t>5、《工业建筑防腐蚀设计</w:t>
      </w:r>
      <w:r>
        <w:rPr>
          <w:rFonts w:hint="eastAsia"/>
          <w:color w:val="auto"/>
          <w:lang w:val="en-US" w:eastAsia="zh-CN"/>
        </w:rPr>
        <w:t>标准</w:t>
      </w:r>
      <w:r>
        <w:rPr>
          <w:rFonts w:hint="eastAsia"/>
          <w:color w:val="auto"/>
        </w:rPr>
        <w:t>》（GB /T 50046-2018，2019年03月01日实施）；</w:t>
      </w:r>
    </w:p>
    <w:p w14:paraId="18234673">
      <w:pPr>
        <w:bidi w:val="0"/>
        <w:rPr>
          <w:rFonts w:hint="eastAsia"/>
          <w:color w:val="auto"/>
        </w:rPr>
      </w:pPr>
      <w:r>
        <w:rPr>
          <w:rFonts w:hint="eastAsia"/>
          <w:color w:val="auto"/>
        </w:rPr>
        <w:t>6、《建筑设计防火规范》（2018版）（GB 0016-2014，2015年05月01日实施）；</w:t>
      </w:r>
    </w:p>
    <w:p w14:paraId="0C694C16">
      <w:pPr>
        <w:bidi w:val="0"/>
        <w:rPr>
          <w:rFonts w:hint="eastAsia"/>
          <w:color w:val="auto"/>
        </w:rPr>
      </w:pPr>
      <w:r>
        <w:rPr>
          <w:rFonts w:hint="eastAsia"/>
          <w:color w:val="auto"/>
        </w:rPr>
        <w:t>7、《建筑防火通用规范》（GB 55037-2022，2023年06月01日实施）；</w:t>
      </w:r>
    </w:p>
    <w:p w14:paraId="28EEEF46">
      <w:pPr>
        <w:bidi w:val="0"/>
        <w:rPr>
          <w:rFonts w:hint="eastAsia"/>
          <w:color w:val="auto"/>
        </w:rPr>
      </w:pPr>
      <w:r>
        <w:rPr>
          <w:rFonts w:hint="eastAsia"/>
          <w:color w:val="auto"/>
        </w:rPr>
        <w:t>8、《建筑物防雷设计规范》（GB 50057-2010，2011年10月01日实施）；</w:t>
      </w:r>
    </w:p>
    <w:p w14:paraId="45A19330">
      <w:pPr>
        <w:bidi w:val="0"/>
        <w:rPr>
          <w:rFonts w:hint="eastAsia"/>
          <w:color w:val="auto"/>
        </w:rPr>
      </w:pPr>
      <w:r>
        <w:rPr>
          <w:rFonts w:hint="eastAsia"/>
          <w:color w:val="auto"/>
        </w:rPr>
        <w:t>9、《建筑照明设计标准》（GB/T 50034-2024，2024年08月01日实施）；</w:t>
      </w:r>
    </w:p>
    <w:p w14:paraId="3B1AD4EF">
      <w:pPr>
        <w:bidi w:val="0"/>
        <w:rPr>
          <w:rFonts w:hint="eastAsia"/>
          <w:color w:val="auto"/>
        </w:rPr>
      </w:pPr>
      <w:r>
        <w:rPr>
          <w:rFonts w:hint="eastAsia"/>
          <w:color w:val="auto"/>
        </w:rPr>
        <w:t>10、《建筑抗震设计标准（2024年版）》（GB/T 50011-2010，2024年08月01日实施）；</w:t>
      </w:r>
    </w:p>
    <w:p w14:paraId="172F78B4">
      <w:pPr>
        <w:bidi w:val="0"/>
        <w:rPr>
          <w:rFonts w:hint="eastAsia"/>
          <w:color w:val="auto"/>
        </w:rPr>
      </w:pPr>
      <w:r>
        <w:rPr>
          <w:rFonts w:hint="eastAsia"/>
          <w:color w:val="auto"/>
        </w:rPr>
        <w:t>11、《企业职工伤亡事故分类标准》（GB 6441-1986，1987年2月1日实施）；</w:t>
      </w:r>
    </w:p>
    <w:p w14:paraId="6EA4FDA0">
      <w:pPr>
        <w:bidi w:val="0"/>
        <w:rPr>
          <w:rFonts w:hint="eastAsia"/>
          <w:color w:val="auto"/>
        </w:rPr>
      </w:pPr>
      <w:r>
        <w:rPr>
          <w:rFonts w:hint="eastAsia"/>
          <w:color w:val="auto"/>
        </w:rPr>
        <w:t>12、《危险化学品重大危险源辨识》（GB 18218-2018，2019年3月01日实施）；</w:t>
      </w:r>
    </w:p>
    <w:p w14:paraId="3B87596C">
      <w:pPr>
        <w:bidi w:val="0"/>
        <w:rPr>
          <w:rFonts w:hint="eastAsia"/>
          <w:color w:val="auto"/>
        </w:rPr>
      </w:pPr>
      <w:r>
        <w:rPr>
          <w:rFonts w:hint="eastAsia"/>
          <w:color w:val="auto"/>
        </w:rPr>
        <w:t>13、《生产设备安全卫生设计总则》（GB 5083-2023，2025年1月1日实施）；</w:t>
      </w:r>
    </w:p>
    <w:p w14:paraId="7066244B">
      <w:pPr>
        <w:bidi w:val="0"/>
        <w:rPr>
          <w:rFonts w:hint="eastAsia"/>
          <w:color w:val="auto"/>
        </w:rPr>
      </w:pPr>
      <w:r>
        <w:rPr>
          <w:rFonts w:hint="eastAsia"/>
          <w:color w:val="auto"/>
        </w:rPr>
        <w:t>14、《生产过程安全卫生要求总则》（GB /T 12801-2008，2009年10月01日实施）；</w:t>
      </w:r>
    </w:p>
    <w:p w14:paraId="0DE2A44B">
      <w:pPr>
        <w:bidi w:val="0"/>
        <w:rPr>
          <w:rFonts w:hint="eastAsia"/>
          <w:color w:val="auto"/>
        </w:rPr>
      </w:pPr>
      <w:r>
        <w:rPr>
          <w:rFonts w:hint="eastAsia"/>
          <w:color w:val="auto"/>
        </w:rPr>
        <w:t>15、《厂矿道路设计规范》（GB J 22-1987，1988年8月1日实施）；</w:t>
      </w:r>
    </w:p>
    <w:p w14:paraId="2F0D0EF6">
      <w:pPr>
        <w:bidi w:val="0"/>
        <w:rPr>
          <w:rFonts w:hint="eastAsia"/>
          <w:color w:val="auto"/>
        </w:rPr>
      </w:pPr>
      <w:r>
        <w:rPr>
          <w:rFonts w:hint="eastAsia"/>
          <w:color w:val="auto"/>
        </w:rPr>
        <w:t>16、《工业企业厂内铁路、道路运输安全规程》（GB 4387-2008，2009年10月01日实施）；</w:t>
      </w:r>
    </w:p>
    <w:p w14:paraId="6FCFA6AA">
      <w:pPr>
        <w:bidi w:val="0"/>
        <w:rPr>
          <w:rFonts w:hint="eastAsia"/>
          <w:color w:val="auto"/>
        </w:rPr>
      </w:pPr>
      <w:r>
        <w:rPr>
          <w:rFonts w:hint="eastAsia"/>
          <w:color w:val="auto"/>
        </w:rPr>
        <w:t>17、《安全标志及其使用导则》（GB 2894-2008，2009年10月01日实施）；</w:t>
      </w:r>
    </w:p>
    <w:p w14:paraId="063754AD">
      <w:pPr>
        <w:bidi w:val="0"/>
        <w:rPr>
          <w:rFonts w:hint="eastAsia"/>
          <w:color w:val="auto"/>
        </w:rPr>
      </w:pPr>
      <w:r>
        <w:rPr>
          <w:rFonts w:hint="eastAsia"/>
          <w:color w:val="auto"/>
        </w:rPr>
        <w:t>18、《安全色》（GB 2893-2008，2009年10月01日实施）；</w:t>
      </w:r>
    </w:p>
    <w:p w14:paraId="22640DBD">
      <w:pPr>
        <w:bidi w:val="0"/>
        <w:rPr>
          <w:rFonts w:hint="eastAsia"/>
          <w:color w:val="auto"/>
        </w:rPr>
      </w:pPr>
      <w:r>
        <w:rPr>
          <w:rFonts w:hint="eastAsia"/>
          <w:color w:val="auto"/>
        </w:rPr>
        <w:t>19、《个体防护装备配备规范 第1部分：总则》（GB 39800.1-2020，2020年12月24日发布，2022年1月1日实施）；</w:t>
      </w:r>
    </w:p>
    <w:p w14:paraId="015CFBF0">
      <w:pPr>
        <w:bidi w:val="0"/>
        <w:rPr>
          <w:rFonts w:hint="eastAsia"/>
          <w:color w:val="auto"/>
        </w:rPr>
      </w:pPr>
      <w:r>
        <w:rPr>
          <w:rFonts w:hint="eastAsia"/>
          <w:color w:val="auto"/>
        </w:rPr>
        <w:t>20、《用电安全导则》（GB /T 13869-2017，2018年07月01日实施）；</w:t>
      </w:r>
    </w:p>
    <w:p w14:paraId="57B2A6AB">
      <w:pPr>
        <w:bidi w:val="0"/>
        <w:rPr>
          <w:rFonts w:hint="eastAsia"/>
          <w:color w:val="auto"/>
        </w:rPr>
      </w:pPr>
      <w:r>
        <w:rPr>
          <w:rFonts w:hint="eastAsia"/>
          <w:color w:val="auto"/>
        </w:rPr>
        <w:t>21、《电气设备安全设计导则》（GB /T 25295-2010，2011年5月1日实施）；</w:t>
      </w:r>
    </w:p>
    <w:p w14:paraId="697894AF">
      <w:pPr>
        <w:bidi w:val="0"/>
        <w:rPr>
          <w:rFonts w:hint="eastAsia"/>
          <w:color w:val="auto"/>
        </w:rPr>
      </w:pPr>
      <w:r>
        <w:rPr>
          <w:rFonts w:hint="eastAsia"/>
          <w:color w:val="auto"/>
        </w:rPr>
        <w:t>22、《电击防护装置和设备的通用部分》（GB /T 17045-2020，2020年10月01日实施）；</w:t>
      </w:r>
    </w:p>
    <w:p w14:paraId="72FF7C7C">
      <w:pPr>
        <w:bidi w:val="0"/>
        <w:rPr>
          <w:rFonts w:hint="eastAsia"/>
          <w:color w:val="auto"/>
        </w:rPr>
      </w:pPr>
      <w:r>
        <w:rPr>
          <w:rFonts w:hint="eastAsia"/>
          <w:color w:val="auto"/>
        </w:rPr>
        <w:t>23、《建筑电气工程施工质量验收规范》（GB 50303-2015，2016年8月1日实施）；</w:t>
      </w:r>
    </w:p>
    <w:p w14:paraId="0FC5D56B">
      <w:pPr>
        <w:bidi w:val="0"/>
        <w:rPr>
          <w:rFonts w:hint="eastAsia"/>
          <w:color w:val="auto"/>
        </w:rPr>
      </w:pPr>
      <w:r>
        <w:rPr>
          <w:rFonts w:hint="eastAsia"/>
          <w:color w:val="auto"/>
        </w:rPr>
        <w:t>24、《电气装置安装工程 电缆线路施工及验收标准》（GB 50168-2018，2019年5月1日实施）；</w:t>
      </w:r>
    </w:p>
    <w:p w14:paraId="3FFB1E43">
      <w:pPr>
        <w:bidi w:val="0"/>
        <w:rPr>
          <w:rFonts w:hint="eastAsia"/>
          <w:color w:val="auto"/>
        </w:rPr>
      </w:pPr>
      <w:r>
        <w:rPr>
          <w:rFonts w:hint="eastAsia"/>
          <w:color w:val="auto"/>
        </w:rPr>
        <w:t>25、《电气装置安装工程接地装置施工及验收规范》（GB 50169-2016，2017年4月1日实施）；</w:t>
      </w:r>
    </w:p>
    <w:p w14:paraId="2D903DD2">
      <w:pPr>
        <w:bidi w:val="0"/>
        <w:rPr>
          <w:rFonts w:hint="eastAsia"/>
          <w:color w:val="auto"/>
        </w:rPr>
      </w:pPr>
      <w:r>
        <w:rPr>
          <w:rFonts w:hint="eastAsia"/>
          <w:color w:val="auto"/>
        </w:rPr>
        <w:t>26、《建筑采光设计标准》（GB 50033-2013，2013年5月1日实施</w:t>
      </w:r>
      <w:r>
        <w:rPr>
          <w:rFonts w:hint="eastAsia"/>
          <w:color w:val="auto"/>
          <w:lang w:eastAsia="zh-CN"/>
        </w:rPr>
        <w:t>）</w:t>
      </w:r>
      <w:r>
        <w:rPr>
          <w:rFonts w:hint="eastAsia"/>
          <w:color w:val="auto"/>
        </w:rPr>
        <w:t>；</w:t>
      </w:r>
    </w:p>
    <w:p w14:paraId="4195A7DB">
      <w:pPr>
        <w:bidi w:val="0"/>
        <w:rPr>
          <w:rFonts w:hint="eastAsia"/>
          <w:color w:val="auto"/>
        </w:rPr>
      </w:pPr>
      <w:r>
        <w:rPr>
          <w:rFonts w:hint="eastAsia"/>
          <w:color w:val="auto"/>
        </w:rPr>
        <w:t>27、《危险货物分类和品名编号》（GB 6944-2012，2012年12月1日实施）；</w:t>
      </w:r>
    </w:p>
    <w:p w14:paraId="610C00D1">
      <w:pPr>
        <w:bidi w:val="0"/>
        <w:rPr>
          <w:rFonts w:hint="eastAsia"/>
          <w:color w:val="auto"/>
        </w:rPr>
      </w:pPr>
      <w:r>
        <w:rPr>
          <w:rFonts w:hint="eastAsia"/>
          <w:color w:val="auto"/>
        </w:rPr>
        <w:t>28、《工作场所有害因素职业接触限值第一部分：化学有害因素》（GB Z2.1-2019，第1号修改单，2022年11月28日实施）；</w:t>
      </w:r>
    </w:p>
    <w:p w14:paraId="78B58FD2">
      <w:pPr>
        <w:bidi w:val="0"/>
        <w:rPr>
          <w:rFonts w:hint="eastAsia"/>
          <w:color w:val="auto"/>
        </w:rPr>
      </w:pPr>
      <w:r>
        <w:rPr>
          <w:rFonts w:hint="eastAsia"/>
          <w:color w:val="auto"/>
        </w:rPr>
        <w:t>29、《工作场所有害因素职业接触限值第二部分：物理因素》（GB Z2.2-2007，2007年11月1日实施）；</w:t>
      </w:r>
    </w:p>
    <w:p w14:paraId="0E72CE97">
      <w:pPr>
        <w:bidi w:val="0"/>
        <w:rPr>
          <w:rFonts w:hint="eastAsia"/>
          <w:color w:val="auto"/>
        </w:rPr>
      </w:pPr>
      <w:r>
        <w:rPr>
          <w:rFonts w:hint="eastAsia"/>
          <w:color w:val="auto"/>
        </w:rPr>
        <w:t>30、《机械安全 生产设备安全通则》（GB /T 35076-2018，2018年12月01日实施）；</w:t>
      </w:r>
    </w:p>
    <w:p w14:paraId="67F80FD1">
      <w:pPr>
        <w:bidi w:val="0"/>
        <w:rPr>
          <w:rFonts w:hint="eastAsia"/>
          <w:color w:val="auto"/>
        </w:rPr>
      </w:pPr>
      <w:r>
        <w:rPr>
          <w:rFonts w:hint="eastAsia"/>
          <w:color w:val="auto"/>
        </w:rPr>
        <w:t>31、《机械安全防护装置固定式和活动式防护装置设计与制造一般要求》（GB /T 8196-2018，2019年07月01日实施）；</w:t>
      </w:r>
    </w:p>
    <w:p w14:paraId="30E3DF9A">
      <w:pPr>
        <w:bidi w:val="0"/>
        <w:rPr>
          <w:rFonts w:hint="eastAsia"/>
          <w:color w:val="auto"/>
        </w:rPr>
      </w:pPr>
      <w:r>
        <w:rPr>
          <w:rFonts w:hint="eastAsia"/>
          <w:color w:val="auto"/>
        </w:rPr>
        <w:t>32、《固定式钢梯及平台安全要求》（GB 4053.1~3-2009，2009年12月1日实施）；</w:t>
      </w:r>
    </w:p>
    <w:p w14:paraId="79BAE1F2">
      <w:pPr>
        <w:bidi w:val="0"/>
        <w:rPr>
          <w:rFonts w:hint="eastAsia"/>
          <w:color w:val="auto"/>
        </w:rPr>
      </w:pPr>
      <w:r>
        <w:rPr>
          <w:rFonts w:hint="eastAsia"/>
          <w:color w:val="auto"/>
        </w:rPr>
        <w:t>33、《焊接与切割安全》（GB 9448-1999，2000年5月1日实施）；</w:t>
      </w:r>
    </w:p>
    <w:p w14:paraId="0346799E">
      <w:pPr>
        <w:bidi w:val="0"/>
        <w:rPr>
          <w:rFonts w:hint="eastAsia"/>
          <w:color w:val="auto"/>
        </w:rPr>
      </w:pPr>
      <w:r>
        <w:rPr>
          <w:rFonts w:hint="eastAsia"/>
          <w:color w:val="auto"/>
        </w:rPr>
        <w:t>34、《室外排水设计标准》（GB 50014-2021，2021年10月1日实施）；</w:t>
      </w:r>
    </w:p>
    <w:p w14:paraId="22A59B4F">
      <w:pPr>
        <w:bidi w:val="0"/>
        <w:rPr>
          <w:rFonts w:hint="eastAsia"/>
          <w:color w:val="auto"/>
        </w:rPr>
      </w:pPr>
      <w:r>
        <w:rPr>
          <w:rFonts w:hint="eastAsia"/>
          <w:color w:val="auto"/>
        </w:rPr>
        <w:t>35、《室外给水设计标准》（GB 0013-2018，2019年8月1日实施）；</w:t>
      </w:r>
    </w:p>
    <w:p w14:paraId="5FC3CB71">
      <w:pPr>
        <w:bidi w:val="0"/>
        <w:rPr>
          <w:rFonts w:hint="eastAsia"/>
          <w:color w:val="auto"/>
        </w:rPr>
      </w:pPr>
      <w:r>
        <w:rPr>
          <w:rFonts w:hint="eastAsia"/>
          <w:color w:val="auto"/>
        </w:rPr>
        <w:t>36、《生产经营单位生产安全事故应急预案编制导则》（GB /T 29639-2020，2021年4月1日实施）；</w:t>
      </w:r>
    </w:p>
    <w:p w14:paraId="10902048">
      <w:pPr>
        <w:bidi w:val="0"/>
        <w:rPr>
          <w:rFonts w:hint="eastAsia"/>
          <w:color w:val="auto"/>
        </w:rPr>
      </w:pPr>
      <w:r>
        <w:rPr>
          <w:rFonts w:hint="eastAsia"/>
          <w:color w:val="auto"/>
        </w:rPr>
        <w:t>37、《缺氧危险作业安全规程》（GB 8958-2006，2006年12月1日实施）；</w:t>
      </w:r>
    </w:p>
    <w:p w14:paraId="0ADF3FB3">
      <w:pPr>
        <w:bidi w:val="0"/>
        <w:rPr>
          <w:rFonts w:hint="eastAsia"/>
          <w:color w:val="auto"/>
        </w:rPr>
      </w:pPr>
      <w:r>
        <w:rPr>
          <w:rFonts w:hint="eastAsia"/>
          <w:color w:val="auto"/>
        </w:rPr>
        <w:t>38、《生产过程危险和有害因素分类与代码》（GB /T 13861-2022，2022年10月1日实施）；</w:t>
      </w:r>
    </w:p>
    <w:p w14:paraId="67CC63C1">
      <w:pPr>
        <w:bidi w:val="0"/>
        <w:rPr>
          <w:rFonts w:hint="eastAsia"/>
          <w:color w:val="auto"/>
        </w:rPr>
      </w:pPr>
      <w:r>
        <w:rPr>
          <w:rFonts w:hint="eastAsia"/>
          <w:color w:val="auto"/>
        </w:rPr>
        <w:t>39、《手持式电动工具的管理、使用、检查和维修安全技术规程》（GB /T 3787-2017）；</w:t>
      </w:r>
    </w:p>
    <w:p w14:paraId="4C9F7655">
      <w:pPr>
        <w:bidi w:val="0"/>
        <w:rPr>
          <w:rFonts w:hint="eastAsia"/>
          <w:color w:val="auto"/>
        </w:rPr>
      </w:pPr>
      <w:r>
        <w:rPr>
          <w:rFonts w:hint="eastAsia"/>
          <w:color w:val="auto"/>
        </w:rPr>
        <w:t>40、《破碎设备 安全要求》（GB 18452-2001，2002年4月1日实施）；</w:t>
      </w:r>
    </w:p>
    <w:p w14:paraId="5537C99F">
      <w:pPr>
        <w:bidi w:val="0"/>
        <w:rPr>
          <w:rFonts w:hint="eastAsia"/>
          <w:color w:val="auto"/>
        </w:rPr>
      </w:pPr>
      <w:r>
        <w:rPr>
          <w:rFonts w:hint="eastAsia"/>
          <w:color w:val="auto"/>
        </w:rPr>
        <w:t>41、《带式输送机》（GB /T 10595-2017，2018年7月1日实施）；</w:t>
      </w:r>
    </w:p>
    <w:p w14:paraId="25B37B2C">
      <w:pPr>
        <w:bidi w:val="0"/>
        <w:rPr>
          <w:rFonts w:hint="eastAsia"/>
          <w:color w:val="auto"/>
        </w:rPr>
      </w:pPr>
      <w:r>
        <w:rPr>
          <w:rFonts w:hint="eastAsia"/>
          <w:color w:val="auto"/>
        </w:rPr>
        <w:t>42、《带式输送机安全规范》（GB 14784-2013，2014年7月1日实施）；</w:t>
      </w:r>
    </w:p>
    <w:p w14:paraId="327CD43F">
      <w:pPr>
        <w:bidi w:val="0"/>
        <w:rPr>
          <w:rFonts w:hint="eastAsia"/>
          <w:color w:val="auto"/>
        </w:rPr>
      </w:pPr>
      <w:r>
        <w:rPr>
          <w:rFonts w:hint="eastAsia"/>
          <w:color w:val="auto"/>
        </w:rPr>
        <w:t>43、《带式输送机工程技术标准》（GB 50431-2020，中华人民共和国住房和城乡建设部2020年第147号，2021年3月1日实施）；</w:t>
      </w:r>
    </w:p>
    <w:p w14:paraId="41775B5B">
      <w:pPr>
        <w:bidi w:val="0"/>
        <w:rPr>
          <w:rFonts w:hint="eastAsia"/>
          <w:color w:val="auto"/>
        </w:rPr>
      </w:pPr>
      <w:r>
        <w:rPr>
          <w:rFonts w:hint="eastAsia"/>
          <w:color w:val="auto"/>
        </w:rPr>
        <w:t>44、《建筑灭火器配置设计规范》（GB 50140-2005，中华人民共和国建设部 中华人民共和国国家质量监督检验检疫总局，2005年10月1日实行）；</w:t>
      </w:r>
    </w:p>
    <w:p w14:paraId="7B17B8AC">
      <w:pPr>
        <w:bidi w:val="0"/>
        <w:rPr>
          <w:rFonts w:hint="eastAsia"/>
          <w:color w:val="auto"/>
        </w:rPr>
      </w:pPr>
      <w:r>
        <w:rPr>
          <w:rFonts w:hint="eastAsia"/>
          <w:color w:val="auto"/>
        </w:rPr>
        <w:t>45、《消防给水及消火栓系统技术规范》（GB 50974-2014，中华人民共和国住房和城乡建设部，2014年10月1日实行）；</w:t>
      </w:r>
    </w:p>
    <w:p w14:paraId="2F6477CD">
      <w:pPr>
        <w:bidi w:val="0"/>
        <w:rPr>
          <w:rFonts w:hint="eastAsia"/>
          <w:color w:val="auto"/>
        </w:rPr>
      </w:pPr>
      <w:r>
        <w:rPr>
          <w:rFonts w:hint="eastAsia"/>
          <w:color w:val="auto"/>
        </w:rPr>
        <w:t>46、《消防应急照明和疏散指示系统》（GB 17945-2010，中华人民共和国国家质量监督检验检疫总局 中国国家标准化管理委员会，2011年5月1日实行）；</w:t>
      </w:r>
    </w:p>
    <w:p w14:paraId="33E655BA">
      <w:pPr>
        <w:bidi w:val="0"/>
        <w:rPr>
          <w:rFonts w:hint="eastAsia"/>
          <w:color w:val="auto"/>
        </w:rPr>
      </w:pPr>
      <w:r>
        <w:rPr>
          <w:rFonts w:hint="eastAsia"/>
          <w:color w:val="auto"/>
        </w:rPr>
        <w:t>47、《高处作业分级》（GB /T 3608-2008，中华人民共和国国家质量监督检验检疫总局 中国国家标准化管理委员会，2009年6月1日实行）；</w:t>
      </w:r>
    </w:p>
    <w:p w14:paraId="4F17A938">
      <w:pPr>
        <w:bidi w:val="0"/>
        <w:rPr>
          <w:rFonts w:hint="eastAsia"/>
          <w:color w:val="auto"/>
        </w:rPr>
      </w:pPr>
      <w:r>
        <w:rPr>
          <w:rFonts w:hint="eastAsia"/>
          <w:color w:val="auto"/>
        </w:rPr>
        <w:t>48、《固定式钢梯及平台安全要求第2部分：钢斜梯》（GB 4053.1-2009，2009年12月1日实行）；</w:t>
      </w:r>
    </w:p>
    <w:p w14:paraId="58344049">
      <w:pPr>
        <w:bidi w:val="0"/>
        <w:rPr>
          <w:rFonts w:hint="eastAsia"/>
          <w:color w:val="auto"/>
        </w:rPr>
      </w:pPr>
      <w:r>
        <w:rPr>
          <w:rFonts w:hint="eastAsia"/>
          <w:color w:val="auto"/>
        </w:rPr>
        <w:t>49、《有色金属选矿厂工艺设计规范》（GB 50782-2012）；</w:t>
      </w:r>
    </w:p>
    <w:p w14:paraId="086ED0E1">
      <w:pPr>
        <w:bidi w:val="0"/>
        <w:rPr>
          <w:rFonts w:hint="eastAsia"/>
          <w:color w:val="auto"/>
        </w:rPr>
      </w:pPr>
      <w:r>
        <w:rPr>
          <w:rFonts w:hint="eastAsia"/>
          <w:color w:val="auto"/>
        </w:rPr>
        <w:t>50、《密闭空间作业职业危害防护规范》（GBZ/T 205-2007）；</w:t>
      </w:r>
    </w:p>
    <w:p w14:paraId="3583922E">
      <w:pPr>
        <w:bidi w:val="0"/>
        <w:rPr>
          <w:rFonts w:hint="eastAsia"/>
          <w:color w:val="auto"/>
        </w:rPr>
      </w:pPr>
      <w:r>
        <w:rPr>
          <w:rFonts w:hint="eastAsia"/>
          <w:color w:val="auto"/>
        </w:rPr>
        <w:t>51、《电气装置安装工程 接地装置施工及验收规范》（GB 50169-2016）；</w:t>
      </w:r>
    </w:p>
    <w:p w14:paraId="5C98EB81">
      <w:pPr>
        <w:bidi w:val="0"/>
        <w:rPr>
          <w:rFonts w:hint="eastAsia" w:eastAsia="宋体"/>
          <w:color w:val="auto"/>
          <w:lang w:eastAsia="zh-CN"/>
        </w:rPr>
      </w:pPr>
      <w:r>
        <w:rPr>
          <w:rFonts w:hint="eastAsia"/>
          <w:color w:val="auto"/>
          <w:lang w:val="en-US" w:eastAsia="zh-CN"/>
        </w:rPr>
        <w:t>52、</w:t>
      </w:r>
      <w:r>
        <w:rPr>
          <w:rFonts w:hint="eastAsia"/>
          <w:color w:val="auto"/>
          <w:lang w:eastAsia="zh-CN"/>
        </w:rPr>
        <w:t>《</w:t>
      </w:r>
      <w:r>
        <w:rPr>
          <w:rFonts w:hint="eastAsia"/>
          <w:color w:val="auto"/>
        </w:rPr>
        <w:t>压缩空气站设计规范</w:t>
      </w:r>
      <w:r>
        <w:rPr>
          <w:rFonts w:hint="eastAsia"/>
          <w:color w:val="auto"/>
          <w:lang w:eastAsia="zh-CN"/>
        </w:rPr>
        <w:t>》（</w:t>
      </w:r>
      <w:r>
        <w:rPr>
          <w:rFonts w:hint="eastAsia"/>
          <w:color w:val="auto"/>
        </w:rPr>
        <w:t>GB50029-2014</w:t>
      </w:r>
      <w:r>
        <w:rPr>
          <w:rFonts w:hint="eastAsia"/>
          <w:color w:val="auto"/>
          <w:lang w:eastAsia="zh-CN"/>
        </w:rPr>
        <w:t>）；</w:t>
      </w:r>
    </w:p>
    <w:p w14:paraId="15EA6A86">
      <w:pPr>
        <w:bidi w:val="0"/>
        <w:rPr>
          <w:rFonts w:hint="default" w:eastAsia="宋体"/>
          <w:color w:val="auto"/>
          <w:lang w:val="en-US" w:eastAsia="zh-CN"/>
        </w:rPr>
      </w:pPr>
      <w:r>
        <w:rPr>
          <w:rFonts w:hint="eastAsia"/>
          <w:color w:val="auto"/>
          <w:lang w:val="en-US" w:eastAsia="zh-CN"/>
        </w:rPr>
        <w:t>53、《工作场所职业病危害作业分级 第3部分：高温》（GBZ/T 229.3-2010）；</w:t>
      </w:r>
    </w:p>
    <w:p w14:paraId="7AA0B11F">
      <w:pPr>
        <w:bidi w:val="0"/>
        <w:rPr>
          <w:rFonts w:hint="eastAsia"/>
          <w:color w:val="auto"/>
        </w:rPr>
      </w:pPr>
      <w:r>
        <w:rPr>
          <w:rFonts w:hint="eastAsia"/>
          <w:color w:val="auto"/>
        </w:rPr>
        <w:t>5</w:t>
      </w:r>
      <w:r>
        <w:rPr>
          <w:rFonts w:hint="eastAsia"/>
          <w:color w:val="auto"/>
          <w:lang w:val="en-US" w:eastAsia="zh-CN"/>
        </w:rPr>
        <w:t>4</w:t>
      </w:r>
      <w:r>
        <w:rPr>
          <w:rFonts w:hint="eastAsia"/>
          <w:color w:val="auto"/>
        </w:rPr>
        <w:t>、其他相关的标准及规范。</w:t>
      </w:r>
    </w:p>
    <w:p w14:paraId="63F0D3E9">
      <w:pPr>
        <w:pStyle w:val="4"/>
        <w:bidi w:val="0"/>
        <w:rPr>
          <w:rFonts w:hint="eastAsia"/>
          <w:color w:val="auto"/>
        </w:rPr>
      </w:pPr>
      <w:bookmarkStart w:id="62" w:name="_Toc27220"/>
      <w:r>
        <w:rPr>
          <w:rFonts w:hint="eastAsia"/>
          <w:color w:val="auto"/>
        </w:rPr>
        <w:t>1.2.6 行业规范</w:t>
      </w:r>
      <w:bookmarkEnd w:id="62"/>
    </w:p>
    <w:p w14:paraId="0FC7FA86">
      <w:pPr>
        <w:bidi w:val="0"/>
        <w:rPr>
          <w:rFonts w:hint="eastAsia"/>
          <w:color w:val="auto"/>
        </w:rPr>
      </w:pPr>
      <w:r>
        <w:rPr>
          <w:rFonts w:hint="eastAsia"/>
          <w:color w:val="auto"/>
        </w:rPr>
        <w:t>1、《安全评价通则》（AQ 8001-2007，2007年4月1日）；</w:t>
      </w:r>
    </w:p>
    <w:p w14:paraId="05D82E44">
      <w:pPr>
        <w:bidi w:val="0"/>
        <w:rPr>
          <w:rFonts w:hint="eastAsia"/>
          <w:color w:val="auto"/>
        </w:rPr>
      </w:pPr>
      <w:r>
        <w:rPr>
          <w:rFonts w:hint="eastAsia"/>
          <w:color w:val="auto"/>
        </w:rPr>
        <w:t>2、《安全验收评价导则》（AQ 8003-2007，2007年4月1日）；</w:t>
      </w:r>
    </w:p>
    <w:p w14:paraId="61192D5B">
      <w:pPr>
        <w:bidi w:val="0"/>
        <w:rPr>
          <w:rFonts w:hint="eastAsia"/>
          <w:color w:val="auto"/>
        </w:rPr>
      </w:pPr>
      <w:r>
        <w:rPr>
          <w:rFonts w:hint="eastAsia"/>
          <w:color w:val="auto"/>
        </w:rPr>
        <w:t>3、《生产安全事故应急演练基本规范》（</w:t>
      </w:r>
      <w:r>
        <w:rPr>
          <w:rFonts w:hint="eastAsia"/>
          <w:color w:val="auto"/>
          <w:lang w:val="en-US" w:eastAsia="zh-CN"/>
        </w:rPr>
        <w:t>YJ</w:t>
      </w:r>
      <w:r>
        <w:rPr>
          <w:rFonts w:hint="eastAsia"/>
          <w:color w:val="auto"/>
        </w:rPr>
        <w:t>/T 9007-2019）；</w:t>
      </w:r>
    </w:p>
    <w:p w14:paraId="4BDF53B7">
      <w:pPr>
        <w:bidi w:val="0"/>
        <w:rPr>
          <w:rFonts w:hint="eastAsia"/>
          <w:color w:val="auto"/>
        </w:rPr>
      </w:pPr>
      <w:r>
        <w:rPr>
          <w:rFonts w:hint="eastAsia"/>
          <w:color w:val="auto"/>
        </w:rPr>
        <w:t>4、《生产经营单位生产安全事故应急预案评估指南》（</w:t>
      </w:r>
      <w:r>
        <w:rPr>
          <w:rFonts w:hint="eastAsia"/>
          <w:color w:val="auto"/>
          <w:lang w:val="en-US" w:eastAsia="zh-CN"/>
        </w:rPr>
        <w:t>YJ</w:t>
      </w:r>
      <w:r>
        <w:rPr>
          <w:rFonts w:hint="eastAsia"/>
          <w:color w:val="auto"/>
        </w:rPr>
        <w:t>/T 9011-2019）；</w:t>
      </w:r>
    </w:p>
    <w:p w14:paraId="5256C216">
      <w:pPr>
        <w:bidi w:val="0"/>
        <w:rPr>
          <w:rFonts w:hint="eastAsia"/>
          <w:color w:val="auto"/>
        </w:rPr>
      </w:pPr>
      <w:r>
        <w:rPr>
          <w:rFonts w:hint="eastAsia"/>
          <w:color w:val="auto"/>
        </w:rPr>
        <w:t>5、《固定式压力容器安全技术监察规程》行业标准第1号修改单（TSG 21-2016/XG1-2020）；</w:t>
      </w:r>
    </w:p>
    <w:p w14:paraId="1120581A">
      <w:pPr>
        <w:bidi w:val="0"/>
        <w:rPr>
          <w:rFonts w:hint="eastAsia"/>
          <w:color w:val="auto"/>
        </w:rPr>
      </w:pPr>
      <w:r>
        <w:rPr>
          <w:rFonts w:hint="eastAsia"/>
          <w:color w:val="auto"/>
        </w:rPr>
        <w:t>6、《带式输送机 拉绳开关》（JB/T 10960-2024，2024年10月1日实施）；</w:t>
      </w:r>
    </w:p>
    <w:p w14:paraId="5F30122A">
      <w:pPr>
        <w:bidi w:val="0"/>
        <w:rPr>
          <w:rFonts w:hint="eastAsia"/>
          <w:color w:val="auto"/>
        </w:rPr>
      </w:pPr>
      <w:r>
        <w:rPr>
          <w:rFonts w:hint="eastAsia"/>
          <w:color w:val="auto"/>
        </w:rPr>
        <w:t>7、《带式输送机用逆止器》（JB/T 9015-2011，2012年4月1日实施）；</w:t>
      </w:r>
    </w:p>
    <w:p w14:paraId="4374DEE8">
      <w:pPr>
        <w:bidi w:val="0"/>
        <w:rPr>
          <w:rFonts w:hint="eastAsia"/>
          <w:color w:val="auto"/>
        </w:rPr>
      </w:pPr>
      <w:r>
        <w:rPr>
          <w:rFonts w:hint="eastAsia"/>
          <w:color w:val="auto"/>
        </w:rPr>
        <w:t>8、《气瓶安全技术规程》（TSG 23-2021，2021年01月04日实施）；</w:t>
      </w:r>
    </w:p>
    <w:p w14:paraId="0FBF7A6B">
      <w:pPr>
        <w:bidi w:val="0"/>
        <w:rPr>
          <w:rFonts w:hint="eastAsia"/>
          <w:color w:val="auto"/>
        </w:rPr>
      </w:pPr>
      <w:r>
        <w:rPr>
          <w:rFonts w:hint="eastAsia"/>
          <w:color w:val="auto"/>
        </w:rPr>
        <w:t>9、《生产安全事故应急演练评估规范》（</w:t>
      </w:r>
      <w:r>
        <w:rPr>
          <w:rFonts w:hint="eastAsia"/>
          <w:color w:val="auto"/>
          <w:lang w:val="en-US" w:eastAsia="zh-CN"/>
        </w:rPr>
        <w:t>YJ</w:t>
      </w:r>
      <w:r>
        <w:rPr>
          <w:rFonts w:hint="eastAsia"/>
          <w:color w:val="auto"/>
        </w:rPr>
        <w:t>/T 9009-2015，2015年9月1日实施）。</w:t>
      </w:r>
    </w:p>
    <w:p w14:paraId="4122228E">
      <w:pPr>
        <w:pStyle w:val="4"/>
        <w:bidi w:val="0"/>
        <w:rPr>
          <w:rFonts w:hint="eastAsia"/>
          <w:color w:val="auto"/>
        </w:rPr>
      </w:pPr>
      <w:bookmarkStart w:id="63" w:name="_Toc3456"/>
      <w:r>
        <w:rPr>
          <w:rFonts w:hint="eastAsia"/>
          <w:color w:val="auto"/>
        </w:rPr>
        <w:t>1.2.7 技术文件及有关资料</w:t>
      </w:r>
      <w:bookmarkEnd w:id="63"/>
    </w:p>
    <w:p w14:paraId="27556F1B">
      <w:pPr>
        <w:bidi w:val="0"/>
        <w:rPr>
          <w:rFonts w:hint="eastAsia"/>
          <w:color w:val="auto"/>
        </w:rPr>
      </w:pPr>
      <w:r>
        <w:rPr>
          <w:rFonts w:hint="eastAsia"/>
          <w:color w:val="auto"/>
        </w:rPr>
        <w:t>1、</w:t>
      </w:r>
      <w:r>
        <w:rPr>
          <w:rFonts w:hint="eastAsia"/>
          <w:color w:val="auto"/>
          <w:lang w:eastAsia="zh-CN"/>
        </w:rPr>
        <w:t>寻甸金林钛矿有限公司</w:t>
      </w:r>
      <w:r>
        <w:rPr>
          <w:rFonts w:hint="eastAsia"/>
          <w:color w:val="auto"/>
        </w:rPr>
        <w:t>与辽宁诺诚安全科技有限公司所签订的安全技术服务合同及安全验收评价委托书；</w:t>
      </w:r>
    </w:p>
    <w:p w14:paraId="259244DA">
      <w:pPr>
        <w:bidi w:val="0"/>
        <w:rPr>
          <w:rFonts w:hint="default" w:eastAsia="宋体"/>
          <w:color w:val="auto"/>
          <w:lang w:val="en-US" w:eastAsia="zh-CN"/>
        </w:rPr>
      </w:pPr>
      <w:r>
        <w:rPr>
          <w:rFonts w:hint="eastAsia"/>
          <w:color w:val="auto"/>
          <w:lang w:val="en-US" w:eastAsia="zh-CN"/>
        </w:rPr>
        <w:t>2、《浓密机基础岩土工程详细勘察报告》（云南省曲靖市设计研究院有限责任公司，2023年02月）；</w:t>
      </w:r>
    </w:p>
    <w:p w14:paraId="4AC61025">
      <w:pPr>
        <w:bidi w:val="0"/>
        <w:rPr>
          <w:rFonts w:hint="eastAsia" w:eastAsia="宋体"/>
          <w:color w:val="auto"/>
          <w:lang w:val="en-US" w:eastAsia="zh-CN"/>
        </w:rPr>
      </w:pPr>
      <w:r>
        <w:rPr>
          <w:rFonts w:hint="eastAsia"/>
          <w:color w:val="auto"/>
          <w:lang w:val="en-US" w:eastAsia="zh-CN"/>
        </w:rPr>
        <w:t>3、《寻甸金林钛矿有限公司尾矿处理技改升级建设项目详细勘察报告》（云南省曲靖市设计研究院有限责任公司，2024年03月）；</w:t>
      </w:r>
    </w:p>
    <w:p w14:paraId="69649D43">
      <w:pPr>
        <w:bidi w:val="0"/>
        <w:rPr>
          <w:rFonts w:hint="eastAsia"/>
          <w:color w:val="auto"/>
        </w:rPr>
      </w:pPr>
      <w:r>
        <w:rPr>
          <w:rFonts w:hint="eastAsia"/>
          <w:color w:val="auto"/>
          <w:lang w:val="en-US" w:eastAsia="zh-CN"/>
        </w:rPr>
        <w:t>4</w:t>
      </w:r>
      <w:r>
        <w:rPr>
          <w:rFonts w:hint="eastAsia"/>
          <w:color w:val="auto"/>
        </w:rPr>
        <w:t>、《</w:t>
      </w:r>
      <w:r>
        <w:rPr>
          <w:rFonts w:hint="eastAsia"/>
          <w:color w:val="auto"/>
          <w:lang w:eastAsia="zh-CN"/>
        </w:rPr>
        <w:t>寻甸金林钛矿有限公司尾矿处理技改升级建设项目</w:t>
      </w:r>
      <w:r>
        <w:rPr>
          <w:rFonts w:hint="eastAsia"/>
          <w:color w:val="auto"/>
        </w:rPr>
        <w:t>安全设施设计》（昆明赛特拉矿山工程设计有限公司，202</w:t>
      </w:r>
      <w:r>
        <w:rPr>
          <w:rFonts w:hint="eastAsia"/>
          <w:color w:val="auto"/>
          <w:lang w:val="en-US" w:eastAsia="zh-CN"/>
        </w:rPr>
        <w:t>5</w:t>
      </w:r>
      <w:r>
        <w:rPr>
          <w:rFonts w:hint="eastAsia"/>
          <w:color w:val="auto"/>
        </w:rPr>
        <w:t>年0</w:t>
      </w:r>
      <w:r>
        <w:rPr>
          <w:rFonts w:hint="eastAsia"/>
          <w:color w:val="auto"/>
          <w:lang w:val="en-US" w:eastAsia="zh-CN"/>
        </w:rPr>
        <w:t>1</w:t>
      </w:r>
      <w:r>
        <w:rPr>
          <w:rFonts w:hint="eastAsia"/>
          <w:color w:val="auto"/>
        </w:rPr>
        <w:t>月）；</w:t>
      </w:r>
    </w:p>
    <w:p w14:paraId="32EFA881">
      <w:pPr>
        <w:bidi w:val="0"/>
        <w:rPr>
          <w:rFonts w:hint="eastAsia"/>
          <w:color w:val="auto"/>
        </w:rPr>
      </w:pPr>
      <w:r>
        <w:rPr>
          <w:rFonts w:hint="eastAsia"/>
          <w:color w:val="auto"/>
          <w:lang w:val="en-US" w:eastAsia="zh-CN"/>
        </w:rPr>
        <w:t>5</w:t>
      </w:r>
      <w:r>
        <w:rPr>
          <w:rFonts w:hint="eastAsia"/>
          <w:color w:val="auto"/>
        </w:rPr>
        <w:t>、《</w:t>
      </w:r>
      <w:r>
        <w:rPr>
          <w:rFonts w:hint="eastAsia"/>
          <w:color w:val="auto"/>
          <w:lang w:eastAsia="zh-CN"/>
        </w:rPr>
        <w:t>寻甸金林钛矿有限公司尾矿处理技改升级建设项目</w:t>
      </w:r>
      <w:r>
        <w:rPr>
          <w:rFonts w:hint="eastAsia"/>
          <w:color w:val="auto"/>
        </w:rPr>
        <w:t>施工总结报告》（</w:t>
      </w:r>
      <w:r>
        <w:rPr>
          <w:rFonts w:hint="eastAsia"/>
          <w:color w:val="auto"/>
          <w:lang w:val="en-US" w:eastAsia="zh-CN"/>
        </w:rPr>
        <w:t>普洱铖鑫矿业工程</w:t>
      </w:r>
      <w:r>
        <w:rPr>
          <w:rFonts w:hint="eastAsia"/>
          <w:color w:val="auto"/>
          <w:lang w:eastAsia="zh-CN"/>
        </w:rPr>
        <w:t>有限公司</w:t>
      </w:r>
      <w:r>
        <w:rPr>
          <w:rFonts w:hint="eastAsia"/>
          <w:color w:val="auto"/>
        </w:rPr>
        <w:t>，202</w:t>
      </w:r>
      <w:r>
        <w:rPr>
          <w:rFonts w:hint="eastAsia"/>
          <w:color w:val="auto"/>
          <w:lang w:val="en-US" w:eastAsia="zh-CN"/>
        </w:rPr>
        <w:t>5</w:t>
      </w:r>
      <w:r>
        <w:rPr>
          <w:rFonts w:hint="eastAsia"/>
          <w:color w:val="auto"/>
        </w:rPr>
        <w:t>年0</w:t>
      </w:r>
      <w:r>
        <w:rPr>
          <w:rFonts w:hint="eastAsia"/>
          <w:color w:val="auto"/>
          <w:lang w:val="en-US" w:eastAsia="zh-CN"/>
        </w:rPr>
        <w:t>2</w:t>
      </w:r>
      <w:r>
        <w:rPr>
          <w:rFonts w:hint="eastAsia"/>
          <w:color w:val="auto"/>
        </w:rPr>
        <w:t>月）；</w:t>
      </w:r>
    </w:p>
    <w:p w14:paraId="4AA77040">
      <w:pPr>
        <w:bidi w:val="0"/>
        <w:rPr>
          <w:rFonts w:hint="eastAsia"/>
          <w:color w:val="auto"/>
        </w:rPr>
      </w:pPr>
      <w:r>
        <w:rPr>
          <w:rFonts w:hint="eastAsia"/>
          <w:color w:val="auto"/>
          <w:lang w:val="en-US" w:eastAsia="zh-CN"/>
        </w:rPr>
        <w:t>6</w:t>
      </w:r>
      <w:r>
        <w:rPr>
          <w:rFonts w:hint="eastAsia"/>
          <w:color w:val="auto"/>
        </w:rPr>
        <w:t>、《</w:t>
      </w:r>
      <w:r>
        <w:rPr>
          <w:rFonts w:hint="eastAsia"/>
          <w:color w:val="auto"/>
          <w:lang w:eastAsia="zh-CN"/>
        </w:rPr>
        <w:t>寻甸金林钛矿有限公司尾矿处理技改升级建设项目</w:t>
      </w:r>
      <w:r>
        <w:rPr>
          <w:rFonts w:hint="eastAsia"/>
          <w:color w:val="auto"/>
        </w:rPr>
        <w:t>监理</w:t>
      </w:r>
      <w:r>
        <w:rPr>
          <w:rFonts w:hint="eastAsia"/>
          <w:color w:val="auto"/>
          <w:lang w:val="en-US" w:eastAsia="zh-CN"/>
        </w:rPr>
        <w:t>工作</w:t>
      </w:r>
      <w:r>
        <w:rPr>
          <w:rFonts w:hint="eastAsia"/>
          <w:color w:val="auto"/>
        </w:rPr>
        <w:t>总结报告》（</w:t>
      </w:r>
      <w:r>
        <w:rPr>
          <w:rFonts w:hint="eastAsia"/>
          <w:color w:val="auto"/>
          <w:lang w:val="en-US" w:eastAsia="zh-CN"/>
        </w:rPr>
        <w:t>云南鑫华工程项目管理</w:t>
      </w:r>
      <w:r>
        <w:rPr>
          <w:rFonts w:hint="eastAsia"/>
          <w:color w:val="auto"/>
          <w:lang w:eastAsia="zh-CN"/>
        </w:rPr>
        <w:t>有限公司</w:t>
      </w:r>
      <w:r>
        <w:rPr>
          <w:rFonts w:hint="eastAsia"/>
          <w:color w:val="auto"/>
        </w:rPr>
        <w:t>，202</w:t>
      </w:r>
      <w:r>
        <w:rPr>
          <w:rFonts w:hint="eastAsia"/>
          <w:color w:val="auto"/>
          <w:lang w:val="en-US" w:eastAsia="zh-CN"/>
        </w:rPr>
        <w:t>5</w:t>
      </w:r>
      <w:r>
        <w:rPr>
          <w:rFonts w:hint="eastAsia"/>
          <w:color w:val="auto"/>
        </w:rPr>
        <w:t>年0</w:t>
      </w:r>
      <w:r>
        <w:rPr>
          <w:rFonts w:hint="eastAsia"/>
          <w:color w:val="auto"/>
          <w:lang w:val="en-US" w:eastAsia="zh-CN"/>
        </w:rPr>
        <w:t>2</w:t>
      </w:r>
      <w:r>
        <w:rPr>
          <w:rFonts w:hint="eastAsia"/>
          <w:color w:val="auto"/>
        </w:rPr>
        <w:t>月</w:t>
      </w:r>
      <w:r>
        <w:rPr>
          <w:rFonts w:hint="eastAsia"/>
          <w:color w:val="auto"/>
          <w:lang w:val="en-US" w:eastAsia="zh-CN"/>
        </w:rPr>
        <w:t>20</w:t>
      </w:r>
      <w:r>
        <w:rPr>
          <w:rFonts w:hint="eastAsia"/>
          <w:color w:val="auto"/>
        </w:rPr>
        <w:t>日）；</w:t>
      </w:r>
    </w:p>
    <w:p w14:paraId="7C02359C">
      <w:pPr>
        <w:bidi w:val="0"/>
        <w:rPr>
          <w:rFonts w:hint="eastAsia"/>
          <w:color w:val="auto"/>
        </w:rPr>
      </w:pPr>
      <w:r>
        <w:rPr>
          <w:rFonts w:hint="eastAsia"/>
          <w:color w:val="auto"/>
          <w:lang w:val="en-US" w:eastAsia="zh-CN"/>
        </w:rPr>
        <w:t>7</w:t>
      </w:r>
      <w:r>
        <w:rPr>
          <w:rFonts w:hint="eastAsia"/>
          <w:color w:val="auto"/>
        </w:rPr>
        <w:t>、</w:t>
      </w:r>
      <w:r>
        <w:rPr>
          <w:rFonts w:hint="eastAsia"/>
          <w:color w:val="auto"/>
          <w:lang w:eastAsia="zh-CN"/>
        </w:rPr>
        <w:t>寻甸金林钛矿有限公司</w:t>
      </w:r>
      <w:r>
        <w:rPr>
          <w:rFonts w:hint="eastAsia"/>
          <w:color w:val="auto"/>
        </w:rPr>
        <w:t>提供的其他资料；</w:t>
      </w:r>
    </w:p>
    <w:p w14:paraId="6AFDA102">
      <w:pPr>
        <w:bidi w:val="0"/>
        <w:rPr>
          <w:rFonts w:hint="eastAsia"/>
          <w:color w:val="auto"/>
        </w:rPr>
      </w:pPr>
      <w:r>
        <w:rPr>
          <w:rFonts w:hint="eastAsia"/>
          <w:color w:val="auto"/>
          <w:lang w:val="en-US" w:eastAsia="zh-CN"/>
        </w:rPr>
        <w:t>8</w:t>
      </w:r>
      <w:r>
        <w:rPr>
          <w:rFonts w:hint="eastAsia"/>
          <w:color w:val="auto"/>
        </w:rPr>
        <w:t>、我公司评价人员现场采集的数据和资料等。</w:t>
      </w:r>
    </w:p>
    <w:p w14:paraId="3E40F76F">
      <w:pPr>
        <w:pStyle w:val="3"/>
        <w:bidi w:val="0"/>
        <w:rPr>
          <w:rFonts w:hint="eastAsia"/>
          <w:color w:val="auto"/>
        </w:rPr>
      </w:pPr>
      <w:bookmarkStart w:id="64" w:name="_Toc4168"/>
      <w:r>
        <w:rPr>
          <w:rFonts w:hint="eastAsia"/>
          <w:color w:val="auto"/>
        </w:rPr>
        <w:t>1.3 评价程序</w:t>
      </w:r>
      <w:bookmarkEnd w:id="64"/>
    </w:p>
    <w:p w14:paraId="46E10719">
      <w:pPr>
        <w:bidi w:val="0"/>
        <w:rPr>
          <w:color w:val="auto"/>
        </w:rPr>
      </w:pPr>
      <w:r>
        <w:rPr>
          <w:rFonts w:hint="eastAsia"/>
          <w:color w:val="auto"/>
        </w:rPr>
        <w:t>针对该公司的特点，评价程序主要包括：准备阶段，危险、有害因素识别与分析，评价单元的划分，安全评价方法的选择，定性、定量评价，提出安全对策措施，做出安全评价结论，编制安全评价报告。评价程序见图1.3-1。</w:t>
      </w:r>
    </w:p>
    <w:p w14:paraId="289828F4">
      <w:pPr>
        <w:bidi w:val="0"/>
        <w:ind w:left="0" w:leftChars="0" w:firstLine="0" w:firstLineChars="0"/>
        <w:jc w:val="center"/>
        <w:rPr>
          <w:color w:val="auto"/>
        </w:rPr>
      </w:pPr>
      <w:r>
        <w:rPr>
          <w:color w:val="auto"/>
        </w:rPr>
        <w:drawing>
          <wp:inline distT="0" distB="0" distL="114300" distR="114300">
            <wp:extent cx="2800350" cy="4631690"/>
            <wp:effectExtent l="0" t="0" r="0" b="165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2800350" cy="4631690"/>
                    </a:xfrm>
                    <a:prstGeom prst="rect">
                      <a:avLst/>
                    </a:prstGeom>
                    <a:noFill/>
                    <a:ln w="12700">
                      <a:noFill/>
                    </a:ln>
                  </pic:spPr>
                </pic:pic>
              </a:graphicData>
            </a:graphic>
          </wp:inline>
        </w:drawing>
      </w:r>
    </w:p>
    <w:p w14:paraId="5754F9AE">
      <w:pPr>
        <w:pStyle w:val="23"/>
        <w:bidi w:val="0"/>
        <w:rPr>
          <w:color w:val="auto"/>
        </w:rPr>
      </w:pPr>
      <w:r>
        <w:rPr>
          <w:rFonts w:hint="eastAsia"/>
          <w:color w:val="auto"/>
        </w:rPr>
        <w:t>图1.3-1 安全验收评价程序框图</w:t>
      </w:r>
    </w:p>
    <w:p w14:paraId="1BEB38F0">
      <w:pPr>
        <w:rPr>
          <w:color w:val="auto"/>
        </w:rPr>
      </w:pPr>
      <w:r>
        <w:rPr>
          <w:color w:val="auto"/>
        </w:rPr>
        <w:br w:type="page"/>
      </w:r>
    </w:p>
    <w:p w14:paraId="44EF401E">
      <w:pPr>
        <w:pStyle w:val="2"/>
        <w:bidi w:val="0"/>
        <w:rPr>
          <w:rFonts w:hint="eastAsia" w:eastAsia="黑体"/>
          <w:color w:val="auto"/>
          <w:lang w:val="en-US" w:eastAsia="zh-CN"/>
        </w:rPr>
      </w:pPr>
      <w:bookmarkStart w:id="65" w:name="_Toc28793"/>
      <w:r>
        <w:rPr>
          <w:rFonts w:hint="eastAsia"/>
          <w:color w:val="auto"/>
        </w:rPr>
        <w:t>2 建设项目概</w:t>
      </w:r>
      <w:r>
        <w:rPr>
          <w:rFonts w:hint="eastAsia"/>
          <w:color w:val="auto"/>
          <w:lang w:val="en-US" w:eastAsia="zh-CN"/>
        </w:rPr>
        <w:t>述</w:t>
      </w:r>
      <w:bookmarkEnd w:id="65"/>
    </w:p>
    <w:p w14:paraId="390F388B">
      <w:pPr>
        <w:pStyle w:val="3"/>
        <w:bidi w:val="0"/>
        <w:rPr>
          <w:rFonts w:hint="eastAsia"/>
          <w:color w:val="auto"/>
        </w:rPr>
      </w:pPr>
      <w:bookmarkStart w:id="66" w:name="_Toc19960"/>
      <w:r>
        <w:rPr>
          <w:rFonts w:hint="eastAsia"/>
          <w:color w:val="auto"/>
        </w:rPr>
        <w:t>2.1 建设单位概况</w:t>
      </w:r>
      <w:bookmarkEnd w:id="66"/>
    </w:p>
    <w:p w14:paraId="5EEF5CD7">
      <w:pPr>
        <w:pStyle w:val="4"/>
        <w:bidi w:val="0"/>
        <w:rPr>
          <w:color w:val="auto"/>
        </w:rPr>
      </w:pPr>
      <w:bookmarkStart w:id="67" w:name="_Toc21560"/>
      <w:r>
        <w:rPr>
          <w:rFonts w:hint="eastAsia"/>
          <w:color w:val="auto"/>
        </w:rPr>
        <w:t>2.1.1 建设单位简介</w:t>
      </w:r>
      <w:bookmarkEnd w:id="67"/>
    </w:p>
    <w:p w14:paraId="60181AEF">
      <w:pPr>
        <w:bidi w:val="0"/>
        <w:rPr>
          <w:rFonts w:hint="default" w:eastAsia="宋体"/>
          <w:color w:val="auto"/>
          <w:lang w:val="en-US" w:eastAsia="zh-CN"/>
        </w:rPr>
      </w:pPr>
      <w:r>
        <w:rPr>
          <w:rFonts w:hint="eastAsia"/>
          <w:color w:val="auto"/>
          <w:lang w:val="en-US" w:eastAsia="zh-CN"/>
        </w:rPr>
        <w:t>*****</w:t>
      </w:r>
    </w:p>
    <w:p w14:paraId="40785B8C">
      <w:pPr>
        <w:pStyle w:val="4"/>
        <w:bidi w:val="0"/>
        <w:rPr>
          <w:color w:val="auto"/>
        </w:rPr>
      </w:pPr>
      <w:bookmarkStart w:id="68" w:name="_Toc23157"/>
      <w:r>
        <w:rPr>
          <w:rFonts w:hint="eastAsia"/>
          <w:color w:val="auto"/>
        </w:rPr>
        <w:t>2.1.2 建设项目背景</w:t>
      </w:r>
      <w:bookmarkEnd w:id="68"/>
    </w:p>
    <w:p w14:paraId="501D49B1">
      <w:pPr>
        <w:bidi w:val="0"/>
        <w:rPr>
          <w:rFonts w:hint="default" w:eastAsia="宋体"/>
          <w:color w:val="auto"/>
          <w:lang w:val="en-US" w:eastAsia="zh-CN"/>
        </w:rPr>
      </w:pPr>
      <w:r>
        <w:rPr>
          <w:rFonts w:hint="eastAsia"/>
          <w:color w:val="auto"/>
          <w:lang w:val="en-US" w:eastAsia="zh-CN"/>
        </w:rPr>
        <w:t>******</w:t>
      </w:r>
    </w:p>
    <w:p w14:paraId="6786FDCB">
      <w:pPr>
        <w:pStyle w:val="4"/>
        <w:bidi w:val="0"/>
        <w:rPr>
          <w:color w:val="auto"/>
        </w:rPr>
      </w:pPr>
      <w:bookmarkStart w:id="69" w:name="_Toc23861"/>
      <w:r>
        <w:rPr>
          <w:rFonts w:hint="eastAsia"/>
          <w:color w:val="auto"/>
        </w:rPr>
        <w:t>2.1.3 项目建设审批情况慨况</w:t>
      </w:r>
      <w:bookmarkEnd w:id="69"/>
    </w:p>
    <w:p w14:paraId="791C23A4">
      <w:pPr>
        <w:bidi w:val="0"/>
        <w:rPr>
          <w:rFonts w:hint="default" w:eastAsia="宋体"/>
          <w:color w:val="auto"/>
          <w:lang w:val="en-US" w:eastAsia="zh-CN"/>
        </w:rPr>
      </w:pPr>
      <w:r>
        <w:rPr>
          <w:rFonts w:hint="eastAsia"/>
          <w:color w:val="auto"/>
          <w:lang w:val="en-US" w:eastAsia="zh-CN"/>
        </w:rPr>
        <w:t>*********</w:t>
      </w:r>
    </w:p>
    <w:p w14:paraId="7A743B91">
      <w:pPr>
        <w:pStyle w:val="4"/>
        <w:bidi w:val="0"/>
        <w:rPr>
          <w:rFonts w:hint="eastAsia"/>
          <w:color w:val="auto"/>
        </w:rPr>
      </w:pPr>
      <w:bookmarkStart w:id="70" w:name="_Toc13117"/>
      <w:r>
        <w:rPr>
          <w:rFonts w:hint="eastAsia"/>
          <w:color w:val="auto"/>
        </w:rPr>
        <w:t>2.1.4 项目产业政策的符合性</w:t>
      </w:r>
      <w:bookmarkEnd w:id="70"/>
    </w:p>
    <w:p w14:paraId="2E2EA069">
      <w:pPr>
        <w:bidi w:val="0"/>
        <w:rPr>
          <w:rFonts w:hint="eastAsia"/>
          <w:color w:val="auto"/>
        </w:rPr>
      </w:pPr>
      <w:r>
        <w:rPr>
          <w:rFonts w:hint="eastAsia"/>
          <w:color w:val="auto"/>
        </w:rPr>
        <w:t>依据《产业结构调整指导目录（2024年版）》（经2023年12月1日第6次委务会议审议通过，自2024年2月1日起施行），该项目未被列入限制类、淘汰类。</w:t>
      </w:r>
    </w:p>
    <w:p w14:paraId="7CE8F7D8">
      <w:pPr>
        <w:pStyle w:val="3"/>
        <w:bidi w:val="0"/>
        <w:rPr>
          <w:rFonts w:hint="eastAsia"/>
          <w:color w:val="auto"/>
        </w:rPr>
      </w:pPr>
      <w:bookmarkStart w:id="71" w:name="_Toc31293"/>
      <w:r>
        <w:rPr>
          <w:rFonts w:hint="eastAsia"/>
          <w:color w:val="auto"/>
        </w:rPr>
        <w:t>2.2 项目地理位置和自然环境</w:t>
      </w:r>
      <w:bookmarkEnd w:id="71"/>
    </w:p>
    <w:p w14:paraId="6F08B61B">
      <w:pPr>
        <w:pStyle w:val="4"/>
        <w:bidi w:val="0"/>
        <w:rPr>
          <w:color w:val="auto"/>
        </w:rPr>
      </w:pPr>
      <w:bookmarkStart w:id="72" w:name="_Toc24104"/>
      <w:r>
        <w:rPr>
          <w:rFonts w:hint="eastAsia"/>
          <w:color w:val="auto"/>
        </w:rPr>
        <w:t>2.2.1 项目地理位置及交通情况</w:t>
      </w:r>
      <w:bookmarkEnd w:id="72"/>
    </w:p>
    <w:p w14:paraId="6AFAC6F2">
      <w:pPr>
        <w:bidi w:val="0"/>
        <w:rPr>
          <w:rFonts w:hint="default" w:eastAsia="宋体"/>
          <w:color w:val="auto"/>
          <w:lang w:val="en-US" w:eastAsia="zh-CN"/>
        </w:rPr>
      </w:pPr>
      <w:r>
        <w:rPr>
          <w:rFonts w:hint="eastAsia"/>
          <w:color w:val="auto"/>
          <w:lang w:val="en-US" w:eastAsia="zh-CN"/>
        </w:rPr>
        <w:t>**********</w:t>
      </w:r>
    </w:p>
    <w:p w14:paraId="51E440A3">
      <w:pPr>
        <w:bidi w:val="0"/>
        <w:ind w:left="0" w:leftChars="0" w:firstLine="0" w:firstLineChars="0"/>
        <w:jc w:val="center"/>
        <w:rPr>
          <w:rFonts w:hint="default" w:eastAsia="宋体"/>
          <w:color w:val="auto"/>
          <w:lang w:val="en-US" w:eastAsia="zh-CN"/>
        </w:rPr>
      </w:pPr>
      <w:r>
        <w:rPr>
          <w:rFonts w:hint="eastAsia"/>
          <w:color w:val="auto"/>
          <w:lang w:val="en-US" w:eastAsia="zh-CN"/>
        </w:rPr>
        <w:t>*******</w:t>
      </w:r>
    </w:p>
    <w:p w14:paraId="28E0C553">
      <w:pPr>
        <w:pStyle w:val="23"/>
        <w:bidi w:val="0"/>
        <w:rPr>
          <w:color w:val="auto"/>
        </w:rPr>
      </w:pPr>
      <w:r>
        <w:rPr>
          <w:rFonts w:hint="eastAsia"/>
          <w:color w:val="auto"/>
        </w:rPr>
        <w:t>图2</w:t>
      </w:r>
      <w:r>
        <w:rPr>
          <w:rFonts w:hint="eastAsia"/>
          <w:color w:val="auto"/>
          <w:lang w:val="en-US" w:eastAsia="zh-CN"/>
        </w:rPr>
        <w:t>.2</w:t>
      </w:r>
      <w:r>
        <w:rPr>
          <w:rFonts w:hint="eastAsia"/>
          <w:color w:val="auto"/>
        </w:rPr>
        <w:t>-1  交通位置图</w:t>
      </w:r>
    </w:p>
    <w:p w14:paraId="0A6087A7">
      <w:pPr>
        <w:pStyle w:val="4"/>
        <w:bidi w:val="0"/>
        <w:rPr>
          <w:color w:val="auto"/>
        </w:rPr>
      </w:pPr>
      <w:bookmarkStart w:id="73" w:name="_Toc2840"/>
      <w:r>
        <w:rPr>
          <w:rFonts w:hint="eastAsia"/>
          <w:color w:val="auto"/>
        </w:rPr>
        <w:t>2.2.2 周边环境</w:t>
      </w:r>
      <w:bookmarkEnd w:id="73"/>
    </w:p>
    <w:p w14:paraId="0E7BCD46">
      <w:pPr>
        <w:bidi w:val="0"/>
        <w:rPr>
          <w:rFonts w:hint="default" w:eastAsia="宋体"/>
          <w:color w:val="auto"/>
          <w:lang w:val="en-US" w:eastAsia="zh-CN"/>
        </w:rPr>
      </w:pPr>
      <w:r>
        <w:rPr>
          <w:rFonts w:hint="eastAsia"/>
          <w:color w:val="auto"/>
          <w:lang w:val="en-US" w:eastAsia="zh-CN"/>
        </w:rPr>
        <w:t>********</w:t>
      </w:r>
    </w:p>
    <w:p w14:paraId="229913F0">
      <w:pPr>
        <w:bidi w:val="0"/>
        <w:rPr>
          <w:rFonts w:hint="eastAsia"/>
          <w:color w:val="auto"/>
          <w:lang w:val="en-US" w:eastAsia="zh-CN"/>
        </w:rPr>
      </w:pPr>
      <w:r>
        <w:rPr>
          <w:rFonts w:hint="eastAsia"/>
          <w:color w:val="auto"/>
        </w:rPr>
        <w:t>项目未在“四区”（城市规划区、风景名胜区、重要水源区、重要地质遗迹区）范围内。项目对周围环境影响较小。</w:t>
      </w:r>
    </w:p>
    <w:p w14:paraId="4BE76534">
      <w:pPr>
        <w:pStyle w:val="23"/>
        <w:bidi w:val="0"/>
        <w:rPr>
          <w:rFonts w:hint="default" w:eastAsia="宋体"/>
          <w:color w:val="auto"/>
          <w:lang w:val="en-US" w:eastAsia="zh-CN"/>
        </w:rPr>
      </w:pPr>
      <w:r>
        <w:rPr>
          <w:rFonts w:hint="eastAsia"/>
          <w:color w:val="auto"/>
          <w:lang w:val="en-US" w:eastAsia="zh-CN"/>
        </w:rPr>
        <w:t>*********</w:t>
      </w:r>
    </w:p>
    <w:p w14:paraId="48A73117">
      <w:pPr>
        <w:pStyle w:val="23"/>
        <w:bidi w:val="0"/>
        <w:rPr>
          <w:color w:val="auto"/>
        </w:rPr>
      </w:pPr>
      <w:r>
        <w:rPr>
          <w:rFonts w:hint="eastAsia"/>
          <w:color w:val="auto"/>
        </w:rPr>
        <w:t>图2</w:t>
      </w:r>
      <w:r>
        <w:rPr>
          <w:rFonts w:hint="eastAsia"/>
          <w:color w:val="auto"/>
          <w:lang w:val="en-US" w:eastAsia="zh-CN"/>
        </w:rPr>
        <w:t>.2</w:t>
      </w:r>
      <w:r>
        <w:rPr>
          <w:rFonts w:hint="eastAsia"/>
          <w:color w:val="auto"/>
        </w:rPr>
        <w:t>-2</w:t>
      </w:r>
      <w:r>
        <w:rPr>
          <w:rFonts w:hint="eastAsia"/>
          <w:color w:val="auto"/>
          <w:lang w:val="en-US" w:eastAsia="zh-CN"/>
        </w:rPr>
        <w:t xml:space="preserve">  </w:t>
      </w:r>
      <w:r>
        <w:rPr>
          <w:rFonts w:hint="eastAsia"/>
          <w:color w:val="auto"/>
        </w:rPr>
        <w:t>项目周边环境图</w:t>
      </w:r>
    </w:p>
    <w:p w14:paraId="3B117DEF">
      <w:pPr>
        <w:pStyle w:val="23"/>
        <w:bidi w:val="0"/>
        <w:rPr>
          <w:rFonts w:hint="eastAsia"/>
          <w:color w:val="auto"/>
          <w:lang w:val="en-US" w:eastAsia="zh-CN"/>
        </w:rPr>
      </w:pPr>
      <w:r>
        <w:rPr>
          <w:rFonts w:hint="eastAsia"/>
          <w:color w:val="auto"/>
          <w:lang w:val="en-US" w:eastAsia="zh-CN"/>
        </w:rPr>
        <w:t>表2.1-1  项目与周边安全距离表（m）</w:t>
      </w:r>
    </w:p>
    <w:tbl>
      <w:tblPr>
        <w:tblStyle w:val="1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1587"/>
        <w:gridCol w:w="991"/>
        <w:gridCol w:w="1401"/>
        <w:gridCol w:w="955"/>
        <w:gridCol w:w="3269"/>
      </w:tblGrid>
      <w:tr w14:paraId="389A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33" w:type="pct"/>
            <w:noWrap w:val="0"/>
            <w:vAlign w:val="center"/>
          </w:tcPr>
          <w:p w14:paraId="1A3540B0">
            <w:pPr>
              <w:pStyle w:val="24"/>
              <w:bidi w:val="0"/>
              <w:rPr>
                <w:rFonts w:hint="eastAsia" w:eastAsia="宋体"/>
                <w:b/>
                <w:bCs/>
                <w:color w:val="auto"/>
                <w:lang w:eastAsia="zh-CN"/>
              </w:rPr>
            </w:pPr>
            <w:r>
              <w:rPr>
                <w:rFonts w:hint="eastAsia"/>
                <w:b/>
                <w:bCs/>
                <w:color w:val="auto"/>
                <w:lang w:val="en-US" w:eastAsia="zh-CN"/>
              </w:rPr>
              <w:t>车间</w:t>
            </w:r>
          </w:p>
        </w:tc>
        <w:tc>
          <w:tcPr>
            <w:tcW w:w="844" w:type="pct"/>
            <w:noWrap w:val="0"/>
            <w:vAlign w:val="center"/>
          </w:tcPr>
          <w:p w14:paraId="188D7423">
            <w:pPr>
              <w:pStyle w:val="24"/>
              <w:bidi w:val="0"/>
              <w:rPr>
                <w:rFonts w:hint="default"/>
                <w:b/>
                <w:bCs/>
                <w:color w:val="auto"/>
              </w:rPr>
            </w:pPr>
            <w:r>
              <w:rPr>
                <w:rFonts w:hint="default"/>
                <w:b/>
                <w:bCs/>
                <w:color w:val="auto"/>
              </w:rPr>
              <w:t>周边环境名称</w:t>
            </w:r>
          </w:p>
        </w:tc>
        <w:tc>
          <w:tcPr>
            <w:tcW w:w="527" w:type="pct"/>
            <w:noWrap w:val="0"/>
            <w:vAlign w:val="center"/>
          </w:tcPr>
          <w:p w14:paraId="62C60862">
            <w:pPr>
              <w:pStyle w:val="24"/>
              <w:bidi w:val="0"/>
              <w:rPr>
                <w:rFonts w:hint="eastAsia"/>
                <w:b/>
                <w:bCs/>
                <w:color w:val="auto"/>
                <w:lang w:val="en-US" w:eastAsia="zh-CN"/>
              </w:rPr>
            </w:pPr>
            <w:r>
              <w:rPr>
                <w:rFonts w:hint="eastAsia"/>
                <w:b/>
                <w:bCs/>
                <w:color w:val="auto"/>
                <w:lang w:val="en-US" w:eastAsia="zh-CN"/>
              </w:rPr>
              <w:t>规范要求</w:t>
            </w:r>
            <w:r>
              <w:rPr>
                <w:rFonts w:hint="default"/>
                <w:b/>
                <w:bCs/>
                <w:color w:val="auto"/>
              </w:rPr>
              <w:t>（m）</w:t>
            </w:r>
          </w:p>
        </w:tc>
        <w:tc>
          <w:tcPr>
            <w:tcW w:w="745" w:type="pct"/>
            <w:noWrap w:val="0"/>
            <w:vAlign w:val="center"/>
          </w:tcPr>
          <w:p w14:paraId="0F2198DE">
            <w:pPr>
              <w:pStyle w:val="24"/>
              <w:bidi w:val="0"/>
              <w:rPr>
                <w:rFonts w:hint="default"/>
                <w:b/>
                <w:bCs/>
                <w:color w:val="auto"/>
              </w:rPr>
            </w:pPr>
            <w:r>
              <w:rPr>
                <w:rFonts w:hint="default"/>
                <w:b/>
                <w:bCs/>
                <w:color w:val="auto"/>
              </w:rPr>
              <w:t>与本项目厂界距离（m）</w:t>
            </w:r>
          </w:p>
        </w:tc>
        <w:tc>
          <w:tcPr>
            <w:tcW w:w="508" w:type="pct"/>
            <w:noWrap w:val="0"/>
            <w:vAlign w:val="center"/>
          </w:tcPr>
          <w:p w14:paraId="0D01FE91">
            <w:pPr>
              <w:pStyle w:val="24"/>
              <w:bidi w:val="0"/>
              <w:rPr>
                <w:rFonts w:hint="default"/>
                <w:b/>
                <w:bCs/>
                <w:color w:val="auto"/>
              </w:rPr>
            </w:pPr>
            <w:r>
              <w:rPr>
                <w:rFonts w:hint="default"/>
                <w:b/>
                <w:bCs/>
                <w:color w:val="auto"/>
              </w:rPr>
              <w:t>位置</w:t>
            </w:r>
          </w:p>
        </w:tc>
        <w:tc>
          <w:tcPr>
            <w:tcW w:w="1739" w:type="pct"/>
            <w:noWrap w:val="0"/>
            <w:vAlign w:val="center"/>
          </w:tcPr>
          <w:p w14:paraId="30470323">
            <w:pPr>
              <w:pStyle w:val="24"/>
              <w:bidi w:val="0"/>
              <w:rPr>
                <w:rFonts w:hint="default"/>
                <w:b/>
                <w:bCs/>
                <w:color w:val="auto"/>
              </w:rPr>
            </w:pPr>
            <w:r>
              <w:rPr>
                <w:b/>
                <w:bCs/>
                <w:color w:val="auto"/>
              </w:rPr>
              <w:t>防火间距规范要求值确定依据</w:t>
            </w:r>
          </w:p>
        </w:tc>
      </w:tr>
      <w:tr w14:paraId="566A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pct"/>
            <w:vMerge w:val="restart"/>
            <w:noWrap w:val="0"/>
            <w:vAlign w:val="center"/>
          </w:tcPr>
          <w:p w14:paraId="1F6E6111">
            <w:pPr>
              <w:pStyle w:val="24"/>
              <w:bidi w:val="0"/>
              <w:rPr>
                <w:rFonts w:hint="default"/>
                <w:color w:val="auto"/>
                <w:lang w:val="en-US" w:eastAsia="zh-CN"/>
              </w:rPr>
            </w:pPr>
            <w:r>
              <w:rPr>
                <w:rFonts w:hint="eastAsia"/>
                <w:color w:val="auto"/>
                <w:lang w:val="en-US" w:eastAsia="zh-CN"/>
              </w:rPr>
              <w:t>浓缩车间（戊类，二级）</w:t>
            </w:r>
          </w:p>
        </w:tc>
        <w:tc>
          <w:tcPr>
            <w:tcW w:w="844" w:type="pct"/>
            <w:noWrap w:val="0"/>
            <w:vAlign w:val="center"/>
          </w:tcPr>
          <w:p w14:paraId="63A1B2DE">
            <w:pPr>
              <w:pStyle w:val="24"/>
              <w:bidi w:val="0"/>
              <w:rPr>
                <w:rFonts w:hint="default"/>
                <w:color w:val="auto"/>
                <w:lang w:val="en-US" w:eastAsia="zh-CN"/>
              </w:rPr>
            </w:pPr>
            <w:r>
              <w:rPr>
                <w:rFonts w:hint="eastAsia"/>
                <w:color w:val="auto"/>
                <w:lang w:val="en-US" w:eastAsia="zh-CN"/>
              </w:rPr>
              <w:t>选厂建筑（砖混，戊类，二级）</w:t>
            </w:r>
          </w:p>
        </w:tc>
        <w:tc>
          <w:tcPr>
            <w:tcW w:w="527" w:type="pct"/>
            <w:noWrap w:val="0"/>
            <w:vAlign w:val="center"/>
          </w:tcPr>
          <w:p w14:paraId="1521E20E">
            <w:pPr>
              <w:pStyle w:val="24"/>
              <w:bidi w:val="0"/>
              <w:rPr>
                <w:rFonts w:hint="default"/>
                <w:color w:val="auto"/>
                <w:lang w:val="en-US" w:eastAsia="zh-CN"/>
              </w:rPr>
            </w:pPr>
            <w:r>
              <w:rPr>
                <w:rFonts w:hint="eastAsia"/>
                <w:color w:val="auto"/>
                <w:lang w:val="en-US" w:eastAsia="zh-CN"/>
              </w:rPr>
              <w:t>10</w:t>
            </w:r>
          </w:p>
        </w:tc>
        <w:tc>
          <w:tcPr>
            <w:tcW w:w="745" w:type="pct"/>
            <w:noWrap w:val="0"/>
            <w:vAlign w:val="center"/>
          </w:tcPr>
          <w:p w14:paraId="07A4A7EE">
            <w:pPr>
              <w:pStyle w:val="24"/>
              <w:bidi w:val="0"/>
              <w:rPr>
                <w:rFonts w:hint="default"/>
                <w:color w:val="auto"/>
                <w:lang w:val="en-US" w:eastAsia="zh-CN"/>
              </w:rPr>
            </w:pPr>
            <w:r>
              <w:rPr>
                <w:rFonts w:hint="eastAsia"/>
                <w:color w:val="auto"/>
                <w:lang w:val="en-US" w:eastAsia="zh-CN"/>
              </w:rPr>
              <w:t>24</w:t>
            </w:r>
          </w:p>
        </w:tc>
        <w:tc>
          <w:tcPr>
            <w:tcW w:w="508" w:type="pct"/>
            <w:noWrap w:val="0"/>
            <w:vAlign w:val="center"/>
          </w:tcPr>
          <w:p w14:paraId="3CACF567">
            <w:pPr>
              <w:pStyle w:val="24"/>
              <w:bidi w:val="0"/>
              <w:rPr>
                <w:rFonts w:hint="default"/>
                <w:color w:val="auto"/>
              </w:rPr>
            </w:pPr>
            <w:r>
              <w:rPr>
                <w:rFonts w:hint="eastAsia"/>
                <w:color w:val="auto"/>
                <w:lang w:val="en-US" w:eastAsia="zh-CN"/>
              </w:rPr>
              <w:t>西</w:t>
            </w:r>
            <w:r>
              <w:rPr>
                <w:rFonts w:hint="default"/>
                <w:color w:val="auto"/>
              </w:rPr>
              <w:t>面</w:t>
            </w:r>
          </w:p>
        </w:tc>
        <w:tc>
          <w:tcPr>
            <w:tcW w:w="1739" w:type="pct"/>
            <w:noWrap w:val="0"/>
            <w:vAlign w:val="center"/>
          </w:tcPr>
          <w:p w14:paraId="1A7AB2D9">
            <w:pPr>
              <w:pStyle w:val="24"/>
              <w:bidi w:val="0"/>
              <w:rPr>
                <w:color w:val="auto"/>
              </w:rPr>
            </w:pPr>
            <w:r>
              <w:rPr>
                <w:color w:val="auto"/>
              </w:rPr>
              <w:t>《建筑设计防火规范[2018版]》</w:t>
            </w:r>
          </w:p>
          <w:p w14:paraId="27C11E56">
            <w:pPr>
              <w:pStyle w:val="24"/>
              <w:bidi w:val="0"/>
              <w:rPr>
                <w:rFonts w:hint="default"/>
                <w:color w:val="auto"/>
              </w:rPr>
            </w:pPr>
            <w:r>
              <w:rPr>
                <w:rFonts w:hint="default"/>
                <w:color w:val="auto"/>
                <w:lang w:eastAsia="zh-CN"/>
              </w:rPr>
              <w:t>（</w:t>
            </w:r>
            <w:r>
              <w:rPr>
                <w:color w:val="auto"/>
              </w:rPr>
              <w:t>GB50016-2014</w:t>
            </w:r>
            <w:r>
              <w:rPr>
                <w:rFonts w:hint="default"/>
                <w:color w:val="auto"/>
                <w:lang w:eastAsia="zh-CN"/>
              </w:rPr>
              <w:t>）</w:t>
            </w:r>
            <w:r>
              <w:rPr>
                <w:color w:val="auto"/>
              </w:rPr>
              <w:t>，第3.4.1条</w:t>
            </w:r>
          </w:p>
        </w:tc>
      </w:tr>
      <w:tr w14:paraId="5E1F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pct"/>
            <w:vMerge w:val="continue"/>
            <w:noWrap w:val="0"/>
            <w:vAlign w:val="center"/>
          </w:tcPr>
          <w:p w14:paraId="5BF0CA33">
            <w:pPr>
              <w:pStyle w:val="24"/>
              <w:bidi w:val="0"/>
              <w:rPr>
                <w:rFonts w:hint="eastAsia"/>
                <w:color w:val="auto"/>
                <w:lang w:val="en-US" w:eastAsia="zh-CN"/>
              </w:rPr>
            </w:pPr>
          </w:p>
        </w:tc>
        <w:tc>
          <w:tcPr>
            <w:tcW w:w="844" w:type="pct"/>
            <w:noWrap w:val="0"/>
            <w:vAlign w:val="center"/>
          </w:tcPr>
          <w:p w14:paraId="23862679">
            <w:pPr>
              <w:pStyle w:val="24"/>
              <w:bidi w:val="0"/>
              <w:rPr>
                <w:rFonts w:hint="default"/>
                <w:color w:val="auto"/>
                <w:lang w:val="en-US" w:eastAsia="zh-CN"/>
              </w:rPr>
            </w:pPr>
            <w:r>
              <w:rPr>
                <w:rFonts w:hint="eastAsia"/>
                <w:color w:val="auto"/>
                <w:lang w:val="en-US" w:eastAsia="zh-CN"/>
              </w:rPr>
              <w:t>选厂建筑（砖混，戊类，二级）</w:t>
            </w:r>
          </w:p>
        </w:tc>
        <w:tc>
          <w:tcPr>
            <w:tcW w:w="527" w:type="pct"/>
            <w:noWrap w:val="0"/>
            <w:vAlign w:val="center"/>
          </w:tcPr>
          <w:p w14:paraId="156BD74C">
            <w:pPr>
              <w:pStyle w:val="24"/>
              <w:bidi w:val="0"/>
              <w:rPr>
                <w:rFonts w:hint="default"/>
                <w:color w:val="auto"/>
                <w:lang w:val="en-US" w:eastAsia="zh-CN"/>
              </w:rPr>
            </w:pPr>
            <w:r>
              <w:rPr>
                <w:rFonts w:hint="eastAsia"/>
                <w:color w:val="auto"/>
                <w:lang w:val="en-US" w:eastAsia="zh-CN"/>
              </w:rPr>
              <w:t>10</w:t>
            </w:r>
          </w:p>
        </w:tc>
        <w:tc>
          <w:tcPr>
            <w:tcW w:w="745" w:type="pct"/>
            <w:noWrap w:val="0"/>
            <w:vAlign w:val="center"/>
          </w:tcPr>
          <w:p w14:paraId="5A493307">
            <w:pPr>
              <w:pStyle w:val="24"/>
              <w:bidi w:val="0"/>
              <w:rPr>
                <w:rFonts w:hint="default"/>
                <w:color w:val="auto"/>
                <w:lang w:val="en-US" w:eastAsia="zh-CN"/>
              </w:rPr>
            </w:pPr>
            <w:r>
              <w:rPr>
                <w:rFonts w:hint="eastAsia"/>
                <w:color w:val="auto"/>
                <w:lang w:val="en-US" w:eastAsia="zh-CN"/>
              </w:rPr>
              <w:t>31</w:t>
            </w:r>
          </w:p>
        </w:tc>
        <w:tc>
          <w:tcPr>
            <w:tcW w:w="508" w:type="pct"/>
            <w:noWrap w:val="0"/>
            <w:vAlign w:val="center"/>
          </w:tcPr>
          <w:p w14:paraId="5B67B6CA">
            <w:pPr>
              <w:pStyle w:val="24"/>
              <w:bidi w:val="0"/>
              <w:rPr>
                <w:rFonts w:hint="default"/>
                <w:color w:val="auto"/>
                <w:lang w:val="en-US" w:eastAsia="zh-CN"/>
              </w:rPr>
            </w:pPr>
            <w:r>
              <w:rPr>
                <w:rFonts w:hint="eastAsia"/>
                <w:color w:val="auto"/>
                <w:lang w:val="en-US" w:eastAsia="zh-CN"/>
              </w:rPr>
              <w:t>南面</w:t>
            </w:r>
          </w:p>
        </w:tc>
        <w:tc>
          <w:tcPr>
            <w:tcW w:w="1739" w:type="pct"/>
            <w:noWrap w:val="0"/>
            <w:vAlign w:val="center"/>
          </w:tcPr>
          <w:p w14:paraId="704D0242">
            <w:pPr>
              <w:pStyle w:val="24"/>
              <w:bidi w:val="0"/>
              <w:rPr>
                <w:color w:val="auto"/>
              </w:rPr>
            </w:pPr>
            <w:r>
              <w:rPr>
                <w:color w:val="auto"/>
              </w:rPr>
              <w:t>《建筑设计防火规范[2018版]》</w:t>
            </w:r>
          </w:p>
          <w:p w14:paraId="2F68DDB6">
            <w:pPr>
              <w:pStyle w:val="24"/>
              <w:bidi w:val="0"/>
              <w:rPr>
                <w:rFonts w:hint="default"/>
                <w:color w:val="auto"/>
                <w:lang w:eastAsia="zh-CN"/>
              </w:rPr>
            </w:pPr>
            <w:r>
              <w:rPr>
                <w:rFonts w:hint="eastAsia"/>
                <w:color w:val="auto"/>
                <w:lang w:eastAsia="zh-CN"/>
              </w:rPr>
              <w:t>（</w:t>
            </w:r>
            <w:r>
              <w:rPr>
                <w:color w:val="auto"/>
              </w:rPr>
              <w:t>GB50016-2014</w:t>
            </w:r>
            <w:r>
              <w:rPr>
                <w:rFonts w:hint="eastAsia"/>
                <w:color w:val="auto"/>
                <w:lang w:eastAsia="zh-CN"/>
              </w:rPr>
              <w:t>）</w:t>
            </w:r>
            <w:r>
              <w:rPr>
                <w:color w:val="auto"/>
              </w:rPr>
              <w:t>，第3.4.1条</w:t>
            </w:r>
          </w:p>
        </w:tc>
      </w:tr>
      <w:tr w14:paraId="4737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pct"/>
            <w:vMerge w:val="continue"/>
            <w:noWrap w:val="0"/>
            <w:vAlign w:val="center"/>
          </w:tcPr>
          <w:p w14:paraId="11F77B3E">
            <w:pPr>
              <w:pStyle w:val="24"/>
              <w:bidi w:val="0"/>
              <w:rPr>
                <w:rFonts w:hint="eastAsia"/>
                <w:color w:val="auto"/>
                <w:lang w:val="en-US" w:eastAsia="zh-CN"/>
              </w:rPr>
            </w:pPr>
          </w:p>
        </w:tc>
        <w:tc>
          <w:tcPr>
            <w:tcW w:w="844" w:type="pct"/>
            <w:noWrap w:val="0"/>
            <w:vAlign w:val="center"/>
          </w:tcPr>
          <w:p w14:paraId="73B41DF3">
            <w:pPr>
              <w:pStyle w:val="24"/>
              <w:bidi w:val="0"/>
              <w:rPr>
                <w:rFonts w:hint="default"/>
                <w:color w:val="auto"/>
                <w:lang w:val="en-US" w:eastAsia="zh-CN"/>
              </w:rPr>
            </w:pPr>
            <w:r>
              <w:rPr>
                <w:rFonts w:hint="eastAsia"/>
                <w:color w:val="auto"/>
                <w:lang w:val="en-US" w:eastAsia="zh-CN"/>
              </w:rPr>
              <w:t>其纳海村（民用，二级）</w:t>
            </w:r>
          </w:p>
        </w:tc>
        <w:tc>
          <w:tcPr>
            <w:tcW w:w="527" w:type="pct"/>
            <w:noWrap w:val="0"/>
            <w:vAlign w:val="center"/>
          </w:tcPr>
          <w:p w14:paraId="4A5A10F9">
            <w:pPr>
              <w:pStyle w:val="24"/>
              <w:bidi w:val="0"/>
              <w:rPr>
                <w:rFonts w:hint="default"/>
                <w:color w:val="auto"/>
                <w:lang w:val="en-US" w:eastAsia="zh-CN"/>
              </w:rPr>
            </w:pPr>
            <w:r>
              <w:rPr>
                <w:rFonts w:hint="eastAsia"/>
                <w:color w:val="auto"/>
                <w:lang w:val="en-US" w:eastAsia="zh-CN"/>
              </w:rPr>
              <w:t>10</w:t>
            </w:r>
          </w:p>
        </w:tc>
        <w:tc>
          <w:tcPr>
            <w:tcW w:w="745" w:type="pct"/>
            <w:noWrap w:val="0"/>
            <w:vAlign w:val="center"/>
          </w:tcPr>
          <w:p w14:paraId="76D846CF">
            <w:pPr>
              <w:pStyle w:val="24"/>
              <w:bidi w:val="0"/>
              <w:rPr>
                <w:rFonts w:hint="default"/>
                <w:color w:val="auto"/>
                <w:lang w:val="en-US" w:eastAsia="zh-CN"/>
              </w:rPr>
            </w:pPr>
            <w:r>
              <w:rPr>
                <w:rFonts w:hint="eastAsia"/>
                <w:color w:val="auto"/>
                <w:lang w:val="en-US" w:eastAsia="zh-CN"/>
              </w:rPr>
              <w:t>189</w:t>
            </w:r>
          </w:p>
        </w:tc>
        <w:tc>
          <w:tcPr>
            <w:tcW w:w="508" w:type="pct"/>
            <w:noWrap w:val="0"/>
            <w:vAlign w:val="center"/>
          </w:tcPr>
          <w:p w14:paraId="0A7C4829">
            <w:pPr>
              <w:pStyle w:val="24"/>
              <w:bidi w:val="0"/>
              <w:rPr>
                <w:rFonts w:hint="default"/>
                <w:color w:val="auto"/>
                <w:lang w:val="en-US" w:eastAsia="zh-CN"/>
              </w:rPr>
            </w:pPr>
            <w:r>
              <w:rPr>
                <w:rFonts w:hint="eastAsia"/>
                <w:color w:val="auto"/>
                <w:lang w:val="en-US" w:eastAsia="zh-CN"/>
              </w:rPr>
              <w:t>东南面</w:t>
            </w:r>
          </w:p>
        </w:tc>
        <w:tc>
          <w:tcPr>
            <w:tcW w:w="1739" w:type="pct"/>
            <w:noWrap w:val="0"/>
            <w:vAlign w:val="center"/>
          </w:tcPr>
          <w:p w14:paraId="4F470236">
            <w:pPr>
              <w:pStyle w:val="24"/>
              <w:bidi w:val="0"/>
              <w:rPr>
                <w:color w:val="auto"/>
              </w:rPr>
            </w:pPr>
            <w:r>
              <w:rPr>
                <w:color w:val="auto"/>
              </w:rPr>
              <w:t>《建筑设计防火规范[2018版]》</w:t>
            </w:r>
          </w:p>
          <w:p w14:paraId="396F1D75">
            <w:pPr>
              <w:pStyle w:val="24"/>
              <w:bidi w:val="0"/>
              <w:ind w:firstLine="0" w:firstLineChars="0"/>
              <w:rPr>
                <w:rFonts w:hint="default"/>
                <w:color w:val="auto"/>
                <w:lang w:eastAsia="zh-CN"/>
              </w:rPr>
            </w:pPr>
            <w:r>
              <w:rPr>
                <w:rFonts w:hint="eastAsia"/>
                <w:color w:val="auto"/>
                <w:lang w:eastAsia="zh-CN"/>
              </w:rPr>
              <w:t>（</w:t>
            </w:r>
            <w:r>
              <w:rPr>
                <w:color w:val="auto"/>
              </w:rPr>
              <w:t>GB50016-2014</w:t>
            </w:r>
            <w:r>
              <w:rPr>
                <w:rFonts w:hint="eastAsia"/>
                <w:color w:val="auto"/>
                <w:lang w:eastAsia="zh-CN"/>
              </w:rPr>
              <w:t>）</w:t>
            </w:r>
            <w:r>
              <w:rPr>
                <w:color w:val="auto"/>
              </w:rPr>
              <w:t>，第3.4.1条</w:t>
            </w:r>
          </w:p>
        </w:tc>
      </w:tr>
      <w:tr w14:paraId="60AF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pct"/>
            <w:vMerge w:val="restart"/>
            <w:noWrap w:val="0"/>
            <w:vAlign w:val="center"/>
          </w:tcPr>
          <w:p w14:paraId="50F1D95F">
            <w:pPr>
              <w:pStyle w:val="24"/>
              <w:bidi w:val="0"/>
              <w:rPr>
                <w:rFonts w:hint="default"/>
                <w:color w:val="auto"/>
                <w:lang w:val="en-US" w:eastAsia="zh-CN"/>
              </w:rPr>
            </w:pPr>
            <w:r>
              <w:rPr>
                <w:rFonts w:hint="eastAsia"/>
                <w:color w:val="auto"/>
                <w:lang w:val="en-US" w:eastAsia="zh-CN"/>
              </w:rPr>
              <w:t>压滤车间（戊类，二级）</w:t>
            </w:r>
          </w:p>
        </w:tc>
        <w:tc>
          <w:tcPr>
            <w:tcW w:w="844" w:type="pct"/>
            <w:noWrap w:val="0"/>
            <w:vAlign w:val="center"/>
          </w:tcPr>
          <w:p w14:paraId="45D35259">
            <w:pPr>
              <w:pStyle w:val="24"/>
              <w:bidi w:val="0"/>
              <w:rPr>
                <w:rFonts w:hint="default"/>
                <w:color w:val="auto"/>
                <w:lang w:val="en-US" w:eastAsia="zh-CN"/>
              </w:rPr>
            </w:pPr>
            <w:r>
              <w:rPr>
                <w:rFonts w:hint="eastAsia"/>
                <w:color w:val="auto"/>
                <w:lang w:val="en-US" w:eastAsia="zh-CN"/>
              </w:rPr>
              <w:t>乐朗村（民用，二级）</w:t>
            </w:r>
          </w:p>
        </w:tc>
        <w:tc>
          <w:tcPr>
            <w:tcW w:w="527" w:type="pct"/>
            <w:noWrap w:val="0"/>
            <w:vAlign w:val="center"/>
          </w:tcPr>
          <w:p w14:paraId="747B7D7A">
            <w:pPr>
              <w:pStyle w:val="24"/>
              <w:bidi w:val="0"/>
              <w:rPr>
                <w:rFonts w:hint="default"/>
                <w:color w:val="auto"/>
                <w:lang w:val="en-US" w:eastAsia="zh-CN"/>
              </w:rPr>
            </w:pPr>
            <w:r>
              <w:rPr>
                <w:rFonts w:hint="eastAsia"/>
                <w:color w:val="auto"/>
                <w:lang w:val="en-US" w:eastAsia="zh-CN"/>
              </w:rPr>
              <w:t>10</w:t>
            </w:r>
          </w:p>
        </w:tc>
        <w:tc>
          <w:tcPr>
            <w:tcW w:w="745" w:type="pct"/>
            <w:noWrap w:val="0"/>
            <w:vAlign w:val="center"/>
          </w:tcPr>
          <w:p w14:paraId="4D45B4E5">
            <w:pPr>
              <w:pStyle w:val="24"/>
              <w:bidi w:val="0"/>
              <w:rPr>
                <w:rFonts w:hint="default"/>
                <w:color w:val="auto"/>
                <w:lang w:val="en-US" w:eastAsia="zh-CN"/>
              </w:rPr>
            </w:pPr>
            <w:r>
              <w:rPr>
                <w:rFonts w:hint="eastAsia"/>
                <w:color w:val="auto"/>
                <w:lang w:val="en-US" w:eastAsia="zh-CN"/>
              </w:rPr>
              <w:t>725</w:t>
            </w:r>
          </w:p>
        </w:tc>
        <w:tc>
          <w:tcPr>
            <w:tcW w:w="508" w:type="pct"/>
            <w:noWrap w:val="0"/>
            <w:vAlign w:val="center"/>
          </w:tcPr>
          <w:p w14:paraId="6BBB37CD">
            <w:pPr>
              <w:pStyle w:val="24"/>
              <w:bidi w:val="0"/>
              <w:rPr>
                <w:rFonts w:hint="default"/>
                <w:color w:val="auto"/>
                <w:lang w:val="en-US"/>
              </w:rPr>
            </w:pPr>
            <w:r>
              <w:rPr>
                <w:rFonts w:hint="eastAsia"/>
                <w:color w:val="auto"/>
                <w:lang w:val="en-US" w:eastAsia="zh-CN"/>
              </w:rPr>
              <w:t>北面</w:t>
            </w:r>
          </w:p>
        </w:tc>
        <w:tc>
          <w:tcPr>
            <w:tcW w:w="1739" w:type="pct"/>
            <w:noWrap w:val="0"/>
            <w:vAlign w:val="center"/>
          </w:tcPr>
          <w:p w14:paraId="7FD891C4">
            <w:pPr>
              <w:pStyle w:val="24"/>
              <w:bidi w:val="0"/>
              <w:rPr>
                <w:color w:val="auto"/>
              </w:rPr>
            </w:pPr>
            <w:r>
              <w:rPr>
                <w:color w:val="auto"/>
              </w:rPr>
              <w:t>《建筑设计防火规范[2018版]》</w:t>
            </w:r>
          </w:p>
          <w:p w14:paraId="3FF1BED8">
            <w:pPr>
              <w:pStyle w:val="24"/>
              <w:bidi w:val="0"/>
              <w:rPr>
                <w:rFonts w:hint="default"/>
                <w:color w:val="auto"/>
                <w:lang w:val="en-US" w:eastAsia="zh-CN"/>
              </w:rPr>
            </w:pPr>
            <w:r>
              <w:rPr>
                <w:rFonts w:hint="eastAsia"/>
                <w:color w:val="auto"/>
                <w:lang w:eastAsia="zh-CN"/>
              </w:rPr>
              <w:t>（</w:t>
            </w:r>
            <w:r>
              <w:rPr>
                <w:color w:val="auto"/>
              </w:rPr>
              <w:t>GB50016-2014</w:t>
            </w:r>
            <w:r>
              <w:rPr>
                <w:rFonts w:hint="eastAsia"/>
                <w:color w:val="auto"/>
                <w:lang w:eastAsia="zh-CN"/>
              </w:rPr>
              <w:t>）</w:t>
            </w:r>
            <w:r>
              <w:rPr>
                <w:color w:val="auto"/>
              </w:rPr>
              <w:t>，第3.4.1条</w:t>
            </w:r>
          </w:p>
        </w:tc>
      </w:tr>
      <w:tr w14:paraId="6D54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pct"/>
            <w:vMerge w:val="continue"/>
            <w:noWrap w:val="0"/>
            <w:vAlign w:val="center"/>
          </w:tcPr>
          <w:p w14:paraId="528EDD43">
            <w:pPr>
              <w:pStyle w:val="24"/>
              <w:bidi w:val="0"/>
              <w:rPr>
                <w:rFonts w:hint="default"/>
                <w:color w:val="auto"/>
                <w:lang w:val="en-US" w:eastAsia="zh-CN"/>
              </w:rPr>
            </w:pPr>
          </w:p>
        </w:tc>
        <w:tc>
          <w:tcPr>
            <w:tcW w:w="844" w:type="pct"/>
            <w:noWrap w:val="0"/>
            <w:vAlign w:val="center"/>
          </w:tcPr>
          <w:p w14:paraId="199DAE35">
            <w:pPr>
              <w:pStyle w:val="24"/>
              <w:bidi w:val="0"/>
              <w:rPr>
                <w:rFonts w:hint="eastAsia"/>
                <w:color w:val="auto"/>
                <w:lang w:val="en-US" w:eastAsia="zh-CN"/>
              </w:rPr>
            </w:pPr>
            <w:r>
              <w:rPr>
                <w:rFonts w:hint="eastAsia"/>
                <w:color w:val="auto"/>
                <w:lang w:val="en-US" w:eastAsia="zh-CN"/>
              </w:rPr>
              <w:t>旧村（民用，二级）</w:t>
            </w:r>
          </w:p>
        </w:tc>
        <w:tc>
          <w:tcPr>
            <w:tcW w:w="527" w:type="pct"/>
            <w:noWrap w:val="0"/>
            <w:vAlign w:val="center"/>
          </w:tcPr>
          <w:p w14:paraId="5F3A4375">
            <w:pPr>
              <w:pStyle w:val="24"/>
              <w:bidi w:val="0"/>
              <w:rPr>
                <w:rFonts w:hint="default"/>
                <w:color w:val="auto"/>
                <w:lang w:val="en-US" w:eastAsia="zh-CN"/>
              </w:rPr>
            </w:pPr>
            <w:r>
              <w:rPr>
                <w:rFonts w:hint="eastAsia"/>
                <w:color w:val="auto"/>
                <w:lang w:val="en-US" w:eastAsia="zh-CN"/>
              </w:rPr>
              <w:t>10</w:t>
            </w:r>
          </w:p>
        </w:tc>
        <w:tc>
          <w:tcPr>
            <w:tcW w:w="745" w:type="pct"/>
            <w:noWrap w:val="0"/>
            <w:vAlign w:val="center"/>
          </w:tcPr>
          <w:p w14:paraId="4415F0F1">
            <w:pPr>
              <w:pStyle w:val="24"/>
              <w:bidi w:val="0"/>
              <w:rPr>
                <w:rFonts w:hint="eastAsia"/>
                <w:color w:val="auto"/>
                <w:lang w:val="en-US" w:eastAsia="zh-CN"/>
              </w:rPr>
            </w:pPr>
            <w:r>
              <w:rPr>
                <w:rFonts w:hint="eastAsia"/>
                <w:color w:val="auto"/>
                <w:lang w:val="en-US" w:eastAsia="zh-CN"/>
              </w:rPr>
              <w:t>249</w:t>
            </w:r>
          </w:p>
        </w:tc>
        <w:tc>
          <w:tcPr>
            <w:tcW w:w="508" w:type="pct"/>
            <w:noWrap w:val="0"/>
            <w:vAlign w:val="center"/>
          </w:tcPr>
          <w:p w14:paraId="67FF92A8">
            <w:pPr>
              <w:pStyle w:val="24"/>
              <w:bidi w:val="0"/>
              <w:rPr>
                <w:rFonts w:hint="default"/>
                <w:color w:val="auto"/>
                <w:lang w:val="en-US" w:eastAsia="zh-CN"/>
              </w:rPr>
            </w:pPr>
            <w:r>
              <w:rPr>
                <w:rFonts w:hint="eastAsia"/>
                <w:color w:val="auto"/>
                <w:lang w:val="en-US" w:eastAsia="zh-CN"/>
              </w:rPr>
              <w:t>西面</w:t>
            </w:r>
          </w:p>
        </w:tc>
        <w:tc>
          <w:tcPr>
            <w:tcW w:w="1739" w:type="pct"/>
            <w:noWrap w:val="0"/>
            <w:vAlign w:val="center"/>
          </w:tcPr>
          <w:p w14:paraId="609C3625">
            <w:pPr>
              <w:pStyle w:val="24"/>
              <w:bidi w:val="0"/>
              <w:rPr>
                <w:rFonts w:hint="eastAsia"/>
                <w:color w:val="auto"/>
              </w:rPr>
            </w:pPr>
            <w:r>
              <w:rPr>
                <w:rFonts w:hint="eastAsia"/>
                <w:color w:val="auto"/>
              </w:rPr>
              <w:t>《建筑设计防火规范[2018版]》</w:t>
            </w:r>
          </w:p>
          <w:p w14:paraId="7C9FDE10">
            <w:pPr>
              <w:pStyle w:val="24"/>
              <w:bidi w:val="0"/>
              <w:rPr>
                <w:rFonts w:hint="eastAsia"/>
                <w:color w:val="auto"/>
                <w:lang w:eastAsia="zh-CN"/>
              </w:rPr>
            </w:pPr>
            <w:r>
              <w:rPr>
                <w:rFonts w:hint="eastAsia"/>
                <w:color w:val="auto"/>
              </w:rPr>
              <w:t>（GB50016-2014），第3.4.1条</w:t>
            </w:r>
          </w:p>
        </w:tc>
      </w:tr>
    </w:tbl>
    <w:p w14:paraId="610AE937">
      <w:pPr>
        <w:pStyle w:val="4"/>
        <w:bidi w:val="0"/>
        <w:rPr>
          <w:color w:val="auto"/>
        </w:rPr>
      </w:pPr>
      <w:bookmarkStart w:id="74" w:name="_Toc12259"/>
      <w:r>
        <w:rPr>
          <w:rFonts w:hint="eastAsia"/>
          <w:color w:val="auto"/>
        </w:rPr>
        <w:t>2.2.3 气象条件</w:t>
      </w:r>
      <w:bookmarkEnd w:id="74"/>
    </w:p>
    <w:p w14:paraId="48C25642">
      <w:pPr>
        <w:bidi w:val="0"/>
        <w:rPr>
          <w:color w:val="auto"/>
        </w:rPr>
      </w:pPr>
      <w:r>
        <w:rPr>
          <w:rFonts w:hint="eastAsia"/>
          <w:color w:val="auto"/>
        </w:rPr>
        <w:t>本项目所在地为北亚热带季风气候区，年平均气温15.6℃，最热月平均气温21.1℃，最冷月平均气温7.8℃，活动积温4844.7℃。日照时数2317.6h，日照率52%。年平均降水量964.9mm，5—10月为雨季，降水量占全年的90.7%。全年蒸发量为1333.35mm（D80cm），无霜期234天，多西南风。由于地形起伏较大，气候垂直变化亦较明显。植被为常绿阔叶林、落叶阔叶林和云南松林。</w:t>
      </w:r>
    </w:p>
    <w:p w14:paraId="01E34025">
      <w:pPr>
        <w:pStyle w:val="4"/>
        <w:bidi w:val="0"/>
        <w:rPr>
          <w:color w:val="auto"/>
        </w:rPr>
      </w:pPr>
      <w:bookmarkStart w:id="75" w:name="_Toc23968"/>
      <w:r>
        <w:rPr>
          <w:rFonts w:hint="eastAsia"/>
          <w:color w:val="auto"/>
        </w:rPr>
        <w:t>2.2.4 地形地貌</w:t>
      </w:r>
      <w:bookmarkEnd w:id="75"/>
    </w:p>
    <w:p w14:paraId="5911AC7B">
      <w:pPr>
        <w:bidi w:val="0"/>
        <w:rPr>
          <w:rFonts w:hint="eastAsia"/>
          <w:color w:val="auto"/>
        </w:rPr>
      </w:pPr>
      <w:r>
        <w:rPr>
          <w:rFonts w:hint="eastAsia"/>
          <w:color w:val="auto"/>
        </w:rPr>
        <w:t>寻甸县位于滇东高原中部，地势西北高、东南低，呈向东南倾斜阶梯状，以走向北东～南西或近南北向的乌蒙山、梁王山、小海梁子等山脉为主，中间夹着长珑岗山地，从而形成金所、羊街和寻甸三个不同类型的低山丘陵盆地这地形特征。西北部分为山岭高地，羊场山、马鞍山、凤龙山组成的山岭和狭谷，山岭高程2500m，谷低高程2070m。东南部分为低山低山丘陵区，山岭多呈圆凸状，标高2080-2250m，而中间部分受构造断裂和剥蚀控制，形成该区由西向东阶梯状下降之地貌景观。县内大部分地区在海拔1800~2600m之间，最高点在金源与东川市交界的(花石头)巨龙梁子，主峰海拔3294.8m，金源河谷的小树棵最低，海拔1445m，县内最大高差1849.8m。全县呈现出山原峡谷交替，逶迤连绵的宏伟地貌景观。全县有金所盆地、羊街盆地和寻甸盆地三个。牛栏江的出口是该区最低侵蚀基准面，标高1860m。</w:t>
      </w:r>
    </w:p>
    <w:p w14:paraId="74058DE9">
      <w:pPr>
        <w:bidi w:val="0"/>
        <w:rPr>
          <w:rFonts w:hint="eastAsia"/>
          <w:color w:val="auto"/>
        </w:rPr>
      </w:pPr>
      <w:r>
        <w:rPr>
          <w:rFonts w:hint="eastAsia"/>
          <w:color w:val="auto"/>
        </w:rPr>
        <w:t>全县的地貌类型有构造侵蚀地貌、构造侵蚀、溶蚀地貌、湖泊堆积地貌等。</w:t>
      </w:r>
    </w:p>
    <w:p w14:paraId="363FE34E">
      <w:pPr>
        <w:bidi w:val="0"/>
        <w:rPr>
          <w:rFonts w:hint="eastAsia"/>
          <w:color w:val="auto"/>
        </w:rPr>
      </w:pPr>
      <w:r>
        <w:rPr>
          <w:rFonts w:hint="eastAsia"/>
          <w:color w:val="auto"/>
        </w:rPr>
        <w:t>柯渡镇地处低河谷槽区，地势西高东低；主要山脉有白鲁山、大黑山、乌龙山等；境内最高峰大黑山位于木刻行政村，海拔2964.8m；最低点其纳海位于猴街行政村，海拔1740m；境内有高山、河谷和盆地，境内地形起伏多变，山区、半山区面积占总面积的85%。</w:t>
      </w:r>
    </w:p>
    <w:p w14:paraId="4A3C440B">
      <w:pPr>
        <w:bidi w:val="0"/>
        <w:rPr>
          <w:rFonts w:hint="eastAsia"/>
          <w:color w:val="auto"/>
        </w:rPr>
      </w:pPr>
      <w:r>
        <w:rPr>
          <w:rFonts w:hint="eastAsia"/>
          <w:color w:val="auto"/>
        </w:rPr>
        <w:t>压滤车间：现状场地内主要为林地、荒地及草地等。场地四周环山，属于构造剥蚀和溶蚀浅切割低中山缓坡地貌，最低垭口位于场地东北侧，勘察范围最高标高为1966.25m，最低标高为1954.52m，高差约11.73m，场区局部地段较陡峭。</w:t>
      </w:r>
    </w:p>
    <w:p w14:paraId="79800A86">
      <w:pPr>
        <w:bidi w:val="0"/>
        <w:rPr>
          <w:rFonts w:hint="eastAsia"/>
          <w:color w:val="auto"/>
        </w:rPr>
      </w:pPr>
      <w:r>
        <w:rPr>
          <w:rFonts w:hint="eastAsia"/>
          <w:color w:val="auto"/>
        </w:rPr>
        <w:t>输送管线：该区域地貌属溶丘洼地型和构造侵蚀中山型地貌，现状多为林地，植被较为茂密，场区地形切割强烈，起伏较大。场区总体地势北高南低，最高点位于北侧压滤区，海拔标高1966m，最低处位于南西部木板河，河面标高1726m，相对高差240m。区内山坡自然坡度一般19～38°，部分山脊平缓段地形坡度小于10°，场地地形起伏较大，实测钻孔高程介于1961.25～1726.04m之间，高差约235.21m。</w:t>
      </w:r>
    </w:p>
    <w:p w14:paraId="3D4D0A78">
      <w:pPr>
        <w:bidi w:val="0"/>
        <w:rPr>
          <w:color w:val="auto"/>
        </w:rPr>
      </w:pPr>
      <w:r>
        <w:rPr>
          <w:rFonts w:hint="eastAsia"/>
          <w:color w:val="auto"/>
        </w:rPr>
        <w:t>浓缩车间：该区域处于半山区，属于中低山山麓斜坡地貌，原始地形为坡地，现状多为荒地，植被较为茂密，场地地形起伏不大，实测钻孔高程介于1880.21～1800.76m之间，高差约0.55m。</w:t>
      </w:r>
    </w:p>
    <w:p w14:paraId="4AEA71E0">
      <w:pPr>
        <w:pStyle w:val="4"/>
        <w:bidi w:val="0"/>
        <w:rPr>
          <w:color w:val="auto"/>
        </w:rPr>
      </w:pPr>
      <w:bookmarkStart w:id="76" w:name="_Toc25405"/>
      <w:r>
        <w:rPr>
          <w:rFonts w:hint="eastAsia"/>
          <w:color w:val="auto"/>
        </w:rPr>
        <w:t>2.2.5 水文</w:t>
      </w:r>
      <w:bookmarkEnd w:id="76"/>
    </w:p>
    <w:p w14:paraId="1AD5EB29">
      <w:pPr>
        <w:bidi w:val="0"/>
        <w:rPr>
          <w:rFonts w:hint="eastAsia" w:eastAsia="宋体"/>
          <w:color w:val="auto"/>
          <w:lang w:eastAsia="zh-CN"/>
        </w:rPr>
      </w:pPr>
      <w:r>
        <w:rPr>
          <w:rFonts w:hint="eastAsia"/>
          <w:color w:val="auto"/>
        </w:rPr>
        <w:t>寻甸回族彝族自治县境内受小海梁子等山脉的切割由东至西形成牛栏江、小江、普渡河3大干流共20余条支流和1个天然湖泊（清水海）</w:t>
      </w:r>
      <w:r>
        <w:rPr>
          <w:rFonts w:hint="eastAsia"/>
          <w:color w:val="auto"/>
          <w:lang w:eastAsia="zh-CN"/>
        </w:rPr>
        <w:t>。</w:t>
      </w:r>
    </w:p>
    <w:p w14:paraId="650603A3">
      <w:pPr>
        <w:pStyle w:val="4"/>
        <w:bidi w:val="0"/>
        <w:rPr>
          <w:color w:val="auto"/>
        </w:rPr>
      </w:pPr>
      <w:bookmarkStart w:id="77" w:name="_Toc15452"/>
      <w:r>
        <w:rPr>
          <w:rFonts w:hint="eastAsia"/>
          <w:color w:val="auto"/>
        </w:rPr>
        <w:t>2.2.6 地震</w:t>
      </w:r>
      <w:bookmarkEnd w:id="77"/>
    </w:p>
    <w:p w14:paraId="4F5C5BD0">
      <w:pPr>
        <w:bidi w:val="0"/>
        <w:rPr>
          <w:color w:val="auto"/>
        </w:rPr>
      </w:pPr>
      <w:r>
        <w:rPr>
          <w:rFonts w:hint="eastAsia"/>
          <w:color w:val="auto"/>
        </w:rPr>
        <w:t>项目区无地震记载，而昆明及周边地区为地震多发区之一。根据史料记载，昆明地区历史上共记有4.75级以上的破坏性地震23次，其中6级以上强震均发生于场区东部的小江断裂带，即1500年宜良南≥7级、1725年嵩明～宜良6.75级、1750年澄江6.25级，以及最大的1833年嵩明～宜良8级地震。</w:t>
      </w:r>
    </w:p>
    <w:p w14:paraId="6BF2E789">
      <w:pPr>
        <w:bidi w:val="0"/>
        <w:rPr>
          <w:color w:val="auto"/>
        </w:rPr>
      </w:pPr>
      <w:r>
        <w:rPr>
          <w:rFonts w:hint="eastAsia"/>
          <w:color w:val="auto"/>
        </w:rPr>
        <w:t>根据《中国地震动参数区划图》（GB 18306-2015）及《建筑抗震设计规范》（GB50011-2010 20</w:t>
      </w:r>
      <w:r>
        <w:rPr>
          <w:rFonts w:hint="eastAsia"/>
          <w:color w:val="auto"/>
          <w:lang w:val="en-US" w:eastAsia="zh-CN"/>
        </w:rPr>
        <w:t>24</w:t>
      </w:r>
      <w:r>
        <w:rPr>
          <w:rFonts w:hint="eastAsia"/>
          <w:color w:val="auto"/>
        </w:rPr>
        <w:t>年版）第3.2.4条及附录A规定，拟建场地所在的寻甸回族彝族自治县柯渡镇，地震分组为第三组，其抗震设防烈度为8度，基本加速度为0.20g，反应谱特征周期为0.45s，结构设计应据此设防。</w:t>
      </w:r>
    </w:p>
    <w:p w14:paraId="1439EABF">
      <w:pPr>
        <w:pStyle w:val="3"/>
        <w:bidi w:val="0"/>
        <w:rPr>
          <w:rFonts w:hint="eastAsia"/>
          <w:color w:val="auto"/>
        </w:rPr>
      </w:pPr>
      <w:bookmarkStart w:id="78" w:name="_Toc28616"/>
      <w:r>
        <w:rPr>
          <w:rFonts w:hint="eastAsia"/>
          <w:color w:val="auto"/>
        </w:rPr>
        <w:t>2.</w:t>
      </w:r>
      <w:r>
        <w:rPr>
          <w:rFonts w:hint="eastAsia"/>
          <w:color w:val="auto"/>
          <w:lang w:val="en-US" w:eastAsia="zh-CN"/>
        </w:rPr>
        <w:t xml:space="preserve">3 </w:t>
      </w:r>
      <w:r>
        <w:rPr>
          <w:rFonts w:hint="eastAsia"/>
          <w:color w:val="auto"/>
        </w:rPr>
        <w:t>场区地质情况</w:t>
      </w:r>
      <w:bookmarkEnd w:id="78"/>
    </w:p>
    <w:p w14:paraId="6D6ED2D7">
      <w:pPr>
        <w:bidi w:val="0"/>
        <w:rPr>
          <w:rFonts w:hint="eastAsia" w:eastAsia="宋体"/>
          <w:color w:val="auto"/>
          <w:lang w:eastAsia="zh-CN"/>
        </w:rPr>
      </w:pPr>
      <w:r>
        <w:rPr>
          <w:rFonts w:hint="eastAsia"/>
          <w:color w:val="auto"/>
        </w:rPr>
        <w:t>寻甸金林钛矿有限公司</w:t>
      </w:r>
      <w:r>
        <w:rPr>
          <w:rFonts w:hint="eastAsia"/>
          <w:color w:val="auto"/>
          <w:lang w:val="en-US" w:eastAsia="zh-CN"/>
        </w:rPr>
        <w:t>于</w:t>
      </w:r>
      <w:r>
        <w:rPr>
          <w:rFonts w:hint="eastAsia"/>
          <w:color w:val="auto"/>
        </w:rPr>
        <w:t>2023年02月</w:t>
      </w:r>
      <w:r>
        <w:rPr>
          <w:rFonts w:hint="eastAsia"/>
          <w:color w:val="auto"/>
          <w:lang w:val="en-US" w:eastAsia="zh-CN"/>
        </w:rPr>
        <w:t>委托</w:t>
      </w:r>
      <w:r>
        <w:rPr>
          <w:rFonts w:hint="eastAsia"/>
          <w:color w:val="auto"/>
        </w:rPr>
        <w:t>云南省曲靖市设计研究院有限责任公司</w:t>
      </w:r>
      <w:r>
        <w:rPr>
          <w:rFonts w:hint="eastAsia"/>
          <w:color w:val="auto"/>
          <w:lang w:val="en-US" w:eastAsia="zh-CN"/>
        </w:rPr>
        <w:t>编制了</w:t>
      </w:r>
      <w:r>
        <w:rPr>
          <w:rFonts w:hint="eastAsia"/>
          <w:color w:val="auto"/>
        </w:rPr>
        <w:t>《浓密机基础岩土工程详细勘察报告》</w:t>
      </w:r>
      <w:r>
        <w:rPr>
          <w:rFonts w:hint="eastAsia"/>
          <w:color w:val="auto"/>
          <w:lang w:eastAsia="zh-CN"/>
        </w:rPr>
        <w:t>，</w:t>
      </w:r>
      <w:r>
        <w:rPr>
          <w:rFonts w:hint="eastAsia"/>
          <w:color w:val="auto"/>
          <w:lang w:val="en-US" w:eastAsia="zh-CN"/>
        </w:rPr>
        <w:t>于</w:t>
      </w:r>
      <w:r>
        <w:rPr>
          <w:rFonts w:hint="eastAsia"/>
          <w:color w:val="auto"/>
        </w:rPr>
        <w:t>2024年03月</w:t>
      </w:r>
      <w:r>
        <w:rPr>
          <w:rFonts w:hint="eastAsia"/>
          <w:color w:val="auto"/>
          <w:lang w:val="en-US" w:eastAsia="zh-CN"/>
        </w:rPr>
        <w:t>委托</w:t>
      </w:r>
      <w:r>
        <w:rPr>
          <w:rFonts w:hint="eastAsia"/>
          <w:color w:val="auto"/>
        </w:rPr>
        <w:t>云南省曲靖市设计研究院有限责任公司</w:t>
      </w:r>
      <w:r>
        <w:rPr>
          <w:rFonts w:hint="eastAsia"/>
          <w:color w:val="auto"/>
          <w:lang w:val="en-US" w:eastAsia="zh-CN"/>
        </w:rPr>
        <w:t>编制了</w:t>
      </w:r>
      <w:r>
        <w:rPr>
          <w:rFonts w:hint="eastAsia"/>
          <w:color w:val="auto"/>
        </w:rPr>
        <w:t>《寻甸金林钛矿有限公司尾矿处理技改升级建设项目详细勘察报告》</w:t>
      </w:r>
      <w:r>
        <w:rPr>
          <w:rFonts w:hint="eastAsia"/>
          <w:color w:val="auto"/>
          <w:lang w:eastAsia="zh-CN"/>
        </w:rPr>
        <w:t>。</w:t>
      </w:r>
    </w:p>
    <w:p w14:paraId="79566D33">
      <w:pPr>
        <w:pStyle w:val="4"/>
        <w:bidi w:val="0"/>
        <w:rPr>
          <w:rFonts w:hint="eastAsia"/>
          <w:color w:val="auto"/>
        </w:rPr>
      </w:pPr>
      <w:bookmarkStart w:id="79" w:name="_Toc25368"/>
      <w:r>
        <w:rPr>
          <w:rFonts w:hint="eastAsia"/>
          <w:color w:val="auto"/>
        </w:rPr>
        <w:t>2.</w:t>
      </w:r>
      <w:r>
        <w:rPr>
          <w:rFonts w:hint="eastAsia"/>
          <w:color w:val="auto"/>
          <w:lang w:val="en-US" w:eastAsia="zh-CN"/>
        </w:rPr>
        <w:t>3</w:t>
      </w:r>
      <w:r>
        <w:rPr>
          <w:rFonts w:hint="eastAsia"/>
          <w:color w:val="auto"/>
        </w:rPr>
        <w:t>.1</w:t>
      </w:r>
      <w:r>
        <w:rPr>
          <w:rFonts w:hint="eastAsia"/>
          <w:color w:val="auto"/>
          <w:lang w:val="en-US" w:eastAsia="zh-CN"/>
        </w:rPr>
        <w:t xml:space="preserve"> </w:t>
      </w:r>
      <w:r>
        <w:rPr>
          <w:rFonts w:hint="eastAsia"/>
          <w:color w:val="auto"/>
        </w:rPr>
        <w:t>地质构造</w:t>
      </w:r>
      <w:bookmarkEnd w:id="79"/>
    </w:p>
    <w:p w14:paraId="02E1F8C5">
      <w:pPr>
        <w:bidi w:val="0"/>
        <w:rPr>
          <w:rFonts w:hint="eastAsia"/>
          <w:color w:val="auto"/>
        </w:rPr>
      </w:pPr>
      <w:r>
        <w:rPr>
          <w:rFonts w:hint="eastAsia"/>
          <w:color w:val="auto"/>
        </w:rPr>
        <w:t>根据云南省山地城镇岩土工程导则（试行）附图《云南省第四纪活动断裂分布图》，场地西部约3.75km有北东向的马街断裂（F147）通过，该断裂为早-中更新世活动断裂；场地西部约13.1 km有近南北向的普渡河断裂（F54）通过，该断裂为早-中更新世断裂；场地南部约14.6 km有北东向的梨花海断裂（F148）通过，该断裂为早-中更新世活动断裂；场地东北部约14.6 km有南北向的小江西支主干断裂（F7）通过，该断裂为全新世活动断裂。</w:t>
      </w:r>
    </w:p>
    <w:p w14:paraId="5C2A89ED">
      <w:pPr>
        <w:bidi w:val="0"/>
        <w:rPr>
          <w:color w:val="auto"/>
        </w:rPr>
      </w:pPr>
      <w:r>
        <w:rPr>
          <w:rFonts w:hint="eastAsia"/>
          <w:color w:val="auto"/>
        </w:rPr>
        <w:t>场地10km范围内无全新世活动断裂通过，工程场区周边10km范围内亦无发震断裂分布（详见图2</w:t>
      </w:r>
      <w:r>
        <w:rPr>
          <w:rFonts w:hint="eastAsia"/>
          <w:color w:val="auto"/>
          <w:lang w:val="en-US" w:eastAsia="zh-CN"/>
        </w:rPr>
        <w:t>.</w:t>
      </w:r>
      <w:r>
        <w:rPr>
          <w:rFonts w:hint="eastAsia"/>
          <w:color w:val="auto"/>
        </w:rPr>
        <w:t>3</w:t>
      </w:r>
      <w:r>
        <w:rPr>
          <w:rFonts w:hint="eastAsia"/>
          <w:color w:val="auto"/>
          <w:lang w:val="en-US" w:eastAsia="zh-CN"/>
        </w:rPr>
        <w:t>-1</w:t>
      </w:r>
      <w:r>
        <w:rPr>
          <w:rFonts w:hint="eastAsia"/>
          <w:color w:val="auto"/>
        </w:rPr>
        <w:t>：云南省活动断裂分布图[截图]）。</w:t>
      </w:r>
    </w:p>
    <w:p w14:paraId="10655163">
      <w:pPr>
        <w:bidi w:val="0"/>
        <w:ind w:left="0" w:leftChars="0" w:right="0" w:rightChars="0" w:firstLine="0" w:firstLineChars="0"/>
        <w:jc w:val="center"/>
        <w:rPr>
          <w:rFonts w:hint="default" w:eastAsia="宋体"/>
          <w:color w:val="auto"/>
          <w:lang w:val="en-US" w:eastAsia="zh-CN"/>
        </w:rPr>
      </w:pPr>
      <w:r>
        <w:rPr>
          <w:rFonts w:hint="eastAsia"/>
          <w:color w:val="auto"/>
          <w:lang w:val="en-US" w:eastAsia="zh-CN"/>
        </w:rPr>
        <w:t>**********</w:t>
      </w:r>
      <w:bookmarkStart w:id="215" w:name="_GoBack"/>
      <w:bookmarkEnd w:id="215"/>
    </w:p>
    <w:p w14:paraId="2A3FACC3">
      <w:pPr>
        <w:pStyle w:val="23"/>
        <w:bidi w:val="0"/>
        <w:rPr>
          <w:color w:val="auto"/>
        </w:rPr>
      </w:pPr>
      <w:r>
        <w:rPr>
          <w:rFonts w:hint="eastAsia"/>
          <w:color w:val="auto"/>
        </w:rPr>
        <w:t>图2</w:t>
      </w:r>
      <w:r>
        <w:rPr>
          <w:rFonts w:hint="eastAsia"/>
          <w:color w:val="auto"/>
          <w:lang w:val="en-US" w:eastAsia="zh-CN"/>
        </w:rPr>
        <w:t>.3</w:t>
      </w:r>
      <w:r>
        <w:rPr>
          <w:rFonts w:hint="eastAsia"/>
          <w:color w:val="auto"/>
        </w:rPr>
        <w:t>-</w:t>
      </w:r>
      <w:r>
        <w:rPr>
          <w:rFonts w:hint="eastAsia"/>
          <w:color w:val="auto"/>
          <w:lang w:val="en-US" w:eastAsia="zh-CN"/>
        </w:rPr>
        <w:t>1</w:t>
      </w:r>
      <w:r>
        <w:rPr>
          <w:rFonts w:hint="eastAsia"/>
          <w:color w:val="auto"/>
        </w:rPr>
        <w:t xml:space="preserve">  云南第四纪活动断裂分布图（截图）</w:t>
      </w:r>
    </w:p>
    <w:p w14:paraId="1C4EF96E">
      <w:pPr>
        <w:pStyle w:val="4"/>
        <w:bidi w:val="0"/>
        <w:rPr>
          <w:rFonts w:hint="eastAsia"/>
          <w:color w:val="auto"/>
        </w:rPr>
      </w:pPr>
      <w:bookmarkStart w:id="80" w:name="_Toc17057"/>
      <w:r>
        <w:rPr>
          <w:rFonts w:hint="eastAsia"/>
          <w:color w:val="auto"/>
        </w:rPr>
        <w:t>2.</w:t>
      </w:r>
      <w:r>
        <w:rPr>
          <w:rFonts w:hint="eastAsia"/>
          <w:color w:val="auto"/>
          <w:lang w:val="en-US" w:eastAsia="zh-CN"/>
        </w:rPr>
        <w:t>3</w:t>
      </w:r>
      <w:r>
        <w:rPr>
          <w:rFonts w:hint="eastAsia"/>
          <w:color w:val="auto"/>
        </w:rPr>
        <w:t>.</w:t>
      </w:r>
      <w:r>
        <w:rPr>
          <w:rFonts w:hint="eastAsia"/>
          <w:color w:val="auto"/>
          <w:lang w:val="en-US" w:eastAsia="zh-CN"/>
        </w:rPr>
        <w:t xml:space="preserve">2 </w:t>
      </w:r>
      <w:r>
        <w:rPr>
          <w:rFonts w:hint="eastAsia"/>
          <w:color w:val="auto"/>
        </w:rPr>
        <w:t>不良地质作用</w:t>
      </w:r>
      <w:bookmarkEnd w:id="80"/>
    </w:p>
    <w:p w14:paraId="4F6C21BB">
      <w:pPr>
        <w:bidi w:val="0"/>
        <w:rPr>
          <w:rFonts w:hint="eastAsia"/>
          <w:color w:val="auto"/>
        </w:rPr>
      </w:pPr>
      <w:r>
        <w:rPr>
          <w:rFonts w:hint="eastAsia"/>
          <w:color w:val="auto"/>
        </w:rPr>
        <w:t>根据</w:t>
      </w:r>
      <w:r>
        <w:rPr>
          <w:rFonts w:hint="eastAsia"/>
          <w:color w:val="auto"/>
          <w:lang w:val="en-US" w:eastAsia="zh-CN"/>
        </w:rPr>
        <w:t>勘察报告和现场勘验</w:t>
      </w:r>
      <w:r>
        <w:rPr>
          <w:rFonts w:hint="eastAsia"/>
          <w:color w:val="auto"/>
        </w:rPr>
        <w:t>，场地及其周围未发现有暗埋的塘、浜、土洞、地裂缝等其它不良地质现象，场地及其附近也无滑坡、崩塌、泥石流等危及建筑物安全的地质灾害。</w:t>
      </w:r>
    </w:p>
    <w:p w14:paraId="43713E51">
      <w:pPr>
        <w:pStyle w:val="3"/>
        <w:bidi w:val="0"/>
        <w:rPr>
          <w:rFonts w:hint="eastAsia"/>
          <w:color w:val="auto"/>
        </w:rPr>
      </w:pPr>
      <w:bookmarkStart w:id="81" w:name="_Toc4366"/>
      <w:r>
        <w:rPr>
          <w:rFonts w:hint="eastAsia"/>
          <w:color w:val="auto"/>
        </w:rPr>
        <w:t>2.</w:t>
      </w:r>
      <w:r>
        <w:rPr>
          <w:rFonts w:hint="eastAsia"/>
          <w:color w:val="auto"/>
          <w:lang w:val="en-US" w:eastAsia="zh-CN"/>
        </w:rPr>
        <w:t xml:space="preserve">4 </w:t>
      </w:r>
      <w:r>
        <w:rPr>
          <w:rFonts w:hint="eastAsia"/>
          <w:color w:val="auto"/>
        </w:rPr>
        <w:t>选矿厂基本情况</w:t>
      </w:r>
      <w:bookmarkEnd w:id="81"/>
    </w:p>
    <w:p w14:paraId="28AF7AD5">
      <w:pPr>
        <w:bidi w:val="0"/>
        <w:rPr>
          <w:color w:val="auto"/>
        </w:rPr>
      </w:pPr>
      <w:r>
        <w:rPr>
          <w:rFonts w:hint="eastAsia"/>
          <w:color w:val="auto"/>
        </w:rPr>
        <w:t>寻甸金林钛矿有限公司5万吨/年钛铁砂矿选矿厂初步设计及安全设施设计由昆明理工大学于2021年5月完成，并于2021年6月15日通过由昆明应急管理局组织的专家评审。选矿厂处理原矿规模为5万吨/年，工作制度为200天/年（由于项目处于严重的缺水地区，枯水季节不生产）。原矿通过两段阶段磨矿，阶段重选、阶段磁选得到合格钛精矿、铁精矿，尾矿进入尾矿库堆存。尾矿库位于选矿厂下游300m处，尾矿库堆高至标高1780.0m时，最大坝高35.0 m（含清基深）</w:t>
      </w:r>
      <w:r>
        <w:rPr>
          <w:rFonts w:hint="eastAsia"/>
          <w:color w:val="auto"/>
          <w:lang w:eastAsia="zh-CN"/>
        </w:rPr>
        <w:t>，</w:t>
      </w:r>
      <w:r>
        <w:rPr>
          <w:rFonts w:hint="eastAsia"/>
          <w:color w:val="auto"/>
        </w:rPr>
        <w:t>有效库容量约65.13万m</w:t>
      </w:r>
      <w:r>
        <w:rPr>
          <w:rFonts w:hint="eastAsia"/>
          <w:color w:val="auto"/>
          <w:vertAlign w:val="superscript"/>
        </w:rPr>
        <w:t>3</w:t>
      </w:r>
      <w:r>
        <w:rPr>
          <w:rFonts w:hint="eastAsia"/>
          <w:color w:val="auto"/>
        </w:rPr>
        <w:t>，为四等库。目前尾矿库快接近设计标高，为了延长尾矿库服务年限，需解决尾矿堆放问题，寻甸金林钛矿有限公司尾矿处理技改升级建设项目即通过把选厂生产的尾矿通过浓缩压滤，得到干尾矿销售给寻甸沃康蔬菜种植有限公司进行土壤化，土壤化后进行土地整治复垦。</w:t>
      </w:r>
    </w:p>
    <w:p w14:paraId="0924FAB6">
      <w:pPr>
        <w:pStyle w:val="3"/>
        <w:bidi w:val="0"/>
        <w:rPr>
          <w:color w:val="auto"/>
        </w:rPr>
      </w:pPr>
      <w:bookmarkStart w:id="82" w:name="_Toc21084"/>
      <w:r>
        <w:rPr>
          <w:rFonts w:hint="eastAsia"/>
          <w:color w:val="auto"/>
          <w:lang w:val="en-US" w:eastAsia="zh-CN"/>
        </w:rPr>
        <w:t xml:space="preserve">2.5 </w:t>
      </w:r>
      <w:r>
        <w:rPr>
          <w:rFonts w:hint="eastAsia"/>
          <w:color w:val="auto"/>
        </w:rPr>
        <w:t>建设项目概况</w:t>
      </w:r>
      <w:bookmarkEnd w:id="82"/>
    </w:p>
    <w:p w14:paraId="33F379AF">
      <w:pPr>
        <w:pStyle w:val="4"/>
        <w:bidi w:val="0"/>
        <w:rPr>
          <w:rFonts w:hint="eastAsia"/>
          <w:color w:val="auto"/>
        </w:rPr>
      </w:pPr>
      <w:bookmarkStart w:id="83" w:name="_Toc28068"/>
      <w:r>
        <w:rPr>
          <w:rFonts w:hint="eastAsia"/>
          <w:color w:val="auto"/>
        </w:rPr>
        <w:t>2.</w:t>
      </w:r>
      <w:r>
        <w:rPr>
          <w:rFonts w:hint="eastAsia"/>
          <w:color w:val="auto"/>
          <w:lang w:val="en-US" w:eastAsia="zh-CN"/>
        </w:rPr>
        <w:t>5</w:t>
      </w:r>
      <w:r>
        <w:rPr>
          <w:rFonts w:hint="eastAsia"/>
          <w:color w:val="auto"/>
        </w:rPr>
        <w:t>.</w:t>
      </w:r>
      <w:r>
        <w:rPr>
          <w:rFonts w:hint="eastAsia"/>
          <w:color w:val="auto"/>
          <w:lang w:val="en-US" w:eastAsia="zh-CN"/>
        </w:rPr>
        <w:t xml:space="preserve">1 </w:t>
      </w:r>
      <w:r>
        <w:rPr>
          <w:rFonts w:hint="eastAsia"/>
          <w:color w:val="auto"/>
        </w:rPr>
        <w:t>规模、指标及工作制度</w:t>
      </w:r>
      <w:bookmarkEnd w:id="83"/>
    </w:p>
    <w:p w14:paraId="7994BFC4">
      <w:pPr>
        <w:bidi w:val="0"/>
        <w:rPr>
          <w:rFonts w:hint="eastAsia"/>
          <w:color w:val="auto"/>
        </w:rPr>
      </w:pPr>
      <w:r>
        <w:rPr>
          <w:rFonts w:hint="eastAsia"/>
          <w:color w:val="auto"/>
        </w:rPr>
        <w:t>1、规模及指标</w:t>
      </w:r>
    </w:p>
    <w:p w14:paraId="2225AB58">
      <w:pPr>
        <w:bidi w:val="0"/>
        <w:rPr>
          <w:rFonts w:hint="eastAsia"/>
          <w:color w:val="auto"/>
        </w:rPr>
      </w:pPr>
      <w:r>
        <w:rPr>
          <w:rFonts w:hint="eastAsia"/>
          <w:color w:val="auto"/>
        </w:rPr>
        <w:t>（1）尾矿来源：自有选矿厂生产的尾矿。</w:t>
      </w:r>
    </w:p>
    <w:p w14:paraId="5E312725">
      <w:pPr>
        <w:bidi w:val="0"/>
        <w:rPr>
          <w:rFonts w:hint="eastAsia"/>
          <w:color w:val="auto"/>
        </w:rPr>
      </w:pPr>
      <w:r>
        <w:rPr>
          <w:rFonts w:hint="eastAsia"/>
          <w:color w:val="auto"/>
        </w:rPr>
        <w:t>（2）规模：建设规模为年处理尾矿20万t，年工作天数200天，每天处理尾矿1000t。</w:t>
      </w:r>
    </w:p>
    <w:p w14:paraId="405C9865">
      <w:pPr>
        <w:bidi w:val="0"/>
        <w:rPr>
          <w:rFonts w:hint="eastAsia"/>
          <w:color w:val="auto"/>
        </w:rPr>
      </w:pPr>
      <w:r>
        <w:rPr>
          <w:rFonts w:hint="eastAsia"/>
          <w:color w:val="auto"/>
        </w:rPr>
        <w:t>（3）产品方案：尾矿通过浓缩、压滤脱水后，尾矿含水分不大于20%。</w:t>
      </w:r>
    </w:p>
    <w:p w14:paraId="79D863ED">
      <w:pPr>
        <w:bidi w:val="0"/>
        <w:rPr>
          <w:rFonts w:hint="eastAsia"/>
          <w:color w:val="auto"/>
        </w:rPr>
      </w:pPr>
      <w:r>
        <w:rPr>
          <w:rFonts w:hint="eastAsia"/>
          <w:color w:val="auto"/>
        </w:rPr>
        <w:t>2、生产能力及工作制度</w:t>
      </w:r>
    </w:p>
    <w:p w14:paraId="4E409BEE">
      <w:pPr>
        <w:bidi w:val="0"/>
        <w:rPr>
          <w:rFonts w:hint="eastAsia"/>
          <w:color w:val="auto"/>
        </w:rPr>
      </w:pPr>
      <w:r>
        <w:rPr>
          <w:rFonts w:hint="eastAsia"/>
          <w:color w:val="auto"/>
        </w:rPr>
        <w:t>生产能力和工作制度见表2</w:t>
      </w:r>
      <w:r>
        <w:rPr>
          <w:rFonts w:hint="eastAsia"/>
          <w:color w:val="auto"/>
          <w:lang w:val="en-US" w:eastAsia="zh-CN"/>
        </w:rPr>
        <w:t>.5</w:t>
      </w:r>
      <w:r>
        <w:rPr>
          <w:rFonts w:hint="eastAsia"/>
          <w:color w:val="auto"/>
        </w:rPr>
        <w:t>-</w:t>
      </w:r>
      <w:r>
        <w:rPr>
          <w:rFonts w:hint="eastAsia"/>
          <w:color w:val="auto"/>
          <w:lang w:val="en-US" w:eastAsia="zh-CN"/>
        </w:rPr>
        <w:t>1</w:t>
      </w:r>
      <w:r>
        <w:rPr>
          <w:rFonts w:hint="eastAsia"/>
          <w:color w:val="auto"/>
        </w:rPr>
        <w:t>。</w:t>
      </w:r>
    </w:p>
    <w:p w14:paraId="7B478C33">
      <w:pPr>
        <w:pStyle w:val="23"/>
        <w:bidi w:val="0"/>
        <w:rPr>
          <w:color w:val="auto"/>
        </w:rPr>
      </w:pPr>
      <w:r>
        <w:rPr>
          <w:rFonts w:hint="eastAsia"/>
          <w:color w:val="auto"/>
        </w:rPr>
        <w:t>表2</w:t>
      </w:r>
      <w:r>
        <w:rPr>
          <w:rFonts w:hint="eastAsia"/>
          <w:color w:val="auto"/>
          <w:lang w:val="en-US" w:eastAsia="zh-CN"/>
        </w:rPr>
        <w:t>.5</w:t>
      </w:r>
      <w:r>
        <w:rPr>
          <w:rFonts w:hint="eastAsia"/>
          <w:color w:val="auto"/>
        </w:rPr>
        <w:t>-</w:t>
      </w:r>
      <w:r>
        <w:rPr>
          <w:rFonts w:hint="eastAsia"/>
          <w:color w:val="auto"/>
          <w:lang w:val="en-US" w:eastAsia="zh-CN"/>
        </w:rPr>
        <w:t>1</w:t>
      </w:r>
      <w:r>
        <w:rPr>
          <w:rFonts w:hint="eastAsia"/>
          <w:color w:val="auto"/>
        </w:rPr>
        <w:t xml:space="preserve">  生产能力和工作制度</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5"/>
        <w:gridCol w:w="1062"/>
        <w:gridCol w:w="1356"/>
        <w:gridCol w:w="1527"/>
        <w:gridCol w:w="866"/>
        <w:gridCol w:w="778"/>
        <w:gridCol w:w="746"/>
        <w:gridCol w:w="744"/>
      </w:tblGrid>
      <w:tr w14:paraId="1C97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925" w:type="dxa"/>
            <w:vMerge w:val="restart"/>
            <w:noWrap w:val="0"/>
            <w:vAlign w:val="center"/>
          </w:tcPr>
          <w:p w14:paraId="3FD10443">
            <w:pPr>
              <w:pStyle w:val="24"/>
              <w:bidi w:val="0"/>
              <w:rPr>
                <w:rFonts w:hint="eastAsia"/>
                <w:b/>
                <w:bCs/>
                <w:color w:val="auto"/>
              </w:rPr>
            </w:pPr>
            <w:r>
              <w:rPr>
                <w:rFonts w:hint="eastAsia"/>
                <w:b/>
                <w:bCs/>
                <w:color w:val="auto"/>
              </w:rPr>
              <w:t>名称</w:t>
            </w:r>
          </w:p>
        </w:tc>
        <w:tc>
          <w:tcPr>
            <w:tcW w:w="3945" w:type="dxa"/>
            <w:gridSpan w:val="3"/>
            <w:noWrap w:val="0"/>
            <w:vAlign w:val="center"/>
          </w:tcPr>
          <w:p w14:paraId="49057A1F">
            <w:pPr>
              <w:pStyle w:val="24"/>
              <w:bidi w:val="0"/>
              <w:rPr>
                <w:rFonts w:hint="eastAsia"/>
                <w:b/>
                <w:bCs/>
                <w:color w:val="auto"/>
              </w:rPr>
            </w:pPr>
            <w:r>
              <w:rPr>
                <w:rFonts w:hint="eastAsia"/>
                <w:b/>
                <w:bCs/>
                <w:color w:val="auto"/>
              </w:rPr>
              <w:t>生产能力（吨）</w:t>
            </w:r>
          </w:p>
        </w:tc>
        <w:tc>
          <w:tcPr>
            <w:tcW w:w="3134" w:type="dxa"/>
            <w:gridSpan w:val="4"/>
            <w:noWrap w:val="0"/>
            <w:vAlign w:val="center"/>
          </w:tcPr>
          <w:p w14:paraId="5B38C562">
            <w:pPr>
              <w:pStyle w:val="24"/>
              <w:bidi w:val="0"/>
              <w:rPr>
                <w:rFonts w:hint="eastAsia"/>
                <w:b/>
                <w:bCs/>
                <w:color w:val="auto"/>
              </w:rPr>
            </w:pPr>
            <w:r>
              <w:rPr>
                <w:rFonts w:hint="eastAsia"/>
                <w:b/>
                <w:bCs/>
                <w:color w:val="auto"/>
              </w:rPr>
              <w:t>工作制度</w:t>
            </w:r>
          </w:p>
        </w:tc>
      </w:tr>
      <w:tr w14:paraId="794D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exact"/>
        </w:trPr>
        <w:tc>
          <w:tcPr>
            <w:tcW w:w="1925" w:type="dxa"/>
            <w:vMerge w:val="continue"/>
            <w:noWrap w:val="0"/>
            <w:vAlign w:val="center"/>
          </w:tcPr>
          <w:p w14:paraId="4039DF6B">
            <w:pPr>
              <w:pStyle w:val="24"/>
              <w:bidi w:val="0"/>
              <w:rPr>
                <w:rFonts w:hint="eastAsia"/>
                <w:b/>
                <w:bCs/>
                <w:color w:val="auto"/>
              </w:rPr>
            </w:pPr>
          </w:p>
        </w:tc>
        <w:tc>
          <w:tcPr>
            <w:tcW w:w="1062" w:type="dxa"/>
            <w:noWrap w:val="0"/>
            <w:vAlign w:val="center"/>
          </w:tcPr>
          <w:p w14:paraId="681130F6">
            <w:pPr>
              <w:pStyle w:val="24"/>
              <w:bidi w:val="0"/>
              <w:rPr>
                <w:rFonts w:hint="eastAsia"/>
                <w:b/>
                <w:bCs/>
                <w:color w:val="auto"/>
              </w:rPr>
            </w:pPr>
            <w:r>
              <w:rPr>
                <w:rFonts w:hint="eastAsia"/>
                <w:b/>
                <w:bCs/>
                <w:color w:val="auto"/>
              </w:rPr>
              <w:t>处理量</w:t>
            </w:r>
          </w:p>
          <w:p w14:paraId="1C16D6CE">
            <w:pPr>
              <w:pStyle w:val="24"/>
              <w:bidi w:val="0"/>
              <w:rPr>
                <w:rFonts w:hint="eastAsia"/>
                <w:b/>
                <w:bCs/>
                <w:color w:val="auto"/>
              </w:rPr>
            </w:pPr>
            <w:r>
              <w:rPr>
                <w:rFonts w:hint="eastAsia"/>
                <w:b/>
                <w:bCs/>
                <w:color w:val="auto"/>
              </w:rPr>
              <w:t>（吨/天）</w:t>
            </w:r>
          </w:p>
        </w:tc>
        <w:tc>
          <w:tcPr>
            <w:tcW w:w="1356" w:type="dxa"/>
            <w:noWrap w:val="0"/>
            <w:vAlign w:val="center"/>
          </w:tcPr>
          <w:p w14:paraId="300EBEE6">
            <w:pPr>
              <w:pStyle w:val="24"/>
              <w:bidi w:val="0"/>
              <w:rPr>
                <w:rFonts w:hint="eastAsia"/>
                <w:b/>
                <w:bCs/>
                <w:color w:val="auto"/>
              </w:rPr>
            </w:pPr>
            <w:r>
              <w:rPr>
                <w:rFonts w:hint="eastAsia"/>
                <w:b/>
                <w:bCs/>
                <w:color w:val="auto"/>
              </w:rPr>
              <w:t>处理量</w:t>
            </w:r>
          </w:p>
          <w:p w14:paraId="7DBE9688">
            <w:pPr>
              <w:pStyle w:val="24"/>
              <w:bidi w:val="0"/>
              <w:rPr>
                <w:rFonts w:hint="eastAsia"/>
                <w:b/>
                <w:bCs/>
                <w:color w:val="auto"/>
              </w:rPr>
            </w:pPr>
            <w:r>
              <w:rPr>
                <w:rFonts w:hint="eastAsia"/>
                <w:b/>
                <w:bCs/>
                <w:color w:val="auto"/>
              </w:rPr>
              <w:t>（吨/小时）</w:t>
            </w:r>
          </w:p>
        </w:tc>
        <w:tc>
          <w:tcPr>
            <w:tcW w:w="1527" w:type="dxa"/>
            <w:noWrap w:val="0"/>
            <w:vAlign w:val="center"/>
          </w:tcPr>
          <w:p w14:paraId="02FCFCDE">
            <w:pPr>
              <w:pStyle w:val="24"/>
              <w:bidi w:val="0"/>
              <w:rPr>
                <w:rFonts w:hint="eastAsia"/>
                <w:b/>
                <w:bCs/>
                <w:color w:val="auto"/>
              </w:rPr>
            </w:pPr>
            <w:r>
              <w:rPr>
                <w:rFonts w:hint="eastAsia"/>
                <w:b/>
                <w:bCs/>
                <w:color w:val="auto"/>
              </w:rPr>
              <w:t>处理量</w:t>
            </w:r>
          </w:p>
          <w:p w14:paraId="00F4030F">
            <w:pPr>
              <w:pStyle w:val="24"/>
              <w:bidi w:val="0"/>
              <w:rPr>
                <w:rFonts w:hint="eastAsia"/>
                <w:b/>
                <w:bCs/>
                <w:color w:val="auto"/>
              </w:rPr>
            </w:pPr>
            <w:r>
              <w:rPr>
                <w:rFonts w:hint="eastAsia"/>
                <w:b/>
                <w:bCs/>
                <w:color w:val="auto"/>
              </w:rPr>
              <w:t>（万吨/年）</w:t>
            </w:r>
          </w:p>
        </w:tc>
        <w:tc>
          <w:tcPr>
            <w:tcW w:w="866" w:type="dxa"/>
            <w:noWrap w:val="0"/>
            <w:vAlign w:val="center"/>
          </w:tcPr>
          <w:p w14:paraId="7CD6CDA9">
            <w:pPr>
              <w:pStyle w:val="24"/>
              <w:bidi w:val="0"/>
              <w:rPr>
                <w:rFonts w:hint="eastAsia"/>
                <w:b/>
                <w:bCs/>
                <w:color w:val="auto"/>
              </w:rPr>
            </w:pPr>
            <w:r>
              <w:rPr>
                <w:rFonts w:hint="eastAsia"/>
                <w:b/>
                <w:bCs/>
                <w:color w:val="auto"/>
              </w:rPr>
              <w:t>性质</w:t>
            </w:r>
          </w:p>
        </w:tc>
        <w:tc>
          <w:tcPr>
            <w:tcW w:w="778" w:type="dxa"/>
            <w:noWrap w:val="0"/>
            <w:vAlign w:val="center"/>
          </w:tcPr>
          <w:p w14:paraId="5447C7D6">
            <w:pPr>
              <w:pStyle w:val="24"/>
              <w:bidi w:val="0"/>
              <w:rPr>
                <w:rFonts w:hint="eastAsia"/>
                <w:b/>
                <w:bCs/>
                <w:color w:val="auto"/>
              </w:rPr>
            </w:pPr>
            <w:r>
              <w:rPr>
                <w:rFonts w:hint="eastAsia"/>
                <w:b/>
                <w:bCs/>
                <w:color w:val="auto"/>
              </w:rPr>
              <w:t>年工作日</w:t>
            </w:r>
          </w:p>
        </w:tc>
        <w:tc>
          <w:tcPr>
            <w:tcW w:w="746" w:type="dxa"/>
            <w:noWrap w:val="0"/>
            <w:vAlign w:val="center"/>
          </w:tcPr>
          <w:p w14:paraId="5BF55AEF">
            <w:pPr>
              <w:pStyle w:val="24"/>
              <w:bidi w:val="0"/>
              <w:rPr>
                <w:rFonts w:hint="eastAsia"/>
                <w:b/>
                <w:bCs/>
                <w:color w:val="auto"/>
              </w:rPr>
            </w:pPr>
            <w:r>
              <w:rPr>
                <w:rFonts w:hint="eastAsia"/>
                <w:b/>
                <w:bCs/>
                <w:color w:val="auto"/>
              </w:rPr>
              <w:t>日工作班</w:t>
            </w:r>
          </w:p>
        </w:tc>
        <w:tc>
          <w:tcPr>
            <w:tcW w:w="744" w:type="dxa"/>
            <w:noWrap w:val="0"/>
            <w:vAlign w:val="center"/>
          </w:tcPr>
          <w:p w14:paraId="024DA7BE">
            <w:pPr>
              <w:pStyle w:val="24"/>
              <w:bidi w:val="0"/>
              <w:rPr>
                <w:rFonts w:hint="eastAsia"/>
                <w:b/>
                <w:bCs/>
                <w:color w:val="auto"/>
              </w:rPr>
            </w:pPr>
            <w:r>
              <w:rPr>
                <w:rFonts w:hint="eastAsia"/>
                <w:b/>
                <w:bCs/>
                <w:color w:val="auto"/>
              </w:rPr>
              <w:t>班工作时</w:t>
            </w:r>
          </w:p>
        </w:tc>
      </w:tr>
      <w:tr w14:paraId="3D35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925" w:type="dxa"/>
            <w:noWrap w:val="0"/>
            <w:vAlign w:val="center"/>
          </w:tcPr>
          <w:p w14:paraId="58895C81">
            <w:pPr>
              <w:pStyle w:val="24"/>
              <w:bidi w:val="0"/>
              <w:rPr>
                <w:rFonts w:hint="eastAsia"/>
                <w:color w:val="auto"/>
              </w:rPr>
            </w:pPr>
            <w:r>
              <w:rPr>
                <w:rFonts w:hint="eastAsia"/>
                <w:color w:val="auto"/>
              </w:rPr>
              <w:t>浓缩车间</w:t>
            </w:r>
          </w:p>
        </w:tc>
        <w:tc>
          <w:tcPr>
            <w:tcW w:w="1062" w:type="dxa"/>
            <w:noWrap w:val="0"/>
            <w:vAlign w:val="center"/>
          </w:tcPr>
          <w:p w14:paraId="412C28DC">
            <w:pPr>
              <w:pStyle w:val="24"/>
              <w:bidi w:val="0"/>
              <w:rPr>
                <w:rFonts w:hint="eastAsia"/>
                <w:color w:val="auto"/>
              </w:rPr>
            </w:pPr>
            <w:r>
              <w:rPr>
                <w:rFonts w:hint="eastAsia"/>
                <w:color w:val="auto"/>
              </w:rPr>
              <w:t>1000.00</w:t>
            </w:r>
          </w:p>
        </w:tc>
        <w:tc>
          <w:tcPr>
            <w:tcW w:w="1356" w:type="dxa"/>
            <w:noWrap w:val="0"/>
            <w:vAlign w:val="center"/>
          </w:tcPr>
          <w:p w14:paraId="283028B7">
            <w:pPr>
              <w:pStyle w:val="24"/>
              <w:bidi w:val="0"/>
              <w:rPr>
                <w:rFonts w:hint="eastAsia"/>
                <w:color w:val="auto"/>
              </w:rPr>
            </w:pPr>
            <w:r>
              <w:rPr>
                <w:rFonts w:hint="eastAsia"/>
                <w:color w:val="auto"/>
              </w:rPr>
              <w:t>41.67</w:t>
            </w:r>
          </w:p>
        </w:tc>
        <w:tc>
          <w:tcPr>
            <w:tcW w:w="1527" w:type="dxa"/>
            <w:noWrap w:val="0"/>
            <w:vAlign w:val="center"/>
          </w:tcPr>
          <w:p w14:paraId="2F6055DF">
            <w:pPr>
              <w:pStyle w:val="24"/>
              <w:bidi w:val="0"/>
              <w:rPr>
                <w:rFonts w:hint="eastAsia"/>
                <w:color w:val="auto"/>
              </w:rPr>
            </w:pPr>
            <w:r>
              <w:rPr>
                <w:rFonts w:hint="eastAsia"/>
                <w:color w:val="auto"/>
              </w:rPr>
              <w:t>20.00</w:t>
            </w:r>
          </w:p>
        </w:tc>
        <w:tc>
          <w:tcPr>
            <w:tcW w:w="866" w:type="dxa"/>
            <w:noWrap w:val="0"/>
            <w:vAlign w:val="center"/>
          </w:tcPr>
          <w:p w14:paraId="545196FF">
            <w:pPr>
              <w:pStyle w:val="24"/>
              <w:bidi w:val="0"/>
              <w:rPr>
                <w:rFonts w:hint="eastAsia"/>
                <w:color w:val="auto"/>
              </w:rPr>
            </w:pPr>
            <w:r>
              <w:rPr>
                <w:rFonts w:hint="eastAsia"/>
                <w:color w:val="auto"/>
              </w:rPr>
              <w:t>连续</w:t>
            </w:r>
          </w:p>
        </w:tc>
        <w:tc>
          <w:tcPr>
            <w:tcW w:w="778" w:type="dxa"/>
            <w:noWrap w:val="0"/>
            <w:vAlign w:val="center"/>
          </w:tcPr>
          <w:p w14:paraId="0412BE19">
            <w:pPr>
              <w:pStyle w:val="24"/>
              <w:bidi w:val="0"/>
              <w:rPr>
                <w:rFonts w:hint="eastAsia"/>
                <w:color w:val="auto"/>
              </w:rPr>
            </w:pPr>
            <w:r>
              <w:rPr>
                <w:rFonts w:hint="eastAsia"/>
                <w:color w:val="auto"/>
              </w:rPr>
              <w:t>200</w:t>
            </w:r>
          </w:p>
        </w:tc>
        <w:tc>
          <w:tcPr>
            <w:tcW w:w="746" w:type="dxa"/>
            <w:noWrap w:val="0"/>
            <w:vAlign w:val="center"/>
          </w:tcPr>
          <w:p w14:paraId="294DE178">
            <w:pPr>
              <w:pStyle w:val="24"/>
              <w:bidi w:val="0"/>
              <w:rPr>
                <w:rFonts w:hint="eastAsia"/>
                <w:color w:val="auto"/>
              </w:rPr>
            </w:pPr>
            <w:r>
              <w:rPr>
                <w:rFonts w:hint="eastAsia"/>
                <w:color w:val="auto"/>
              </w:rPr>
              <w:t>3</w:t>
            </w:r>
          </w:p>
        </w:tc>
        <w:tc>
          <w:tcPr>
            <w:tcW w:w="744" w:type="dxa"/>
            <w:noWrap w:val="0"/>
            <w:vAlign w:val="center"/>
          </w:tcPr>
          <w:p w14:paraId="0A8017A5">
            <w:pPr>
              <w:pStyle w:val="24"/>
              <w:bidi w:val="0"/>
              <w:rPr>
                <w:rFonts w:hint="eastAsia"/>
                <w:color w:val="auto"/>
              </w:rPr>
            </w:pPr>
            <w:r>
              <w:rPr>
                <w:rFonts w:hint="eastAsia"/>
                <w:color w:val="auto"/>
              </w:rPr>
              <w:t>8</w:t>
            </w:r>
          </w:p>
        </w:tc>
      </w:tr>
      <w:tr w14:paraId="0D2E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925" w:type="dxa"/>
            <w:noWrap w:val="0"/>
            <w:vAlign w:val="center"/>
          </w:tcPr>
          <w:p w14:paraId="3708E54B">
            <w:pPr>
              <w:pStyle w:val="24"/>
              <w:bidi w:val="0"/>
              <w:rPr>
                <w:rFonts w:hint="eastAsia"/>
                <w:color w:val="auto"/>
              </w:rPr>
            </w:pPr>
            <w:r>
              <w:rPr>
                <w:rFonts w:hint="eastAsia"/>
                <w:color w:val="auto"/>
              </w:rPr>
              <w:t>输送管线</w:t>
            </w:r>
          </w:p>
        </w:tc>
        <w:tc>
          <w:tcPr>
            <w:tcW w:w="1062" w:type="dxa"/>
            <w:noWrap w:val="0"/>
            <w:vAlign w:val="center"/>
          </w:tcPr>
          <w:p w14:paraId="21AE8954">
            <w:pPr>
              <w:pStyle w:val="24"/>
              <w:bidi w:val="0"/>
              <w:rPr>
                <w:rFonts w:hint="eastAsia"/>
                <w:color w:val="auto"/>
              </w:rPr>
            </w:pPr>
            <w:r>
              <w:rPr>
                <w:rFonts w:hint="eastAsia"/>
                <w:color w:val="auto"/>
              </w:rPr>
              <w:t>1000.00</w:t>
            </w:r>
          </w:p>
        </w:tc>
        <w:tc>
          <w:tcPr>
            <w:tcW w:w="1356" w:type="dxa"/>
            <w:noWrap w:val="0"/>
            <w:vAlign w:val="center"/>
          </w:tcPr>
          <w:p w14:paraId="54CCF4BC">
            <w:pPr>
              <w:pStyle w:val="24"/>
              <w:bidi w:val="0"/>
              <w:rPr>
                <w:color w:val="auto"/>
              </w:rPr>
            </w:pPr>
            <w:r>
              <w:rPr>
                <w:rFonts w:hint="eastAsia"/>
                <w:color w:val="auto"/>
              </w:rPr>
              <w:t>41.67</w:t>
            </w:r>
          </w:p>
        </w:tc>
        <w:tc>
          <w:tcPr>
            <w:tcW w:w="1527" w:type="dxa"/>
            <w:noWrap w:val="0"/>
            <w:vAlign w:val="center"/>
          </w:tcPr>
          <w:p w14:paraId="7EE30291">
            <w:pPr>
              <w:pStyle w:val="24"/>
              <w:bidi w:val="0"/>
              <w:rPr>
                <w:color w:val="auto"/>
              </w:rPr>
            </w:pPr>
            <w:r>
              <w:rPr>
                <w:rFonts w:hint="eastAsia"/>
                <w:color w:val="auto"/>
              </w:rPr>
              <w:t>20.00</w:t>
            </w:r>
          </w:p>
        </w:tc>
        <w:tc>
          <w:tcPr>
            <w:tcW w:w="866" w:type="dxa"/>
            <w:noWrap w:val="0"/>
            <w:vAlign w:val="center"/>
          </w:tcPr>
          <w:p w14:paraId="7E9FB5EC">
            <w:pPr>
              <w:pStyle w:val="24"/>
              <w:bidi w:val="0"/>
              <w:rPr>
                <w:rFonts w:hint="eastAsia"/>
                <w:color w:val="auto"/>
              </w:rPr>
            </w:pPr>
            <w:r>
              <w:rPr>
                <w:rFonts w:hint="eastAsia"/>
                <w:color w:val="auto"/>
              </w:rPr>
              <w:t>连续</w:t>
            </w:r>
          </w:p>
        </w:tc>
        <w:tc>
          <w:tcPr>
            <w:tcW w:w="778" w:type="dxa"/>
            <w:noWrap w:val="0"/>
            <w:vAlign w:val="center"/>
          </w:tcPr>
          <w:p w14:paraId="5851D876">
            <w:pPr>
              <w:pStyle w:val="24"/>
              <w:bidi w:val="0"/>
              <w:rPr>
                <w:color w:val="auto"/>
              </w:rPr>
            </w:pPr>
            <w:r>
              <w:rPr>
                <w:rFonts w:hint="eastAsia"/>
                <w:color w:val="auto"/>
              </w:rPr>
              <w:t>200</w:t>
            </w:r>
          </w:p>
        </w:tc>
        <w:tc>
          <w:tcPr>
            <w:tcW w:w="746" w:type="dxa"/>
            <w:noWrap w:val="0"/>
            <w:vAlign w:val="center"/>
          </w:tcPr>
          <w:p w14:paraId="0C70C7AE">
            <w:pPr>
              <w:pStyle w:val="24"/>
              <w:bidi w:val="0"/>
              <w:rPr>
                <w:rFonts w:hint="eastAsia"/>
                <w:color w:val="auto"/>
              </w:rPr>
            </w:pPr>
            <w:r>
              <w:rPr>
                <w:rFonts w:hint="eastAsia"/>
                <w:color w:val="auto"/>
              </w:rPr>
              <w:t>3</w:t>
            </w:r>
          </w:p>
        </w:tc>
        <w:tc>
          <w:tcPr>
            <w:tcW w:w="744" w:type="dxa"/>
            <w:noWrap w:val="0"/>
            <w:vAlign w:val="center"/>
          </w:tcPr>
          <w:p w14:paraId="06F066B5">
            <w:pPr>
              <w:pStyle w:val="24"/>
              <w:bidi w:val="0"/>
              <w:rPr>
                <w:rFonts w:hint="eastAsia"/>
                <w:color w:val="auto"/>
              </w:rPr>
            </w:pPr>
            <w:r>
              <w:rPr>
                <w:rFonts w:hint="eastAsia"/>
                <w:color w:val="auto"/>
              </w:rPr>
              <w:t>8</w:t>
            </w:r>
          </w:p>
        </w:tc>
      </w:tr>
      <w:tr w14:paraId="3FF0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925" w:type="dxa"/>
            <w:noWrap w:val="0"/>
            <w:vAlign w:val="center"/>
          </w:tcPr>
          <w:p w14:paraId="15D1E10D">
            <w:pPr>
              <w:pStyle w:val="24"/>
              <w:bidi w:val="0"/>
              <w:rPr>
                <w:rFonts w:hint="eastAsia"/>
                <w:color w:val="auto"/>
              </w:rPr>
            </w:pPr>
            <w:r>
              <w:rPr>
                <w:rFonts w:hint="eastAsia"/>
                <w:color w:val="auto"/>
              </w:rPr>
              <w:t>压滤车间</w:t>
            </w:r>
          </w:p>
        </w:tc>
        <w:tc>
          <w:tcPr>
            <w:tcW w:w="1062" w:type="dxa"/>
            <w:noWrap w:val="0"/>
            <w:vAlign w:val="center"/>
          </w:tcPr>
          <w:p w14:paraId="711F8486">
            <w:pPr>
              <w:pStyle w:val="24"/>
              <w:bidi w:val="0"/>
              <w:rPr>
                <w:rFonts w:hint="eastAsia"/>
                <w:color w:val="auto"/>
              </w:rPr>
            </w:pPr>
            <w:r>
              <w:rPr>
                <w:rFonts w:hint="eastAsia"/>
                <w:color w:val="auto"/>
              </w:rPr>
              <w:t>1000.00</w:t>
            </w:r>
          </w:p>
        </w:tc>
        <w:tc>
          <w:tcPr>
            <w:tcW w:w="1356" w:type="dxa"/>
            <w:noWrap w:val="0"/>
            <w:vAlign w:val="center"/>
          </w:tcPr>
          <w:p w14:paraId="21E5DBEF">
            <w:pPr>
              <w:pStyle w:val="24"/>
              <w:bidi w:val="0"/>
              <w:rPr>
                <w:color w:val="auto"/>
              </w:rPr>
            </w:pPr>
            <w:r>
              <w:rPr>
                <w:rFonts w:hint="eastAsia"/>
                <w:color w:val="auto"/>
              </w:rPr>
              <w:t>41.67</w:t>
            </w:r>
          </w:p>
        </w:tc>
        <w:tc>
          <w:tcPr>
            <w:tcW w:w="1527" w:type="dxa"/>
            <w:noWrap w:val="0"/>
            <w:vAlign w:val="center"/>
          </w:tcPr>
          <w:p w14:paraId="44711FDC">
            <w:pPr>
              <w:pStyle w:val="24"/>
              <w:bidi w:val="0"/>
              <w:rPr>
                <w:rFonts w:hint="eastAsia"/>
                <w:color w:val="auto"/>
              </w:rPr>
            </w:pPr>
            <w:r>
              <w:rPr>
                <w:rFonts w:hint="eastAsia"/>
                <w:color w:val="auto"/>
              </w:rPr>
              <w:t>20.00</w:t>
            </w:r>
          </w:p>
        </w:tc>
        <w:tc>
          <w:tcPr>
            <w:tcW w:w="866" w:type="dxa"/>
            <w:noWrap w:val="0"/>
            <w:vAlign w:val="center"/>
          </w:tcPr>
          <w:p w14:paraId="56528410">
            <w:pPr>
              <w:pStyle w:val="24"/>
              <w:bidi w:val="0"/>
              <w:rPr>
                <w:rFonts w:hint="eastAsia"/>
                <w:color w:val="auto"/>
              </w:rPr>
            </w:pPr>
            <w:r>
              <w:rPr>
                <w:rFonts w:hint="eastAsia"/>
                <w:color w:val="auto"/>
              </w:rPr>
              <w:t>连续</w:t>
            </w:r>
          </w:p>
        </w:tc>
        <w:tc>
          <w:tcPr>
            <w:tcW w:w="778" w:type="dxa"/>
            <w:noWrap w:val="0"/>
            <w:vAlign w:val="center"/>
          </w:tcPr>
          <w:p w14:paraId="4DBB89BF">
            <w:pPr>
              <w:pStyle w:val="24"/>
              <w:bidi w:val="0"/>
              <w:rPr>
                <w:rFonts w:hint="eastAsia"/>
                <w:color w:val="auto"/>
              </w:rPr>
            </w:pPr>
            <w:r>
              <w:rPr>
                <w:rFonts w:hint="eastAsia"/>
                <w:color w:val="auto"/>
              </w:rPr>
              <w:t>200</w:t>
            </w:r>
          </w:p>
        </w:tc>
        <w:tc>
          <w:tcPr>
            <w:tcW w:w="746" w:type="dxa"/>
            <w:noWrap w:val="0"/>
            <w:vAlign w:val="center"/>
          </w:tcPr>
          <w:p w14:paraId="179C2A19">
            <w:pPr>
              <w:pStyle w:val="24"/>
              <w:bidi w:val="0"/>
              <w:rPr>
                <w:rFonts w:hint="eastAsia"/>
                <w:color w:val="auto"/>
              </w:rPr>
            </w:pPr>
            <w:r>
              <w:rPr>
                <w:rFonts w:hint="eastAsia"/>
                <w:color w:val="auto"/>
              </w:rPr>
              <w:t>3</w:t>
            </w:r>
          </w:p>
        </w:tc>
        <w:tc>
          <w:tcPr>
            <w:tcW w:w="744" w:type="dxa"/>
            <w:noWrap w:val="0"/>
            <w:vAlign w:val="center"/>
          </w:tcPr>
          <w:p w14:paraId="1F63DF29">
            <w:pPr>
              <w:pStyle w:val="24"/>
              <w:bidi w:val="0"/>
              <w:rPr>
                <w:rFonts w:hint="eastAsia"/>
                <w:color w:val="auto"/>
              </w:rPr>
            </w:pPr>
            <w:r>
              <w:rPr>
                <w:rFonts w:hint="eastAsia"/>
                <w:color w:val="auto"/>
              </w:rPr>
              <w:t>8</w:t>
            </w:r>
          </w:p>
        </w:tc>
      </w:tr>
    </w:tbl>
    <w:p w14:paraId="47927423">
      <w:pPr>
        <w:pStyle w:val="4"/>
        <w:bidi w:val="0"/>
        <w:rPr>
          <w:rFonts w:hint="eastAsia"/>
          <w:color w:val="auto"/>
        </w:rPr>
      </w:pPr>
      <w:bookmarkStart w:id="84" w:name="_Toc3940"/>
      <w:r>
        <w:rPr>
          <w:rFonts w:hint="eastAsia"/>
          <w:color w:val="auto"/>
        </w:rPr>
        <w:t>2.5.</w:t>
      </w:r>
      <w:r>
        <w:rPr>
          <w:rFonts w:hint="eastAsia"/>
          <w:color w:val="auto"/>
          <w:lang w:val="en-US" w:eastAsia="zh-CN"/>
        </w:rPr>
        <w:t>2</w:t>
      </w:r>
      <w:r>
        <w:rPr>
          <w:rFonts w:hint="eastAsia"/>
          <w:color w:val="auto"/>
        </w:rPr>
        <w:t xml:space="preserve"> 生产工艺</w:t>
      </w:r>
      <w:bookmarkEnd w:id="84"/>
    </w:p>
    <w:p w14:paraId="33591DE0">
      <w:pPr>
        <w:bidi w:val="0"/>
        <w:rPr>
          <w:rFonts w:hint="eastAsia"/>
          <w:color w:val="auto"/>
        </w:rPr>
      </w:pPr>
      <w:r>
        <w:rPr>
          <w:rFonts w:hint="eastAsia"/>
          <w:color w:val="auto"/>
        </w:rPr>
        <w:t>本项目采用的工艺流程为浓缩-输送-压滤，尾矿处理系统主要由浓缩车间、输送管线、压滤车间三部分组成。</w:t>
      </w:r>
    </w:p>
    <w:p w14:paraId="011A9CCF">
      <w:pPr>
        <w:bidi w:val="0"/>
        <w:rPr>
          <w:rFonts w:hint="default" w:eastAsia="宋体"/>
          <w:color w:val="auto"/>
          <w:lang w:val="en-US" w:eastAsia="zh-CN"/>
        </w:rPr>
      </w:pPr>
      <w:r>
        <w:rPr>
          <w:rFonts w:hint="eastAsia"/>
          <w:color w:val="auto"/>
          <w:lang w:val="en-US" w:eastAsia="zh-CN"/>
        </w:rPr>
        <w:t>选厂尾矿浆进入</w:t>
      </w:r>
      <w:r>
        <w:rPr>
          <w:rFonts w:hint="eastAsia"/>
          <w:bCs/>
          <w:color w:val="auto"/>
          <w:sz w:val="28"/>
          <w:szCs w:val="28"/>
        </w:rPr>
        <w:t>直径30m</w:t>
      </w:r>
      <w:r>
        <w:rPr>
          <w:rFonts w:hint="eastAsia"/>
          <w:color w:val="auto"/>
          <w:lang w:val="en-US" w:eastAsia="zh-CN"/>
        </w:rPr>
        <w:t>浓缩机，浓缩后的尾矿通过机械隔膜泵通过输送管线至压滤车间，首先尾矿进入振动筛脱水筛选出粗颗粒，粗颗粒尾矿含水分20%以内，尾矿直接外售，细颗粒尾矿进入浓缩机浓缩后进入压滤机脱水，脱水后含水分20%以内，尾矿直接外售。</w:t>
      </w:r>
    </w:p>
    <w:p w14:paraId="2219CD9C">
      <w:pPr>
        <w:pStyle w:val="4"/>
        <w:bidi w:val="0"/>
        <w:rPr>
          <w:color w:val="auto"/>
        </w:rPr>
      </w:pPr>
      <w:bookmarkStart w:id="85" w:name="_Toc23498"/>
      <w:r>
        <w:rPr>
          <w:rFonts w:hint="eastAsia"/>
          <w:color w:val="auto"/>
          <w:lang w:val="en-US" w:eastAsia="zh-CN"/>
        </w:rPr>
        <w:t xml:space="preserve">2.5.3 </w:t>
      </w:r>
      <w:r>
        <w:rPr>
          <w:rFonts w:hint="eastAsia"/>
          <w:color w:val="auto"/>
        </w:rPr>
        <w:t>主要设备</w:t>
      </w:r>
      <w:bookmarkEnd w:id="85"/>
    </w:p>
    <w:p w14:paraId="6129442B">
      <w:pPr>
        <w:bidi w:val="0"/>
        <w:rPr>
          <w:rFonts w:hint="default" w:eastAsia="宋体"/>
          <w:color w:val="auto"/>
          <w:lang w:val="en-US" w:eastAsia="zh-CN"/>
        </w:rPr>
      </w:pPr>
      <w:r>
        <w:rPr>
          <w:rFonts w:hint="eastAsia"/>
          <w:color w:val="auto"/>
          <w:lang w:val="en-US" w:eastAsia="zh-CN"/>
        </w:rPr>
        <w:t>1、设计概况</w:t>
      </w:r>
    </w:p>
    <w:p w14:paraId="6A6220F5">
      <w:pPr>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浓缩车间设备选择</w:t>
      </w:r>
    </w:p>
    <w:p w14:paraId="2C869665">
      <w:pPr>
        <w:bidi w:val="0"/>
        <w:rPr>
          <w:rFonts w:hint="eastAsia"/>
          <w:color w:val="auto"/>
        </w:rPr>
      </w:pPr>
      <w:r>
        <w:rPr>
          <w:rFonts w:hint="eastAsia"/>
          <w:color w:val="auto"/>
        </w:rPr>
        <w:t>浓缩设备选择1台NXZ-30中心传动浓缩机，泵送设备选用1台JG580/3.8机械隔膜泵。</w:t>
      </w:r>
    </w:p>
    <w:p w14:paraId="3BFE003C">
      <w:pPr>
        <w:bidi w:val="0"/>
        <w:rPr>
          <w:rFonts w:hint="eastAsia"/>
          <w:color w:val="auto"/>
        </w:rPr>
      </w:pPr>
      <w:r>
        <w:rPr>
          <w:rFonts w:hint="eastAsia"/>
          <w:color w:val="auto"/>
        </w:rPr>
        <w:t>NXZ-30中心传动浓缩机技术参数如下：</w:t>
      </w:r>
    </w:p>
    <w:p w14:paraId="0AF1C80A">
      <w:pPr>
        <w:bidi w:val="0"/>
        <w:rPr>
          <w:rFonts w:hint="eastAsia"/>
          <w:color w:val="auto"/>
        </w:rPr>
      </w:pPr>
      <w:r>
        <w:rPr>
          <w:rFonts w:hint="eastAsia"/>
          <w:color w:val="auto"/>
        </w:rPr>
        <w:t>浓缩池直径30m，额定驱动压力6.3MPa，耙架转速0.2-0.3min，耙架每转时间5-10min，额定提耙行程500mm，P=15KW。</w:t>
      </w:r>
    </w:p>
    <w:p w14:paraId="33B75B80">
      <w:pPr>
        <w:bidi w:val="0"/>
        <w:rPr>
          <w:rFonts w:hint="eastAsia"/>
          <w:color w:val="auto"/>
        </w:rPr>
      </w:pPr>
      <w:r>
        <w:rPr>
          <w:rFonts w:hint="eastAsia"/>
          <w:color w:val="auto"/>
        </w:rPr>
        <w:t>JG580/3.8机械隔膜泵技术参数如下：</w:t>
      </w:r>
    </w:p>
    <w:p w14:paraId="385C6166">
      <w:pPr>
        <w:bidi w:val="0"/>
        <w:rPr>
          <w:rFonts w:hint="eastAsia"/>
          <w:color w:val="auto"/>
        </w:rPr>
      </w:pPr>
      <w:r>
        <w:rPr>
          <w:rFonts w:hint="eastAsia"/>
          <w:color w:val="auto"/>
        </w:rPr>
        <w:t>流量580m³/h，进料管直径325mm，额定压力3.8MPa，排料管直径325mm，冲次44.2次/min，P=710KW。</w:t>
      </w:r>
    </w:p>
    <w:p w14:paraId="58CD050A">
      <w:pPr>
        <w:bidi w:val="0"/>
        <w:rPr>
          <w:rFonts w:hint="eastAsia"/>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输送管线选择</w:t>
      </w:r>
    </w:p>
    <w:p w14:paraId="3E86B94E">
      <w:pPr>
        <w:bidi w:val="0"/>
        <w:rPr>
          <w:rFonts w:hint="eastAsia"/>
          <w:color w:val="auto"/>
        </w:rPr>
      </w:pPr>
      <w:r>
        <w:rPr>
          <w:rFonts w:hint="eastAsia"/>
          <w:color w:val="auto"/>
        </w:rPr>
        <w:t>尾矿输送管线采用ERW直缝焊管，长约4600m，生产标准：API-5L-S2，Φ325mm</w:t>
      </w:r>
      <w:r>
        <w:rPr>
          <w:rFonts w:hint="eastAsia"/>
          <w:color w:val="auto"/>
          <w:lang w:val="en-US" w:eastAsia="zh-CN"/>
        </w:rPr>
        <w:t>×</w:t>
      </w:r>
      <w:r>
        <w:rPr>
          <w:rFonts w:hint="eastAsia"/>
          <w:color w:val="auto"/>
        </w:rPr>
        <w:t>8mm。清水回水管采用Q345C钢管，管径采用DN250。</w:t>
      </w:r>
    </w:p>
    <w:p w14:paraId="0E276C83">
      <w:pPr>
        <w:bidi w:val="0"/>
        <w:rPr>
          <w:rFonts w:hint="eastAsia"/>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压滤车间设备选择</w:t>
      </w:r>
    </w:p>
    <w:p w14:paraId="266D4C4D">
      <w:pPr>
        <w:bidi w:val="0"/>
        <w:rPr>
          <w:rFonts w:hint="eastAsia"/>
          <w:color w:val="auto"/>
        </w:rPr>
      </w:pPr>
      <w:r>
        <w:rPr>
          <w:rFonts w:hint="eastAsia"/>
          <w:color w:val="auto"/>
        </w:rPr>
        <w:t>粗细分离脱水设备选择3台JZQ3061振动筛，浓缩设备选用1台NXZ-15中心传动浓缩机，压滤设备选用7台HMZG800/2000-U板框压滤机。</w:t>
      </w:r>
    </w:p>
    <w:p w14:paraId="501C8471">
      <w:pPr>
        <w:bidi w:val="0"/>
        <w:rPr>
          <w:rFonts w:hint="eastAsia"/>
          <w:color w:val="auto"/>
        </w:rPr>
      </w:pPr>
      <w:r>
        <w:rPr>
          <w:rFonts w:hint="eastAsia"/>
          <w:color w:val="auto"/>
        </w:rPr>
        <w:t>JZQ3061振动筛技术参数如下：</w:t>
      </w:r>
    </w:p>
    <w:p w14:paraId="4A24AD6A">
      <w:pPr>
        <w:bidi w:val="0"/>
        <w:rPr>
          <w:rFonts w:hint="eastAsia"/>
          <w:color w:val="auto"/>
        </w:rPr>
      </w:pPr>
      <w:r>
        <w:rPr>
          <w:rFonts w:hint="eastAsia"/>
          <w:color w:val="auto"/>
        </w:rPr>
        <w:t>处理能力120-200t/h，筛网倾角-1.5º，P=37KW。</w:t>
      </w:r>
    </w:p>
    <w:p w14:paraId="5CDE92F8">
      <w:pPr>
        <w:bidi w:val="0"/>
        <w:rPr>
          <w:rFonts w:hint="eastAsia"/>
          <w:color w:val="auto"/>
        </w:rPr>
      </w:pPr>
      <w:r>
        <w:rPr>
          <w:rFonts w:hint="eastAsia"/>
          <w:color w:val="auto"/>
        </w:rPr>
        <w:t>NXZ-15中心传动浓缩机技术参数如下：</w:t>
      </w:r>
    </w:p>
    <w:p w14:paraId="46F21F58">
      <w:pPr>
        <w:bidi w:val="0"/>
        <w:rPr>
          <w:rFonts w:hint="eastAsia"/>
          <w:color w:val="auto"/>
        </w:rPr>
      </w:pPr>
      <w:r>
        <w:rPr>
          <w:rFonts w:hint="eastAsia"/>
          <w:color w:val="auto"/>
        </w:rPr>
        <w:t>浓缩池直径15M，额定驱动压力6.3MPa，耙架每转时间6-7min，P=15KW。</w:t>
      </w:r>
    </w:p>
    <w:p w14:paraId="4BCC621A">
      <w:pPr>
        <w:bidi w:val="0"/>
        <w:rPr>
          <w:rFonts w:hint="eastAsia"/>
          <w:color w:val="auto"/>
        </w:rPr>
      </w:pPr>
      <w:r>
        <w:rPr>
          <w:rFonts w:hint="eastAsia"/>
          <w:color w:val="auto"/>
        </w:rPr>
        <w:t>HMZG800/2000-U板框压滤机技术参数如下：</w:t>
      </w:r>
    </w:p>
    <w:p w14:paraId="030CD99E">
      <w:pPr>
        <w:bidi w:val="0"/>
        <w:rPr>
          <w:rFonts w:hint="eastAsia"/>
          <w:color w:val="auto"/>
        </w:rPr>
      </w:pPr>
      <w:r>
        <w:rPr>
          <w:rFonts w:hint="eastAsia"/>
          <w:color w:val="auto"/>
        </w:rPr>
        <w:t>过滤面积800m²，虑室数量114个，进料压力≤0.8MPa，压榨压力≤1.2MPa，虑室面积16.4m³，P=18.5KW。</w:t>
      </w:r>
    </w:p>
    <w:p w14:paraId="5422A00D">
      <w:pPr>
        <w:bidi w:val="0"/>
        <w:rPr>
          <w:color w:val="auto"/>
        </w:rPr>
      </w:pPr>
      <w:r>
        <w:rPr>
          <w:rFonts w:hint="eastAsia"/>
          <w:color w:val="auto"/>
        </w:rPr>
        <w:t>由于产能等原因，寻甸金林钛矿有限公司尾矿处理技改升级建设项目</w:t>
      </w:r>
      <w:r>
        <w:rPr>
          <w:rFonts w:hint="eastAsia"/>
          <w:color w:val="auto"/>
          <w:lang w:val="en-US" w:eastAsia="zh-CN"/>
        </w:rPr>
        <w:t>取消一台</w:t>
      </w:r>
      <w:r>
        <w:rPr>
          <w:rFonts w:hint="eastAsia"/>
          <w:color w:val="auto"/>
        </w:rPr>
        <w:t>3t电动单梁吊，取消</w:t>
      </w:r>
      <w:r>
        <w:rPr>
          <w:rFonts w:hint="eastAsia"/>
          <w:color w:val="auto"/>
          <w:lang w:val="en-US" w:eastAsia="zh-CN"/>
        </w:rPr>
        <w:t>4</w:t>
      </w:r>
      <w:r>
        <w:rPr>
          <w:rFonts w:hint="eastAsia"/>
          <w:color w:val="auto"/>
        </w:rPr>
        <w:t>台电葫芦（2t），已做设计变更，详见附件。</w:t>
      </w:r>
    </w:p>
    <w:p w14:paraId="6DF03C00">
      <w:pPr>
        <w:bidi w:val="0"/>
        <w:rPr>
          <w:rFonts w:hint="default" w:eastAsia="宋体"/>
          <w:color w:val="auto"/>
          <w:lang w:val="en-US" w:eastAsia="zh-CN"/>
        </w:rPr>
      </w:pPr>
      <w:r>
        <w:rPr>
          <w:rFonts w:hint="eastAsia"/>
          <w:color w:val="auto"/>
          <w:lang w:val="en-US" w:eastAsia="zh-CN"/>
        </w:rPr>
        <w:t>2、建设概况</w:t>
      </w:r>
    </w:p>
    <w:p w14:paraId="4C1B97AB">
      <w:pPr>
        <w:bidi w:val="0"/>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浓缩车间设备</w:t>
      </w:r>
    </w:p>
    <w:p w14:paraId="05B0BBB2">
      <w:pPr>
        <w:bidi w:val="0"/>
        <w:rPr>
          <w:rFonts w:hint="default" w:eastAsia="宋体"/>
          <w:color w:val="auto"/>
          <w:lang w:val="en-US" w:eastAsia="zh-CN"/>
        </w:rPr>
      </w:pPr>
      <w:r>
        <w:rPr>
          <w:rFonts w:hint="eastAsia"/>
          <w:color w:val="auto"/>
        </w:rPr>
        <w:t>浓缩机</w:t>
      </w:r>
      <w:r>
        <w:rPr>
          <w:rFonts w:hint="eastAsia"/>
          <w:color w:val="auto"/>
          <w:lang w:eastAsia="zh-CN"/>
        </w:rPr>
        <w:t>、</w:t>
      </w:r>
      <w:r>
        <w:rPr>
          <w:rFonts w:hint="eastAsia"/>
          <w:color w:val="auto"/>
        </w:rPr>
        <w:t>机械隔膜泵设备已进行了安装并生产</w:t>
      </w:r>
      <w:r>
        <w:rPr>
          <w:rFonts w:hint="eastAsia"/>
          <w:color w:val="auto"/>
          <w:lang w:eastAsia="zh-CN"/>
        </w:rPr>
        <w:t>，浓缩机采用钢筋混凝土独立结构，满足浓缩机基础承载要求。根据现场生产情况，设备生产能力及性能满足生产要求。</w:t>
      </w:r>
      <w:r>
        <w:rPr>
          <w:rFonts w:hint="eastAsia"/>
          <w:color w:val="auto"/>
          <w:lang w:val="en-US" w:eastAsia="zh-CN"/>
        </w:rPr>
        <w:t>设备转动部位设置了安全防护罩，设置了警示标识。</w:t>
      </w:r>
    </w:p>
    <w:p w14:paraId="6BD56E02">
      <w:pPr>
        <w:bidi w:val="0"/>
        <w:rPr>
          <w:color w:val="auto"/>
        </w:rPr>
      </w:pPr>
      <w:r>
        <w:rPr>
          <w:rFonts w:hint="eastAsia"/>
          <w:color w:val="auto"/>
        </w:rPr>
        <w:t>（2）输送管线</w:t>
      </w:r>
    </w:p>
    <w:p w14:paraId="0EB658B0">
      <w:pPr>
        <w:bidi w:val="0"/>
        <w:rPr>
          <w:rFonts w:hint="default" w:eastAsia="宋体"/>
          <w:color w:val="auto"/>
          <w:lang w:val="en-US" w:eastAsia="zh-CN"/>
        </w:rPr>
      </w:pPr>
      <w:r>
        <w:rPr>
          <w:rFonts w:hint="eastAsia"/>
          <w:color w:val="auto"/>
        </w:rPr>
        <w:t>输送管线沿地形线布置</w:t>
      </w:r>
      <w:r>
        <w:rPr>
          <w:rFonts w:hint="eastAsia"/>
          <w:color w:val="auto"/>
          <w:lang w:eastAsia="zh-CN"/>
        </w:rPr>
        <w:t>，</w:t>
      </w:r>
      <w:r>
        <w:rPr>
          <w:rFonts w:hint="eastAsia"/>
          <w:color w:val="auto"/>
          <w:lang w:val="en-US" w:eastAsia="zh-CN"/>
        </w:rPr>
        <w:t>采用明敷。设置了压力监测、流量监测、泄漏检测装置，设置了紧急切断阀、止回阀。</w:t>
      </w:r>
    </w:p>
    <w:p w14:paraId="499C5767">
      <w:pPr>
        <w:bidi w:val="0"/>
        <w:rPr>
          <w:rFonts w:hint="default" w:eastAsia="宋体"/>
          <w:color w:val="auto"/>
          <w:lang w:val="en-US" w:eastAsia="zh-CN"/>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lang w:val="en-US" w:eastAsia="zh-CN"/>
        </w:rPr>
        <w:t>压滤车间</w:t>
      </w:r>
    </w:p>
    <w:p w14:paraId="5E0FBB86">
      <w:pPr>
        <w:bidi w:val="0"/>
        <w:rPr>
          <w:rFonts w:hint="default" w:eastAsia="宋体"/>
          <w:color w:val="auto"/>
          <w:lang w:val="en-US" w:eastAsia="zh-CN"/>
        </w:rPr>
      </w:pPr>
      <w:r>
        <w:rPr>
          <w:rFonts w:hint="eastAsia"/>
          <w:color w:val="auto"/>
          <w:lang w:val="en-US" w:eastAsia="zh-CN"/>
        </w:rPr>
        <w:t>压滤机、浓缩机、振动筛、皮带输送机</w:t>
      </w:r>
      <w:r>
        <w:rPr>
          <w:rFonts w:hint="eastAsia"/>
          <w:color w:val="auto"/>
        </w:rPr>
        <w:t>设备已进行了安装并生产</w:t>
      </w:r>
      <w:r>
        <w:rPr>
          <w:rFonts w:hint="eastAsia"/>
          <w:color w:val="auto"/>
          <w:lang w:eastAsia="zh-CN"/>
        </w:rPr>
        <w:t>，</w:t>
      </w:r>
      <w:r>
        <w:rPr>
          <w:rFonts w:hint="eastAsia"/>
          <w:color w:val="auto"/>
          <w:lang w:val="en-US" w:eastAsia="zh-CN"/>
        </w:rPr>
        <w:t>压滤机等设备</w:t>
      </w:r>
      <w:r>
        <w:rPr>
          <w:rFonts w:hint="eastAsia"/>
          <w:color w:val="auto"/>
          <w:lang w:eastAsia="zh-CN"/>
        </w:rPr>
        <w:t>采用钢筋混凝土独立结构。操作平台设置了防护栏、</w:t>
      </w:r>
      <w:r>
        <w:rPr>
          <w:rFonts w:hint="eastAsia"/>
          <w:color w:val="auto"/>
          <w:lang w:val="en-US" w:eastAsia="zh-CN"/>
        </w:rPr>
        <w:t>踢脚板</w:t>
      </w:r>
      <w:r>
        <w:rPr>
          <w:rFonts w:hint="eastAsia"/>
          <w:color w:val="auto"/>
          <w:lang w:eastAsia="zh-CN"/>
        </w:rPr>
        <w:t>，设置了警示标识。</w:t>
      </w:r>
      <w:r>
        <w:rPr>
          <w:rFonts w:hint="eastAsia"/>
          <w:color w:val="auto"/>
          <w:lang w:val="en-US" w:eastAsia="zh-CN"/>
        </w:rPr>
        <w:t>皮带输送机设置拉绳开关。</w:t>
      </w:r>
    </w:p>
    <w:p w14:paraId="1FECDFE0">
      <w:pPr>
        <w:pStyle w:val="23"/>
        <w:bidi w:val="0"/>
        <w:rPr>
          <w:color w:val="auto"/>
        </w:rPr>
      </w:pPr>
      <w:r>
        <w:rPr>
          <w:rFonts w:hint="eastAsia"/>
          <w:color w:val="auto"/>
        </w:rPr>
        <w:t>表2.</w:t>
      </w:r>
      <w:r>
        <w:rPr>
          <w:rFonts w:hint="eastAsia"/>
          <w:color w:val="auto"/>
          <w:lang w:val="en-US" w:eastAsia="zh-CN"/>
        </w:rPr>
        <w:t>5</w:t>
      </w:r>
      <w:r>
        <w:rPr>
          <w:rFonts w:hint="eastAsia"/>
          <w:color w:val="auto"/>
        </w:rPr>
        <w:t>-</w:t>
      </w:r>
      <w:r>
        <w:rPr>
          <w:rFonts w:hint="eastAsia"/>
          <w:color w:val="auto"/>
          <w:lang w:val="en-US" w:eastAsia="zh-CN"/>
        </w:rPr>
        <w:t>2</w:t>
      </w:r>
      <w:r>
        <w:rPr>
          <w:rFonts w:hint="eastAsia"/>
          <w:color w:val="auto"/>
        </w:rPr>
        <w:t xml:space="preserve">  项目主要工艺设备表</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
        <w:gridCol w:w="1866"/>
        <w:gridCol w:w="2554"/>
        <w:gridCol w:w="759"/>
        <w:gridCol w:w="936"/>
        <w:gridCol w:w="1039"/>
        <w:gridCol w:w="1676"/>
      </w:tblGrid>
      <w:tr w14:paraId="166C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vMerge w:val="restart"/>
            <w:noWrap w:val="0"/>
            <w:vAlign w:val="center"/>
          </w:tcPr>
          <w:p w14:paraId="11DE6A42">
            <w:pPr>
              <w:pStyle w:val="24"/>
              <w:bidi w:val="0"/>
              <w:rPr>
                <w:b/>
                <w:bCs/>
                <w:color w:val="auto"/>
              </w:rPr>
            </w:pPr>
            <w:r>
              <w:rPr>
                <w:b/>
                <w:bCs/>
                <w:color w:val="auto"/>
              </w:rPr>
              <w:t>序号</w:t>
            </w:r>
          </w:p>
        </w:tc>
        <w:tc>
          <w:tcPr>
            <w:tcW w:w="993" w:type="pct"/>
            <w:vMerge w:val="restart"/>
            <w:noWrap w:val="0"/>
            <w:vAlign w:val="center"/>
          </w:tcPr>
          <w:p w14:paraId="1A35649B">
            <w:pPr>
              <w:pStyle w:val="24"/>
              <w:bidi w:val="0"/>
              <w:rPr>
                <w:b/>
                <w:bCs/>
                <w:color w:val="auto"/>
              </w:rPr>
            </w:pPr>
            <w:r>
              <w:rPr>
                <w:b/>
                <w:bCs/>
                <w:color w:val="auto"/>
              </w:rPr>
              <w:t>名称</w:t>
            </w:r>
          </w:p>
        </w:tc>
        <w:tc>
          <w:tcPr>
            <w:tcW w:w="1359" w:type="pct"/>
            <w:vMerge w:val="restart"/>
            <w:noWrap w:val="0"/>
            <w:vAlign w:val="center"/>
          </w:tcPr>
          <w:p w14:paraId="183E0AE8">
            <w:pPr>
              <w:pStyle w:val="24"/>
              <w:bidi w:val="0"/>
              <w:rPr>
                <w:b/>
                <w:bCs/>
                <w:color w:val="auto"/>
              </w:rPr>
            </w:pPr>
            <w:r>
              <w:rPr>
                <w:b/>
                <w:bCs/>
                <w:color w:val="auto"/>
              </w:rPr>
              <w:t>规格及主要性能</w:t>
            </w:r>
          </w:p>
        </w:tc>
        <w:tc>
          <w:tcPr>
            <w:tcW w:w="404" w:type="pct"/>
            <w:vMerge w:val="restart"/>
            <w:noWrap w:val="0"/>
            <w:vAlign w:val="center"/>
          </w:tcPr>
          <w:p w14:paraId="3A5C1BF1">
            <w:pPr>
              <w:pStyle w:val="24"/>
              <w:bidi w:val="0"/>
              <w:rPr>
                <w:b/>
                <w:bCs/>
                <w:color w:val="auto"/>
              </w:rPr>
            </w:pPr>
            <w:r>
              <w:rPr>
                <w:b/>
                <w:bCs/>
                <w:color w:val="auto"/>
              </w:rPr>
              <w:t>数量</w:t>
            </w:r>
          </w:p>
          <w:p w14:paraId="71F42A14">
            <w:pPr>
              <w:pStyle w:val="24"/>
              <w:bidi w:val="0"/>
              <w:rPr>
                <w:b/>
                <w:bCs/>
                <w:color w:val="auto"/>
              </w:rPr>
            </w:pPr>
            <w:r>
              <w:rPr>
                <w:b/>
                <w:bCs/>
                <w:color w:val="auto"/>
              </w:rPr>
              <w:t>(台)</w:t>
            </w:r>
          </w:p>
        </w:tc>
        <w:tc>
          <w:tcPr>
            <w:tcW w:w="1051" w:type="pct"/>
            <w:gridSpan w:val="2"/>
            <w:noWrap w:val="0"/>
            <w:vAlign w:val="center"/>
          </w:tcPr>
          <w:p w14:paraId="45E628A6">
            <w:pPr>
              <w:pStyle w:val="24"/>
              <w:bidi w:val="0"/>
              <w:rPr>
                <w:rFonts w:hint="eastAsia"/>
                <w:b/>
                <w:bCs/>
                <w:color w:val="auto"/>
              </w:rPr>
            </w:pPr>
            <w:r>
              <w:rPr>
                <w:rFonts w:hint="eastAsia"/>
                <w:b/>
                <w:bCs/>
                <w:color w:val="auto"/>
              </w:rPr>
              <w:t>电机功率</w:t>
            </w:r>
          </w:p>
        </w:tc>
        <w:tc>
          <w:tcPr>
            <w:tcW w:w="891" w:type="pct"/>
            <w:noWrap w:val="0"/>
            <w:vAlign w:val="center"/>
          </w:tcPr>
          <w:p w14:paraId="534FD9D3">
            <w:pPr>
              <w:pStyle w:val="24"/>
              <w:bidi w:val="0"/>
              <w:rPr>
                <w:rFonts w:hint="eastAsia"/>
                <w:b/>
                <w:bCs/>
                <w:color w:val="auto"/>
              </w:rPr>
            </w:pPr>
            <w:r>
              <w:rPr>
                <w:rFonts w:hint="eastAsia"/>
                <w:b/>
                <w:bCs/>
                <w:color w:val="auto"/>
              </w:rPr>
              <w:t>备注</w:t>
            </w:r>
          </w:p>
        </w:tc>
      </w:tr>
      <w:tr w14:paraId="6A9B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jc w:val="center"/>
        </w:trPr>
        <w:tc>
          <w:tcPr>
            <w:tcW w:w="300" w:type="pct"/>
            <w:vMerge w:val="continue"/>
            <w:noWrap w:val="0"/>
            <w:vAlign w:val="center"/>
          </w:tcPr>
          <w:p w14:paraId="7A5C9404">
            <w:pPr>
              <w:pStyle w:val="24"/>
              <w:bidi w:val="0"/>
              <w:rPr>
                <w:b/>
                <w:bCs/>
                <w:color w:val="auto"/>
              </w:rPr>
            </w:pPr>
          </w:p>
        </w:tc>
        <w:tc>
          <w:tcPr>
            <w:tcW w:w="993" w:type="pct"/>
            <w:vMerge w:val="continue"/>
            <w:noWrap w:val="0"/>
            <w:vAlign w:val="center"/>
          </w:tcPr>
          <w:p w14:paraId="688BC6A0">
            <w:pPr>
              <w:pStyle w:val="24"/>
              <w:bidi w:val="0"/>
              <w:rPr>
                <w:b/>
                <w:bCs/>
                <w:color w:val="auto"/>
              </w:rPr>
            </w:pPr>
          </w:p>
        </w:tc>
        <w:tc>
          <w:tcPr>
            <w:tcW w:w="1359" w:type="pct"/>
            <w:vMerge w:val="continue"/>
            <w:noWrap w:val="0"/>
            <w:vAlign w:val="center"/>
          </w:tcPr>
          <w:p w14:paraId="04E23416">
            <w:pPr>
              <w:pStyle w:val="24"/>
              <w:bidi w:val="0"/>
              <w:rPr>
                <w:b/>
                <w:bCs/>
                <w:color w:val="auto"/>
              </w:rPr>
            </w:pPr>
          </w:p>
        </w:tc>
        <w:tc>
          <w:tcPr>
            <w:tcW w:w="404" w:type="pct"/>
            <w:vMerge w:val="continue"/>
            <w:noWrap w:val="0"/>
            <w:vAlign w:val="center"/>
          </w:tcPr>
          <w:p w14:paraId="5A205311">
            <w:pPr>
              <w:pStyle w:val="24"/>
              <w:bidi w:val="0"/>
              <w:rPr>
                <w:b/>
                <w:bCs/>
                <w:color w:val="auto"/>
              </w:rPr>
            </w:pPr>
          </w:p>
        </w:tc>
        <w:tc>
          <w:tcPr>
            <w:tcW w:w="498" w:type="pct"/>
            <w:noWrap w:val="0"/>
            <w:vAlign w:val="center"/>
          </w:tcPr>
          <w:p w14:paraId="259DC626">
            <w:pPr>
              <w:pStyle w:val="24"/>
              <w:bidi w:val="0"/>
              <w:rPr>
                <w:rFonts w:hint="eastAsia"/>
                <w:b/>
                <w:bCs/>
                <w:color w:val="auto"/>
              </w:rPr>
            </w:pPr>
            <w:r>
              <w:rPr>
                <w:rFonts w:hint="eastAsia"/>
                <w:b/>
                <w:bCs/>
                <w:color w:val="auto"/>
              </w:rPr>
              <w:t>电机型号</w:t>
            </w:r>
          </w:p>
        </w:tc>
        <w:tc>
          <w:tcPr>
            <w:tcW w:w="553" w:type="pct"/>
            <w:noWrap w:val="0"/>
            <w:vAlign w:val="center"/>
          </w:tcPr>
          <w:p w14:paraId="4A59A77C">
            <w:pPr>
              <w:pStyle w:val="24"/>
              <w:bidi w:val="0"/>
              <w:rPr>
                <w:rFonts w:hint="eastAsia"/>
                <w:b/>
                <w:bCs/>
                <w:color w:val="auto"/>
              </w:rPr>
            </w:pPr>
            <w:r>
              <w:rPr>
                <w:rFonts w:hint="eastAsia"/>
                <w:b/>
                <w:bCs/>
                <w:color w:val="auto"/>
              </w:rPr>
              <w:t>功率</w:t>
            </w:r>
          </w:p>
          <w:p w14:paraId="56E0FEB5">
            <w:pPr>
              <w:pStyle w:val="24"/>
              <w:bidi w:val="0"/>
              <w:rPr>
                <w:rFonts w:hint="eastAsia"/>
                <w:b/>
                <w:bCs/>
                <w:color w:val="auto"/>
              </w:rPr>
            </w:pPr>
            <w:r>
              <w:rPr>
                <w:rFonts w:hint="eastAsia"/>
                <w:b/>
                <w:bCs/>
                <w:color w:val="auto"/>
              </w:rPr>
              <w:t>（kW）</w:t>
            </w:r>
          </w:p>
        </w:tc>
        <w:tc>
          <w:tcPr>
            <w:tcW w:w="891" w:type="pct"/>
            <w:noWrap w:val="0"/>
            <w:vAlign w:val="center"/>
          </w:tcPr>
          <w:p w14:paraId="36F0FA2B">
            <w:pPr>
              <w:pStyle w:val="24"/>
              <w:bidi w:val="0"/>
              <w:rPr>
                <w:b/>
                <w:bCs/>
                <w:color w:val="auto"/>
              </w:rPr>
            </w:pPr>
          </w:p>
        </w:tc>
      </w:tr>
      <w:tr w14:paraId="7FBA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2BEE9FA4">
            <w:pPr>
              <w:pStyle w:val="24"/>
              <w:bidi w:val="0"/>
              <w:rPr>
                <w:rFonts w:hint="eastAsia"/>
                <w:color w:val="auto"/>
              </w:rPr>
            </w:pPr>
            <w:r>
              <w:rPr>
                <w:rFonts w:hint="eastAsia"/>
                <w:color w:val="auto"/>
              </w:rPr>
              <w:t>1</w:t>
            </w:r>
          </w:p>
        </w:tc>
        <w:tc>
          <w:tcPr>
            <w:tcW w:w="993" w:type="pct"/>
            <w:noWrap w:val="0"/>
            <w:vAlign w:val="center"/>
          </w:tcPr>
          <w:p w14:paraId="6B1AADD3">
            <w:pPr>
              <w:pStyle w:val="24"/>
              <w:bidi w:val="0"/>
              <w:rPr>
                <w:rFonts w:hint="eastAsia"/>
                <w:color w:val="auto"/>
              </w:rPr>
            </w:pPr>
            <w:r>
              <w:rPr>
                <w:rFonts w:hint="eastAsia"/>
                <w:color w:val="auto"/>
              </w:rPr>
              <w:t>中心传动浓缩机</w:t>
            </w:r>
          </w:p>
        </w:tc>
        <w:tc>
          <w:tcPr>
            <w:tcW w:w="1359" w:type="pct"/>
            <w:noWrap w:val="0"/>
            <w:vAlign w:val="center"/>
          </w:tcPr>
          <w:p w14:paraId="2E879B04">
            <w:pPr>
              <w:pStyle w:val="24"/>
              <w:bidi w:val="0"/>
              <w:rPr>
                <w:color w:val="auto"/>
              </w:rPr>
            </w:pPr>
            <w:r>
              <w:rPr>
                <w:color w:val="auto"/>
              </w:rPr>
              <w:t>NXZ-30</w:t>
            </w:r>
          </w:p>
        </w:tc>
        <w:tc>
          <w:tcPr>
            <w:tcW w:w="404" w:type="pct"/>
            <w:noWrap w:val="0"/>
            <w:vAlign w:val="center"/>
          </w:tcPr>
          <w:p w14:paraId="448E91CF">
            <w:pPr>
              <w:pStyle w:val="24"/>
              <w:bidi w:val="0"/>
              <w:rPr>
                <w:rFonts w:hint="eastAsia"/>
                <w:color w:val="auto"/>
              </w:rPr>
            </w:pPr>
            <w:r>
              <w:rPr>
                <w:color w:val="auto"/>
              </w:rPr>
              <w:t>1</w:t>
            </w:r>
          </w:p>
        </w:tc>
        <w:tc>
          <w:tcPr>
            <w:tcW w:w="498" w:type="pct"/>
            <w:noWrap w:val="0"/>
            <w:vAlign w:val="center"/>
          </w:tcPr>
          <w:p w14:paraId="749D9ABA">
            <w:pPr>
              <w:pStyle w:val="24"/>
              <w:bidi w:val="0"/>
              <w:rPr>
                <w:rFonts w:hint="eastAsia"/>
                <w:color w:val="auto"/>
              </w:rPr>
            </w:pPr>
          </w:p>
        </w:tc>
        <w:tc>
          <w:tcPr>
            <w:tcW w:w="553" w:type="pct"/>
            <w:noWrap w:val="0"/>
            <w:vAlign w:val="center"/>
          </w:tcPr>
          <w:p w14:paraId="469D97D6">
            <w:pPr>
              <w:pStyle w:val="24"/>
              <w:bidi w:val="0"/>
              <w:rPr>
                <w:color w:val="auto"/>
              </w:rPr>
            </w:pPr>
            <w:r>
              <w:rPr>
                <w:rFonts w:hint="eastAsia"/>
                <w:color w:val="auto"/>
              </w:rPr>
              <w:t>15</w:t>
            </w:r>
            <w:r>
              <w:rPr>
                <w:color w:val="auto"/>
              </w:rPr>
              <w:t>.0</w:t>
            </w:r>
          </w:p>
        </w:tc>
        <w:tc>
          <w:tcPr>
            <w:tcW w:w="891" w:type="pct"/>
            <w:noWrap w:val="0"/>
            <w:vAlign w:val="center"/>
          </w:tcPr>
          <w:p w14:paraId="16AF1EEB">
            <w:pPr>
              <w:pStyle w:val="24"/>
              <w:bidi w:val="0"/>
              <w:rPr>
                <w:color w:val="auto"/>
              </w:rPr>
            </w:pPr>
          </w:p>
        </w:tc>
      </w:tr>
      <w:tr w14:paraId="1886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102B1806">
            <w:pPr>
              <w:pStyle w:val="24"/>
              <w:bidi w:val="0"/>
              <w:rPr>
                <w:rFonts w:hint="eastAsia"/>
                <w:color w:val="auto"/>
              </w:rPr>
            </w:pPr>
            <w:r>
              <w:rPr>
                <w:rFonts w:hint="eastAsia"/>
                <w:color w:val="auto"/>
              </w:rPr>
              <w:t>2</w:t>
            </w:r>
          </w:p>
        </w:tc>
        <w:tc>
          <w:tcPr>
            <w:tcW w:w="993" w:type="pct"/>
            <w:noWrap w:val="0"/>
            <w:vAlign w:val="center"/>
          </w:tcPr>
          <w:p w14:paraId="4254BC5C">
            <w:pPr>
              <w:pStyle w:val="24"/>
              <w:bidi w:val="0"/>
              <w:rPr>
                <w:rFonts w:hint="eastAsia"/>
                <w:color w:val="auto"/>
              </w:rPr>
            </w:pPr>
            <w:r>
              <w:rPr>
                <w:rFonts w:hint="eastAsia"/>
                <w:color w:val="auto"/>
              </w:rPr>
              <w:t>机械隔膜泵</w:t>
            </w:r>
          </w:p>
        </w:tc>
        <w:tc>
          <w:tcPr>
            <w:tcW w:w="1359" w:type="pct"/>
            <w:noWrap w:val="0"/>
            <w:vAlign w:val="center"/>
          </w:tcPr>
          <w:p w14:paraId="466CD1DC">
            <w:pPr>
              <w:pStyle w:val="24"/>
              <w:bidi w:val="0"/>
              <w:rPr>
                <w:color w:val="auto"/>
              </w:rPr>
            </w:pPr>
            <w:r>
              <w:rPr>
                <w:color w:val="auto"/>
              </w:rPr>
              <w:t>JG580/3.8</w:t>
            </w:r>
          </w:p>
        </w:tc>
        <w:tc>
          <w:tcPr>
            <w:tcW w:w="404" w:type="pct"/>
            <w:noWrap w:val="0"/>
            <w:vAlign w:val="center"/>
          </w:tcPr>
          <w:p w14:paraId="49648F27">
            <w:pPr>
              <w:pStyle w:val="24"/>
              <w:bidi w:val="0"/>
              <w:rPr>
                <w:color w:val="auto"/>
              </w:rPr>
            </w:pPr>
            <w:r>
              <w:rPr>
                <w:color w:val="auto"/>
              </w:rPr>
              <w:t>1</w:t>
            </w:r>
          </w:p>
        </w:tc>
        <w:tc>
          <w:tcPr>
            <w:tcW w:w="498" w:type="pct"/>
            <w:noWrap w:val="0"/>
            <w:vAlign w:val="center"/>
          </w:tcPr>
          <w:p w14:paraId="2AEB81D9">
            <w:pPr>
              <w:pStyle w:val="24"/>
              <w:bidi w:val="0"/>
              <w:rPr>
                <w:rFonts w:hint="eastAsia"/>
                <w:color w:val="auto"/>
              </w:rPr>
            </w:pPr>
          </w:p>
        </w:tc>
        <w:tc>
          <w:tcPr>
            <w:tcW w:w="553" w:type="pct"/>
            <w:noWrap w:val="0"/>
            <w:vAlign w:val="center"/>
          </w:tcPr>
          <w:p w14:paraId="3622D045">
            <w:pPr>
              <w:pStyle w:val="24"/>
              <w:bidi w:val="0"/>
              <w:rPr>
                <w:rFonts w:hint="eastAsia"/>
                <w:color w:val="auto"/>
              </w:rPr>
            </w:pPr>
            <w:r>
              <w:rPr>
                <w:rFonts w:hint="eastAsia"/>
                <w:color w:val="auto"/>
              </w:rPr>
              <w:t>710.0</w:t>
            </w:r>
          </w:p>
        </w:tc>
        <w:tc>
          <w:tcPr>
            <w:tcW w:w="891" w:type="pct"/>
            <w:noWrap w:val="0"/>
            <w:vAlign w:val="center"/>
          </w:tcPr>
          <w:p w14:paraId="0459178C">
            <w:pPr>
              <w:pStyle w:val="24"/>
              <w:bidi w:val="0"/>
              <w:rPr>
                <w:color w:val="auto"/>
              </w:rPr>
            </w:pPr>
          </w:p>
        </w:tc>
      </w:tr>
      <w:tr w14:paraId="43FC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3A4588CC">
            <w:pPr>
              <w:pStyle w:val="24"/>
              <w:bidi w:val="0"/>
              <w:rPr>
                <w:rFonts w:hint="eastAsia"/>
                <w:color w:val="auto"/>
              </w:rPr>
            </w:pPr>
            <w:r>
              <w:rPr>
                <w:color w:val="auto"/>
              </w:rPr>
              <w:t>3</w:t>
            </w:r>
          </w:p>
        </w:tc>
        <w:tc>
          <w:tcPr>
            <w:tcW w:w="993" w:type="pct"/>
            <w:noWrap w:val="0"/>
            <w:vAlign w:val="center"/>
          </w:tcPr>
          <w:p w14:paraId="29A91CB2">
            <w:pPr>
              <w:pStyle w:val="24"/>
              <w:bidi w:val="0"/>
              <w:rPr>
                <w:rFonts w:hint="eastAsia"/>
                <w:color w:val="auto"/>
              </w:rPr>
            </w:pPr>
            <w:r>
              <w:rPr>
                <w:rFonts w:hint="eastAsia"/>
                <w:color w:val="auto"/>
              </w:rPr>
              <w:t>振动筛</w:t>
            </w:r>
          </w:p>
        </w:tc>
        <w:tc>
          <w:tcPr>
            <w:tcW w:w="1359" w:type="pct"/>
            <w:noWrap w:val="0"/>
            <w:vAlign w:val="center"/>
          </w:tcPr>
          <w:p w14:paraId="1632180F">
            <w:pPr>
              <w:pStyle w:val="24"/>
              <w:bidi w:val="0"/>
              <w:rPr>
                <w:rFonts w:hint="eastAsia"/>
                <w:color w:val="auto"/>
              </w:rPr>
            </w:pPr>
            <w:r>
              <w:rPr>
                <w:color w:val="auto"/>
              </w:rPr>
              <w:t>JZQ3061</w:t>
            </w:r>
          </w:p>
        </w:tc>
        <w:tc>
          <w:tcPr>
            <w:tcW w:w="404" w:type="pct"/>
            <w:noWrap w:val="0"/>
            <w:vAlign w:val="center"/>
          </w:tcPr>
          <w:p w14:paraId="2AA373B2">
            <w:pPr>
              <w:pStyle w:val="24"/>
              <w:bidi w:val="0"/>
              <w:rPr>
                <w:rFonts w:hint="eastAsia"/>
                <w:color w:val="auto"/>
              </w:rPr>
            </w:pPr>
            <w:r>
              <w:rPr>
                <w:rFonts w:hint="eastAsia"/>
                <w:color w:val="auto"/>
              </w:rPr>
              <w:t>3</w:t>
            </w:r>
          </w:p>
        </w:tc>
        <w:tc>
          <w:tcPr>
            <w:tcW w:w="498" w:type="pct"/>
            <w:noWrap w:val="0"/>
            <w:vAlign w:val="center"/>
          </w:tcPr>
          <w:p w14:paraId="304C266D">
            <w:pPr>
              <w:pStyle w:val="24"/>
              <w:bidi w:val="0"/>
              <w:rPr>
                <w:rFonts w:hint="eastAsia"/>
                <w:color w:val="auto"/>
              </w:rPr>
            </w:pPr>
          </w:p>
        </w:tc>
        <w:tc>
          <w:tcPr>
            <w:tcW w:w="553" w:type="pct"/>
            <w:noWrap w:val="0"/>
            <w:vAlign w:val="center"/>
          </w:tcPr>
          <w:p w14:paraId="3F99DD33">
            <w:pPr>
              <w:pStyle w:val="24"/>
              <w:bidi w:val="0"/>
              <w:rPr>
                <w:rFonts w:hint="eastAsia"/>
                <w:color w:val="auto"/>
              </w:rPr>
            </w:pPr>
            <w:r>
              <w:rPr>
                <w:rFonts w:hint="eastAsia"/>
                <w:color w:val="auto"/>
              </w:rPr>
              <w:t>37.0</w:t>
            </w:r>
          </w:p>
        </w:tc>
        <w:tc>
          <w:tcPr>
            <w:tcW w:w="891" w:type="pct"/>
            <w:noWrap w:val="0"/>
            <w:vAlign w:val="center"/>
          </w:tcPr>
          <w:p w14:paraId="4F6BCB99">
            <w:pPr>
              <w:pStyle w:val="24"/>
              <w:bidi w:val="0"/>
              <w:rPr>
                <w:color w:val="auto"/>
              </w:rPr>
            </w:pPr>
          </w:p>
        </w:tc>
      </w:tr>
      <w:tr w14:paraId="5AEF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26E14156">
            <w:pPr>
              <w:pStyle w:val="24"/>
              <w:bidi w:val="0"/>
              <w:rPr>
                <w:rFonts w:hint="eastAsia"/>
                <w:color w:val="auto"/>
              </w:rPr>
            </w:pPr>
            <w:r>
              <w:rPr>
                <w:color w:val="auto"/>
              </w:rPr>
              <w:t>4</w:t>
            </w:r>
          </w:p>
        </w:tc>
        <w:tc>
          <w:tcPr>
            <w:tcW w:w="993" w:type="pct"/>
            <w:noWrap w:val="0"/>
            <w:vAlign w:val="center"/>
          </w:tcPr>
          <w:p w14:paraId="2FFBF9AE">
            <w:pPr>
              <w:pStyle w:val="24"/>
              <w:bidi w:val="0"/>
              <w:rPr>
                <w:color w:val="auto"/>
              </w:rPr>
            </w:pPr>
            <w:r>
              <w:rPr>
                <w:rFonts w:hint="eastAsia"/>
                <w:color w:val="auto"/>
              </w:rPr>
              <w:t>中心传动浓缩机</w:t>
            </w:r>
          </w:p>
        </w:tc>
        <w:tc>
          <w:tcPr>
            <w:tcW w:w="1359" w:type="pct"/>
            <w:noWrap w:val="0"/>
            <w:vAlign w:val="center"/>
          </w:tcPr>
          <w:p w14:paraId="26FF7F30">
            <w:pPr>
              <w:pStyle w:val="24"/>
              <w:bidi w:val="0"/>
              <w:rPr>
                <w:rFonts w:hint="eastAsia"/>
                <w:color w:val="auto"/>
              </w:rPr>
            </w:pPr>
            <w:r>
              <w:rPr>
                <w:color w:val="auto"/>
              </w:rPr>
              <w:t>NXZ-</w:t>
            </w:r>
            <w:r>
              <w:rPr>
                <w:rFonts w:hint="eastAsia"/>
                <w:color w:val="auto"/>
              </w:rPr>
              <w:t>15</w:t>
            </w:r>
          </w:p>
        </w:tc>
        <w:tc>
          <w:tcPr>
            <w:tcW w:w="404" w:type="pct"/>
            <w:noWrap w:val="0"/>
            <w:vAlign w:val="center"/>
          </w:tcPr>
          <w:p w14:paraId="0ED3CB4D">
            <w:pPr>
              <w:pStyle w:val="24"/>
              <w:bidi w:val="0"/>
              <w:rPr>
                <w:rFonts w:hint="eastAsia"/>
                <w:color w:val="auto"/>
              </w:rPr>
            </w:pPr>
            <w:r>
              <w:rPr>
                <w:rFonts w:hint="eastAsia"/>
                <w:color w:val="auto"/>
              </w:rPr>
              <w:t>1</w:t>
            </w:r>
          </w:p>
        </w:tc>
        <w:tc>
          <w:tcPr>
            <w:tcW w:w="498" w:type="pct"/>
            <w:noWrap w:val="0"/>
            <w:vAlign w:val="center"/>
          </w:tcPr>
          <w:p w14:paraId="74666DE2">
            <w:pPr>
              <w:pStyle w:val="24"/>
              <w:bidi w:val="0"/>
              <w:rPr>
                <w:rFonts w:hint="eastAsia"/>
                <w:color w:val="auto"/>
              </w:rPr>
            </w:pPr>
          </w:p>
        </w:tc>
        <w:tc>
          <w:tcPr>
            <w:tcW w:w="553" w:type="pct"/>
            <w:noWrap w:val="0"/>
            <w:vAlign w:val="center"/>
          </w:tcPr>
          <w:p w14:paraId="2BE45984">
            <w:pPr>
              <w:pStyle w:val="24"/>
              <w:bidi w:val="0"/>
              <w:rPr>
                <w:rFonts w:hint="eastAsia"/>
                <w:color w:val="auto"/>
              </w:rPr>
            </w:pPr>
            <w:r>
              <w:rPr>
                <w:rFonts w:hint="eastAsia"/>
                <w:color w:val="auto"/>
              </w:rPr>
              <w:t>15.0</w:t>
            </w:r>
          </w:p>
        </w:tc>
        <w:tc>
          <w:tcPr>
            <w:tcW w:w="891" w:type="pct"/>
            <w:noWrap w:val="0"/>
            <w:vAlign w:val="center"/>
          </w:tcPr>
          <w:p w14:paraId="72406F2E">
            <w:pPr>
              <w:pStyle w:val="24"/>
              <w:bidi w:val="0"/>
              <w:rPr>
                <w:rFonts w:hint="eastAsia"/>
                <w:color w:val="auto"/>
              </w:rPr>
            </w:pPr>
          </w:p>
        </w:tc>
      </w:tr>
      <w:tr w14:paraId="799B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18D40092">
            <w:pPr>
              <w:pStyle w:val="24"/>
              <w:bidi w:val="0"/>
              <w:rPr>
                <w:rFonts w:hint="eastAsia"/>
                <w:color w:val="auto"/>
              </w:rPr>
            </w:pPr>
            <w:r>
              <w:rPr>
                <w:color w:val="auto"/>
              </w:rPr>
              <w:t>5</w:t>
            </w:r>
          </w:p>
        </w:tc>
        <w:tc>
          <w:tcPr>
            <w:tcW w:w="993" w:type="pct"/>
            <w:noWrap w:val="0"/>
            <w:vAlign w:val="center"/>
          </w:tcPr>
          <w:p w14:paraId="169DD120">
            <w:pPr>
              <w:pStyle w:val="24"/>
              <w:bidi w:val="0"/>
              <w:rPr>
                <w:rFonts w:hint="eastAsia"/>
                <w:color w:val="auto"/>
              </w:rPr>
            </w:pPr>
            <w:r>
              <w:rPr>
                <w:rFonts w:hint="eastAsia"/>
                <w:color w:val="auto"/>
              </w:rPr>
              <w:t>板框压滤机</w:t>
            </w:r>
          </w:p>
        </w:tc>
        <w:tc>
          <w:tcPr>
            <w:tcW w:w="1359" w:type="pct"/>
            <w:noWrap w:val="0"/>
            <w:vAlign w:val="center"/>
          </w:tcPr>
          <w:p w14:paraId="64C608C1">
            <w:pPr>
              <w:pStyle w:val="24"/>
              <w:bidi w:val="0"/>
              <w:rPr>
                <w:rFonts w:hint="eastAsia"/>
                <w:color w:val="auto"/>
              </w:rPr>
            </w:pPr>
            <w:r>
              <w:rPr>
                <w:color w:val="auto"/>
              </w:rPr>
              <w:t>HMZG800/2000-U</w:t>
            </w:r>
          </w:p>
        </w:tc>
        <w:tc>
          <w:tcPr>
            <w:tcW w:w="404" w:type="pct"/>
            <w:noWrap w:val="0"/>
            <w:vAlign w:val="center"/>
          </w:tcPr>
          <w:p w14:paraId="3C6FE814">
            <w:pPr>
              <w:pStyle w:val="24"/>
              <w:bidi w:val="0"/>
              <w:rPr>
                <w:color w:val="auto"/>
              </w:rPr>
            </w:pPr>
            <w:r>
              <w:rPr>
                <w:rFonts w:hint="eastAsia"/>
                <w:color w:val="auto"/>
              </w:rPr>
              <w:t>7</w:t>
            </w:r>
          </w:p>
        </w:tc>
        <w:tc>
          <w:tcPr>
            <w:tcW w:w="498" w:type="pct"/>
            <w:noWrap w:val="0"/>
            <w:vAlign w:val="center"/>
          </w:tcPr>
          <w:p w14:paraId="3718D372">
            <w:pPr>
              <w:pStyle w:val="24"/>
              <w:bidi w:val="0"/>
              <w:rPr>
                <w:rFonts w:hint="eastAsia"/>
                <w:color w:val="auto"/>
              </w:rPr>
            </w:pPr>
          </w:p>
        </w:tc>
        <w:tc>
          <w:tcPr>
            <w:tcW w:w="553" w:type="pct"/>
            <w:noWrap w:val="0"/>
            <w:vAlign w:val="center"/>
          </w:tcPr>
          <w:p w14:paraId="25665644">
            <w:pPr>
              <w:pStyle w:val="24"/>
              <w:bidi w:val="0"/>
              <w:rPr>
                <w:rFonts w:hint="eastAsia"/>
                <w:color w:val="auto"/>
              </w:rPr>
            </w:pPr>
            <w:r>
              <w:rPr>
                <w:rFonts w:hint="eastAsia"/>
                <w:color w:val="auto"/>
              </w:rPr>
              <w:t>18.5</w:t>
            </w:r>
          </w:p>
        </w:tc>
        <w:tc>
          <w:tcPr>
            <w:tcW w:w="891" w:type="pct"/>
            <w:noWrap w:val="0"/>
            <w:vAlign w:val="center"/>
          </w:tcPr>
          <w:p w14:paraId="17A19B98">
            <w:pPr>
              <w:pStyle w:val="24"/>
              <w:bidi w:val="0"/>
              <w:rPr>
                <w:rFonts w:hint="eastAsia"/>
                <w:color w:val="auto"/>
              </w:rPr>
            </w:pPr>
          </w:p>
        </w:tc>
      </w:tr>
      <w:tr w14:paraId="335E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61E1CFCA">
            <w:pPr>
              <w:pStyle w:val="24"/>
              <w:bidi w:val="0"/>
              <w:rPr>
                <w:color w:val="auto"/>
              </w:rPr>
            </w:pPr>
            <w:r>
              <w:rPr>
                <w:rFonts w:hint="eastAsia"/>
                <w:color w:val="auto"/>
              </w:rPr>
              <w:t>6</w:t>
            </w:r>
          </w:p>
        </w:tc>
        <w:tc>
          <w:tcPr>
            <w:tcW w:w="993" w:type="pct"/>
            <w:noWrap w:val="0"/>
            <w:vAlign w:val="center"/>
          </w:tcPr>
          <w:p w14:paraId="58F4DD2E">
            <w:pPr>
              <w:pStyle w:val="24"/>
              <w:bidi w:val="0"/>
              <w:rPr>
                <w:rFonts w:hint="eastAsia"/>
                <w:color w:val="auto"/>
              </w:rPr>
            </w:pPr>
            <w:r>
              <w:rPr>
                <w:rFonts w:hint="eastAsia"/>
                <w:color w:val="auto"/>
              </w:rPr>
              <w:t>皮带输送机</w:t>
            </w:r>
          </w:p>
        </w:tc>
        <w:tc>
          <w:tcPr>
            <w:tcW w:w="1359" w:type="pct"/>
            <w:noWrap w:val="0"/>
            <w:vAlign w:val="center"/>
          </w:tcPr>
          <w:p w14:paraId="312B8E80">
            <w:pPr>
              <w:pStyle w:val="24"/>
              <w:bidi w:val="0"/>
              <w:rPr>
                <w:rFonts w:hint="eastAsia"/>
                <w:color w:val="auto"/>
              </w:rPr>
            </w:pPr>
            <w:r>
              <w:rPr>
                <w:color w:val="auto"/>
              </w:rPr>
              <w:t>TD75</w:t>
            </w:r>
            <w:r>
              <w:rPr>
                <w:rFonts w:hint="eastAsia"/>
                <w:color w:val="auto"/>
              </w:rPr>
              <w:t>-1200</w:t>
            </w:r>
          </w:p>
        </w:tc>
        <w:tc>
          <w:tcPr>
            <w:tcW w:w="404" w:type="pct"/>
            <w:noWrap w:val="0"/>
            <w:vAlign w:val="center"/>
          </w:tcPr>
          <w:p w14:paraId="4EA36010">
            <w:pPr>
              <w:pStyle w:val="24"/>
              <w:bidi w:val="0"/>
              <w:rPr>
                <w:rFonts w:hint="eastAsia"/>
                <w:color w:val="auto"/>
              </w:rPr>
            </w:pPr>
            <w:r>
              <w:rPr>
                <w:rFonts w:hint="eastAsia"/>
                <w:color w:val="auto"/>
              </w:rPr>
              <w:t>7</w:t>
            </w:r>
          </w:p>
        </w:tc>
        <w:tc>
          <w:tcPr>
            <w:tcW w:w="498" w:type="pct"/>
            <w:noWrap w:val="0"/>
            <w:vAlign w:val="center"/>
          </w:tcPr>
          <w:p w14:paraId="5CEA83E1">
            <w:pPr>
              <w:pStyle w:val="24"/>
              <w:bidi w:val="0"/>
              <w:rPr>
                <w:rFonts w:hint="eastAsia"/>
                <w:color w:val="auto"/>
              </w:rPr>
            </w:pPr>
          </w:p>
        </w:tc>
        <w:tc>
          <w:tcPr>
            <w:tcW w:w="553" w:type="pct"/>
            <w:noWrap w:val="0"/>
            <w:vAlign w:val="center"/>
          </w:tcPr>
          <w:p w14:paraId="43A897A8">
            <w:pPr>
              <w:pStyle w:val="24"/>
              <w:bidi w:val="0"/>
              <w:rPr>
                <w:rFonts w:hint="eastAsia"/>
                <w:color w:val="auto"/>
              </w:rPr>
            </w:pPr>
            <w:r>
              <w:rPr>
                <w:rFonts w:hint="eastAsia"/>
                <w:color w:val="auto"/>
              </w:rPr>
              <w:t>15.0</w:t>
            </w:r>
          </w:p>
        </w:tc>
        <w:tc>
          <w:tcPr>
            <w:tcW w:w="891" w:type="pct"/>
            <w:noWrap w:val="0"/>
            <w:vAlign w:val="center"/>
          </w:tcPr>
          <w:p w14:paraId="31829D11">
            <w:pPr>
              <w:pStyle w:val="24"/>
              <w:bidi w:val="0"/>
              <w:rPr>
                <w:rFonts w:hint="eastAsia"/>
                <w:color w:val="auto"/>
              </w:rPr>
            </w:pPr>
          </w:p>
        </w:tc>
      </w:tr>
      <w:tr w14:paraId="000B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0351E5BD">
            <w:pPr>
              <w:pStyle w:val="24"/>
              <w:bidi w:val="0"/>
              <w:rPr>
                <w:color w:val="auto"/>
              </w:rPr>
            </w:pPr>
            <w:r>
              <w:rPr>
                <w:color w:val="auto"/>
              </w:rPr>
              <w:t>7</w:t>
            </w:r>
          </w:p>
        </w:tc>
        <w:tc>
          <w:tcPr>
            <w:tcW w:w="993" w:type="pct"/>
            <w:noWrap w:val="0"/>
            <w:vAlign w:val="center"/>
          </w:tcPr>
          <w:p w14:paraId="1602B871">
            <w:pPr>
              <w:pStyle w:val="24"/>
              <w:bidi w:val="0"/>
              <w:rPr>
                <w:rFonts w:hint="eastAsia"/>
                <w:color w:val="auto"/>
              </w:rPr>
            </w:pPr>
            <w:r>
              <w:rPr>
                <w:rFonts w:hint="eastAsia"/>
                <w:color w:val="auto"/>
              </w:rPr>
              <w:t>皮带输送机</w:t>
            </w:r>
          </w:p>
        </w:tc>
        <w:tc>
          <w:tcPr>
            <w:tcW w:w="1359" w:type="pct"/>
            <w:noWrap w:val="0"/>
            <w:vAlign w:val="center"/>
          </w:tcPr>
          <w:p w14:paraId="4610C62D">
            <w:pPr>
              <w:pStyle w:val="24"/>
              <w:bidi w:val="0"/>
              <w:rPr>
                <w:color w:val="auto"/>
              </w:rPr>
            </w:pPr>
            <w:r>
              <w:rPr>
                <w:color w:val="auto"/>
              </w:rPr>
              <w:t>TD75</w:t>
            </w:r>
            <w:r>
              <w:rPr>
                <w:rFonts w:hint="eastAsia"/>
                <w:color w:val="auto"/>
              </w:rPr>
              <w:t>-1400</w:t>
            </w:r>
          </w:p>
        </w:tc>
        <w:tc>
          <w:tcPr>
            <w:tcW w:w="404" w:type="pct"/>
            <w:noWrap w:val="0"/>
            <w:vAlign w:val="center"/>
          </w:tcPr>
          <w:p w14:paraId="708D0A5F">
            <w:pPr>
              <w:pStyle w:val="24"/>
              <w:bidi w:val="0"/>
              <w:rPr>
                <w:rFonts w:hint="eastAsia"/>
                <w:color w:val="auto"/>
              </w:rPr>
            </w:pPr>
            <w:r>
              <w:rPr>
                <w:rFonts w:hint="eastAsia"/>
                <w:color w:val="auto"/>
              </w:rPr>
              <w:t>1</w:t>
            </w:r>
          </w:p>
        </w:tc>
        <w:tc>
          <w:tcPr>
            <w:tcW w:w="498" w:type="pct"/>
            <w:noWrap w:val="0"/>
            <w:vAlign w:val="center"/>
          </w:tcPr>
          <w:p w14:paraId="11641FB1">
            <w:pPr>
              <w:pStyle w:val="24"/>
              <w:bidi w:val="0"/>
              <w:rPr>
                <w:rFonts w:hint="eastAsia"/>
                <w:color w:val="auto"/>
              </w:rPr>
            </w:pPr>
          </w:p>
        </w:tc>
        <w:tc>
          <w:tcPr>
            <w:tcW w:w="553" w:type="pct"/>
            <w:noWrap w:val="0"/>
            <w:vAlign w:val="center"/>
          </w:tcPr>
          <w:p w14:paraId="29B08AC9">
            <w:pPr>
              <w:pStyle w:val="24"/>
              <w:bidi w:val="0"/>
              <w:rPr>
                <w:rFonts w:hint="eastAsia"/>
                <w:color w:val="auto"/>
              </w:rPr>
            </w:pPr>
            <w:r>
              <w:rPr>
                <w:rFonts w:hint="eastAsia"/>
                <w:color w:val="auto"/>
              </w:rPr>
              <w:t>37.0</w:t>
            </w:r>
          </w:p>
        </w:tc>
        <w:tc>
          <w:tcPr>
            <w:tcW w:w="891" w:type="pct"/>
            <w:noWrap w:val="0"/>
            <w:vAlign w:val="center"/>
          </w:tcPr>
          <w:p w14:paraId="11243A32">
            <w:pPr>
              <w:pStyle w:val="24"/>
              <w:bidi w:val="0"/>
              <w:rPr>
                <w:rFonts w:hint="eastAsia"/>
                <w:color w:val="auto"/>
              </w:rPr>
            </w:pPr>
          </w:p>
        </w:tc>
      </w:tr>
      <w:tr w14:paraId="3007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0472D433">
            <w:pPr>
              <w:pStyle w:val="24"/>
              <w:bidi w:val="0"/>
              <w:rPr>
                <w:rFonts w:hint="eastAsia"/>
                <w:color w:val="auto"/>
              </w:rPr>
            </w:pPr>
            <w:r>
              <w:rPr>
                <w:color w:val="auto"/>
              </w:rPr>
              <w:t>8</w:t>
            </w:r>
          </w:p>
        </w:tc>
        <w:tc>
          <w:tcPr>
            <w:tcW w:w="993" w:type="pct"/>
            <w:noWrap w:val="0"/>
            <w:vAlign w:val="center"/>
          </w:tcPr>
          <w:p w14:paraId="36164D6E">
            <w:pPr>
              <w:pStyle w:val="24"/>
              <w:bidi w:val="0"/>
              <w:rPr>
                <w:color w:val="auto"/>
              </w:rPr>
            </w:pPr>
            <w:r>
              <w:rPr>
                <w:rFonts w:hint="eastAsia"/>
                <w:color w:val="auto"/>
              </w:rPr>
              <w:t>皮带输送机</w:t>
            </w:r>
          </w:p>
        </w:tc>
        <w:tc>
          <w:tcPr>
            <w:tcW w:w="1359" w:type="pct"/>
            <w:noWrap w:val="0"/>
            <w:vAlign w:val="center"/>
          </w:tcPr>
          <w:p w14:paraId="62692558">
            <w:pPr>
              <w:pStyle w:val="24"/>
              <w:bidi w:val="0"/>
              <w:rPr>
                <w:rFonts w:hint="eastAsia"/>
                <w:color w:val="auto"/>
              </w:rPr>
            </w:pPr>
            <w:r>
              <w:rPr>
                <w:color w:val="auto"/>
              </w:rPr>
              <w:t>TD75</w:t>
            </w:r>
            <w:r>
              <w:rPr>
                <w:rFonts w:hint="eastAsia"/>
                <w:color w:val="auto"/>
              </w:rPr>
              <w:t>-1400</w:t>
            </w:r>
          </w:p>
        </w:tc>
        <w:tc>
          <w:tcPr>
            <w:tcW w:w="404" w:type="pct"/>
            <w:noWrap w:val="0"/>
            <w:vAlign w:val="center"/>
          </w:tcPr>
          <w:p w14:paraId="52A485CD">
            <w:pPr>
              <w:pStyle w:val="24"/>
              <w:bidi w:val="0"/>
              <w:rPr>
                <w:rFonts w:hint="eastAsia"/>
                <w:color w:val="auto"/>
              </w:rPr>
            </w:pPr>
            <w:r>
              <w:rPr>
                <w:rFonts w:hint="eastAsia"/>
                <w:color w:val="auto"/>
              </w:rPr>
              <w:t>1</w:t>
            </w:r>
          </w:p>
        </w:tc>
        <w:tc>
          <w:tcPr>
            <w:tcW w:w="498" w:type="pct"/>
            <w:noWrap w:val="0"/>
            <w:vAlign w:val="center"/>
          </w:tcPr>
          <w:p w14:paraId="300D26FD">
            <w:pPr>
              <w:pStyle w:val="24"/>
              <w:bidi w:val="0"/>
              <w:rPr>
                <w:rFonts w:hint="eastAsia"/>
                <w:color w:val="auto"/>
              </w:rPr>
            </w:pPr>
          </w:p>
        </w:tc>
        <w:tc>
          <w:tcPr>
            <w:tcW w:w="553" w:type="pct"/>
            <w:noWrap w:val="0"/>
            <w:vAlign w:val="center"/>
          </w:tcPr>
          <w:p w14:paraId="3B7DF3D7">
            <w:pPr>
              <w:pStyle w:val="24"/>
              <w:bidi w:val="0"/>
              <w:rPr>
                <w:rFonts w:hint="eastAsia"/>
                <w:color w:val="auto"/>
              </w:rPr>
            </w:pPr>
            <w:r>
              <w:rPr>
                <w:rFonts w:hint="eastAsia"/>
                <w:color w:val="auto"/>
              </w:rPr>
              <w:t>18.5</w:t>
            </w:r>
          </w:p>
        </w:tc>
        <w:tc>
          <w:tcPr>
            <w:tcW w:w="891" w:type="pct"/>
            <w:noWrap w:val="0"/>
            <w:vAlign w:val="center"/>
          </w:tcPr>
          <w:p w14:paraId="33860B81">
            <w:pPr>
              <w:pStyle w:val="24"/>
              <w:bidi w:val="0"/>
              <w:rPr>
                <w:rFonts w:hint="eastAsia"/>
                <w:color w:val="auto"/>
              </w:rPr>
            </w:pPr>
          </w:p>
        </w:tc>
      </w:tr>
      <w:tr w14:paraId="1DAF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53495146">
            <w:pPr>
              <w:pStyle w:val="24"/>
              <w:bidi w:val="0"/>
              <w:rPr>
                <w:color w:val="auto"/>
              </w:rPr>
            </w:pPr>
            <w:r>
              <w:rPr>
                <w:color w:val="auto"/>
              </w:rPr>
              <w:t>9</w:t>
            </w:r>
          </w:p>
        </w:tc>
        <w:tc>
          <w:tcPr>
            <w:tcW w:w="993" w:type="pct"/>
            <w:noWrap w:val="0"/>
            <w:vAlign w:val="center"/>
          </w:tcPr>
          <w:p w14:paraId="5B2474BB">
            <w:pPr>
              <w:pStyle w:val="24"/>
              <w:bidi w:val="0"/>
              <w:rPr>
                <w:color w:val="auto"/>
              </w:rPr>
            </w:pPr>
            <w:r>
              <w:rPr>
                <w:rFonts w:hint="eastAsia"/>
                <w:color w:val="auto"/>
              </w:rPr>
              <w:t>电动单梁吊</w:t>
            </w:r>
          </w:p>
        </w:tc>
        <w:tc>
          <w:tcPr>
            <w:tcW w:w="1359" w:type="pct"/>
            <w:noWrap w:val="0"/>
            <w:vAlign w:val="center"/>
          </w:tcPr>
          <w:p w14:paraId="1EFFFDA1">
            <w:pPr>
              <w:pStyle w:val="24"/>
              <w:bidi w:val="0"/>
              <w:rPr>
                <w:rFonts w:hint="eastAsia"/>
                <w:color w:val="auto"/>
              </w:rPr>
            </w:pPr>
            <w:r>
              <w:rPr>
                <w:color w:val="auto"/>
              </w:rPr>
              <w:t>LD16t</w:t>
            </w:r>
          </w:p>
        </w:tc>
        <w:tc>
          <w:tcPr>
            <w:tcW w:w="404" w:type="pct"/>
            <w:noWrap w:val="0"/>
            <w:vAlign w:val="center"/>
          </w:tcPr>
          <w:p w14:paraId="46B86C91">
            <w:pPr>
              <w:pStyle w:val="24"/>
              <w:bidi w:val="0"/>
              <w:rPr>
                <w:color w:val="auto"/>
              </w:rPr>
            </w:pPr>
            <w:r>
              <w:rPr>
                <w:rFonts w:hint="eastAsia"/>
                <w:color w:val="auto"/>
              </w:rPr>
              <w:t>1</w:t>
            </w:r>
          </w:p>
        </w:tc>
        <w:tc>
          <w:tcPr>
            <w:tcW w:w="498" w:type="pct"/>
            <w:noWrap w:val="0"/>
            <w:vAlign w:val="center"/>
          </w:tcPr>
          <w:p w14:paraId="033A5E2B">
            <w:pPr>
              <w:pStyle w:val="24"/>
              <w:bidi w:val="0"/>
              <w:rPr>
                <w:rFonts w:hint="eastAsia"/>
                <w:color w:val="auto"/>
              </w:rPr>
            </w:pPr>
          </w:p>
        </w:tc>
        <w:tc>
          <w:tcPr>
            <w:tcW w:w="553" w:type="pct"/>
            <w:noWrap w:val="0"/>
            <w:vAlign w:val="center"/>
          </w:tcPr>
          <w:p w14:paraId="6EEAB43B">
            <w:pPr>
              <w:pStyle w:val="24"/>
              <w:bidi w:val="0"/>
              <w:rPr>
                <w:rFonts w:hint="eastAsia"/>
                <w:color w:val="auto"/>
              </w:rPr>
            </w:pPr>
            <w:r>
              <w:rPr>
                <w:rFonts w:hint="eastAsia"/>
                <w:color w:val="auto"/>
              </w:rPr>
              <w:t>15.0</w:t>
            </w:r>
          </w:p>
        </w:tc>
        <w:tc>
          <w:tcPr>
            <w:tcW w:w="891" w:type="pct"/>
            <w:noWrap w:val="0"/>
            <w:vAlign w:val="center"/>
          </w:tcPr>
          <w:p w14:paraId="173B9E0F">
            <w:pPr>
              <w:pStyle w:val="24"/>
              <w:bidi w:val="0"/>
              <w:rPr>
                <w:rFonts w:hint="eastAsia"/>
                <w:color w:val="auto"/>
              </w:rPr>
            </w:pPr>
          </w:p>
        </w:tc>
      </w:tr>
      <w:tr w14:paraId="5DA0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3F4D13C5">
            <w:pPr>
              <w:pStyle w:val="24"/>
              <w:bidi w:val="0"/>
              <w:rPr>
                <w:rFonts w:hint="eastAsia" w:eastAsia="宋体"/>
                <w:color w:val="auto"/>
                <w:lang w:eastAsia="zh-CN"/>
              </w:rPr>
            </w:pPr>
            <w:r>
              <w:rPr>
                <w:color w:val="auto"/>
              </w:rPr>
              <w:t>1</w:t>
            </w:r>
            <w:r>
              <w:rPr>
                <w:rFonts w:hint="eastAsia"/>
                <w:color w:val="auto"/>
                <w:lang w:val="en-US" w:eastAsia="zh-CN"/>
              </w:rPr>
              <w:t>0</w:t>
            </w:r>
          </w:p>
        </w:tc>
        <w:tc>
          <w:tcPr>
            <w:tcW w:w="993" w:type="pct"/>
            <w:noWrap w:val="0"/>
            <w:vAlign w:val="center"/>
          </w:tcPr>
          <w:p w14:paraId="375C1876">
            <w:pPr>
              <w:pStyle w:val="24"/>
              <w:bidi w:val="0"/>
              <w:rPr>
                <w:color w:val="auto"/>
              </w:rPr>
            </w:pPr>
            <w:r>
              <w:rPr>
                <w:rFonts w:hint="eastAsia"/>
                <w:color w:val="auto"/>
              </w:rPr>
              <w:t>渣浆泵</w:t>
            </w:r>
          </w:p>
        </w:tc>
        <w:tc>
          <w:tcPr>
            <w:tcW w:w="1359" w:type="pct"/>
            <w:noWrap w:val="0"/>
            <w:vAlign w:val="center"/>
          </w:tcPr>
          <w:p w14:paraId="7F11BDED">
            <w:pPr>
              <w:pStyle w:val="24"/>
              <w:bidi w:val="0"/>
              <w:rPr>
                <w:rFonts w:hint="eastAsia"/>
                <w:color w:val="auto"/>
              </w:rPr>
            </w:pPr>
            <w:r>
              <w:rPr>
                <w:color w:val="auto"/>
              </w:rPr>
              <w:t>200ZGM-50</w:t>
            </w:r>
          </w:p>
        </w:tc>
        <w:tc>
          <w:tcPr>
            <w:tcW w:w="404" w:type="pct"/>
            <w:noWrap w:val="0"/>
            <w:vAlign w:val="center"/>
          </w:tcPr>
          <w:p w14:paraId="7E705B6A">
            <w:pPr>
              <w:pStyle w:val="24"/>
              <w:bidi w:val="0"/>
              <w:rPr>
                <w:color w:val="auto"/>
              </w:rPr>
            </w:pPr>
            <w:r>
              <w:rPr>
                <w:rFonts w:hint="eastAsia"/>
                <w:color w:val="auto"/>
              </w:rPr>
              <w:t>2</w:t>
            </w:r>
          </w:p>
        </w:tc>
        <w:tc>
          <w:tcPr>
            <w:tcW w:w="498" w:type="pct"/>
            <w:noWrap w:val="0"/>
            <w:vAlign w:val="center"/>
          </w:tcPr>
          <w:p w14:paraId="27860FEB">
            <w:pPr>
              <w:pStyle w:val="24"/>
              <w:bidi w:val="0"/>
              <w:rPr>
                <w:rFonts w:hint="eastAsia"/>
                <w:color w:val="auto"/>
              </w:rPr>
            </w:pPr>
          </w:p>
        </w:tc>
        <w:tc>
          <w:tcPr>
            <w:tcW w:w="553" w:type="pct"/>
            <w:noWrap w:val="0"/>
            <w:vAlign w:val="center"/>
          </w:tcPr>
          <w:p w14:paraId="4BFC301C">
            <w:pPr>
              <w:pStyle w:val="24"/>
              <w:bidi w:val="0"/>
              <w:rPr>
                <w:rFonts w:hint="eastAsia"/>
                <w:color w:val="auto"/>
              </w:rPr>
            </w:pPr>
            <w:r>
              <w:rPr>
                <w:rFonts w:hint="eastAsia"/>
                <w:color w:val="auto"/>
              </w:rPr>
              <w:t>132.0</w:t>
            </w:r>
          </w:p>
        </w:tc>
        <w:tc>
          <w:tcPr>
            <w:tcW w:w="891" w:type="pct"/>
            <w:noWrap w:val="0"/>
            <w:vAlign w:val="center"/>
          </w:tcPr>
          <w:p w14:paraId="21839BC4">
            <w:pPr>
              <w:pStyle w:val="24"/>
              <w:bidi w:val="0"/>
              <w:rPr>
                <w:rFonts w:hint="eastAsia"/>
                <w:color w:val="auto"/>
              </w:rPr>
            </w:pPr>
          </w:p>
        </w:tc>
      </w:tr>
      <w:tr w14:paraId="3D58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300" w:type="pct"/>
            <w:noWrap w:val="0"/>
            <w:vAlign w:val="center"/>
          </w:tcPr>
          <w:p w14:paraId="7745C02D">
            <w:pPr>
              <w:pStyle w:val="24"/>
              <w:bidi w:val="0"/>
              <w:rPr>
                <w:rFonts w:hint="eastAsia" w:eastAsia="宋体"/>
                <w:color w:val="auto"/>
                <w:lang w:eastAsia="zh-CN"/>
              </w:rPr>
            </w:pPr>
            <w:r>
              <w:rPr>
                <w:rFonts w:hint="eastAsia"/>
                <w:color w:val="auto"/>
              </w:rPr>
              <w:t>1</w:t>
            </w:r>
            <w:r>
              <w:rPr>
                <w:rFonts w:hint="eastAsia"/>
                <w:color w:val="auto"/>
                <w:lang w:val="en-US" w:eastAsia="zh-CN"/>
              </w:rPr>
              <w:t>1</w:t>
            </w:r>
          </w:p>
        </w:tc>
        <w:tc>
          <w:tcPr>
            <w:tcW w:w="993" w:type="pct"/>
            <w:noWrap w:val="0"/>
            <w:vAlign w:val="center"/>
          </w:tcPr>
          <w:p w14:paraId="056A45BF">
            <w:pPr>
              <w:pStyle w:val="24"/>
              <w:bidi w:val="0"/>
              <w:rPr>
                <w:rFonts w:hint="eastAsia"/>
                <w:color w:val="auto"/>
              </w:rPr>
            </w:pPr>
            <w:r>
              <w:rPr>
                <w:rFonts w:hint="eastAsia"/>
                <w:color w:val="auto"/>
              </w:rPr>
              <w:t>立式单级离心泵</w:t>
            </w:r>
            <w:r>
              <w:rPr>
                <w:rFonts w:hint="eastAsia"/>
                <w:color w:val="auto"/>
                <w:lang w:eastAsia="zh-CN"/>
              </w:rPr>
              <w:t>（</w:t>
            </w:r>
            <w:r>
              <w:rPr>
                <w:rFonts w:hint="eastAsia"/>
                <w:color w:val="auto"/>
              </w:rPr>
              <w:t>回水泵）</w:t>
            </w:r>
          </w:p>
        </w:tc>
        <w:tc>
          <w:tcPr>
            <w:tcW w:w="1359" w:type="pct"/>
            <w:noWrap w:val="0"/>
            <w:vAlign w:val="center"/>
          </w:tcPr>
          <w:p w14:paraId="3ECF918C">
            <w:pPr>
              <w:pStyle w:val="24"/>
              <w:bidi w:val="0"/>
              <w:rPr>
                <w:rFonts w:hint="eastAsia"/>
                <w:color w:val="auto"/>
              </w:rPr>
            </w:pPr>
            <w:r>
              <w:rPr>
                <w:color w:val="auto"/>
              </w:rPr>
              <w:t>150KQL200-50-45/4+HT</w:t>
            </w:r>
          </w:p>
        </w:tc>
        <w:tc>
          <w:tcPr>
            <w:tcW w:w="404" w:type="pct"/>
            <w:noWrap w:val="0"/>
            <w:vAlign w:val="center"/>
          </w:tcPr>
          <w:p w14:paraId="63D2A1C8">
            <w:pPr>
              <w:pStyle w:val="24"/>
              <w:bidi w:val="0"/>
              <w:rPr>
                <w:rFonts w:hint="eastAsia"/>
                <w:color w:val="auto"/>
              </w:rPr>
            </w:pPr>
            <w:r>
              <w:rPr>
                <w:rFonts w:hint="eastAsia"/>
                <w:color w:val="auto"/>
              </w:rPr>
              <w:t>1</w:t>
            </w:r>
          </w:p>
        </w:tc>
        <w:tc>
          <w:tcPr>
            <w:tcW w:w="498" w:type="pct"/>
            <w:noWrap w:val="0"/>
            <w:vAlign w:val="center"/>
          </w:tcPr>
          <w:p w14:paraId="479AF9F8">
            <w:pPr>
              <w:pStyle w:val="24"/>
              <w:bidi w:val="0"/>
              <w:rPr>
                <w:rFonts w:hint="eastAsia"/>
                <w:color w:val="auto"/>
              </w:rPr>
            </w:pPr>
          </w:p>
        </w:tc>
        <w:tc>
          <w:tcPr>
            <w:tcW w:w="553" w:type="pct"/>
            <w:noWrap w:val="0"/>
            <w:vAlign w:val="center"/>
          </w:tcPr>
          <w:p w14:paraId="154228BA">
            <w:pPr>
              <w:pStyle w:val="24"/>
              <w:bidi w:val="0"/>
              <w:rPr>
                <w:rFonts w:hint="eastAsia"/>
                <w:color w:val="auto"/>
              </w:rPr>
            </w:pPr>
            <w:r>
              <w:rPr>
                <w:rFonts w:hint="eastAsia"/>
                <w:color w:val="auto"/>
              </w:rPr>
              <w:t>45.0</w:t>
            </w:r>
          </w:p>
        </w:tc>
        <w:tc>
          <w:tcPr>
            <w:tcW w:w="891" w:type="pct"/>
            <w:noWrap w:val="0"/>
            <w:vAlign w:val="center"/>
          </w:tcPr>
          <w:p w14:paraId="4E805CA3">
            <w:pPr>
              <w:pStyle w:val="24"/>
              <w:bidi w:val="0"/>
              <w:rPr>
                <w:rFonts w:hint="eastAsia"/>
                <w:color w:val="auto"/>
              </w:rPr>
            </w:pPr>
          </w:p>
        </w:tc>
      </w:tr>
      <w:tr w14:paraId="3B02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jc w:val="center"/>
        </w:trPr>
        <w:tc>
          <w:tcPr>
            <w:tcW w:w="300" w:type="pct"/>
            <w:noWrap w:val="0"/>
            <w:vAlign w:val="center"/>
          </w:tcPr>
          <w:p w14:paraId="1A79BF01">
            <w:pPr>
              <w:pStyle w:val="24"/>
              <w:bidi w:val="0"/>
              <w:rPr>
                <w:rFonts w:hint="eastAsia" w:eastAsia="宋体"/>
                <w:color w:val="auto"/>
                <w:lang w:eastAsia="zh-CN"/>
              </w:rPr>
            </w:pPr>
            <w:r>
              <w:rPr>
                <w:rFonts w:hint="eastAsia"/>
                <w:color w:val="auto"/>
              </w:rPr>
              <w:t>1</w:t>
            </w:r>
            <w:r>
              <w:rPr>
                <w:rFonts w:hint="eastAsia"/>
                <w:color w:val="auto"/>
                <w:lang w:val="en-US" w:eastAsia="zh-CN"/>
              </w:rPr>
              <w:t>2</w:t>
            </w:r>
          </w:p>
        </w:tc>
        <w:tc>
          <w:tcPr>
            <w:tcW w:w="993" w:type="pct"/>
            <w:noWrap w:val="0"/>
            <w:vAlign w:val="center"/>
          </w:tcPr>
          <w:p w14:paraId="183CC97E">
            <w:pPr>
              <w:pStyle w:val="24"/>
              <w:bidi w:val="0"/>
              <w:rPr>
                <w:rFonts w:hint="eastAsia"/>
                <w:color w:val="auto"/>
              </w:rPr>
            </w:pPr>
            <w:r>
              <w:rPr>
                <w:rFonts w:hint="eastAsia"/>
                <w:color w:val="auto"/>
              </w:rPr>
              <w:t>卧式管道泵(回水泵）</w:t>
            </w:r>
          </w:p>
        </w:tc>
        <w:tc>
          <w:tcPr>
            <w:tcW w:w="1359" w:type="pct"/>
            <w:noWrap w:val="0"/>
            <w:vAlign w:val="center"/>
          </w:tcPr>
          <w:p w14:paraId="17B1BC2F">
            <w:pPr>
              <w:pStyle w:val="24"/>
              <w:bidi w:val="0"/>
              <w:rPr>
                <w:rFonts w:hint="eastAsia"/>
                <w:color w:val="auto"/>
              </w:rPr>
            </w:pPr>
            <w:r>
              <w:rPr>
                <w:color w:val="auto"/>
              </w:rPr>
              <w:t>ISW80-200</w:t>
            </w:r>
          </w:p>
        </w:tc>
        <w:tc>
          <w:tcPr>
            <w:tcW w:w="404" w:type="pct"/>
            <w:noWrap w:val="0"/>
            <w:vAlign w:val="center"/>
          </w:tcPr>
          <w:p w14:paraId="3AA1A7E8">
            <w:pPr>
              <w:pStyle w:val="24"/>
              <w:bidi w:val="0"/>
              <w:rPr>
                <w:rFonts w:hint="eastAsia"/>
                <w:color w:val="auto"/>
              </w:rPr>
            </w:pPr>
            <w:r>
              <w:rPr>
                <w:rFonts w:hint="eastAsia"/>
                <w:color w:val="auto"/>
              </w:rPr>
              <w:t>3</w:t>
            </w:r>
          </w:p>
        </w:tc>
        <w:tc>
          <w:tcPr>
            <w:tcW w:w="498" w:type="pct"/>
            <w:noWrap w:val="0"/>
            <w:vAlign w:val="center"/>
          </w:tcPr>
          <w:p w14:paraId="124AACD0">
            <w:pPr>
              <w:pStyle w:val="24"/>
              <w:bidi w:val="0"/>
              <w:rPr>
                <w:rFonts w:hint="eastAsia"/>
                <w:color w:val="auto"/>
              </w:rPr>
            </w:pPr>
          </w:p>
        </w:tc>
        <w:tc>
          <w:tcPr>
            <w:tcW w:w="553" w:type="pct"/>
            <w:noWrap w:val="0"/>
            <w:vAlign w:val="center"/>
          </w:tcPr>
          <w:p w14:paraId="7DA6B1DD">
            <w:pPr>
              <w:pStyle w:val="24"/>
              <w:bidi w:val="0"/>
              <w:rPr>
                <w:rFonts w:hint="eastAsia"/>
                <w:color w:val="auto"/>
              </w:rPr>
            </w:pPr>
            <w:r>
              <w:rPr>
                <w:rFonts w:hint="eastAsia"/>
                <w:color w:val="auto"/>
              </w:rPr>
              <w:t>15.0</w:t>
            </w:r>
          </w:p>
        </w:tc>
        <w:tc>
          <w:tcPr>
            <w:tcW w:w="891" w:type="pct"/>
            <w:noWrap w:val="0"/>
            <w:vAlign w:val="center"/>
          </w:tcPr>
          <w:p w14:paraId="6DCFD368">
            <w:pPr>
              <w:pStyle w:val="24"/>
              <w:bidi w:val="0"/>
              <w:rPr>
                <w:rFonts w:hint="eastAsia"/>
                <w:color w:val="auto"/>
              </w:rPr>
            </w:pPr>
          </w:p>
        </w:tc>
      </w:tr>
      <w:tr w14:paraId="096F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exact"/>
          <w:jc w:val="center"/>
        </w:trPr>
        <w:tc>
          <w:tcPr>
            <w:tcW w:w="300" w:type="pct"/>
            <w:noWrap w:val="0"/>
            <w:vAlign w:val="center"/>
          </w:tcPr>
          <w:p w14:paraId="3232C9E4">
            <w:pPr>
              <w:pStyle w:val="24"/>
              <w:bidi w:val="0"/>
              <w:rPr>
                <w:rFonts w:hint="eastAsia" w:eastAsia="宋体"/>
                <w:color w:val="auto"/>
                <w:lang w:eastAsia="zh-CN"/>
              </w:rPr>
            </w:pPr>
            <w:r>
              <w:rPr>
                <w:rFonts w:hint="eastAsia"/>
                <w:color w:val="auto"/>
              </w:rPr>
              <w:t>1</w:t>
            </w:r>
            <w:r>
              <w:rPr>
                <w:rFonts w:hint="eastAsia"/>
                <w:color w:val="auto"/>
                <w:lang w:val="en-US" w:eastAsia="zh-CN"/>
              </w:rPr>
              <w:t>3</w:t>
            </w:r>
          </w:p>
        </w:tc>
        <w:tc>
          <w:tcPr>
            <w:tcW w:w="993" w:type="pct"/>
            <w:noWrap w:val="0"/>
            <w:vAlign w:val="center"/>
          </w:tcPr>
          <w:p w14:paraId="0EE827F2">
            <w:pPr>
              <w:pStyle w:val="24"/>
              <w:bidi w:val="0"/>
              <w:rPr>
                <w:rFonts w:hint="eastAsia"/>
                <w:color w:val="auto"/>
              </w:rPr>
            </w:pPr>
            <w:r>
              <w:rPr>
                <w:rFonts w:hint="eastAsia"/>
                <w:color w:val="auto"/>
              </w:rPr>
              <w:t>压榨轻型立式多级离心泵</w:t>
            </w:r>
          </w:p>
        </w:tc>
        <w:tc>
          <w:tcPr>
            <w:tcW w:w="1359" w:type="pct"/>
            <w:noWrap w:val="0"/>
            <w:vAlign w:val="center"/>
          </w:tcPr>
          <w:p w14:paraId="0341F099">
            <w:pPr>
              <w:pStyle w:val="24"/>
              <w:bidi w:val="0"/>
              <w:rPr>
                <w:color w:val="auto"/>
              </w:rPr>
            </w:pPr>
            <w:r>
              <w:rPr>
                <w:color w:val="auto"/>
              </w:rPr>
              <w:t>CDM42-6-2FSWPC</w:t>
            </w:r>
          </w:p>
        </w:tc>
        <w:tc>
          <w:tcPr>
            <w:tcW w:w="404" w:type="pct"/>
            <w:noWrap w:val="0"/>
            <w:vAlign w:val="center"/>
          </w:tcPr>
          <w:p w14:paraId="7A3A1F0F">
            <w:pPr>
              <w:pStyle w:val="24"/>
              <w:bidi w:val="0"/>
              <w:rPr>
                <w:rFonts w:hint="eastAsia"/>
                <w:color w:val="auto"/>
              </w:rPr>
            </w:pPr>
            <w:r>
              <w:rPr>
                <w:rFonts w:hint="eastAsia"/>
                <w:color w:val="auto"/>
              </w:rPr>
              <w:t>7</w:t>
            </w:r>
          </w:p>
        </w:tc>
        <w:tc>
          <w:tcPr>
            <w:tcW w:w="498" w:type="pct"/>
            <w:noWrap w:val="0"/>
            <w:vAlign w:val="center"/>
          </w:tcPr>
          <w:p w14:paraId="0A91AE94">
            <w:pPr>
              <w:pStyle w:val="24"/>
              <w:bidi w:val="0"/>
              <w:rPr>
                <w:rFonts w:hint="eastAsia"/>
                <w:color w:val="auto"/>
              </w:rPr>
            </w:pPr>
          </w:p>
        </w:tc>
        <w:tc>
          <w:tcPr>
            <w:tcW w:w="553" w:type="pct"/>
            <w:noWrap w:val="0"/>
            <w:vAlign w:val="center"/>
          </w:tcPr>
          <w:p w14:paraId="3C468922">
            <w:pPr>
              <w:pStyle w:val="24"/>
              <w:bidi w:val="0"/>
              <w:rPr>
                <w:rFonts w:hint="eastAsia"/>
                <w:color w:val="auto"/>
              </w:rPr>
            </w:pPr>
            <w:r>
              <w:rPr>
                <w:rFonts w:hint="eastAsia"/>
                <w:color w:val="auto"/>
              </w:rPr>
              <w:t>22.0</w:t>
            </w:r>
          </w:p>
        </w:tc>
        <w:tc>
          <w:tcPr>
            <w:tcW w:w="891" w:type="pct"/>
            <w:noWrap w:val="0"/>
            <w:vAlign w:val="center"/>
          </w:tcPr>
          <w:p w14:paraId="37231807">
            <w:pPr>
              <w:pStyle w:val="24"/>
              <w:bidi w:val="0"/>
              <w:rPr>
                <w:rFonts w:hint="eastAsia"/>
                <w:color w:val="auto"/>
              </w:rPr>
            </w:pPr>
          </w:p>
        </w:tc>
      </w:tr>
      <w:tr w14:paraId="5F8D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4925DA08">
            <w:pPr>
              <w:pStyle w:val="24"/>
              <w:bidi w:val="0"/>
              <w:rPr>
                <w:rFonts w:hint="eastAsia" w:eastAsia="宋体"/>
                <w:color w:val="auto"/>
                <w:lang w:eastAsia="zh-CN"/>
              </w:rPr>
            </w:pPr>
            <w:r>
              <w:rPr>
                <w:rFonts w:hint="eastAsia"/>
                <w:color w:val="auto"/>
              </w:rPr>
              <w:t>1</w:t>
            </w:r>
            <w:r>
              <w:rPr>
                <w:rFonts w:hint="eastAsia"/>
                <w:color w:val="auto"/>
                <w:lang w:val="en-US" w:eastAsia="zh-CN"/>
              </w:rPr>
              <w:t>4</w:t>
            </w:r>
          </w:p>
        </w:tc>
        <w:tc>
          <w:tcPr>
            <w:tcW w:w="993" w:type="pct"/>
            <w:noWrap w:val="0"/>
            <w:vAlign w:val="center"/>
          </w:tcPr>
          <w:p w14:paraId="7823DFA9">
            <w:pPr>
              <w:pStyle w:val="24"/>
              <w:bidi w:val="0"/>
              <w:rPr>
                <w:rFonts w:hint="eastAsia"/>
                <w:color w:val="auto"/>
              </w:rPr>
            </w:pPr>
            <w:r>
              <w:rPr>
                <w:rFonts w:hint="eastAsia"/>
                <w:color w:val="auto"/>
              </w:rPr>
              <w:t>电葫芦</w:t>
            </w:r>
          </w:p>
        </w:tc>
        <w:tc>
          <w:tcPr>
            <w:tcW w:w="1359" w:type="pct"/>
            <w:noWrap w:val="0"/>
            <w:vAlign w:val="center"/>
          </w:tcPr>
          <w:p w14:paraId="1A0FA372">
            <w:pPr>
              <w:pStyle w:val="24"/>
              <w:bidi w:val="0"/>
              <w:rPr>
                <w:rFonts w:hint="eastAsia"/>
                <w:color w:val="auto"/>
              </w:rPr>
            </w:pPr>
            <w:r>
              <w:rPr>
                <w:rFonts w:hint="eastAsia"/>
                <w:color w:val="auto"/>
              </w:rPr>
              <w:t>CD</w:t>
            </w:r>
            <w:r>
              <w:rPr>
                <w:rFonts w:hint="eastAsia"/>
                <w:color w:val="auto"/>
                <w:lang w:val="en-US" w:eastAsia="zh-CN"/>
              </w:rPr>
              <w:t>1</w:t>
            </w:r>
            <w:r>
              <w:rPr>
                <w:rFonts w:hint="eastAsia"/>
                <w:color w:val="auto"/>
              </w:rPr>
              <w:t>，Q=</w:t>
            </w:r>
            <w:r>
              <w:rPr>
                <w:rFonts w:hint="eastAsia"/>
                <w:color w:val="auto"/>
                <w:lang w:val="en-US" w:eastAsia="zh-CN"/>
              </w:rPr>
              <w:t>2</w:t>
            </w:r>
            <w:r>
              <w:rPr>
                <w:rFonts w:hint="eastAsia"/>
                <w:color w:val="auto"/>
              </w:rPr>
              <w:t>t</w:t>
            </w:r>
          </w:p>
        </w:tc>
        <w:tc>
          <w:tcPr>
            <w:tcW w:w="404" w:type="pct"/>
            <w:noWrap w:val="0"/>
            <w:vAlign w:val="center"/>
          </w:tcPr>
          <w:p w14:paraId="03B6113F">
            <w:pPr>
              <w:pStyle w:val="24"/>
              <w:bidi w:val="0"/>
              <w:rPr>
                <w:rFonts w:hint="eastAsia" w:eastAsia="宋体"/>
                <w:color w:val="auto"/>
                <w:lang w:eastAsia="zh-CN"/>
              </w:rPr>
            </w:pPr>
            <w:r>
              <w:rPr>
                <w:rFonts w:hint="eastAsia"/>
                <w:color w:val="auto"/>
                <w:lang w:val="en-US" w:eastAsia="zh-CN"/>
              </w:rPr>
              <w:t>1</w:t>
            </w:r>
          </w:p>
        </w:tc>
        <w:tc>
          <w:tcPr>
            <w:tcW w:w="498" w:type="pct"/>
            <w:noWrap w:val="0"/>
            <w:vAlign w:val="center"/>
          </w:tcPr>
          <w:p w14:paraId="4B2DD2DA">
            <w:pPr>
              <w:pStyle w:val="24"/>
              <w:bidi w:val="0"/>
              <w:rPr>
                <w:rFonts w:hint="eastAsia"/>
                <w:color w:val="auto"/>
              </w:rPr>
            </w:pPr>
          </w:p>
        </w:tc>
        <w:tc>
          <w:tcPr>
            <w:tcW w:w="553" w:type="pct"/>
            <w:noWrap w:val="0"/>
            <w:vAlign w:val="center"/>
          </w:tcPr>
          <w:p w14:paraId="7D55C512">
            <w:pPr>
              <w:pStyle w:val="24"/>
              <w:bidi w:val="0"/>
              <w:rPr>
                <w:rFonts w:hint="eastAsia"/>
                <w:color w:val="auto"/>
              </w:rPr>
            </w:pPr>
          </w:p>
        </w:tc>
        <w:tc>
          <w:tcPr>
            <w:tcW w:w="891" w:type="pct"/>
            <w:noWrap w:val="0"/>
            <w:vAlign w:val="center"/>
          </w:tcPr>
          <w:p w14:paraId="2AD6B97F">
            <w:pPr>
              <w:pStyle w:val="24"/>
              <w:bidi w:val="0"/>
              <w:rPr>
                <w:rFonts w:hint="eastAsia"/>
                <w:color w:val="auto"/>
              </w:rPr>
            </w:pPr>
          </w:p>
        </w:tc>
      </w:tr>
      <w:tr w14:paraId="1614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0B5A4B0B">
            <w:pPr>
              <w:pStyle w:val="24"/>
              <w:bidi w:val="0"/>
              <w:rPr>
                <w:rFonts w:hint="default" w:eastAsia="宋体"/>
                <w:color w:val="auto"/>
                <w:lang w:val="en-US" w:eastAsia="zh-CN"/>
              </w:rPr>
            </w:pPr>
            <w:r>
              <w:rPr>
                <w:rFonts w:hint="eastAsia"/>
                <w:color w:val="auto"/>
                <w:lang w:val="en-US" w:eastAsia="zh-CN"/>
              </w:rPr>
              <w:t>15</w:t>
            </w:r>
          </w:p>
        </w:tc>
        <w:tc>
          <w:tcPr>
            <w:tcW w:w="993" w:type="pct"/>
            <w:noWrap w:val="0"/>
            <w:vAlign w:val="center"/>
          </w:tcPr>
          <w:p w14:paraId="75AC311D">
            <w:pPr>
              <w:pStyle w:val="24"/>
              <w:bidi w:val="0"/>
              <w:rPr>
                <w:rFonts w:hint="default" w:eastAsia="宋体"/>
                <w:color w:val="auto"/>
                <w:lang w:val="en-US" w:eastAsia="zh-CN"/>
              </w:rPr>
            </w:pPr>
            <w:r>
              <w:rPr>
                <w:rFonts w:hint="eastAsia"/>
                <w:color w:val="auto"/>
                <w:lang w:val="en-US" w:eastAsia="zh-CN"/>
              </w:rPr>
              <w:t>螺杆空气压缩机</w:t>
            </w:r>
          </w:p>
        </w:tc>
        <w:tc>
          <w:tcPr>
            <w:tcW w:w="1359" w:type="pct"/>
            <w:noWrap w:val="0"/>
            <w:vAlign w:val="center"/>
          </w:tcPr>
          <w:p w14:paraId="24181C9D">
            <w:pPr>
              <w:pStyle w:val="24"/>
              <w:bidi w:val="0"/>
              <w:rPr>
                <w:rFonts w:hint="default" w:eastAsia="宋体"/>
                <w:color w:val="auto"/>
                <w:lang w:val="en-US" w:eastAsia="zh-CN"/>
              </w:rPr>
            </w:pPr>
            <w:r>
              <w:rPr>
                <w:rFonts w:hint="eastAsia"/>
                <w:color w:val="auto"/>
                <w:lang w:val="en-US" w:eastAsia="zh-CN"/>
              </w:rPr>
              <w:t>SA55A·8·C，10.6m</w:t>
            </w:r>
            <w:r>
              <w:rPr>
                <w:rFonts w:hint="eastAsia"/>
                <w:color w:val="auto"/>
                <w:vertAlign w:val="superscript"/>
                <w:lang w:val="en-US" w:eastAsia="zh-CN"/>
              </w:rPr>
              <w:t>3</w:t>
            </w:r>
            <w:r>
              <w:rPr>
                <w:rFonts w:hint="eastAsia"/>
                <w:color w:val="auto"/>
                <w:lang w:val="en-US" w:eastAsia="zh-CN"/>
              </w:rPr>
              <w:t>/min</w:t>
            </w:r>
          </w:p>
        </w:tc>
        <w:tc>
          <w:tcPr>
            <w:tcW w:w="404" w:type="pct"/>
            <w:noWrap w:val="0"/>
            <w:vAlign w:val="center"/>
          </w:tcPr>
          <w:p w14:paraId="1C6DD696">
            <w:pPr>
              <w:pStyle w:val="24"/>
              <w:bidi w:val="0"/>
              <w:rPr>
                <w:rFonts w:hint="eastAsia" w:eastAsia="宋体"/>
                <w:color w:val="auto"/>
                <w:lang w:val="en-US" w:eastAsia="zh-CN"/>
              </w:rPr>
            </w:pPr>
            <w:r>
              <w:rPr>
                <w:rFonts w:hint="eastAsia"/>
                <w:color w:val="auto"/>
                <w:lang w:val="en-US" w:eastAsia="zh-CN"/>
              </w:rPr>
              <w:t>2</w:t>
            </w:r>
          </w:p>
        </w:tc>
        <w:tc>
          <w:tcPr>
            <w:tcW w:w="498" w:type="pct"/>
            <w:noWrap w:val="0"/>
            <w:vAlign w:val="center"/>
          </w:tcPr>
          <w:p w14:paraId="7282336E">
            <w:pPr>
              <w:pStyle w:val="24"/>
              <w:bidi w:val="0"/>
              <w:rPr>
                <w:rFonts w:hint="eastAsia"/>
                <w:color w:val="auto"/>
              </w:rPr>
            </w:pPr>
          </w:p>
        </w:tc>
        <w:tc>
          <w:tcPr>
            <w:tcW w:w="553" w:type="pct"/>
            <w:noWrap w:val="0"/>
            <w:vAlign w:val="center"/>
          </w:tcPr>
          <w:p w14:paraId="3EC8DE34">
            <w:pPr>
              <w:pStyle w:val="24"/>
              <w:bidi w:val="0"/>
              <w:rPr>
                <w:rFonts w:hint="default" w:eastAsia="宋体"/>
                <w:color w:val="auto"/>
                <w:lang w:val="en-US" w:eastAsia="zh-CN"/>
              </w:rPr>
            </w:pPr>
            <w:r>
              <w:rPr>
                <w:rFonts w:hint="eastAsia"/>
                <w:color w:val="auto"/>
                <w:lang w:val="en-US" w:eastAsia="zh-CN"/>
              </w:rPr>
              <w:t>55</w:t>
            </w:r>
          </w:p>
        </w:tc>
        <w:tc>
          <w:tcPr>
            <w:tcW w:w="891" w:type="pct"/>
            <w:noWrap w:val="0"/>
            <w:vAlign w:val="center"/>
          </w:tcPr>
          <w:p w14:paraId="7FE6B9EE">
            <w:pPr>
              <w:pStyle w:val="24"/>
              <w:bidi w:val="0"/>
              <w:rPr>
                <w:rFonts w:hint="eastAsia"/>
                <w:color w:val="auto"/>
              </w:rPr>
            </w:pPr>
          </w:p>
        </w:tc>
      </w:tr>
      <w:tr w14:paraId="6B9F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2722CF05">
            <w:pPr>
              <w:pStyle w:val="24"/>
              <w:bidi w:val="0"/>
              <w:rPr>
                <w:rFonts w:hint="default"/>
                <w:color w:val="auto"/>
                <w:lang w:val="en-US" w:eastAsia="zh-CN"/>
              </w:rPr>
            </w:pPr>
            <w:r>
              <w:rPr>
                <w:rFonts w:hint="eastAsia"/>
                <w:color w:val="auto"/>
                <w:lang w:val="en-US" w:eastAsia="zh-CN"/>
              </w:rPr>
              <w:t>16</w:t>
            </w:r>
          </w:p>
        </w:tc>
        <w:tc>
          <w:tcPr>
            <w:tcW w:w="993" w:type="pct"/>
            <w:noWrap w:val="0"/>
            <w:vAlign w:val="center"/>
          </w:tcPr>
          <w:p w14:paraId="6A773AA2">
            <w:pPr>
              <w:pStyle w:val="24"/>
              <w:bidi w:val="0"/>
              <w:rPr>
                <w:rFonts w:hint="default"/>
                <w:color w:val="auto"/>
                <w:lang w:val="en-US" w:eastAsia="zh-CN"/>
              </w:rPr>
            </w:pPr>
            <w:r>
              <w:rPr>
                <w:rFonts w:hint="eastAsia"/>
                <w:color w:val="auto"/>
                <w:lang w:val="en-US" w:eastAsia="zh-CN"/>
              </w:rPr>
              <w:t>空气压缩机</w:t>
            </w:r>
          </w:p>
        </w:tc>
        <w:tc>
          <w:tcPr>
            <w:tcW w:w="1359" w:type="pct"/>
            <w:noWrap w:val="0"/>
            <w:vAlign w:val="center"/>
          </w:tcPr>
          <w:p w14:paraId="61C17AAC">
            <w:pPr>
              <w:pStyle w:val="24"/>
              <w:bidi w:val="0"/>
              <w:rPr>
                <w:rFonts w:hint="default"/>
                <w:color w:val="auto"/>
                <w:lang w:val="en-US" w:eastAsia="zh-CN"/>
              </w:rPr>
            </w:pPr>
            <w:r>
              <w:rPr>
                <w:rFonts w:hint="eastAsia"/>
                <w:color w:val="auto"/>
                <w:lang w:val="en-US" w:eastAsia="zh-CN"/>
              </w:rPr>
              <w:t>V-1.05/12.5，1.05m</w:t>
            </w:r>
            <w:r>
              <w:rPr>
                <w:rFonts w:hint="eastAsia"/>
                <w:color w:val="auto"/>
                <w:vertAlign w:val="superscript"/>
                <w:lang w:val="en-US" w:eastAsia="zh-CN"/>
              </w:rPr>
              <w:t>3</w:t>
            </w:r>
            <w:r>
              <w:rPr>
                <w:rFonts w:hint="eastAsia"/>
                <w:color w:val="auto"/>
                <w:lang w:val="en-US" w:eastAsia="zh-CN"/>
              </w:rPr>
              <w:t>/min</w:t>
            </w:r>
          </w:p>
        </w:tc>
        <w:tc>
          <w:tcPr>
            <w:tcW w:w="404" w:type="pct"/>
            <w:noWrap w:val="0"/>
            <w:vAlign w:val="center"/>
          </w:tcPr>
          <w:p w14:paraId="1E5AF27F">
            <w:pPr>
              <w:pStyle w:val="24"/>
              <w:bidi w:val="0"/>
              <w:rPr>
                <w:rFonts w:hint="default"/>
                <w:color w:val="auto"/>
                <w:lang w:val="en-US" w:eastAsia="zh-CN"/>
              </w:rPr>
            </w:pPr>
            <w:r>
              <w:rPr>
                <w:rFonts w:hint="eastAsia"/>
                <w:color w:val="auto"/>
                <w:lang w:val="en-US" w:eastAsia="zh-CN"/>
              </w:rPr>
              <w:t>1</w:t>
            </w:r>
          </w:p>
        </w:tc>
        <w:tc>
          <w:tcPr>
            <w:tcW w:w="498" w:type="pct"/>
            <w:noWrap w:val="0"/>
            <w:vAlign w:val="center"/>
          </w:tcPr>
          <w:p w14:paraId="3683AD99">
            <w:pPr>
              <w:pStyle w:val="24"/>
              <w:bidi w:val="0"/>
              <w:rPr>
                <w:rFonts w:hint="eastAsia"/>
                <w:color w:val="auto"/>
              </w:rPr>
            </w:pPr>
          </w:p>
        </w:tc>
        <w:tc>
          <w:tcPr>
            <w:tcW w:w="553" w:type="pct"/>
            <w:noWrap w:val="0"/>
            <w:vAlign w:val="center"/>
          </w:tcPr>
          <w:p w14:paraId="1FF2EF8E">
            <w:pPr>
              <w:pStyle w:val="24"/>
              <w:bidi w:val="0"/>
              <w:rPr>
                <w:rFonts w:hint="default"/>
                <w:color w:val="auto"/>
                <w:lang w:val="en-US" w:eastAsia="zh-CN"/>
              </w:rPr>
            </w:pPr>
            <w:r>
              <w:rPr>
                <w:rFonts w:hint="eastAsia"/>
                <w:color w:val="auto"/>
                <w:lang w:val="en-US" w:eastAsia="zh-CN"/>
              </w:rPr>
              <w:t>4</w:t>
            </w:r>
          </w:p>
        </w:tc>
        <w:tc>
          <w:tcPr>
            <w:tcW w:w="891" w:type="pct"/>
            <w:noWrap w:val="0"/>
            <w:vAlign w:val="center"/>
          </w:tcPr>
          <w:p w14:paraId="742AEC34">
            <w:pPr>
              <w:pStyle w:val="24"/>
              <w:bidi w:val="0"/>
              <w:rPr>
                <w:rFonts w:hint="eastAsia"/>
                <w:color w:val="auto"/>
              </w:rPr>
            </w:pPr>
          </w:p>
        </w:tc>
      </w:tr>
      <w:tr w14:paraId="70EC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55E4E4BA">
            <w:pPr>
              <w:pStyle w:val="24"/>
              <w:bidi w:val="0"/>
              <w:rPr>
                <w:rFonts w:hint="default" w:eastAsia="宋体"/>
                <w:color w:val="auto"/>
                <w:lang w:val="en-US" w:eastAsia="zh-CN"/>
              </w:rPr>
            </w:pPr>
            <w:r>
              <w:rPr>
                <w:rFonts w:hint="eastAsia"/>
                <w:color w:val="auto"/>
                <w:lang w:val="en-US" w:eastAsia="zh-CN"/>
              </w:rPr>
              <w:t>17</w:t>
            </w:r>
          </w:p>
        </w:tc>
        <w:tc>
          <w:tcPr>
            <w:tcW w:w="993" w:type="pct"/>
            <w:noWrap w:val="0"/>
            <w:vAlign w:val="center"/>
          </w:tcPr>
          <w:p w14:paraId="5F5337AB">
            <w:pPr>
              <w:pStyle w:val="24"/>
              <w:bidi w:val="0"/>
              <w:rPr>
                <w:rFonts w:hint="default"/>
                <w:color w:val="auto"/>
                <w:lang w:val="en-US" w:eastAsia="zh-CN"/>
              </w:rPr>
            </w:pPr>
            <w:r>
              <w:rPr>
                <w:rFonts w:hint="eastAsia"/>
                <w:color w:val="auto"/>
                <w:lang w:val="en-US" w:eastAsia="zh-CN"/>
              </w:rPr>
              <w:t>储气罐</w:t>
            </w:r>
          </w:p>
        </w:tc>
        <w:tc>
          <w:tcPr>
            <w:tcW w:w="1359" w:type="pct"/>
            <w:noWrap w:val="0"/>
            <w:vAlign w:val="center"/>
          </w:tcPr>
          <w:p w14:paraId="0F9F7159">
            <w:pPr>
              <w:pStyle w:val="24"/>
              <w:bidi w:val="0"/>
              <w:rPr>
                <w:rFonts w:hint="default"/>
                <w:color w:val="auto"/>
                <w:lang w:val="en-US" w:eastAsia="zh-CN"/>
              </w:rPr>
            </w:pPr>
            <w:r>
              <w:rPr>
                <w:rFonts w:hint="eastAsia"/>
                <w:color w:val="auto"/>
                <w:lang w:val="en-US" w:eastAsia="zh-CN"/>
              </w:rPr>
              <w:t>15m</w:t>
            </w:r>
            <w:r>
              <w:rPr>
                <w:rFonts w:hint="eastAsia"/>
                <w:color w:val="auto"/>
                <w:vertAlign w:val="superscript"/>
                <w:lang w:val="en-US" w:eastAsia="zh-CN"/>
              </w:rPr>
              <w:t>3</w:t>
            </w:r>
          </w:p>
        </w:tc>
        <w:tc>
          <w:tcPr>
            <w:tcW w:w="404" w:type="pct"/>
            <w:noWrap w:val="0"/>
            <w:vAlign w:val="center"/>
          </w:tcPr>
          <w:p w14:paraId="05B2A7C1">
            <w:pPr>
              <w:pStyle w:val="24"/>
              <w:bidi w:val="0"/>
              <w:rPr>
                <w:rFonts w:hint="default"/>
                <w:color w:val="auto"/>
                <w:lang w:val="en-US" w:eastAsia="zh-CN"/>
              </w:rPr>
            </w:pPr>
            <w:r>
              <w:rPr>
                <w:rFonts w:hint="eastAsia"/>
                <w:color w:val="auto"/>
                <w:lang w:val="en-US" w:eastAsia="zh-CN"/>
              </w:rPr>
              <w:t>2</w:t>
            </w:r>
          </w:p>
        </w:tc>
        <w:tc>
          <w:tcPr>
            <w:tcW w:w="498" w:type="pct"/>
            <w:noWrap w:val="0"/>
            <w:vAlign w:val="center"/>
          </w:tcPr>
          <w:p w14:paraId="17812189">
            <w:pPr>
              <w:pStyle w:val="24"/>
              <w:bidi w:val="0"/>
              <w:rPr>
                <w:rFonts w:hint="eastAsia"/>
                <w:color w:val="auto"/>
              </w:rPr>
            </w:pPr>
          </w:p>
        </w:tc>
        <w:tc>
          <w:tcPr>
            <w:tcW w:w="553" w:type="pct"/>
            <w:noWrap w:val="0"/>
            <w:vAlign w:val="center"/>
          </w:tcPr>
          <w:p w14:paraId="3A64421D">
            <w:pPr>
              <w:pStyle w:val="24"/>
              <w:bidi w:val="0"/>
              <w:rPr>
                <w:rFonts w:hint="eastAsia"/>
                <w:color w:val="auto"/>
                <w:lang w:val="en-US" w:eastAsia="zh-CN"/>
              </w:rPr>
            </w:pPr>
          </w:p>
        </w:tc>
        <w:tc>
          <w:tcPr>
            <w:tcW w:w="891" w:type="pct"/>
            <w:noWrap w:val="0"/>
            <w:vAlign w:val="center"/>
          </w:tcPr>
          <w:p w14:paraId="5263ADF1">
            <w:pPr>
              <w:pStyle w:val="24"/>
              <w:bidi w:val="0"/>
              <w:rPr>
                <w:rFonts w:hint="default" w:eastAsia="宋体"/>
                <w:color w:val="auto"/>
                <w:lang w:val="en-US" w:eastAsia="zh-CN"/>
              </w:rPr>
            </w:pPr>
            <w:r>
              <w:rPr>
                <w:rFonts w:hint="eastAsia"/>
                <w:color w:val="auto"/>
              </w:rPr>
              <w:t>Ⅰ</w:t>
            </w:r>
            <w:r>
              <w:rPr>
                <w:rFonts w:hint="eastAsia"/>
                <w:color w:val="auto"/>
                <w:lang w:val="en-US" w:eastAsia="zh-CN"/>
              </w:rPr>
              <w:t>类压力容器</w:t>
            </w:r>
          </w:p>
        </w:tc>
      </w:tr>
      <w:tr w14:paraId="40BC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0" w:type="pct"/>
            <w:noWrap w:val="0"/>
            <w:vAlign w:val="center"/>
          </w:tcPr>
          <w:p w14:paraId="016DB95B">
            <w:pPr>
              <w:pStyle w:val="24"/>
              <w:bidi w:val="0"/>
              <w:rPr>
                <w:rFonts w:hint="default" w:eastAsia="宋体"/>
                <w:color w:val="auto"/>
                <w:lang w:val="en-US" w:eastAsia="zh-CN"/>
              </w:rPr>
            </w:pPr>
            <w:r>
              <w:rPr>
                <w:rFonts w:hint="eastAsia"/>
                <w:color w:val="auto"/>
                <w:lang w:val="en-US" w:eastAsia="zh-CN"/>
              </w:rPr>
              <w:t>18</w:t>
            </w:r>
          </w:p>
        </w:tc>
        <w:tc>
          <w:tcPr>
            <w:tcW w:w="993" w:type="pct"/>
            <w:noWrap w:val="0"/>
            <w:vAlign w:val="center"/>
          </w:tcPr>
          <w:p w14:paraId="30BEAEEB">
            <w:pPr>
              <w:pStyle w:val="24"/>
              <w:bidi w:val="0"/>
              <w:rPr>
                <w:rFonts w:hint="default"/>
                <w:color w:val="auto"/>
                <w:lang w:val="en-US" w:eastAsia="zh-CN"/>
              </w:rPr>
            </w:pPr>
            <w:r>
              <w:rPr>
                <w:rFonts w:hint="eastAsia"/>
                <w:color w:val="auto"/>
                <w:lang w:val="en-US" w:eastAsia="zh-CN"/>
              </w:rPr>
              <w:t>储气罐</w:t>
            </w:r>
          </w:p>
        </w:tc>
        <w:tc>
          <w:tcPr>
            <w:tcW w:w="1359" w:type="pct"/>
            <w:noWrap w:val="0"/>
            <w:vAlign w:val="center"/>
          </w:tcPr>
          <w:p w14:paraId="73F6EE08">
            <w:pPr>
              <w:pStyle w:val="24"/>
              <w:bidi w:val="0"/>
              <w:rPr>
                <w:rFonts w:hint="default"/>
                <w:color w:val="auto"/>
                <w:lang w:val="en-US" w:eastAsia="zh-CN"/>
              </w:rPr>
            </w:pPr>
            <w:r>
              <w:rPr>
                <w:rFonts w:hint="eastAsia"/>
                <w:color w:val="auto"/>
                <w:lang w:val="en-US" w:eastAsia="zh-CN"/>
              </w:rPr>
              <w:t>1m</w:t>
            </w:r>
            <w:r>
              <w:rPr>
                <w:rFonts w:hint="eastAsia"/>
                <w:color w:val="auto"/>
                <w:vertAlign w:val="superscript"/>
                <w:lang w:val="en-US" w:eastAsia="zh-CN"/>
              </w:rPr>
              <w:t>3</w:t>
            </w:r>
          </w:p>
        </w:tc>
        <w:tc>
          <w:tcPr>
            <w:tcW w:w="404" w:type="pct"/>
            <w:noWrap w:val="0"/>
            <w:vAlign w:val="center"/>
          </w:tcPr>
          <w:p w14:paraId="524A011A">
            <w:pPr>
              <w:pStyle w:val="24"/>
              <w:bidi w:val="0"/>
              <w:rPr>
                <w:rFonts w:hint="default"/>
                <w:color w:val="auto"/>
                <w:lang w:val="en-US" w:eastAsia="zh-CN"/>
              </w:rPr>
            </w:pPr>
            <w:r>
              <w:rPr>
                <w:rFonts w:hint="eastAsia"/>
                <w:color w:val="auto"/>
                <w:lang w:val="en-US" w:eastAsia="zh-CN"/>
              </w:rPr>
              <w:t>2</w:t>
            </w:r>
          </w:p>
        </w:tc>
        <w:tc>
          <w:tcPr>
            <w:tcW w:w="498" w:type="pct"/>
            <w:noWrap w:val="0"/>
            <w:vAlign w:val="center"/>
          </w:tcPr>
          <w:p w14:paraId="73665BB3">
            <w:pPr>
              <w:pStyle w:val="24"/>
              <w:bidi w:val="0"/>
              <w:rPr>
                <w:rFonts w:hint="eastAsia"/>
                <w:color w:val="auto"/>
              </w:rPr>
            </w:pPr>
          </w:p>
        </w:tc>
        <w:tc>
          <w:tcPr>
            <w:tcW w:w="553" w:type="pct"/>
            <w:noWrap w:val="0"/>
            <w:vAlign w:val="center"/>
          </w:tcPr>
          <w:p w14:paraId="3F39608E">
            <w:pPr>
              <w:pStyle w:val="24"/>
              <w:bidi w:val="0"/>
              <w:rPr>
                <w:rFonts w:hint="eastAsia"/>
                <w:color w:val="auto"/>
                <w:lang w:val="en-US" w:eastAsia="zh-CN"/>
              </w:rPr>
            </w:pPr>
          </w:p>
        </w:tc>
        <w:tc>
          <w:tcPr>
            <w:tcW w:w="891" w:type="pct"/>
            <w:noWrap w:val="0"/>
            <w:vAlign w:val="center"/>
          </w:tcPr>
          <w:p w14:paraId="01418FAE">
            <w:pPr>
              <w:pStyle w:val="24"/>
              <w:bidi w:val="0"/>
              <w:rPr>
                <w:rFonts w:hint="default" w:eastAsia="宋体"/>
                <w:color w:val="auto"/>
                <w:lang w:val="en-US" w:eastAsia="zh-CN"/>
              </w:rPr>
            </w:pPr>
            <w:r>
              <w:rPr>
                <w:rFonts w:hint="eastAsia"/>
                <w:color w:val="auto"/>
                <w:lang w:val="en-US" w:eastAsia="zh-CN"/>
              </w:rPr>
              <w:t>简单压力容器</w:t>
            </w:r>
          </w:p>
        </w:tc>
      </w:tr>
    </w:tbl>
    <w:p w14:paraId="5B01FE87">
      <w:pPr>
        <w:bidi w:val="0"/>
        <w:rPr>
          <w:rFonts w:hint="default" w:eastAsia="宋体"/>
          <w:color w:val="auto"/>
          <w:lang w:val="en-US" w:eastAsia="zh-CN"/>
        </w:rPr>
      </w:pPr>
      <w:r>
        <w:rPr>
          <w:rFonts w:hint="eastAsia"/>
          <w:color w:val="auto"/>
          <w:lang w:val="en-US" w:eastAsia="zh-CN"/>
        </w:rPr>
        <w:t>电动单梁吊（16t）已取得特种设备使用登记证，储气罐已提供出厂合格证明，正在办理特种设备使用登记证明。</w:t>
      </w:r>
    </w:p>
    <w:p w14:paraId="4FE49901">
      <w:pPr>
        <w:pStyle w:val="4"/>
        <w:bidi w:val="0"/>
        <w:rPr>
          <w:rFonts w:hint="default" w:eastAsia="宋体"/>
          <w:color w:val="auto"/>
          <w:lang w:val="en-US" w:eastAsia="zh-CN"/>
        </w:rPr>
      </w:pPr>
      <w:bookmarkStart w:id="86" w:name="_Toc31829"/>
      <w:r>
        <w:rPr>
          <w:rFonts w:hint="eastAsia"/>
          <w:color w:val="auto"/>
        </w:rPr>
        <w:t>2.</w:t>
      </w:r>
      <w:r>
        <w:rPr>
          <w:rFonts w:hint="eastAsia"/>
          <w:color w:val="auto"/>
          <w:lang w:val="en-US" w:eastAsia="zh-CN"/>
        </w:rPr>
        <w:t>5</w:t>
      </w:r>
      <w:r>
        <w:rPr>
          <w:rFonts w:hint="eastAsia"/>
          <w:color w:val="auto"/>
        </w:rPr>
        <w:t>.</w:t>
      </w:r>
      <w:r>
        <w:rPr>
          <w:rFonts w:hint="eastAsia"/>
          <w:color w:val="auto"/>
          <w:lang w:val="en-US" w:eastAsia="zh-CN"/>
        </w:rPr>
        <w:t>4 总平面布置</w:t>
      </w:r>
      <w:bookmarkEnd w:id="86"/>
    </w:p>
    <w:p w14:paraId="4B403988">
      <w:pPr>
        <w:bidi w:val="0"/>
        <w:rPr>
          <w:rFonts w:hint="default" w:eastAsia="宋体"/>
          <w:color w:val="auto"/>
          <w:lang w:val="en-US" w:eastAsia="zh-CN"/>
        </w:rPr>
      </w:pPr>
      <w:r>
        <w:rPr>
          <w:rFonts w:hint="eastAsia"/>
          <w:color w:val="auto"/>
          <w:lang w:val="en-US" w:eastAsia="zh-CN"/>
        </w:rPr>
        <w:t>1、设计概况</w:t>
      </w:r>
    </w:p>
    <w:p w14:paraId="0BA17D91">
      <w:pPr>
        <w:bidi w:val="0"/>
        <w:rPr>
          <w:rFonts w:hint="eastAsia"/>
          <w:color w:val="auto"/>
        </w:rPr>
      </w:pPr>
      <w:r>
        <w:rPr>
          <w:rFonts w:hint="eastAsia"/>
          <w:color w:val="auto"/>
        </w:rPr>
        <w:t>根据工艺流程特点，浓缩－输送－压滤等流程，作业点多，结合现场地形特点，厂房采用阶梯式布置以创造高差，为物料输送提供有利条件。</w:t>
      </w:r>
    </w:p>
    <w:p w14:paraId="2B3C4FEF">
      <w:pPr>
        <w:bidi w:val="0"/>
        <w:rPr>
          <w:rFonts w:hint="default" w:eastAsia="宋体"/>
          <w:color w:val="auto"/>
          <w:lang w:val="en-US" w:eastAsia="zh-CN"/>
        </w:rPr>
      </w:pPr>
      <w:r>
        <w:rPr>
          <w:rFonts w:hint="eastAsia"/>
          <w:color w:val="auto"/>
          <w:lang w:val="en-US" w:eastAsia="zh-CN"/>
        </w:rPr>
        <w:t>2、建设概况</w:t>
      </w:r>
    </w:p>
    <w:p w14:paraId="182E775E">
      <w:pPr>
        <w:bidi w:val="0"/>
        <w:rPr>
          <w:rFonts w:hint="eastAsia"/>
          <w:color w:val="auto"/>
        </w:rPr>
      </w:pPr>
      <w:r>
        <w:rPr>
          <w:rFonts w:hint="eastAsia"/>
          <w:color w:val="auto"/>
        </w:rPr>
        <w:t>尾矿处理系统主要由浓缩车间、输送管线、压滤车间三部分组成。</w:t>
      </w:r>
    </w:p>
    <w:p w14:paraId="67BE5F12">
      <w:pPr>
        <w:bidi w:val="0"/>
        <w:rPr>
          <w:rFonts w:hint="eastAsia"/>
          <w:color w:val="auto"/>
        </w:rPr>
      </w:pPr>
      <w:r>
        <w:rPr>
          <w:rFonts w:hint="eastAsia"/>
          <w:color w:val="auto"/>
        </w:rPr>
        <w:t>（1）浓缩车间</w:t>
      </w:r>
    </w:p>
    <w:p w14:paraId="6DB8B35B">
      <w:pPr>
        <w:bidi w:val="0"/>
        <w:rPr>
          <w:rFonts w:hint="eastAsia"/>
          <w:color w:val="auto"/>
        </w:rPr>
      </w:pPr>
      <w:r>
        <w:rPr>
          <w:rFonts w:hint="eastAsia"/>
          <w:color w:val="auto"/>
        </w:rPr>
        <w:t>浓缩机、机械隔膜泵布置在浓缩车间中呈阶梯式布置，上下具有一定落差，可使矿浆自流，管理方便，占地面积也小。</w:t>
      </w:r>
    </w:p>
    <w:p w14:paraId="0A3B8ADB">
      <w:pPr>
        <w:bidi w:val="0"/>
        <w:rPr>
          <w:rFonts w:hint="eastAsia"/>
          <w:color w:val="auto"/>
        </w:rPr>
      </w:pPr>
      <w:r>
        <w:rPr>
          <w:rFonts w:hint="eastAsia"/>
          <w:color w:val="auto"/>
        </w:rPr>
        <w:t>（2）输送管线</w:t>
      </w:r>
    </w:p>
    <w:p w14:paraId="702C3F59">
      <w:pPr>
        <w:bidi w:val="0"/>
        <w:rPr>
          <w:rFonts w:hint="eastAsia"/>
          <w:color w:val="auto"/>
        </w:rPr>
      </w:pPr>
      <w:r>
        <w:rPr>
          <w:rFonts w:hint="eastAsia"/>
          <w:color w:val="auto"/>
        </w:rPr>
        <w:t>输送管线沿地形线布置。</w:t>
      </w:r>
    </w:p>
    <w:p w14:paraId="3DB9A99C">
      <w:pPr>
        <w:bidi w:val="0"/>
        <w:rPr>
          <w:rFonts w:hint="eastAsia"/>
          <w:color w:val="auto"/>
        </w:rPr>
      </w:pPr>
      <w:r>
        <w:rPr>
          <w:rFonts w:hint="eastAsia"/>
          <w:color w:val="auto"/>
        </w:rPr>
        <w:t>（3）压滤车间</w:t>
      </w:r>
    </w:p>
    <w:p w14:paraId="0E09789C">
      <w:pPr>
        <w:bidi w:val="0"/>
        <w:rPr>
          <w:rFonts w:hint="eastAsia"/>
          <w:color w:val="auto"/>
        </w:rPr>
      </w:pPr>
      <w:r>
        <w:rPr>
          <w:rFonts w:hint="eastAsia"/>
          <w:color w:val="auto"/>
        </w:rPr>
        <w:t>振动筛、浓缩机、压滤机布置在压滤车间中呈阶梯式布置。</w:t>
      </w:r>
    </w:p>
    <w:p w14:paraId="645ED020">
      <w:pPr>
        <w:bidi w:val="0"/>
        <w:rPr>
          <w:rFonts w:hint="eastAsia"/>
          <w:color w:val="auto"/>
        </w:rPr>
      </w:pPr>
      <w:r>
        <w:rPr>
          <w:rFonts w:hint="eastAsia"/>
          <w:color w:val="auto"/>
        </w:rPr>
        <w:t>（4）其它车间</w:t>
      </w:r>
    </w:p>
    <w:p w14:paraId="74730E5B">
      <w:pPr>
        <w:bidi w:val="0"/>
        <w:rPr>
          <w:color w:val="auto"/>
        </w:rPr>
      </w:pPr>
      <w:r>
        <w:rPr>
          <w:rFonts w:hint="eastAsia"/>
          <w:color w:val="auto"/>
        </w:rPr>
        <w:t>其它生产车间、辅助车间、管理等均设在尾矿处理系统四周，</w:t>
      </w:r>
      <w:r>
        <w:rPr>
          <w:rFonts w:hint="eastAsia"/>
          <w:color w:val="auto"/>
          <w:lang w:val="en-US" w:eastAsia="zh-CN"/>
        </w:rPr>
        <w:t>为选厂原有设施，不在本次评价范围</w:t>
      </w:r>
      <w:r>
        <w:rPr>
          <w:rFonts w:hint="eastAsia"/>
          <w:color w:val="auto"/>
        </w:rPr>
        <w:t>。</w:t>
      </w:r>
    </w:p>
    <w:p w14:paraId="20DB6ACC">
      <w:pPr>
        <w:bidi w:val="0"/>
        <w:rPr>
          <w:rFonts w:hint="default"/>
          <w:color w:val="auto"/>
          <w:lang w:val="en-US" w:eastAsia="zh-CN"/>
        </w:rPr>
      </w:pPr>
      <w:r>
        <w:rPr>
          <w:rFonts w:hint="eastAsia"/>
          <w:color w:val="auto"/>
          <w:lang w:eastAsia="zh-CN"/>
        </w:rPr>
        <w:t>（</w:t>
      </w:r>
      <w:r>
        <w:rPr>
          <w:rFonts w:hint="eastAsia"/>
          <w:color w:val="auto"/>
          <w:lang w:val="en-US" w:eastAsia="zh-CN"/>
        </w:rPr>
        <w:t>5</w:t>
      </w:r>
      <w:r>
        <w:rPr>
          <w:rFonts w:hint="eastAsia"/>
          <w:color w:val="auto"/>
          <w:lang w:eastAsia="zh-CN"/>
        </w:rPr>
        <w:t>）</w:t>
      </w:r>
      <w:r>
        <w:rPr>
          <w:rFonts w:hint="eastAsia"/>
          <w:color w:val="auto"/>
          <w:lang w:val="en-US" w:eastAsia="zh-CN"/>
        </w:rPr>
        <w:t>道路</w:t>
      </w:r>
    </w:p>
    <w:p w14:paraId="0F873176">
      <w:pPr>
        <w:bidi w:val="0"/>
        <w:rPr>
          <w:rFonts w:hint="eastAsia"/>
          <w:color w:val="auto"/>
          <w:lang w:eastAsia="zh-CN"/>
        </w:rPr>
      </w:pPr>
      <w:r>
        <w:rPr>
          <w:rFonts w:hint="eastAsia"/>
          <w:color w:val="auto"/>
          <w:lang w:eastAsia="zh-CN"/>
        </w:rPr>
        <w:t>厂外道路已形成，为原有简易道路，宽度4~6m，路面为土石路面。</w:t>
      </w:r>
    </w:p>
    <w:p w14:paraId="6A4F0B20">
      <w:pPr>
        <w:bidi w:val="0"/>
        <w:rPr>
          <w:rFonts w:hint="eastAsia"/>
          <w:color w:val="auto"/>
          <w:lang w:eastAsia="zh-CN"/>
        </w:rPr>
      </w:pPr>
      <w:r>
        <w:rPr>
          <w:rFonts w:hint="eastAsia"/>
          <w:color w:val="auto"/>
          <w:lang w:eastAsia="zh-CN"/>
        </w:rPr>
        <w:t>厂内通过主要道路联系各个车间，进入车间的道路路面宽度5m。道路路面结构为面层C25混凝土25cm，垫层35cm。为保护路面，厂区主干道设置立路牙，道路采用单面横坡，横坡坡度为1.5%。厂内与厂外道路的连接道路采用泥结碎石路面，路宽6m。</w:t>
      </w:r>
    </w:p>
    <w:p w14:paraId="5D7E7E5E">
      <w:pPr>
        <w:pStyle w:val="4"/>
        <w:bidi w:val="0"/>
        <w:rPr>
          <w:rFonts w:hint="eastAsia"/>
          <w:color w:val="auto"/>
        </w:rPr>
      </w:pPr>
      <w:bookmarkStart w:id="87" w:name="_Toc31090"/>
      <w:r>
        <w:rPr>
          <w:rFonts w:hint="eastAsia"/>
          <w:color w:val="auto"/>
        </w:rPr>
        <w:t>2.</w:t>
      </w:r>
      <w:r>
        <w:rPr>
          <w:rFonts w:hint="eastAsia"/>
          <w:color w:val="auto"/>
          <w:lang w:val="en-US" w:eastAsia="zh-CN"/>
        </w:rPr>
        <w:t>5</w:t>
      </w:r>
      <w:r>
        <w:rPr>
          <w:rFonts w:hint="eastAsia"/>
          <w:color w:val="auto"/>
        </w:rPr>
        <w:t>.</w:t>
      </w:r>
      <w:r>
        <w:rPr>
          <w:rFonts w:hint="eastAsia"/>
          <w:color w:val="auto"/>
          <w:lang w:val="en-US" w:eastAsia="zh-CN"/>
        </w:rPr>
        <w:t xml:space="preserve">5 </w:t>
      </w:r>
      <w:r>
        <w:rPr>
          <w:rFonts w:hint="eastAsia"/>
          <w:color w:val="auto"/>
        </w:rPr>
        <w:t>辅助设施</w:t>
      </w:r>
      <w:bookmarkEnd w:id="87"/>
    </w:p>
    <w:p w14:paraId="3C3CBDE8">
      <w:pPr>
        <w:bidi w:val="0"/>
        <w:rPr>
          <w:rFonts w:hint="default" w:eastAsia="宋体"/>
          <w:color w:val="auto"/>
          <w:lang w:val="en-US" w:eastAsia="zh-CN"/>
        </w:rPr>
      </w:pPr>
      <w:r>
        <w:rPr>
          <w:rFonts w:hint="eastAsia"/>
          <w:color w:val="auto"/>
          <w:lang w:val="en-US" w:eastAsia="zh-CN"/>
        </w:rPr>
        <w:t>1、设计概况</w:t>
      </w:r>
    </w:p>
    <w:p w14:paraId="5F229198">
      <w:pPr>
        <w:bidi w:val="0"/>
        <w:rPr>
          <w:rFonts w:hint="eastAsia"/>
          <w:color w:val="auto"/>
        </w:rPr>
      </w:pPr>
      <w:r>
        <w:rPr>
          <w:rFonts w:hint="eastAsia"/>
          <w:color w:val="auto"/>
        </w:rPr>
        <w:t>生产辅助设施包括配电室、值班室、材料库房等。</w:t>
      </w:r>
    </w:p>
    <w:p w14:paraId="35AD3797">
      <w:pPr>
        <w:bidi w:val="0"/>
        <w:rPr>
          <w:rFonts w:hint="eastAsia"/>
          <w:color w:val="auto"/>
        </w:rPr>
      </w:pPr>
      <w:r>
        <w:rPr>
          <w:rFonts w:hint="eastAsia"/>
          <w:color w:val="auto"/>
        </w:rPr>
        <w:t>生活辅助设施包括职工宿舍、食堂、浴室等。</w:t>
      </w:r>
    </w:p>
    <w:p w14:paraId="0E7C5313">
      <w:pPr>
        <w:bidi w:val="0"/>
        <w:rPr>
          <w:rFonts w:hint="default" w:eastAsia="宋体"/>
          <w:color w:val="auto"/>
          <w:lang w:val="en-US" w:eastAsia="zh-CN"/>
        </w:rPr>
      </w:pPr>
      <w:r>
        <w:rPr>
          <w:rFonts w:hint="eastAsia"/>
          <w:color w:val="auto"/>
          <w:lang w:val="en-US" w:eastAsia="zh-CN"/>
        </w:rPr>
        <w:t>2、建设概况</w:t>
      </w:r>
    </w:p>
    <w:p w14:paraId="52891B51">
      <w:pPr>
        <w:bidi w:val="0"/>
        <w:rPr>
          <w:rFonts w:hint="default" w:eastAsia="宋体"/>
          <w:color w:val="auto"/>
          <w:lang w:val="en-US" w:eastAsia="zh-CN"/>
        </w:rPr>
      </w:pPr>
      <w:r>
        <w:rPr>
          <w:rFonts w:hint="eastAsia"/>
          <w:color w:val="auto"/>
        </w:rPr>
        <w:t>根据现场勘察，配电室、值班室、材料库房</w:t>
      </w:r>
      <w:r>
        <w:rPr>
          <w:rFonts w:hint="eastAsia"/>
          <w:color w:val="auto"/>
          <w:lang w:val="en-US" w:eastAsia="zh-CN"/>
        </w:rPr>
        <w:t>均已建设，职工宿舍、食堂、浴室利用选厂原有设施。</w:t>
      </w:r>
    </w:p>
    <w:p w14:paraId="73CB7F75">
      <w:pPr>
        <w:pStyle w:val="4"/>
        <w:bidi w:val="0"/>
        <w:rPr>
          <w:rFonts w:hint="eastAsia"/>
          <w:color w:val="auto"/>
        </w:rPr>
      </w:pPr>
      <w:bookmarkStart w:id="88" w:name="_Toc22032"/>
      <w:r>
        <w:rPr>
          <w:rFonts w:hint="eastAsia"/>
          <w:color w:val="auto"/>
        </w:rPr>
        <w:t>2.</w:t>
      </w:r>
      <w:r>
        <w:rPr>
          <w:rFonts w:hint="eastAsia"/>
          <w:color w:val="auto"/>
          <w:lang w:val="en-US" w:eastAsia="zh-CN"/>
        </w:rPr>
        <w:t>5</w:t>
      </w:r>
      <w:r>
        <w:rPr>
          <w:rFonts w:hint="eastAsia"/>
          <w:color w:val="auto"/>
        </w:rPr>
        <w:t>.</w:t>
      </w:r>
      <w:r>
        <w:rPr>
          <w:rFonts w:hint="eastAsia"/>
          <w:color w:val="auto"/>
          <w:lang w:val="en-US" w:eastAsia="zh-CN"/>
        </w:rPr>
        <w:t xml:space="preserve">6 </w:t>
      </w:r>
      <w:r>
        <w:rPr>
          <w:rFonts w:hint="eastAsia"/>
          <w:color w:val="auto"/>
        </w:rPr>
        <w:t>尾矿设施</w:t>
      </w:r>
      <w:bookmarkEnd w:id="88"/>
    </w:p>
    <w:p w14:paraId="7385C990">
      <w:pPr>
        <w:bidi w:val="0"/>
        <w:rPr>
          <w:rFonts w:hint="default" w:eastAsia="宋体"/>
          <w:color w:val="auto"/>
          <w:lang w:val="en-US" w:eastAsia="zh-CN"/>
        </w:rPr>
      </w:pPr>
      <w:r>
        <w:rPr>
          <w:rFonts w:hint="eastAsia"/>
          <w:color w:val="auto"/>
          <w:lang w:val="en-US" w:eastAsia="zh-CN"/>
        </w:rPr>
        <w:t>1、设计概况</w:t>
      </w:r>
    </w:p>
    <w:p w14:paraId="2F3D36A8">
      <w:pPr>
        <w:bidi w:val="0"/>
        <w:rPr>
          <w:color w:val="auto"/>
        </w:rPr>
      </w:pPr>
      <w:r>
        <w:rPr>
          <w:rFonts w:hint="eastAsia"/>
          <w:color w:val="auto"/>
        </w:rPr>
        <w:t>把选矿厂生产的尾矿通过浓缩、压滤脱水后得到尾矿渣销售给寻甸沃康蔬菜种植有限公司进行土壤化，土壤化后进行土地整治复垦，除了企业原有尾矿库外，不增设其它尾矿设施。</w:t>
      </w:r>
    </w:p>
    <w:p w14:paraId="262208B8">
      <w:pPr>
        <w:bidi w:val="0"/>
        <w:rPr>
          <w:rFonts w:hint="default" w:eastAsia="宋体"/>
          <w:color w:val="auto"/>
          <w:lang w:val="en-US" w:eastAsia="zh-CN"/>
        </w:rPr>
      </w:pPr>
      <w:r>
        <w:rPr>
          <w:rFonts w:hint="eastAsia"/>
          <w:color w:val="auto"/>
          <w:lang w:val="en-US" w:eastAsia="zh-CN"/>
        </w:rPr>
        <w:t>2、建设概况</w:t>
      </w:r>
    </w:p>
    <w:p w14:paraId="6B74F6B6">
      <w:pPr>
        <w:bidi w:val="0"/>
        <w:rPr>
          <w:rFonts w:hint="default" w:eastAsia="宋体"/>
          <w:color w:val="auto"/>
          <w:lang w:val="en-US" w:eastAsia="zh-CN"/>
        </w:rPr>
      </w:pPr>
      <w:r>
        <w:rPr>
          <w:rFonts w:hint="eastAsia"/>
          <w:color w:val="auto"/>
        </w:rPr>
        <w:t>选矿厂生产的尾矿通过浓缩、压滤脱水后得到尾矿渣销售给寻甸沃康蔬菜种植有限公司进行土壤化</w:t>
      </w:r>
      <w:r>
        <w:rPr>
          <w:rFonts w:hint="eastAsia"/>
          <w:color w:val="auto"/>
          <w:lang w:eastAsia="zh-CN"/>
        </w:rPr>
        <w:t>，</w:t>
      </w:r>
      <w:r>
        <w:rPr>
          <w:rFonts w:hint="eastAsia"/>
          <w:color w:val="auto"/>
          <w:lang w:val="en-US" w:eastAsia="zh-CN"/>
        </w:rPr>
        <w:t>压滤车间建设在</w:t>
      </w:r>
      <w:r>
        <w:rPr>
          <w:rFonts w:hint="eastAsia"/>
          <w:color w:val="auto"/>
        </w:rPr>
        <w:t>沃康</w:t>
      </w:r>
      <w:r>
        <w:rPr>
          <w:rFonts w:hint="eastAsia"/>
          <w:color w:val="auto"/>
          <w:lang w:val="en-US" w:eastAsia="zh-CN"/>
        </w:rPr>
        <w:t>场地整治区域边缘，北侧带式输送机直接专运到</w:t>
      </w:r>
      <w:r>
        <w:rPr>
          <w:rFonts w:hint="eastAsia"/>
          <w:color w:val="auto"/>
        </w:rPr>
        <w:t>沃康</w:t>
      </w:r>
      <w:r>
        <w:rPr>
          <w:rFonts w:hint="eastAsia"/>
          <w:color w:val="auto"/>
          <w:lang w:val="en-US" w:eastAsia="zh-CN"/>
        </w:rPr>
        <w:t>场地整治区域区域，</w:t>
      </w:r>
      <w:r>
        <w:rPr>
          <w:rFonts w:hint="eastAsia"/>
          <w:color w:val="auto"/>
        </w:rPr>
        <w:t>沃康</w:t>
      </w:r>
      <w:r>
        <w:rPr>
          <w:rFonts w:hint="eastAsia"/>
          <w:color w:val="auto"/>
          <w:lang w:val="en-US" w:eastAsia="zh-CN"/>
        </w:rPr>
        <w:t>公司装载机直接铲运至指定地点进行堆存压实，不增设尾矿堆场。</w:t>
      </w:r>
    </w:p>
    <w:p w14:paraId="491D7077">
      <w:pPr>
        <w:pStyle w:val="4"/>
        <w:bidi w:val="0"/>
        <w:rPr>
          <w:rFonts w:hint="eastAsia"/>
          <w:color w:val="auto"/>
        </w:rPr>
      </w:pPr>
      <w:bookmarkStart w:id="89" w:name="_Toc13254"/>
      <w:r>
        <w:rPr>
          <w:rFonts w:hint="eastAsia"/>
          <w:color w:val="auto"/>
        </w:rPr>
        <w:t>2.</w:t>
      </w:r>
      <w:r>
        <w:rPr>
          <w:rFonts w:hint="eastAsia"/>
          <w:color w:val="auto"/>
          <w:lang w:val="en-US" w:eastAsia="zh-CN"/>
        </w:rPr>
        <w:t>5</w:t>
      </w:r>
      <w:r>
        <w:rPr>
          <w:rFonts w:hint="eastAsia"/>
          <w:color w:val="auto"/>
        </w:rPr>
        <w:t>.</w:t>
      </w:r>
      <w:r>
        <w:rPr>
          <w:rFonts w:hint="eastAsia"/>
          <w:color w:val="auto"/>
          <w:lang w:val="en-US" w:eastAsia="zh-CN"/>
        </w:rPr>
        <w:t xml:space="preserve">7 </w:t>
      </w:r>
      <w:r>
        <w:rPr>
          <w:rFonts w:hint="eastAsia"/>
          <w:color w:val="auto"/>
        </w:rPr>
        <w:t>配套工程</w:t>
      </w:r>
      <w:bookmarkEnd w:id="89"/>
    </w:p>
    <w:p w14:paraId="3F740789">
      <w:pPr>
        <w:bidi w:val="0"/>
        <w:rPr>
          <w:rFonts w:hint="default" w:eastAsia="宋体"/>
          <w:color w:val="auto"/>
          <w:lang w:val="en-US" w:eastAsia="zh-CN"/>
        </w:rPr>
      </w:pPr>
      <w:r>
        <w:rPr>
          <w:rFonts w:hint="eastAsia"/>
          <w:color w:val="auto"/>
          <w:lang w:val="en-US" w:eastAsia="zh-CN"/>
        </w:rPr>
        <w:t>一、设计概况</w:t>
      </w:r>
    </w:p>
    <w:p w14:paraId="4E851F91">
      <w:pPr>
        <w:bidi w:val="0"/>
        <w:rPr>
          <w:rFonts w:hint="eastAsia"/>
          <w:color w:val="auto"/>
        </w:rPr>
      </w:pPr>
      <w:r>
        <w:rPr>
          <w:rFonts w:hint="eastAsia"/>
          <w:color w:val="auto"/>
          <w:lang w:eastAsia="zh-CN"/>
        </w:rPr>
        <w:t>（</w:t>
      </w:r>
      <w:r>
        <w:rPr>
          <w:rFonts w:hint="eastAsia"/>
          <w:color w:val="auto"/>
          <w:lang w:val="en-US" w:eastAsia="zh-CN"/>
        </w:rPr>
        <w:t>一</w:t>
      </w:r>
      <w:r>
        <w:rPr>
          <w:rFonts w:hint="eastAsia"/>
          <w:color w:val="auto"/>
          <w:lang w:eastAsia="zh-CN"/>
        </w:rPr>
        <w:t>）</w:t>
      </w:r>
      <w:r>
        <w:rPr>
          <w:rFonts w:hint="eastAsia"/>
          <w:color w:val="auto"/>
        </w:rPr>
        <w:t>给排水</w:t>
      </w:r>
    </w:p>
    <w:p w14:paraId="17AA323E">
      <w:pPr>
        <w:bidi w:val="0"/>
        <w:rPr>
          <w:rFonts w:hint="eastAsia"/>
          <w:color w:val="auto"/>
        </w:rPr>
      </w:pPr>
      <w:r>
        <w:rPr>
          <w:rFonts w:hint="eastAsia"/>
          <w:color w:val="auto"/>
        </w:rPr>
        <w:t>1、用水量</w:t>
      </w:r>
    </w:p>
    <w:p w14:paraId="44129169">
      <w:pPr>
        <w:bidi w:val="0"/>
        <w:rPr>
          <w:rFonts w:hint="eastAsia"/>
          <w:color w:val="auto"/>
        </w:rPr>
      </w:pPr>
      <w:r>
        <w:rPr>
          <w:rFonts w:hint="eastAsia"/>
          <w:color w:val="auto"/>
        </w:rPr>
        <w:t>尾矿处理系统用水主要来自于选厂的尾矿矿浆，浓度为20%，每天矿浆含水量为4000m</w:t>
      </w:r>
      <w:r>
        <w:rPr>
          <w:rFonts w:hint="eastAsia"/>
          <w:color w:val="auto"/>
          <w:vertAlign w:val="superscript"/>
        </w:rPr>
        <w:t>3</w:t>
      </w:r>
      <w:r>
        <w:rPr>
          <w:rFonts w:hint="eastAsia"/>
          <w:color w:val="auto"/>
        </w:rPr>
        <w:t>，每天按10%的水量为400 m</w:t>
      </w:r>
      <w:r>
        <w:rPr>
          <w:rFonts w:hint="eastAsia"/>
          <w:color w:val="auto"/>
          <w:vertAlign w:val="superscript"/>
        </w:rPr>
        <w:t>3</w:t>
      </w:r>
      <w:r>
        <w:rPr>
          <w:rFonts w:hint="eastAsia"/>
          <w:color w:val="auto"/>
        </w:rPr>
        <w:t>。生活用水量5.0m</w:t>
      </w:r>
      <w:r>
        <w:rPr>
          <w:rFonts w:hint="eastAsia"/>
          <w:color w:val="auto"/>
          <w:vertAlign w:val="superscript"/>
        </w:rPr>
        <w:t>3</w:t>
      </w:r>
      <w:r>
        <w:rPr>
          <w:rFonts w:hint="eastAsia"/>
          <w:color w:val="auto"/>
        </w:rPr>
        <w:t>/d。</w:t>
      </w:r>
    </w:p>
    <w:p w14:paraId="7A3EF0EA">
      <w:pPr>
        <w:bidi w:val="0"/>
        <w:rPr>
          <w:rFonts w:hint="eastAsia"/>
          <w:color w:val="auto"/>
        </w:rPr>
      </w:pPr>
      <w:r>
        <w:rPr>
          <w:rFonts w:hint="eastAsia"/>
          <w:color w:val="auto"/>
        </w:rPr>
        <w:t>2、水源</w:t>
      </w:r>
    </w:p>
    <w:p w14:paraId="2E09D26D">
      <w:pPr>
        <w:bidi w:val="0"/>
        <w:rPr>
          <w:rFonts w:hint="eastAsia"/>
          <w:color w:val="auto"/>
        </w:rPr>
      </w:pPr>
      <w:r>
        <w:rPr>
          <w:rFonts w:hint="eastAsia"/>
          <w:color w:val="auto"/>
        </w:rPr>
        <w:t>生产用水为选厂来料尾矿经过浓缩和压滤的澄清水供生产用水。生活用水为选厂职工生活用水的水源，饮用水为瓶装水，能充分满足生活用水的需求。</w:t>
      </w:r>
    </w:p>
    <w:p w14:paraId="24EC49E9">
      <w:pPr>
        <w:bidi w:val="0"/>
        <w:rPr>
          <w:rFonts w:hint="eastAsia"/>
          <w:color w:val="auto"/>
        </w:rPr>
      </w:pPr>
      <w:r>
        <w:rPr>
          <w:rFonts w:hint="eastAsia"/>
          <w:color w:val="auto"/>
        </w:rPr>
        <w:t>3、生产新水供水系统</w:t>
      </w:r>
    </w:p>
    <w:p w14:paraId="77AAD723">
      <w:pPr>
        <w:bidi w:val="0"/>
        <w:rPr>
          <w:rFonts w:hint="eastAsia"/>
          <w:color w:val="auto"/>
        </w:rPr>
      </w:pPr>
      <w:r>
        <w:rPr>
          <w:rFonts w:hint="eastAsia"/>
          <w:color w:val="auto"/>
        </w:rPr>
        <w:t>选矿厂已有1个新水池（V=600m</w:t>
      </w:r>
      <w:r>
        <w:rPr>
          <w:rFonts w:hint="eastAsia"/>
          <w:color w:val="auto"/>
          <w:vertAlign w:val="superscript"/>
        </w:rPr>
        <w:t>3</w:t>
      </w:r>
      <w:r>
        <w:rPr>
          <w:rFonts w:hint="eastAsia"/>
          <w:color w:val="auto"/>
        </w:rPr>
        <w:t>），主要储存新水。引水重力自流至厂区各用水点使用。</w:t>
      </w:r>
    </w:p>
    <w:p w14:paraId="211B9C5B">
      <w:pPr>
        <w:bidi w:val="0"/>
        <w:rPr>
          <w:rFonts w:hint="eastAsia"/>
          <w:color w:val="auto"/>
        </w:rPr>
      </w:pPr>
      <w:r>
        <w:rPr>
          <w:rFonts w:hint="eastAsia"/>
          <w:color w:val="auto"/>
        </w:rPr>
        <w:t>4、供水系统</w:t>
      </w:r>
    </w:p>
    <w:p w14:paraId="63B8C52D">
      <w:pPr>
        <w:bidi w:val="0"/>
        <w:rPr>
          <w:rFonts w:hint="eastAsia"/>
          <w:color w:val="auto"/>
        </w:rPr>
      </w:pPr>
      <w:r>
        <w:rPr>
          <w:rFonts w:hint="eastAsia"/>
          <w:color w:val="auto"/>
        </w:rPr>
        <w:t>从选厂回水系统接一根DN150×5，长约200m的供至选厂附近，再从主管上接管，供至尾矿处理系统各个用水点，满足生产用水要求。管线敷设方式，根据现场情况定：穿越公路时，架设或是埋设。</w:t>
      </w:r>
    </w:p>
    <w:p w14:paraId="6AE3F6E4">
      <w:pPr>
        <w:bidi w:val="0"/>
        <w:rPr>
          <w:rFonts w:hint="eastAsia"/>
          <w:color w:val="auto"/>
        </w:rPr>
      </w:pPr>
      <w:r>
        <w:rPr>
          <w:rFonts w:hint="eastAsia"/>
          <w:color w:val="auto"/>
        </w:rPr>
        <w:t>5、排水系统</w:t>
      </w:r>
    </w:p>
    <w:p w14:paraId="5D2B8D84">
      <w:pPr>
        <w:bidi w:val="0"/>
        <w:rPr>
          <w:rFonts w:hint="eastAsia"/>
          <w:color w:val="auto"/>
        </w:rPr>
      </w:pPr>
      <w:r>
        <w:rPr>
          <w:rFonts w:hint="eastAsia"/>
          <w:color w:val="auto"/>
        </w:rPr>
        <w:t>本项所有的生产排水，均进入回水系统，采用封闭循环，无生产废水排放。</w:t>
      </w:r>
    </w:p>
    <w:p w14:paraId="266CB375">
      <w:pPr>
        <w:bidi w:val="0"/>
        <w:rPr>
          <w:rFonts w:hint="eastAsia"/>
          <w:color w:val="auto"/>
        </w:rPr>
      </w:pPr>
      <w:r>
        <w:rPr>
          <w:rFonts w:hint="eastAsia"/>
          <w:color w:val="auto"/>
        </w:rPr>
        <w:t>生活排水量为10m</w:t>
      </w:r>
      <w:r>
        <w:rPr>
          <w:rFonts w:hint="eastAsia"/>
          <w:color w:val="auto"/>
          <w:vertAlign w:val="superscript"/>
        </w:rPr>
        <w:t>3</w:t>
      </w:r>
      <w:r>
        <w:rPr>
          <w:rFonts w:hint="eastAsia"/>
          <w:color w:val="auto"/>
        </w:rPr>
        <w:t>/d，其中生活污水、废水8.5m</w:t>
      </w:r>
      <w:r>
        <w:rPr>
          <w:rFonts w:hint="eastAsia"/>
          <w:color w:val="auto"/>
          <w:vertAlign w:val="superscript"/>
        </w:rPr>
        <w:t>3</w:t>
      </w:r>
      <w:r>
        <w:rPr>
          <w:rFonts w:hint="eastAsia"/>
          <w:color w:val="auto"/>
        </w:rPr>
        <w:t>/d，未预计排水1.5m</w:t>
      </w:r>
      <w:r>
        <w:rPr>
          <w:rFonts w:hint="eastAsia"/>
          <w:color w:val="auto"/>
          <w:vertAlign w:val="superscript"/>
        </w:rPr>
        <w:t>3</w:t>
      </w:r>
      <w:r>
        <w:rPr>
          <w:rFonts w:hint="eastAsia"/>
          <w:color w:val="auto"/>
        </w:rPr>
        <w:t>/d。</w:t>
      </w:r>
    </w:p>
    <w:p w14:paraId="34FFDDE0">
      <w:pPr>
        <w:bidi w:val="0"/>
        <w:rPr>
          <w:rFonts w:hint="eastAsia"/>
          <w:color w:val="auto"/>
          <w:lang w:eastAsia="zh-CN"/>
        </w:rPr>
      </w:pPr>
      <w:r>
        <w:rPr>
          <w:rFonts w:hint="eastAsia"/>
          <w:color w:val="auto"/>
          <w:lang w:val="en-US" w:eastAsia="zh-CN"/>
        </w:rPr>
        <w:t>根据现场实际情况</w:t>
      </w:r>
      <w:r>
        <w:rPr>
          <w:rFonts w:hint="eastAsia"/>
          <w:color w:val="auto"/>
          <w:lang w:eastAsia="zh-CN"/>
        </w:rPr>
        <w:t>，寻甸金林钛矿有限公司尾矿处理技改升级建设项目压滤车间南部边坡顶排水沟变更为将排水沟设置在压滤车间南部边坡底，已做设计变更，详见附件。</w:t>
      </w:r>
    </w:p>
    <w:p w14:paraId="5E782A98">
      <w:pPr>
        <w:bidi w:val="0"/>
        <w:rPr>
          <w:rFonts w:hint="eastAsia"/>
          <w:color w:val="auto"/>
        </w:rPr>
      </w:pPr>
      <w:r>
        <w:rPr>
          <w:rFonts w:hint="eastAsia"/>
          <w:color w:val="auto"/>
          <w:lang w:eastAsia="zh-CN"/>
        </w:rPr>
        <w:t>（</w:t>
      </w:r>
      <w:r>
        <w:rPr>
          <w:rFonts w:hint="eastAsia"/>
          <w:color w:val="auto"/>
          <w:lang w:val="en-US" w:eastAsia="zh-CN"/>
        </w:rPr>
        <w:t>二</w:t>
      </w:r>
      <w:r>
        <w:rPr>
          <w:rFonts w:hint="eastAsia"/>
          <w:color w:val="auto"/>
          <w:lang w:eastAsia="zh-CN"/>
        </w:rPr>
        <w:t>）</w:t>
      </w:r>
      <w:r>
        <w:rPr>
          <w:rFonts w:hint="eastAsia"/>
          <w:color w:val="auto"/>
        </w:rPr>
        <w:t>供配电</w:t>
      </w:r>
    </w:p>
    <w:p w14:paraId="753594C9">
      <w:pPr>
        <w:bidi w:val="0"/>
        <w:rPr>
          <w:rFonts w:hint="eastAsia"/>
          <w:color w:val="auto"/>
        </w:rPr>
      </w:pPr>
      <w:r>
        <w:rPr>
          <w:rFonts w:hint="eastAsia"/>
          <w:color w:val="auto"/>
        </w:rPr>
        <w:t>1、负荷及其特点</w:t>
      </w:r>
    </w:p>
    <w:p w14:paraId="790DFF3F">
      <w:pPr>
        <w:bidi w:val="0"/>
        <w:rPr>
          <w:rFonts w:hint="eastAsia"/>
          <w:color w:val="auto"/>
        </w:rPr>
      </w:pPr>
      <w:r>
        <w:rPr>
          <w:rFonts w:hint="eastAsia"/>
          <w:color w:val="auto"/>
        </w:rPr>
        <w:t>本项目为寻甸金林钛矿有限公司尾矿处理技改升级建设项目工程。本工程所有用电设备均为低压负荷，为三级负荷。根据各专业提供的条件进行了电气负荷计算，结果如下：（详见“电力负荷计算表”）。</w:t>
      </w:r>
    </w:p>
    <w:p w14:paraId="15074797">
      <w:pPr>
        <w:bidi w:val="0"/>
        <w:rPr>
          <w:rFonts w:hint="eastAsia"/>
          <w:color w:val="auto"/>
        </w:rPr>
      </w:pPr>
      <w:r>
        <w:rPr>
          <w:rFonts w:hint="eastAsia"/>
          <w:color w:val="auto"/>
        </w:rPr>
        <w:t>选厂380V侧：    安装容量1852kW，47台；</w:t>
      </w:r>
    </w:p>
    <w:p w14:paraId="24D94531">
      <w:pPr>
        <w:bidi w:val="0"/>
        <w:rPr>
          <w:rFonts w:hint="eastAsia"/>
          <w:color w:val="auto"/>
        </w:rPr>
      </w:pPr>
      <w:r>
        <w:rPr>
          <w:rFonts w:hint="eastAsia"/>
          <w:color w:val="auto"/>
        </w:rPr>
        <w:t xml:space="preserve">                  工作容量1852kW，47台；</w:t>
      </w:r>
    </w:p>
    <w:p w14:paraId="44A273DF">
      <w:pPr>
        <w:bidi w:val="0"/>
        <w:rPr>
          <w:rFonts w:hint="eastAsia" w:eastAsia="宋体"/>
          <w:color w:val="auto"/>
          <w:lang w:eastAsia="zh-CN"/>
        </w:rPr>
      </w:pPr>
      <w:r>
        <w:rPr>
          <w:rFonts w:hint="eastAsia"/>
          <w:color w:val="auto"/>
        </w:rPr>
        <w:t>10kV侧计算负荷：有功功率1315.95kW</w:t>
      </w:r>
      <w:r>
        <w:rPr>
          <w:rFonts w:hint="eastAsia"/>
          <w:color w:val="auto"/>
          <w:lang w:eastAsia="zh-CN"/>
        </w:rPr>
        <w:t>；</w:t>
      </w:r>
    </w:p>
    <w:p w14:paraId="05DDAC29">
      <w:pPr>
        <w:bidi w:val="0"/>
        <w:rPr>
          <w:rFonts w:hint="eastAsia" w:eastAsia="宋体"/>
          <w:color w:val="auto"/>
          <w:lang w:eastAsia="zh-CN"/>
        </w:rPr>
      </w:pPr>
      <w:r>
        <w:rPr>
          <w:rFonts w:hint="eastAsia"/>
          <w:color w:val="auto"/>
        </w:rPr>
        <w:t>无功功率498.30kvar</w:t>
      </w:r>
      <w:r>
        <w:rPr>
          <w:rFonts w:hint="eastAsia"/>
          <w:color w:val="auto"/>
          <w:lang w:eastAsia="zh-CN"/>
        </w:rPr>
        <w:t>；</w:t>
      </w:r>
    </w:p>
    <w:p w14:paraId="4F03442F">
      <w:pPr>
        <w:bidi w:val="0"/>
        <w:rPr>
          <w:rFonts w:hint="eastAsia"/>
          <w:color w:val="auto"/>
        </w:rPr>
      </w:pPr>
      <w:r>
        <w:rPr>
          <w:rFonts w:hint="eastAsia"/>
          <w:color w:val="auto"/>
        </w:rPr>
        <w:t xml:space="preserve">              视在功率1407.13kVA。</w:t>
      </w:r>
    </w:p>
    <w:p w14:paraId="25FEE8B8">
      <w:pPr>
        <w:bidi w:val="0"/>
        <w:rPr>
          <w:rFonts w:hint="eastAsia" w:eastAsia="宋体"/>
          <w:color w:val="auto"/>
          <w:lang w:eastAsia="zh-CN"/>
        </w:rPr>
      </w:pPr>
      <w:r>
        <w:rPr>
          <w:rFonts w:hint="eastAsia"/>
          <w:color w:val="auto"/>
        </w:rPr>
        <w:t>尾矿处理系统总的生产总耗电量506.57×10</w:t>
      </w:r>
      <w:r>
        <w:rPr>
          <w:rFonts w:hint="eastAsia"/>
          <w:color w:val="auto"/>
          <w:vertAlign w:val="superscript"/>
        </w:rPr>
        <w:t>4</w:t>
      </w:r>
      <w:r>
        <w:rPr>
          <w:rFonts w:hint="eastAsia"/>
          <w:color w:val="auto"/>
        </w:rPr>
        <w:t>kwh/a</w:t>
      </w:r>
      <w:r>
        <w:rPr>
          <w:rFonts w:hint="eastAsia"/>
          <w:color w:val="auto"/>
          <w:lang w:eastAsia="zh-CN"/>
        </w:rPr>
        <w:t>。</w:t>
      </w:r>
    </w:p>
    <w:p w14:paraId="4D0D0A28">
      <w:pPr>
        <w:bidi w:val="0"/>
        <w:rPr>
          <w:rFonts w:hint="eastAsia"/>
          <w:color w:val="auto"/>
        </w:rPr>
      </w:pPr>
      <w:r>
        <w:rPr>
          <w:rFonts w:hint="eastAsia"/>
          <w:color w:val="auto"/>
        </w:rPr>
        <w:t>2、电源</w:t>
      </w:r>
    </w:p>
    <w:p w14:paraId="2E1734A8">
      <w:pPr>
        <w:bidi w:val="0"/>
        <w:rPr>
          <w:rFonts w:hint="eastAsia"/>
          <w:color w:val="auto"/>
        </w:rPr>
      </w:pPr>
      <w:r>
        <w:rPr>
          <w:rFonts w:hint="eastAsia"/>
          <w:color w:val="auto"/>
        </w:rPr>
        <w:t>项目供电设施分别从公司选矿厂变电站接来（浓缩车间）和35kv柯渡变电站10kV新庄线T稗子田支线T旧村支线接来（压滤车间），满足要求。</w:t>
      </w:r>
    </w:p>
    <w:p w14:paraId="16ED4A1F">
      <w:pPr>
        <w:bidi w:val="0"/>
        <w:rPr>
          <w:rFonts w:hint="eastAsia"/>
          <w:color w:val="auto"/>
        </w:rPr>
      </w:pPr>
      <w:r>
        <w:rPr>
          <w:rFonts w:hint="eastAsia"/>
          <w:color w:val="auto"/>
        </w:rPr>
        <w:t>3、供电系统及配线方式</w:t>
      </w:r>
    </w:p>
    <w:p w14:paraId="08FD0CDE">
      <w:pPr>
        <w:bidi w:val="0"/>
        <w:rPr>
          <w:rFonts w:hint="eastAsia"/>
          <w:color w:val="auto"/>
        </w:rPr>
      </w:pPr>
      <w:r>
        <w:rPr>
          <w:rFonts w:hint="eastAsia"/>
          <w:color w:val="auto"/>
        </w:rPr>
        <w:t>由附近10kV电源引至本工程生产车间旁的变压器。</w:t>
      </w:r>
    </w:p>
    <w:p w14:paraId="4244D95A">
      <w:pPr>
        <w:bidi w:val="0"/>
        <w:rPr>
          <w:rFonts w:hint="eastAsia"/>
          <w:color w:val="auto"/>
        </w:rPr>
      </w:pPr>
      <w:r>
        <w:rPr>
          <w:rFonts w:hint="eastAsia"/>
          <w:color w:val="auto"/>
        </w:rPr>
        <w:t>地面配线：选厂变电所设低压配电屏或户外配电箱，采用电缆放射式向各用电设备供电。各车间、室内设动力配电箱或照明配电箱作二级低压配电。</w:t>
      </w:r>
    </w:p>
    <w:p w14:paraId="65A97F2E">
      <w:pPr>
        <w:bidi w:val="0"/>
        <w:rPr>
          <w:rFonts w:hint="eastAsia"/>
          <w:color w:val="auto"/>
        </w:rPr>
      </w:pPr>
      <w:r>
        <w:rPr>
          <w:rFonts w:hint="eastAsia"/>
          <w:color w:val="auto"/>
        </w:rPr>
        <w:t>配电室设低压配电屏或户外配电箱，采用电缆放射式向各用电设备供电。各车间、室内设动力配电箱或照明配电箱作二级低压配电。</w:t>
      </w:r>
    </w:p>
    <w:p w14:paraId="08551F15">
      <w:pPr>
        <w:bidi w:val="0"/>
        <w:rPr>
          <w:rFonts w:hint="eastAsia"/>
          <w:color w:val="auto"/>
        </w:rPr>
      </w:pPr>
      <w:r>
        <w:rPr>
          <w:rFonts w:hint="eastAsia"/>
          <w:color w:val="auto"/>
        </w:rPr>
        <w:t>各车间内配线方式为：电力电缆、控制电缆及信号电缆都沿电缆桥架明敷设。顺桥架到设备处穿管明（暗）敷设。电缆桥架（含穿线管）尽量沿工艺管桥、建构筑物的柱、墙等处敷设。无上述条件时自立支柱单独敷设。</w:t>
      </w:r>
    </w:p>
    <w:p w14:paraId="0BF4F5FB">
      <w:pPr>
        <w:bidi w:val="0"/>
        <w:rPr>
          <w:rFonts w:hint="eastAsia"/>
          <w:color w:val="auto"/>
        </w:rPr>
      </w:pPr>
      <w:r>
        <w:rPr>
          <w:rFonts w:hint="eastAsia"/>
          <w:color w:val="auto"/>
        </w:rPr>
        <w:t>车间内照明采用铜芯绝缘线穿钢管（或PVC）沿柱、墙、梁敷设。厂区内的道路、场地照明，用铜芯绝缘线穿管埋地敷设。一般穿PVC管，过路及运输通行处穿钢管埋地敷设。办公室、宿舍等辅助用房照明用铜芯绝缘线穿PVC管暗敷设。</w:t>
      </w:r>
    </w:p>
    <w:p w14:paraId="7B185F21">
      <w:pPr>
        <w:bidi w:val="0"/>
        <w:rPr>
          <w:rFonts w:hint="eastAsia"/>
          <w:color w:val="auto"/>
        </w:rPr>
      </w:pPr>
      <w:r>
        <w:rPr>
          <w:rFonts w:hint="eastAsia"/>
          <w:color w:val="auto"/>
        </w:rPr>
        <w:t>4、设备控制保护</w:t>
      </w:r>
    </w:p>
    <w:p w14:paraId="12D17E5C">
      <w:pPr>
        <w:bidi w:val="0"/>
        <w:rPr>
          <w:rFonts w:hint="eastAsia"/>
          <w:color w:val="auto"/>
        </w:rPr>
      </w:pPr>
      <w:r>
        <w:rPr>
          <w:rFonts w:hint="eastAsia"/>
          <w:color w:val="auto"/>
        </w:rPr>
        <w:t>选厂变电所内选用直接装在开关柜上的综保模块，实现对进线、变压器出线等回路进行继电保护、控制、信号及测量。既先进、可靠、又方便。</w:t>
      </w:r>
    </w:p>
    <w:p w14:paraId="3272A4C5">
      <w:pPr>
        <w:bidi w:val="0"/>
        <w:rPr>
          <w:rFonts w:hint="eastAsia"/>
          <w:color w:val="auto"/>
        </w:rPr>
      </w:pPr>
      <w:r>
        <w:rPr>
          <w:rFonts w:hint="eastAsia"/>
          <w:color w:val="auto"/>
        </w:rPr>
        <w:t>低压电动机回路设短路及过负荷保护，低压配电回路主要设短路、过负荷保护。</w:t>
      </w:r>
    </w:p>
    <w:p w14:paraId="3E470AC4">
      <w:pPr>
        <w:bidi w:val="0"/>
        <w:rPr>
          <w:rFonts w:hint="eastAsia"/>
          <w:color w:val="auto"/>
        </w:rPr>
      </w:pPr>
      <w:r>
        <w:rPr>
          <w:rFonts w:hint="eastAsia"/>
          <w:color w:val="auto"/>
        </w:rPr>
        <w:t>低压电机大部分为就地控制，即：现场动力配电箱和磁力启动箱上控制。部分为两地控制，即：低压屏和现场按钮箱上控制。</w:t>
      </w:r>
    </w:p>
    <w:p w14:paraId="0D871803">
      <w:pPr>
        <w:bidi w:val="0"/>
        <w:rPr>
          <w:rFonts w:hint="eastAsia"/>
          <w:color w:val="auto"/>
        </w:rPr>
      </w:pPr>
      <w:r>
        <w:rPr>
          <w:rFonts w:hint="eastAsia"/>
          <w:color w:val="auto"/>
        </w:rPr>
        <w:t>低压电机大部分为直接启动。当起动电流小于10A，可以直接起动，大于10A必须采取降压起动柜或软起动动力柜。对于低压大电机，生产不需调速的选用软启动柜现场控制启动；生产需调速的选用变频柜现场控制、调速和保护。这不仅可节电，还可使这些大电机处在平稳均衡的最佳工作状态。减少检修工作量，延长设备使用寿命。</w:t>
      </w:r>
    </w:p>
    <w:p w14:paraId="48ED58E9">
      <w:pPr>
        <w:bidi w:val="0"/>
        <w:rPr>
          <w:rFonts w:hint="eastAsia"/>
          <w:color w:val="auto"/>
        </w:rPr>
      </w:pPr>
      <w:r>
        <w:rPr>
          <w:rFonts w:hint="eastAsia"/>
          <w:color w:val="auto"/>
        </w:rPr>
        <w:t>低压电机凡需水位联动控制的均设数字式液位控制仪。以上所涉及到的控制，其控制电源电压一律定为~220V。</w:t>
      </w:r>
    </w:p>
    <w:p w14:paraId="4DB0B420">
      <w:pPr>
        <w:bidi w:val="0"/>
        <w:rPr>
          <w:rFonts w:hint="eastAsia"/>
          <w:color w:val="auto"/>
        </w:rPr>
      </w:pPr>
      <w:r>
        <w:rPr>
          <w:rFonts w:hint="eastAsia"/>
          <w:color w:val="auto"/>
        </w:rPr>
        <w:t>低压配电出线回路在低压屏或动力箱上配置电度表计量。55kW以上电机回路设电流表显示。</w:t>
      </w:r>
    </w:p>
    <w:p w14:paraId="23D2FF08">
      <w:pPr>
        <w:bidi w:val="0"/>
        <w:rPr>
          <w:rFonts w:hint="eastAsia"/>
          <w:color w:val="auto"/>
        </w:rPr>
      </w:pPr>
      <w:r>
        <w:rPr>
          <w:rFonts w:hint="eastAsia"/>
          <w:color w:val="auto"/>
        </w:rPr>
        <w:t>5、照明</w:t>
      </w:r>
    </w:p>
    <w:p w14:paraId="18E69E99">
      <w:pPr>
        <w:bidi w:val="0"/>
        <w:rPr>
          <w:rFonts w:hint="eastAsia"/>
          <w:color w:val="auto"/>
        </w:rPr>
      </w:pPr>
      <w:r>
        <w:rPr>
          <w:rFonts w:hint="eastAsia"/>
          <w:color w:val="auto"/>
        </w:rPr>
        <w:t>按“建筑照明设计标准”确定照度；按使用环境选不同灯具；光源一律选用节能光源，并满足照度标准要求。界区内地面及工业场地道路照明，采用路灯和投光灯照明。</w:t>
      </w:r>
    </w:p>
    <w:p w14:paraId="79FD36FA">
      <w:pPr>
        <w:bidi w:val="0"/>
        <w:rPr>
          <w:rFonts w:hint="eastAsia"/>
          <w:color w:val="auto"/>
        </w:rPr>
      </w:pPr>
      <w:r>
        <w:rPr>
          <w:rFonts w:hint="eastAsia"/>
          <w:color w:val="auto"/>
        </w:rPr>
        <w:t>车间工作照明在照明箱上集中控制；车间周围弯杆局部照明灯及有些平台下的照明灯分散就地控制。</w:t>
      </w:r>
    </w:p>
    <w:p w14:paraId="01CE4CC0">
      <w:pPr>
        <w:bidi w:val="0"/>
        <w:rPr>
          <w:color w:val="auto"/>
        </w:rPr>
      </w:pPr>
      <w:r>
        <w:rPr>
          <w:rFonts w:hint="eastAsia"/>
          <w:color w:val="auto"/>
        </w:rPr>
        <w:t>其他建筑物内的照明为分散就地控制。</w:t>
      </w:r>
    </w:p>
    <w:p w14:paraId="48BA6E69">
      <w:pPr>
        <w:bidi w:val="0"/>
        <w:rPr>
          <w:rFonts w:hint="default" w:eastAsia="宋体"/>
          <w:color w:val="auto"/>
          <w:lang w:val="en-US" w:eastAsia="zh-CN"/>
        </w:rPr>
      </w:pPr>
      <w:r>
        <w:rPr>
          <w:rFonts w:hint="eastAsia"/>
          <w:color w:val="auto"/>
          <w:lang w:val="en-US" w:eastAsia="zh-CN"/>
        </w:rPr>
        <w:t>二、建设概况</w:t>
      </w:r>
    </w:p>
    <w:p w14:paraId="5F4EFF1D">
      <w:pPr>
        <w:bidi w:val="0"/>
        <w:rPr>
          <w:rFonts w:hint="eastAsia"/>
          <w:color w:val="auto"/>
        </w:rPr>
      </w:pPr>
      <w:r>
        <w:rPr>
          <w:rFonts w:hint="eastAsia"/>
          <w:color w:val="auto"/>
        </w:rPr>
        <w:t>本项所有的生产排水，均进入回水系统，采用封闭循环，无生产废水排放。</w:t>
      </w:r>
    </w:p>
    <w:p w14:paraId="18186826">
      <w:pPr>
        <w:bidi w:val="0"/>
        <w:rPr>
          <w:rFonts w:hint="eastAsia"/>
          <w:color w:val="auto"/>
        </w:rPr>
      </w:pPr>
      <w:r>
        <w:rPr>
          <w:rFonts w:hint="eastAsia"/>
          <w:color w:val="auto"/>
        </w:rPr>
        <w:t>项目供电设施分别从公司选矿厂变电站接来（浓缩车间）和35kv柯渡变电站10kV新庄线T稗子田支线T旧村支线接来（压滤车间）。新建2台800kVA箱式变压器（位于压滤车间旁）、1台315kVA箱式变压器（位于浓缩车间旁），供尾矿处理系统各生产车间使用。未设置集中配电系统，采用分布式配电柜。</w:t>
      </w:r>
    </w:p>
    <w:p w14:paraId="1E7AC7CE">
      <w:pPr>
        <w:bidi w:val="0"/>
        <w:rPr>
          <w:rFonts w:hint="eastAsia"/>
          <w:color w:val="auto"/>
        </w:rPr>
      </w:pPr>
      <w:r>
        <w:rPr>
          <w:rFonts w:hint="eastAsia"/>
          <w:color w:val="auto"/>
        </w:rPr>
        <w:t>项目照明设置符合要求。</w:t>
      </w:r>
    </w:p>
    <w:p w14:paraId="1F395981">
      <w:pPr>
        <w:bidi w:val="0"/>
        <w:rPr>
          <w:rFonts w:hint="eastAsia"/>
          <w:color w:val="auto"/>
        </w:rPr>
      </w:pPr>
      <w:r>
        <w:rPr>
          <w:rFonts w:hint="eastAsia"/>
          <w:color w:val="auto"/>
        </w:rPr>
        <w:t>项目中所使用的柴油主要为供给装载机使用的桶装柴油，</w:t>
      </w:r>
      <w:r>
        <w:rPr>
          <w:rFonts w:hint="eastAsia"/>
          <w:color w:val="auto"/>
          <w:lang w:val="en-US" w:eastAsia="zh-CN"/>
        </w:rPr>
        <w:t>外运</w:t>
      </w:r>
      <w:r>
        <w:rPr>
          <w:rFonts w:hint="eastAsia"/>
          <w:color w:val="auto"/>
        </w:rPr>
        <w:t>，不储存。项目检维修时用到氧气和乙炔，</w:t>
      </w:r>
      <w:r>
        <w:rPr>
          <w:rFonts w:hint="eastAsia"/>
          <w:color w:val="auto"/>
          <w:lang w:val="en-US" w:eastAsia="zh-CN"/>
        </w:rPr>
        <w:t>氧气和乙炔依托选厂，本项目不储存</w:t>
      </w:r>
      <w:r>
        <w:rPr>
          <w:rFonts w:hint="eastAsia"/>
          <w:color w:val="auto"/>
        </w:rPr>
        <w:t>。</w:t>
      </w:r>
    </w:p>
    <w:p w14:paraId="194E9B1E">
      <w:pPr>
        <w:bidi w:val="0"/>
        <w:rPr>
          <w:rFonts w:hint="eastAsia"/>
          <w:color w:val="auto"/>
          <w:lang w:val="en-US" w:eastAsia="zh-CN"/>
        </w:rPr>
      </w:pPr>
      <w:r>
        <w:rPr>
          <w:rFonts w:hint="eastAsia"/>
          <w:color w:val="auto"/>
          <w:lang w:val="en-US" w:eastAsia="zh-CN"/>
        </w:rPr>
        <w:t>厂区各建筑物已进行防雷接地，企业已做防雷检测，检测单位为云南雷宝科技服务有限公司，检测报告有限期为2025年2月25日至2026年2月24日。</w:t>
      </w:r>
    </w:p>
    <w:p w14:paraId="59DFB6BE">
      <w:pPr>
        <w:pStyle w:val="4"/>
        <w:bidi w:val="0"/>
        <w:rPr>
          <w:rFonts w:hint="default"/>
          <w:color w:val="auto"/>
          <w:lang w:val="en-US" w:eastAsia="zh-CN"/>
        </w:rPr>
      </w:pPr>
      <w:bookmarkStart w:id="90" w:name="_Toc12708"/>
      <w:r>
        <w:rPr>
          <w:rFonts w:hint="eastAsia"/>
          <w:color w:val="auto"/>
          <w:lang w:val="en-US" w:eastAsia="zh-CN"/>
        </w:rPr>
        <w:t>2.5.8 通风、除尘</w:t>
      </w:r>
      <w:bookmarkEnd w:id="90"/>
    </w:p>
    <w:p w14:paraId="55A6C8E4">
      <w:pPr>
        <w:bidi w:val="0"/>
        <w:rPr>
          <w:rFonts w:hint="default"/>
          <w:color w:val="auto"/>
          <w:lang w:val="en-US" w:eastAsia="zh-CN"/>
        </w:rPr>
      </w:pPr>
      <w:r>
        <w:rPr>
          <w:rFonts w:hint="eastAsia"/>
          <w:color w:val="auto"/>
          <w:lang w:val="en-US" w:eastAsia="zh-CN"/>
        </w:rPr>
        <w:t>1、设计概况</w:t>
      </w:r>
    </w:p>
    <w:p w14:paraId="74C6C54D">
      <w:pPr>
        <w:bidi w:val="0"/>
        <w:rPr>
          <w:rFonts w:hint="eastAsia"/>
          <w:color w:val="auto"/>
          <w:lang w:val="en-US" w:eastAsia="zh-CN"/>
        </w:rPr>
      </w:pPr>
      <w:r>
        <w:rPr>
          <w:rFonts w:hint="eastAsia"/>
          <w:color w:val="auto"/>
          <w:lang w:val="en-US" w:eastAsia="zh-CN"/>
        </w:rPr>
        <w:t>本工程根据工艺流程，其主要产尘点为各胶带输送机转运点。这些产尘点产生大量粉尘，影响工人身体健康。为确保工人身体健康，满足生产工艺对车间环境条件的要求，使工作地带及周围环境空气中的粉尘浓度控制在允许值之内。</w:t>
      </w:r>
    </w:p>
    <w:p w14:paraId="5F5D3982">
      <w:pPr>
        <w:bidi w:val="0"/>
        <w:rPr>
          <w:rFonts w:hint="eastAsia"/>
          <w:color w:val="auto"/>
          <w:lang w:val="en-US" w:eastAsia="zh-CN"/>
        </w:rPr>
      </w:pPr>
      <w:r>
        <w:rPr>
          <w:rFonts w:hint="eastAsia"/>
          <w:color w:val="auto"/>
          <w:lang w:val="en-US" w:eastAsia="zh-CN"/>
        </w:rPr>
        <w:t>2、建设概况</w:t>
      </w:r>
    </w:p>
    <w:p w14:paraId="1D287F10">
      <w:pPr>
        <w:bidi w:val="0"/>
        <w:rPr>
          <w:rFonts w:hint="eastAsia"/>
          <w:color w:val="auto"/>
          <w:lang w:val="en-US" w:eastAsia="zh-CN"/>
        </w:rPr>
      </w:pPr>
      <w:r>
        <w:rPr>
          <w:rFonts w:hint="eastAsia"/>
          <w:color w:val="auto"/>
          <w:lang w:val="en-US" w:eastAsia="zh-CN"/>
        </w:rPr>
        <w:t>（1）对排矿至带式输送机所产生的粉尘，设置密闭罩进行机械抽风，含尘气体经2台ZHD10型除尘机组净化排空，抽风量：5000-10000m</w:t>
      </w:r>
      <w:r>
        <w:rPr>
          <w:rFonts w:hint="eastAsia"/>
          <w:color w:val="auto"/>
          <w:vertAlign w:val="superscript"/>
          <w:lang w:val="en-US" w:eastAsia="zh-CN"/>
        </w:rPr>
        <w:t>3</w:t>
      </w:r>
      <w:r>
        <w:rPr>
          <w:rFonts w:hint="eastAsia"/>
          <w:color w:val="auto"/>
          <w:lang w:val="en-US" w:eastAsia="zh-CN"/>
        </w:rPr>
        <w:t>/h。</w:t>
      </w:r>
    </w:p>
    <w:p w14:paraId="68F988AB">
      <w:pPr>
        <w:bidi w:val="0"/>
        <w:rPr>
          <w:rFonts w:hint="eastAsia"/>
          <w:color w:val="auto"/>
          <w:lang w:val="en-US" w:eastAsia="zh-CN"/>
        </w:rPr>
      </w:pPr>
      <w:r>
        <w:rPr>
          <w:rFonts w:hint="eastAsia"/>
          <w:color w:val="auto"/>
          <w:lang w:val="en-US" w:eastAsia="zh-CN"/>
        </w:rPr>
        <w:t>（2）其它产尘点采用喷淋水除尘。</w:t>
      </w:r>
    </w:p>
    <w:p w14:paraId="59119B1B">
      <w:pPr>
        <w:bidi w:val="0"/>
        <w:rPr>
          <w:rFonts w:hint="eastAsia"/>
          <w:color w:val="auto"/>
          <w:lang w:val="en-US" w:eastAsia="zh-CN"/>
        </w:rPr>
      </w:pPr>
      <w:r>
        <w:rPr>
          <w:rFonts w:hint="eastAsia"/>
          <w:color w:val="auto"/>
          <w:lang w:val="en-US" w:eastAsia="zh-CN"/>
        </w:rPr>
        <w:t>采用湿法除尘方案，选用高效率（除尘效率98%），适用范围广的ZH系列湿式烟气净化机组，经除尘器净化后的气体达到国家排放标准，直接排入大气，经除尘器收下的泥浆排至沉淀池返回流程使用。</w:t>
      </w:r>
    </w:p>
    <w:p w14:paraId="4CED7F33">
      <w:pPr>
        <w:bidi w:val="0"/>
        <w:rPr>
          <w:rFonts w:hint="eastAsia"/>
          <w:color w:val="auto"/>
          <w:lang w:val="en-US" w:eastAsia="zh-CN"/>
        </w:rPr>
      </w:pPr>
      <w:r>
        <w:rPr>
          <w:rFonts w:hint="eastAsia"/>
          <w:color w:val="auto"/>
          <w:lang w:val="en-US" w:eastAsia="zh-CN"/>
        </w:rPr>
        <w:t>（3）道路除尘：采用喷洒式洒水车进行道路除尘，每天2次，对路面及绿化带进行喷洒灌溉。</w:t>
      </w:r>
    </w:p>
    <w:p w14:paraId="2AFCB64D">
      <w:pPr>
        <w:bidi w:val="0"/>
        <w:rPr>
          <w:rFonts w:hint="eastAsia"/>
          <w:color w:val="auto"/>
          <w:lang w:val="en-US" w:eastAsia="zh-CN"/>
        </w:rPr>
      </w:pPr>
      <w:r>
        <w:rPr>
          <w:rFonts w:hint="eastAsia"/>
          <w:color w:val="auto"/>
          <w:lang w:val="en-US" w:eastAsia="zh-CN"/>
        </w:rPr>
        <w:t>（4）值班室、休息室通风除尘措施</w:t>
      </w:r>
    </w:p>
    <w:p w14:paraId="43BFCE70">
      <w:pPr>
        <w:bidi w:val="0"/>
        <w:rPr>
          <w:rFonts w:hint="eastAsia"/>
          <w:color w:val="auto"/>
          <w:lang w:val="en-US" w:eastAsia="zh-CN"/>
        </w:rPr>
      </w:pPr>
      <w:r>
        <w:rPr>
          <w:rFonts w:hint="eastAsia"/>
          <w:color w:val="auto"/>
          <w:lang w:val="en-US" w:eastAsia="zh-CN"/>
        </w:rPr>
        <w:t>操作室、值班室、休息室等利用原有除尘设施。增设吊扇改善工作、休息环境；室内增设吊扇。</w:t>
      </w:r>
    </w:p>
    <w:p w14:paraId="7B1AEE98">
      <w:pPr>
        <w:pStyle w:val="4"/>
        <w:bidi w:val="0"/>
        <w:rPr>
          <w:rFonts w:hint="default"/>
          <w:color w:val="auto"/>
          <w:lang w:val="en-US" w:eastAsia="zh-CN"/>
        </w:rPr>
      </w:pPr>
      <w:bookmarkStart w:id="91" w:name="_Toc24064"/>
      <w:r>
        <w:rPr>
          <w:rFonts w:hint="eastAsia"/>
          <w:color w:val="auto"/>
          <w:lang w:val="en-US" w:eastAsia="zh-CN"/>
        </w:rPr>
        <w:t>2.5.9 新水池、回水池、事故池</w:t>
      </w:r>
      <w:bookmarkEnd w:id="91"/>
    </w:p>
    <w:p w14:paraId="6A3098F0">
      <w:pPr>
        <w:bidi w:val="0"/>
        <w:rPr>
          <w:rFonts w:hint="default"/>
          <w:color w:val="auto"/>
          <w:lang w:val="en-US" w:eastAsia="zh-CN"/>
        </w:rPr>
      </w:pPr>
      <w:r>
        <w:rPr>
          <w:rFonts w:hint="eastAsia"/>
          <w:color w:val="auto"/>
          <w:lang w:val="en-US" w:eastAsia="zh-CN"/>
        </w:rPr>
        <w:t>1、设计概况</w:t>
      </w:r>
    </w:p>
    <w:p w14:paraId="77E7F4FE">
      <w:pPr>
        <w:bidi w:val="0"/>
        <w:rPr>
          <w:rFonts w:hint="eastAsia"/>
          <w:color w:val="auto"/>
          <w:lang w:val="en-US" w:eastAsia="zh-CN"/>
        </w:rPr>
      </w:pPr>
      <w:r>
        <w:rPr>
          <w:rFonts w:hint="eastAsia"/>
          <w:color w:val="auto"/>
          <w:lang w:val="en-US" w:eastAsia="zh-CN"/>
        </w:rPr>
        <w:t>（1）新水池</w:t>
      </w:r>
    </w:p>
    <w:p w14:paraId="6C3F604F">
      <w:pPr>
        <w:bidi w:val="0"/>
        <w:rPr>
          <w:rFonts w:hint="eastAsia"/>
          <w:color w:val="auto"/>
          <w:lang w:val="en-US" w:eastAsia="zh-CN"/>
        </w:rPr>
      </w:pPr>
      <w:r>
        <w:rPr>
          <w:rFonts w:hint="eastAsia"/>
          <w:color w:val="auto"/>
          <w:lang w:val="en-US" w:eastAsia="zh-CN"/>
        </w:rPr>
        <w:t>利用选厂区新水池（有效容积约600m</w:t>
      </w:r>
      <w:r>
        <w:rPr>
          <w:rFonts w:hint="eastAsia"/>
          <w:color w:val="auto"/>
          <w:vertAlign w:val="superscript"/>
          <w:lang w:val="en-US" w:eastAsia="zh-CN"/>
        </w:rPr>
        <w:t>3</w:t>
      </w:r>
      <w:r>
        <w:rPr>
          <w:rFonts w:hint="eastAsia"/>
          <w:color w:val="auto"/>
          <w:lang w:val="en-US" w:eastAsia="zh-CN"/>
        </w:rPr>
        <w:t>）。新水池使用多年，稳定性较好，未出现垮塌、渗漏现象。新水池为钢筋混凝土结构。</w:t>
      </w:r>
    </w:p>
    <w:p w14:paraId="0170A5E3">
      <w:pPr>
        <w:bidi w:val="0"/>
        <w:rPr>
          <w:rFonts w:hint="eastAsia"/>
          <w:color w:val="auto"/>
          <w:lang w:val="en-US" w:eastAsia="zh-CN"/>
        </w:rPr>
      </w:pPr>
      <w:r>
        <w:rPr>
          <w:rFonts w:hint="eastAsia"/>
          <w:color w:val="auto"/>
          <w:lang w:val="en-US" w:eastAsia="zh-CN"/>
        </w:rPr>
        <w:t>（2）回水池</w:t>
      </w:r>
    </w:p>
    <w:p w14:paraId="3A06322B">
      <w:pPr>
        <w:bidi w:val="0"/>
        <w:rPr>
          <w:rFonts w:hint="eastAsia"/>
          <w:color w:val="auto"/>
          <w:lang w:val="en-US" w:eastAsia="zh-CN"/>
        </w:rPr>
      </w:pPr>
      <w:r>
        <w:rPr>
          <w:rFonts w:hint="eastAsia"/>
          <w:color w:val="auto"/>
          <w:lang w:val="en-US" w:eastAsia="zh-CN"/>
        </w:rPr>
        <w:t>在压滤车间新设置一回水池，回水池有效容积约300m</w:t>
      </w:r>
      <w:r>
        <w:rPr>
          <w:rFonts w:hint="eastAsia"/>
          <w:color w:val="auto"/>
          <w:vertAlign w:val="superscript"/>
          <w:lang w:val="en-US" w:eastAsia="zh-CN"/>
        </w:rPr>
        <w:t>3</w:t>
      </w:r>
      <w:r>
        <w:rPr>
          <w:rFonts w:hint="eastAsia"/>
          <w:color w:val="auto"/>
          <w:lang w:val="en-US" w:eastAsia="zh-CN"/>
        </w:rPr>
        <w:t>。</w:t>
      </w:r>
    </w:p>
    <w:p w14:paraId="72C2D92A">
      <w:pPr>
        <w:bidi w:val="0"/>
        <w:rPr>
          <w:rFonts w:hint="eastAsia"/>
          <w:color w:val="auto"/>
          <w:lang w:val="en-US" w:eastAsia="zh-CN"/>
        </w:rPr>
      </w:pPr>
      <w:r>
        <w:rPr>
          <w:rFonts w:hint="eastAsia"/>
          <w:color w:val="auto"/>
          <w:lang w:val="en-US" w:eastAsia="zh-CN"/>
        </w:rPr>
        <w:t>（3）事故池</w:t>
      </w:r>
    </w:p>
    <w:p w14:paraId="469DD948">
      <w:pPr>
        <w:bidi w:val="0"/>
        <w:rPr>
          <w:rFonts w:hint="eastAsia"/>
          <w:color w:val="auto"/>
          <w:lang w:val="en-US" w:eastAsia="zh-CN"/>
        </w:rPr>
      </w:pPr>
      <w:r>
        <w:rPr>
          <w:rFonts w:hint="eastAsia"/>
          <w:color w:val="auto"/>
          <w:lang w:val="en-US" w:eastAsia="zh-CN"/>
        </w:rPr>
        <w:t>在压滤车间北侧新设置一事故池（有效容积约100m</w:t>
      </w:r>
      <w:r>
        <w:rPr>
          <w:rFonts w:hint="eastAsia"/>
          <w:color w:val="auto"/>
          <w:vertAlign w:val="superscript"/>
          <w:lang w:val="en-US" w:eastAsia="zh-CN"/>
        </w:rPr>
        <w:t>3</w:t>
      </w:r>
      <w:r>
        <w:rPr>
          <w:rFonts w:hint="eastAsia"/>
          <w:color w:val="auto"/>
          <w:lang w:val="en-US" w:eastAsia="zh-CN"/>
        </w:rPr>
        <w:t>），事故池为浆砌石结构。</w:t>
      </w:r>
    </w:p>
    <w:p w14:paraId="536EF9E7">
      <w:pPr>
        <w:bidi w:val="0"/>
        <w:rPr>
          <w:rFonts w:hint="default"/>
          <w:color w:val="auto"/>
          <w:lang w:val="en-US" w:eastAsia="zh-CN"/>
        </w:rPr>
      </w:pPr>
      <w:r>
        <w:rPr>
          <w:rFonts w:hint="eastAsia"/>
          <w:color w:val="auto"/>
          <w:lang w:val="en-US" w:eastAsia="zh-CN"/>
        </w:rPr>
        <w:t>2、建设情况</w:t>
      </w:r>
    </w:p>
    <w:p w14:paraId="750C442E">
      <w:pPr>
        <w:bidi w:val="0"/>
        <w:rPr>
          <w:rFonts w:hint="default"/>
          <w:color w:val="auto"/>
          <w:lang w:val="en-US" w:eastAsia="zh-CN"/>
        </w:rPr>
      </w:pPr>
      <w:r>
        <w:rPr>
          <w:rFonts w:hint="eastAsia"/>
          <w:color w:val="auto"/>
          <w:lang w:val="en-US" w:eastAsia="zh-CN"/>
        </w:rPr>
        <w:t>新水池利用选厂原有水池。</w:t>
      </w:r>
    </w:p>
    <w:p w14:paraId="011E9605">
      <w:pPr>
        <w:bidi w:val="0"/>
        <w:rPr>
          <w:rFonts w:hint="default"/>
          <w:color w:val="auto"/>
          <w:lang w:val="en-US" w:eastAsia="zh-CN"/>
        </w:rPr>
      </w:pPr>
      <w:r>
        <w:rPr>
          <w:rFonts w:hint="eastAsia"/>
          <w:color w:val="auto"/>
          <w:lang w:val="en-US" w:eastAsia="zh-CN"/>
        </w:rPr>
        <w:t>回水池的作用一是冲洗输送管线的管道，二是作为消防用水，也叫消防水池。水池周围安装防护栏杆，设置警示标志。</w:t>
      </w:r>
    </w:p>
    <w:p w14:paraId="5D17D7F0">
      <w:pPr>
        <w:bidi w:val="0"/>
        <w:rPr>
          <w:rFonts w:hint="default"/>
          <w:color w:val="auto"/>
          <w:lang w:val="en-US" w:eastAsia="zh-CN"/>
        </w:rPr>
      </w:pPr>
      <w:r>
        <w:rPr>
          <w:rFonts w:hint="eastAsia"/>
          <w:color w:val="auto"/>
          <w:lang w:val="en-US" w:eastAsia="zh-CN"/>
        </w:rPr>
        <w:t>事故池利用北侧原有凹地地形，紧急情况时储存矿浆，容量满足需求。</w:t>
      </w:r>
    </w:p>
    <w:p w14:paraId="4D4D9343">
      <w:pPr>
        <w:pStyle w:val="4"/>
        <w:bidi w:val="0"/>
        <w:rPr>
          <w:rFonts w:hint="default"/>
          <w:color w:val="auto"/>
          <w:lang w:val="en-US" w:eastAsia="zh-CN"/>
        </w:rPr>
      </w:pPr>
      <w:bookmarkStart w:id="92" w:name="_Toc26170"/>
      <w:r>
        <w:rPr>
          <w:rFonts w:hint="eastAsia"/>
          <w:color w:val="auto"/>
          <w:lang w:val="en-US" w:eastAsia="zh-CN"/>
        </w:rPr>
        <w:t>2.5.10 消防</w:t>
      </w:r>
      <w:bookmarkEnd w:id="92"/>
    </w:p>
    <w:p w14:paraId="77A21029">
      <w:pPr>
        <w:bidi w:val="0"/>
        <w:rPr>
          <w:rFonts w:hint="default" w:eastAsia="宋体"/>
          <w:color w:val="auto"/>
          <w:lang w:val="en-US" w:eastAsia="zh-CN"/>
        </w:rPr>
      </w:pPr>
      <w:r>
        <w:rPr>
          <w:rFonts w:hint="eastAsia"/>
          <w:color w:val="auto"/>
          <w:lang w:val="en-US" w:eastAsia="zh-CN"/>
        </w:rPr>
        <w:t>1、设计概况</w:t>
      </w:r>
    </w:p>
    <w:p w14:paraId="6EBC7798">
      <w:pPr>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rPr>
        <w:t>消防水量</w:t>
      </w:r>
    </w:p>
    <w:p w14:paraId="28F6F89E">
      <w:pPr>
        <w:bidi w:val="0"/>
        <w:rPr>
          <w:rFonts w:hint="eastAsia"/>
          <w:color w:val="auto"/>
        </w:rPr>
      </w:pPr>
      <w:r>
        <w:rPr>
          <w:rFonts w:hint="eastAsia"/>
          <w:color w:val="auto"/>
        </w:rPr>
        <w:t>根据《建筑设计防火规范》</w:t>
      </w:r>
      <w:r>
        <w:rPr>
          <w:rFonts w:hint="eastAsia"/>
          <w:color w:val="auto"/>
          <w:lang w:eastAsia="zh-CN"/>
        </w:rPr>
        <w:t>（</w:t>
      </w:r>
      <w:r>
        <w:rPr>
          <w:rFonts w:hint="eastAsia"/>
          <w:color w:val="auto"/>
        </w:rPr>
        <w:t>GB50016-2014</w:t>
      </w:r>
      <w:r>
        <w:rPr>
          <w:rFonts w:hint="eastAsia"/>
          <w:color w:val="auto"/>
          <w:lang w:eastAsia="zh-CN"/>
        </w:rPr>
        <w:t>，</w:t>
      </w:r>
      <w:r>
        <w:rPr>
          <w:rFonts w:hint="eastAsia"/>
          <w:color w:val="auto"/>
          <w:lang w:val="en-US" w:eastAsia="zh-CN"/>
        </w:rPr>
        <w:t>2018版）</w:t>
      </w:r>
      <w:r>
        <w:rPr>
          <w:rFonts w:hint="eastAsia"/>
          <w:color w:val="auto"/>
        </w:rPr>
        <w:t>；本项目生产车间火灾危险性属丙类（配电室）、戊类，耐火等级为一、二级；生产系统基本为露天建设；最大建筑物体积约为2000m</w:t>
      </w:r>
      <w:r>
        <w:rPr>
          <w:rFonts w:hint="eastAsia"/>
          <w:color w:val="auto"/>
          <w:vertAlign w:val="superscript"/>
        </w:rPr>
        <w:t>3</w:t>
      </w:r>
      <w:r>
        <w:rPr>
          <w:rFonts w:hint="eastAsia"/>
          <w:color w:val="auto"/>
        </w:rPr>
        <w:t>，建筑高度约为10m。则根据“建规”室内可不设置消防给水系统</w:t>
      </w:r>
      <w:r>
        <w:rPr>
          <w:rFonts w:hint="eastAsia"/>
          <w:color w:val="auto"/>
          <w:lang w:eastAsia="zh-CN"/>
        </w:rPr>
        <w:t>，</w:t>
      </w:r>
      <w:r>
        <w:rPr>
          <w:rFonts w:hint="eastAsia"/>
          <w:color w:val="auto"/>
        </w:rPr>
        <w:t>室外消防水量为15L/s，火灾延续时间2h，同时发生火灾次数为一次，一次消防水量为108m</w:t>
      </w:r>
      <w:r>
        <w:rPr>
          <w:rFonts w:hint="eastAsia"/>
          <w:color w:val="auto"/>
          <w:vertAlign w:val="superscript"/>
        </w:rPr>
        <w:t>3</w:t>
      </w:r>
      <w:r>
        <w:rPr>
          <w:rFonts w:hint="eastAsia"/>
          <w:color w:val="auto"/>
        </w:rPr>
        <w:t>；室外消火栓消防用水由生产新水池贮存。其中压滤车间消防用水由应急水池提供。</w:t>
      </w:r>
    </w:p>
    <w:p w14:paraId="16CA6105">
      <w:pPr>
        <w:bidi w:val="0"/>
        <w:rPr>
          <w:rFonts w:hint="eastAsia"/>
          <w:color w:val="auto"/>
        </w:rPr>
      </w:pPr>
      <w:r>
        <w:rPr>
          <w:rFonts w:hint="eastAsia"/>
          <w:color w:val="auto"/>
          <w:lang w:eastAsia="zh-CN"/>
        </w:rPr>
        <w:t>（</w:t>
      </w:r>
      <w:r>
        <w:rPr>
          <w:rFonts w:hint="eastAsia"/>
          <w:color w:val="auto"/>
          <w:lang w:val="en-US" w:eastAsia="zh-CN"/>
        </w:rPr>
        <w:t>2）</w:t>
      </w:r>
      <w:r>
        <w:rPr>
          <w:rFonts w:hint="eastAsia"/>
          <w:color w:val="auto"/>
        </w:rPr>
        <w:t>消防系统</w:t>
      </w:r>
    </w:p>
    <w:p w14:paraId="24A7A73C">
      <w:pPr>
        <w:bidi w:val="0"/>
        <w:rPr>
          <w:rFonts w:hint="eastAsia"/>
          <w:color w:val="auto"/>
        </w:rPr>
      </w:pPr>
      <w:r>
        <w:rPr>
          <w:rFonts w:hint="eastAsia"/>
          <w:color w:val="auto"/>
          <w:lang w:val="en-US" w:eastAsia="zh-CN"/>
        </w:rPr>
        <w:t>1）</w:t>
      </w:r>
      <w:r>
        <w:rPr>
          <w:rFonts w:hint="eastAsia"/>
          <w:color w:val="auto"/>
        </w:rPr>
        <w:t>消防给水</w:t>
      </w:r>
    </w:p>
    <w:p w14:paraId="5585C186">
      <w:pPr>
        <w:bidi w:val="0"/>
        <w:rPr>
          <w:rFonts w:hint="eastAsia"/>
          <w:color w:val="auto"/>
        </w:rPr>
      </w:pPr>
      <w:r>
        <w:rPr>
          <w:rFonts w:hint="eastAsia"/>
          <w:color w:val="auto"/>
        </w:rPr>
        <w:t>室内消防：据《建筑设计防火规范》（GB50016-2014</w:t>
      </w:r>
      <w:r>
        <w:rPr>
          <w:rFonts w:hint="eastAsia"/>
          <w:color w:val="auto"/>
          <w:lang w:eastAsia="zh-CN"/>
        </w:rPr>
        <w:t>，</w:t>
      </w:r>
      <w:r>
        <w:rPr>
          <w:rFonts w:hint="eastAsia"/>
          <w:color w:val="auto"/>
          <w:lang w:val="en-US" w:eastAsia="zh-CN"/>
        </w:rPr>
        <w:t>2018年版</w:t>
      </w:r>
      <w:r>
        <w:rPr>
          <w:rFonts w:hint="eastAsia"/>
          <w:color w:val="auto"/>
        </w:rPr>
        <w:t>）建筑厂房内可不设置消防给水。</w:t>
      </w:r>
    </w:p>
    <w:p w14:paraId="00178C7A">
      <w:pPr>
        <w:bidi w:val="0"/>
        <w:rPr>
          <w:rFonts w:hint="eastAsia"/>
          <w:color w:val="auto"/>
        </w:rPr>
      </w:pPr>
      <w:r>
        <w:rPr>
          <w:rFonts w:hint="eastAsia"/>
          <w:color w:val="auto"/>
        </w:rPr>
        <w:t>室外消防：采用低压制消防，在选厂厂区设置室外消防管网（与室外生产新水给水管网合用）、室外消火栓，火灾时，由选厂新水池、手抬式消防机动泵满足消防要求。</w:t>
      </w:r>
    </w:p>
    <w:p w14:paraId="51B2E516">
      <w:pPr>
        <w:bidi w:val="0"/>
        <w:rPr>
          <w:rFonts w:hint="eastAsia"/>
          <w:color w:val="auto"/>
        </w:rPr>
      </w:pPr>
      <w:r>
        <w:rPr>
          <w:rFonts w:hint="eastAsia"/>
          <w:color w:val="auto"/>
        </w:rPr>
        <w:t>2</w:t>
      </w:r>
      <w:r>
        <w:rPr>
          <w:rFonts w:hint="eastAsia"/>
          <w:color w:val="auto"/>
          <w:lang w:eastAsia="zh-CN"/>
        </w:rPr>
        <w:t>）</w:t>
      </w:r>
      <w:r>
        <w:rPr>
          <w:rFonts w:hint="eastAsia"/>
          <w:color w:val="auto"/>
        </w:rPr>
        <w:t>消防水池</w:t>
      </w:r>
    </w:p>
    <w:p w14:paraId="0B40B562">
      <w:pPr>
        <w:bidi w:val="0"/>
        <w:rPr>
          <w:rFonts w:hint="eastAsia"/>
          <w:color w:val="auto"/>
        </w:rPr>
      </w:pPr>
      <w:r>
        <w:rPr>
          <w:rFonts w:hint="eastAsia"/>
          <w:color w:val="auto"/>
        </w:rPr>
        <w:t>按《建筑设计防火规范》（GB 50016-2014</w:t>
      </w:r>
      <w:r>
        <w:rPr>
          <w:rFonts w:hint="eastAsia"/>
          <w:color w:val="auto"/>
          <w:lang w:eastAsia="zh-CN"/>
        </w:rPr>
        <w:t>，</w:t>
      </w:r>
      <w:r>
        <w:rPr>
          <w:rFonts w:hint="eastAsia"/>
          <w:color w:val="auto"/>
          <w:lang w:val="en-US" w:eastAsia="zh-CN"/>
        </w:rPr>
        <w:t>2018年版</w:t>
      </w:r>
      <w:r>
        <w:rPr>
          <w:rFonts w:hint="eastAsia"/>
          <w:color w:val="auto"/>
        </w:rPr>
        <w:t>）需设置消防水池，一次灭火用水量108m</w:t>
      </w:r>
      <w:r>
        <w:rPr>
          <w:rFonts w:hint="eastAsia"/>
          <w:color w:val="auto"/>
          <w:vertAlign w:val="superscript"/>
        </w:rPr>
        <w:t>3</w:t>
      </w:r>
      <w:r>
        <w:rPr>
          <w:rFonts w:hint="eastAsia"/>
          <w:color w:val="auto"/>
        </w:rPr>
        <w:t>贮存于选厂生产新水池中。</w:t>
      </w:r>
    </w:p>
    <w:p w14:paraId="6D4A1E44">
      <w:pPr>
        <w:bidi w:val="0"/>
        <w:rPr>
          <w:rFonts w:hint="eastAsia"/>
          <w:color w:val="auto"/>
        </w:rPr>
      </w:pPr>
      <w:r>
        <w:rPr>
          <w:rFonts w:hint="eastAsia"/>
          <w:color w:val="auto"/>
        </w:rPr>
        <w:t>3</w:t>
      </w:r>
      <w:r>
        <w:rPr>
          <w:rFonts w:hint="eastAsia"/>
          <w:color w:val="auto"/>
          <w:lang w:eastAsia="zh-CN"/>
        </w:rPr>
        <w:t>）</w:t>
      </w:r>
      <w:r>
        <w:rPr>
          <w:rFonts w:hint="eastAsia"/>
          <w:color w:val="auto"/>
        </w:rPr>
        <w:t>消防系统</w:t>
      </w:r>
    </w:p>
    <w:p w14:paraId="44B75C7A">
      <w:pPr>
        <w:bidi w:val="0"/>
        <w:rPr>
          <w:rFonts w:hint="eastAsia"/>
          <w:color w:val="auto"/>
        </w:rPr>
      </w:pPr>
      <w:r>
        <w:rPr>
          <w:rFonts w:hint="eastAsia"/>
          <w:color w:val="auto"/>
        </w:rPr>
        <w:t>设计在办公生活区和选矿厂区分别设消火栓，厂区同一时间内发生火灾为一次，火灾延续时间为2h，消防水量为15L/s，消防用水贮存于生产新水池中，管道上设地上式消火栓，每个消火栓保护半径不超过150m，消火栓间距不大于120m。低压消防，消防管网与全厂生产水管网并用。</w:t>
      </w:r>
    </w:p>
    <w:p w14:paraId="3615AA2F">
      <w:pPr>
        <w:bidi w:val="0"/>
        <w:rPr>
          <w:rFonts w:hint="eastAsia"/>
          <w:color w:val="auto"/>
        </w:rPr>
      </w:pPr>
      <w:r>
        <w:rPr>
          <w:rFonts w:hint="eastAsia"/>
          <w:color w:val="auto"/>
          <w:lang w:eastAsia="zh-CN"/>
        </w:rPr>
        <w:t>（</w:t>
      </w:r>
      <w:r>
        <w:rPr>
          <w:rFonts w:hint="eastAsia"/>
          <w:color w:val="auto"/>
          <w:lang w:val="en-US" w:eastAsia="zh-CN"/>
        </w:rPr>
        <w:t>3）</w:t>
      </w:r>
      <w:r>
        <w:rPr>
          <w:rFonts w:hint="eastAsia"/>
          <w:color w:val="auto"/>
        </w:rPr>
        <w:t>建筑灭火器及配置</w:t>
      </w:r>
    </w:p>
    <w:p w14:paraId="692B334A">
      <w:pPr>
        <w:bidi w:val="0"/>
        <w:rPr>
          <w:rFonts w:hint="eastAsia"/>
          <w:color w:val="auto"/>
        </w:rPr>
      </w:pPr>
      <w:r>
        <w:rPr>
          <w:rFonts w:hint="eastAsia"/>
          <w:color w:val="auto"/>
        </w:rPr>
        <w:t>厂区各建筑物内配置一定数量的手提式干粉灭火器。厂区内灭火器设置情况见表</w:t>
      </w:r>
      <w:r>
        <w:rPr>
          <w:rFonts w:hint="eastAsia"/>
          <w:color w:val="auto"/>
          <w:lang w:val="en-US" w:eastAsia="zh-CN"/>
        </w:rPr>
        <w:t>2.5-3</w:t>
      </w:r>
      <w:r>
        <w:rPr>
          <w:rFonts w:hint="eastAsia"/>
          <w:color w:val="auto"/>
        </w:rPr>
        <w:t>。</w:t>
      </w:r>
    </w:p>
    <w:p w14:paraId="23D940B5">
      <w:pPr>
        <w:pStyle w:val="23"/>
        <w:bidi w:val="0"/>
        <w:rPr>
          <w:color w:val="auto"/>
        </w:rPr>
      </w:pPr>
      <w:r>
        <w:rPr>
          <w:rFonts w:hint="eastAsia"/>
          <w:color w:val="auto"/>
        </w:rPr>
        <w:t>表</w:t>
      </w:r>
      <w:r>
        <w:rPr>
          <w:rFonts w:hint="eastAsia"/>
          <w:color w:val="auto"/>
          <w:lang w:val="en-US" w:eastAsia="zh-CN"/>
        </w:rPr>
        <w:t>2.5-3</w:t>
      </w:r>
      <w:r>
        <w:rPr>
          <w:rFonts w:hint="eastAsia"/>
          <w:color w:val="auto"/>
        </w:rPr>
        <w:t xml:space="preserve">  主要车间灭火器设置情况表</w:t>
      </w:r>
    </w:p>
    <w:tbl>
      <w:tblPr>
        <w:tblStyle w:val="1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1"/>
        <w:gridCol w:w="5285"/>
        <w:gridCol w:w="3132"/>
      </w:tblGrid>
      <w:tr w14:paraId="1197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blHeader/>
        </w:trPr>
        <w:tc>
          <w:tcPr>
            <w:tcW w:w="522" w:type="pct"/>
            <w:noWrap w:val="0"/>
            <w:vAlign w:val="center"/>
          </w:tcPr>
          <w:p w14:paraId="4368DBF0">
            <w:pPr>
              <w:pStyle w:val="24"/>
              <w:bidi w:val="0"/>
              <w:rPr>
                <w:b/>
                <w:bCs/>
                <w:color w:val="auto"/>
              </w:rPr>
            </w:pPr>
            <w:r>
              <w:rPr>
                <w:rFonts w:hint="eastAsia"/>
                <w:b/>
                <w:bCs/>
                <w:color w:val="auto"/>
              </w:rPr>
              <w:t>序号</w:t>
            </w:r>
          </w:p>
        </w:tc>
        <w:tc>
          <w:tcPr>
            <w:tcW w:w="2810" w:type="pct"/>
            <w:noWrap w:val="0"/>
            <w:vAlign w:val="center"/>
          </w:tcPr>
          <w:p w14:paraId="0D0F99F1">
            <w:pPr>
              <w:pStyle w:val="24"/>
              <w:bidi w:val="0"/>
              <w:rPr>
                <w:b/>
                <w:bCs/>
                <w:color w:val="auto"/>
              </w:rPr>
            </w:pPr>
            <w:r>
              <w:rPr>
                <w:rFonts w:hint="eastAsia"/>
                <w:b/>
                <w:bCs/>
                <w:color w:val="auto"/>
              </w:rPr>
              <w:t>地点</w:t>
            </w:r>
          </w:p>
        </w:tc>
        <w:tc>
          <w:tcPr>
            <w:tcW w:w="1666" w:type="pct"/>
            <w:noWrap w:val="0"/>
            <w:vAlign w:val="center"/>
          </w:tcPr>
          <w:p w14:paraId="6C18D04B">
            <w:pPr>
              <w:pStyle w:val="24"/>
              <w:bidi w:val="0"/>
              <w:rPr>
                <w:b/>
                <w:bCs/>
                <w:color w:val="auto"/>
              </w:rPr>
            </w:pPr>
            <w:r>
              <w:rPr>
                <w:rFonts w:hint="eastAsia"/>
                <w:b/>
                <w:bCs/>
                <w:color w:val="auto"/>
              </w:rPr>
              <w:t>数量</w:t>
            </w:r>
          </w:p>
        </w:tc>
      </w:tr>
      <w:tr w14:paraId="5A5D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2" w:type="pct"/>
            <w:noWrap w:val="0"/>
            <w:vAlign w:val="center"/>
          </w:tcPr>
          <w:p w14:paraId="55269CB6">
            <w:pPr>
              <w:pStyle w:val="24"/>
              <w:bidi w:val="0"/>
              <w:rPr>
                <w:color w:val="auto"/>
              </w:rPr>
            </w:pPr>
            <w:r>
              <w:rPr>
                <w:rFonts w:hint="eastAsia"/>
                <w:color w:val="auto"/>
              </w:rPr>
              <w:t>1</w:t>
            </w:r>
          </w:p>
        </w:tc>
        <w:tc>
          <w:tcPr>
            <w:tcW w:w="2810" w:type="pct"/>
            <w:noWrap w:val="0"/>
            <w:vAlign w:val="center"/>
          </w:tcPr>
          <w:p w14:paraId="3E54368A">
            <w:pPr>
              <w:pStyle w:val="24"/>
              <w:bidi w:val="0"/>
              <w:rPr>
                <w:color w:val="auto"/>
              </w:rPr>
            </w:pPr>
            <w:r>
              <w:rPr>
                <w:rFonts w:hint="eastAsia"/>
                <w:color w:val="auto"/>
              </w:rPr>
              <w:t>浓缩车间</w:t>
            </w:r>
          </w:p>
        </w:tc>
        <w:tc>
          <w:tcPr>
            <w:tcW w:w="1666" w:type="pct"/>
            <w:noWrap w:val="0"/>
            <w:vAlign w:val="center"/>
          </w:tcPr>
          <w:p w14:paraId="15E3F035">
            <w:pPr>
              <w:pStyle w:val="24"/>
              <w:bidi w:val="0"/>
              <w:rPr>
                <w:color w:val="auto"/>
              </w:rPr>
            </w:pPr>
            <w:r>
              <w:rPr>
                <w:color w:val="auto"/>
              </w:rPr>
              <w:t>4</w:t>
            </w:r>
          </w:p>
        </w:tc>
      </w:tr>
      <w:tr w14:paraId="471E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2" w:type="pct"/>
            <w:noWrap w:val="0"/>
            <w:vAlign w:val="center"/>
          </w:tcPr>
          <w:p w14:paraId="68223C8A">
            <w:pPr>
              <w:pStyle w:val="24"/>
              <w:bidi w:val="0"/>
              <w:rPr>
                <w:color w:val="auto"/>
              </w:rPr>
            </w:pPr>
            <w:r>
              <w:rPr>
                <w:rFonts w:hint="eastAsia"/>
                <w:color w:val="auto"/>
              </w:rPr>
              <w:t>2</w:t>
            </w:r>
          </w:p>
        </w:tc>
        <w:tc>
          <w:tcPr>
            <w:tcW w:w="2810" w:type="pct"/>
            <w:noWrap w:val="0"/>
            <w:vAlign w:val="center"/>
          </w:tcPr>
          <w:p w14:paraId="0D536D59">
            <w:pPr>
              <w:pStyle w:val="24"/>
              <w:bidi w:val="0"/>
              <w:rPr>
                <w:color w:val="auto"/>
              </w:rPr>
            </w:pPr>
            <w:r>
              <w:rPr>
                <w:rFonts w:hint="eastAsia"/>
                <w:color w:val="auto"/>
              </w:rPr>
              <w:t>压滤车间</w:t>
            </w:r>
          </w:p>
        </w:tc>
        <w:tc>
          <w:tcPr>
            <w:tcW w:w="1666" w:type="pct"/>
            <w:noWrap w:val="0"/>
            <w:vAlign w:val="center"/>
          </w:tcPr>
          <w:p w14:paraId="26245649">
            <w:pPr>
              <w:pStyle w:val="24"/>
              <w:bidi w:val="0"/>
              <w:rPr>
                <w:rFonts w:hint="eastAsia"/>
                <w:color w:val="auto"/>
              </w:rPr>
            </w:pPr>
            <w:r>
              <w:rPr>
                <w:rFonts w:hint="eastAsia"/>
                <w:color w:val="auto"/>
              </w:rPr>
              <w:t>6</w:t>
            </w:r>
          </w:p>
        </w:tc>
      </w:tr>
      <w:tr w14:paraId="042C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2" w:type="pct"/>
            <w:noWrap w:val="0"/>
            <w:vAlign w:val="center"/>
          </w:tcPr>
          <w:p w14:paraId="754EB85B">
            <w:pPr>
              <w:pStyle w:val="24"/>
              <w:bidi w:val="0"/>
              <w:rPr>
                <w:color w:val="auto"/>
              </w:rPr>
            </w:pPr>
            <w:r>
              <w:rPr>
                <w:rFonts w:hint="eastAsia"/>
                <w:color w:val="auto"/>
              </w:rPr>
              <w:t>3</w:t>
            </w:r>
          </w:p>
        </w:tc>
        <w:tc>
          <w:tcPr>
            <w:tcW w:w="2810" w:type="pct"/>
            <w:noWrap w:val="0"/>
            <w:vAlign w:val="center"/>
          </w:tcPr>
          <w:p w14:paraId="30AC613E">
            <w:pPr>
              <w:pStyle w:val="24"/>
              <w:bidi w:val="0"/>
              <w:rPr>
                <w:color w:val="auto"/>
              </w:rPr>
            </w:pPr>
            <w:r>
              <w:rPr>
                <w:rFonts w:hint="eastAsia"/>
                <w:color w:val="auto"/>
              </w:rPr>
              <w:t>仓库</w:t>
            </w:r>
          </w:p>
        </w:tc>
        <w:tc>
          <w:tcPr>
            <w:tcW w:w="1666" w:type="pct"/>
            <w:noWrap w:val="0"/>
            <w:vAlign w:val="center"/>
          </w:tcPr>
          <w:p w14:paraId="4640DFC2">
            <w:pPr>
              <w:pStyle w:val="24"/>
              <w:bidi w:val="0"/>
              <w:rPr>
                <w:color w:val="auto"/>
              </w:rPr>
            </w:pPr>
            <w:r>
              <w:rPr>
                <w:rFonts w:hint="eastAsia"/>
                <w:color w:val="auto"/>
              </w:rPr>
              <w:t>6</w:t>
            </w:r>
          </w:p>
        </w:tc>
      </w:tr>
      <w:tr w14:paraId="1DF2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2" w:type="pct"/>
            <w:noWrap w:val="0"/>
            <w:vAlign w:val="center"/>
          </w:tcPr>
          <w:p w14:paraId="6FE62FD0">
            <w:pPr>
              <w:pStyle w:val="24"/>
              <w:bidi w:val="0"/>
              <w:rPr>
                <w:color w:val="auto"/>
              </w:rPr>
            </w:pPr>
            <w:r>
              <w:rPr>
                <w:rFonts w:hint="eastAsia"/>
                <w:color w:val="auto"/>
              </w:rPr>
              <w:t>4</w:t>
            </w:r>
          </w:p>
        </w:tc>
        <w:tc>
          <w:tcPr>
            <w:tcW w:w="2810" w:type="pct"/>
            <w:noWrap w:val="0"/>
            <w:vAlign w:val="center"/>
          </w:tcPr>
          <w:p w14:paraId="3B8DD97B">
            <w:pPr>
              <w:pStyle w:val="24"/>
              <w:bidi w:val="0"/>
              <w:rPr>
                <w:color w:val="auto"/>
              </w:rPr>
            </w:pPr>
            <w:r>
              <w:rPr>
                <w:rFonts w:hint="eastAsia"/>
                <w:color w:val="auto"/>
              </w:rPr>
              <w:t>材料室</w:t>
            </w:r>
          </w:p>
        </w:tc>
        <w:tc>
          <w:tcPr>
            <w:tcW w:w="1666" w:type="pct"/>
            <w:noWrap w:val="0"/>
            <w:vAlign w:val="center"/>
          </w:tcPr>
          <w:p w14:paraId="259048C0">
            <w:pPr>
              <w:pStyle w:val="24"/>
              <w:bidi w:val="0"/>
              <w:rPr>
                <w:color w:val="auto"/>
              </w:rPr>
            </w:pPr>
            <w:r>
              <w:rPr>
                <w:rFonts w:hint="eastAsia"/>
                <w:color w:val="auto"/>
              </w:rPr>
              <w:t>2</w:t>
            </w:r>
          </w:p>
        </w:tc>
      </w:tr>
      <w:tr w14:paraId="0E98D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2" w:type="pct"/>
            <w:noWrap w:val="0"/>
            <w:vAlign w:val="center"/>
          </w:tcPr>
          <w:p w14:paraId="15B1B98C">
            <w:pPr>
              <w:pStyle w:val="24"/>
              <w:bidi w:val="0"/>
              <w:rPr>
                <w:color w:val="auto"/>
              </w:rPr>
            </w:pPr>
            <w:r>
              <w:rPr>
                <w:rFonts w:hint="eastAsia"/>
                <w:color w:val="auto"/>
              </w:rPr>
              <w:t>5</w:t>
            </w:r>
          </w:p>
        </w:tc>
        <w:tc>
          <w:tcPr>
            <w:tcW w:w="2810" w:type="pct"/>
            <w:noWrap w:val="0"/>
            <w:vAlign w:val="center"/>
          </w:tcPr>
          <w:p w14:paraId="2978DD6B">
            <w:pPr>
              <w:pStyle w:val="24"/>
              <w:bidi w:val="0"/>
              <w:rPr>
                <w:color w:val="auto"/>
              </w:rPr>
            </w:pPr>
            <w:r>
              <w:rPr>
                <w:rFonts w:hint="eastAsia"/>
                <w:color w:val="auto"/>
              </w:rPr>
              <w:t>办公室</w:t>
            </w:r>
          </w:p>
        </w:tc>
        <w:tc>
          <w:tcPr>
            <w:tcW w:w="1666" w:type="pct"/>
            <w:noWrap w:val="0"/>
            <w:vAlign w:val="center"/>
          </w:tcPr>
          <w:p w14:paraId="0902DDC0">
            <w:pPr>
              <w:pStyle w:val="24"/>
              <w:bidi w:val="0"/>
              <w:rPr>
                <w:color w:val="auto"/>
              </w:rPr>
            </w:pPr>
            <w:r>
              <w:rPr>
                <w:rFonts w:hint="eastAsia"/>
                <w:color w:val="auto"/>
              </w:rPr>
              <w:t>2</w:t>
            </w:r>
          </w:p>
        </w:tc>
      </w:tr>
      <w:tr w14:paraId="22C1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333" w:type="pct"/>
            <w:gridSpan w:val="2"/>
            <w:noWrap w:val="0"/>
            <w:vAlign w:val="center"/>
          </w:tcPr>
          <w:p w14:paraId="4F65A461">
            <w:pPr>
              <w:pStyle w:val="24"/>
              <w:bidi w:val="0"/>
              <w:rPr>
                <w:color w:val="auto"/>
              </w:rPr>
            </w:pPr>
            <w:r>
              <w:rPr>
                <w:rFonts w:hint="eastAsia"/>
                <w:color w:val="auto"/>
              </w:rPr>
              <w:t>总计</w:t>
            </w:r>
          </w:p>
        </w:tc>
        <w:tc>
          <w:tcPr>
            <w:tcW w:w="1666" w:type="pct"/>
            <w:noWrap w:val="0"/>
            <w:vAlign w:val="center"/>
          </w:tcPr>
          <w:p w14:paraId="6A9A0D11">
            <w:pPr>
              <w:pStyle w:val="24"/>
              <w:bidi w:val="0"/>
              <w:rPr>
                <w:rFonts w:hint="eastAsia"/>
                <w:color w:val="auto"/>
              </w:rPr>
            </w:pPr>
            <w:r>
              <w:rPr>
                <w:rFonts w:hint="eastAsia"/>
                <w:color w:val="auto"/>
              </w:rPr>
              <w:t>20</w:t>
            </w:r>
          </w:p>
        </w:tc>
      </w:tr>
    </w:tbl>
    <w:p w14:paraId="72603EA8">
      <w:pPr>
        <w:bidi w:val="0"/>
        <w:rPr>
          <w:rFonts w:hint="default" w:eastAsia="宋体"/>
          <w:color w:val="auto"/>
          <w:lang w:val="en-US" w:eastAsia="zh-CN"/>
        </w:rPr>
      </w:pPr>
      <w:r>
        <w:rPr>
          <w:rFonts w:hint="eastAsia"/>
          <w:color w:val="auto"/>
          <w:lang w:val="en-US" w:eastAsia="zh-CN"/>
        </w:rPr>
        <w:t>2、建设情况</w:t>
      </w:r>
    </w:p>
    <w:p w14:paraId="50A18B67">
      <w:pPr>
        <w:bidi w:val="0"/>
        <w:rPr>
          <w:rFonts w:hint="eastAsia"/>
          <w:color w:val="auto"/>
        </w:rPr>
      </w:pPr>
      <w:r>
        <w:rPr>
          <w:rFonts w:hint="eastAsia"/>
          <w:color w:val="auto"/>
        </w:rPr>
        <w:t>室内消防：安全设施设计未设计室内消火栓系统，厂区未建设室内消火栓系统。</w:t>
      </w:r>
    </w:p>
    <w:p w14:paraId="356599E1">
      <w:pPr>
        <w:bidi w:val="0"/>
        <w:rPr>
          <w:color w:val="auto"/>
        </w:rPr>
      </w:pPr>
      <w:r>
        <w:rPr>
          <w:rFonts w:hint="eastAsia"/>
          <w:color w:val="auto"/>
        </w:rPr>
        <w:t>室外消防：在选厂厂区设置室外消防管网（与室外生产新水给水管网合用）、室外消火栓，火灾时，由选厂新水池、手抬式消防机动泵满足消防要求。</w:t>
      </w:r>
    </w:p>
    <w:p w14:paraId="7D3945D5">
      <w:pPr>
        <w:bidi w:val="0"/>
        <w:rPr>
          <w:rFonts w:hint="default" w:eastAsia="宋体"/>
          <w:color w:val="auto"/>
          <w:lang w:val="en-US" w:eastAsia="zh-CN"/>
        </w:rPr>
      </w:pPr>
      <w:r>
        <w:rPr>
          <w:rFonts w:hint="eastAsia"/>
          <w:color w:val="auto"/>
          <w:lang w:val="en-US" w:eastAsia="zh-CN"/>
        </w:rPr>
        <w:t>回水池的水同时作为消防用水，水池保持储满状态。</w:t>
      </w:r>
    </w:p>
    <w:p w14:paraId="6AC66D5C">
      <w:pPr>
        <w:bidi w:val="0"/>
        <w:rPr>
          <w:color w:val="auto"/>
        </w:rPr>
      </w:pPr>
      <w:r>
        <w:rPr>
          <w:rFonts w:hint="eastAsia"/>
          <w:color w:val="auto"/>
        </w:rPr>
        <w:t>厂区各建筑物内</w:t>
      </w:r>
      <w:r>
        <w:rPr>
          <w:rFonts w:hint="eastAsia"/>
          <w:color w:val="auto"/>
          <w:lang w:eastAsia="zh-CN"/>
        </w:rPr>
        <w:t>、</w:t>
      </w:r>
      <w:r>
        <w:rPr>
          <w:rFonts w:hint="eastAsia"/>
          <w:color w:val="auto"/>
          <w:lang w:val="en-US" w:eastAsia="zh-CN"/>
        </w:rPr>
        <w:t>配吊柜旁等处</w:t>
      </w:r>
      <w:r>
        <w:rPr>
          <w:rFonts w:hint="eastAsia"/>
          <w:color w:val="auto"/>
        </w:rPr>
        <w:t>配置</w:t>
      </w:r>
      <w:r>
        <w:rPr>
          <w:rFonts w:hint="eastAsia"/>
          <w:color w:val="auto"/>
          <w:lang w:val="en-US" w:eastAsia="zh-CN"/>
        </w:rPr>
        <w:t>了</w:t>
      </w:r>
      <w:r>
        <w:rPr>
          <w:rFonts w:hint="eastAsia"/>
          <w:color w:val="auto"/>
        </w:rPr>
        <w:t>手提式干粉灭火器</w:t>
      </w:r>
      <w:r>
        <w:rPr>
          <w:rFonts w:hint="eastAsia"/>
          <w:color w:val="auto"/>
          <w:lang w:eastAsia="zh-CN"/>
        </w:rPr>
        <w:t>，</w:t>
      </w:r>
      <w:r>
        <w:rPr>
          <w:rFonts w:hint="eastAsia"/>
          <w:color w:val="auto"/>
          <w:lang w:val="en-US" w:eastAsia="zh-CN"/>
        </w:rPr>
        <w:t>共26具</w:t>
      </w:r>
      <w:r>
        <w:rPr>
          <w:rFonts w:hint="eastAsia"/>
          <w:color w:val="auto"/>
        </w:rPr>
        <w:t>。</w:t>
      </w:r>
    </w:p>
    <w:p w14:paraId="0BF5647B">
      <w:pPr>
        <w:pStyle w:val="4"/>
        <w:bidi w:val="0"/>
        <w:rPr>
          <w:rFonts w:hint="eastAsia"/>
          <w:color w:val="auto"/>
        </w:rPr>
      </w:pPr>
      <w:bookmarkStart w:id="93" w:name="_Toc26641"/>
      <w:r>
        <w:rPr>
          <w:rFonts w:hint="eastAsia"/>
          <w:color w:val="auto"/>
        </w:rPr>
        <w:t>2.</w:t>
      </w:r>
      <w:r>
        <w:rPr>
          <w:rFonts w:hint="eastAsia"/>
          <w:color w:val="auto"/>
          <w:lang w:val="en-US" w:eastAsia="zh-CN"/>
        </w:rPr>
        <w:t>5</w:t>
      </w:r>
      <w:r>
        <w:rPr>
          <w:rFonts w:hint="eastAsia"/>
          <w:color w:val="auto"/>
        </w:rPr>
        <w:t>.</w:t>
      </w:r>
      <w:r>
        <w:rPr>
          <w:rFonts w:hint="eastAsia"/>
          <w:color w:val="auto"/>
          <w:lang w:val="en-US" w:eastAsia="zh-CN"/>
        </w:rPr>
        <w:t xml:space="preserve">11 </w:t>
      </w:r>
      <w:r>
        <w:rPr>
          <w:rFonts w:hint="eastAsia"/>
          <w:color w:val="auto"/>
        </w:rPr>
        <w:t>通讯</w:t>
      </w:r>
      <w:bookmarkEnd w:id="93"/>
    </w:p>
    <w:p w14:paraId="0443C0FA">
      <w:pPr>
        <w:bidi w:val="0"/>
        <w:rPr>
          <w:rFonts w:hint="default" w:eastAsia="宋体"/>
          <w:color w:val="auto"/>
          <w:lang w:val="en-US" w:eastAsia="zh-CN"/>
        </w:rPr>
      </w:pPr>
      <w:r>
        <w:rPr>
          <w:rFonts w:hint="eastAsia"/>
          <w:color w:val="auto"/>
          <w:lang w:val="en-US" w:eastAsia="zh-CN"/>
        </w:rPr>
        <w:t>1、设计概况</w:t>
      </w:r>
    </w:p>
    <w:p w14:paraId="6743B17A">
      <w:pPr>
        <w:bidi w:val="0"/>
        <w:rPr>
          <w:rFonts w:hint="eastAsia"/>
          <w:color w:val="auto"/>
        </w:rPr>
      </w:pPr>
      <w:r>
        <w:rPr>
          <w:rFonts w:hint="eastAsia"/>
          <w:color w:val="auto"/>
        </w:rPr>
        <w:t>办公室、值班室等处均设置电话，通讯电缆由当地电信网干线引来。</w:t>
      </w:r>
    </w:p>
    <w:p w14:paraId="5FE4F461">
      <w:pPr>
        <w:bidi w:val="0"/>
        <w:rPr>
          <w:rFonts w:hint="default" w:eastAsia="宋体"/>
          <w:color w:val="auto"/>
          <w:lang w:val="en-US" w:eastAsia="zh-CN"/>
        </w:rPr>
      </w:pPr>
      <w:r>
        <w:rPr>
          <w:rFonts w:hint="eastAsia"/>
          <w:color w:val="auto"/>
          <w:lang w:val="en-US" w:eastAsia="zh-CN"/>
        </w:rPr>
        <w:t>2、建设概况</w:t>
      </w:r>
    </w:p>
    <w:p w14:paraId="03B995CF">
      <w:pPr>
        <w:bidi w:val="0"/>
        <w:rPr>
          <w:rFonts w:hint="eastAsia"/>
          <w:color w:val="auto"/>
        </w:rPr>
      </w:pPr>
      <w:r>
        <w:rPr>
          <w:rFonts w:hint="eastAsia"/>
          <w:color w:val="auto"/>
        </w:rPr>
        <w:t>选厂为中国移动、联通和电信网络覆盖区，对外通讯融入本地的通讯系统。</w:t>
      </w:r>
    </w:p>
    <w:p w14:paraId="261EC426">
      <w:pPr>
        <w:pStyle w:val="4"/>
        <w:bidi w:val="0"/>
        <w:rPr>
          <w:rFonts w:hint="eastAsia"/>
          <w:color w:val="auto"/>
        </w:rPr>
      </w:pPr>
      <w:bookmarkStart w:id="94" w:name="_Toc2983"/>
      <w:r>
        <w:rPr>
          <w:rFonts w:hint="eastAsia"/>
          <w:color w:val="auto"/>
        </w:rPr>
        <w:t>2.</w:t>
      </w:r>
      <w:r>
        <w:rPr>
          <w:rFonts w:hint="eastAsia"/>
          <w:color w:val="auto"/>
          <w:lang w:val="en-US" w:eastAsia="zh-CN"/>
        </w:rPr>
        <w:t>5</w:t>
      </w:r>
      <w:r>
        <w:rPr>
          <w:rFonts w:hint="eastAsia"/>
          <w:color w:val="auto"/>
        </w:rPr>
        <w:t>.</w:t>
      </w:r>
      <w:r>
        <w:rPr>
          <w:rFonts w:hint="eastAsia"/>
          <w:color w:val="auto"/>
          <w:lang w:val="en-US" w:eastAsia="zh-CN"/>
        </w:rPr>
        <w:t xml:space="preserve">12 </w:t>
      </w:r>
      <w:r>
        <w:rPr>
          <w:rFonts w:hint="eastAsia"/>
          <w:color w:val="auto"/>
        </w:rPr>
        <w:t>劳动定员</w:t>
      </w:r>
      <w:bookmarkEnd w:id="94"/>
    </w:p>
    <w:p w14:paraId="03168DC7">
      <w:pPr>
        <w:bidi w:val="0"/>
        <w:rPr>
          <w:rFonts w:hint="default" w:eastAsia="宋体"/>
          <w:color w:val="auto"/>
          <w:lang w:val="en-US" w:eastAsia="zh-CN"/>
        </w:rPr>
      </w:pPr>
      <w:r>
        <w:rPr>
          <w:rFonts w:hint="eastAsia"/>
          <w:color w:val="auto"/>
          <w:lang w:val="en-US" w:eastAsia="zh-CN"/>
        </w:rPr>
        <w:t>1、设计概况</w:t>
      </w:r>
    </w:p>
    <w:p w14:paraId="011392BF">
      <w:pPr>
        <w:bidi w:val="0"/>
        <w:rPr>
          <w:rFonts w:hint="eastAsia"/>
          <w:color w:val="auto"/>
        </w:rPr>
      </w:pPr>
      <w:r>
        <w:rPr>
          <w:rFonts w:hint="eastAsia"/>
          <w:color w:val="auto"/>
        </w:rPr>
        <w:t>企业年度生产日取定为200d，其余为停产检修设备时间。选矿厂工作制度实行日三班、每班八小时连续作业。</w:t>
      </w:r>
    </w:p>
    <w:p w14:paraId="2CB2790C">
      <w:pPr>
        <w:bidi w:val="0"/>
        <w:rPr>
          <w:rFonts w:hint="eastAsia"/>
          <w:color w:val="auto"/>
        </w:rPr>
      </w:pPr>
      <w:r>
        <w:rPr>
          <w:rFonts w:hint="eastAsia"/>
          <w:color w:val="auto"/>
        </w:rPr>
        <w:t>管理机构按照公司有关规定设置。本工程需要的劳动定员约为：</w:t>
      </w:r>
    </w:p>
    <w:p w14:paraId="14E5E2EC">
      <w:pPr>
        <w:bidi w:val="0"/>
        <w:rPr>
          <w:rFonts w:hint="eastAsia"/>
          <w:color w:val="auto"/>
          <w:lang w:eastAsia="zh-CN"/>
        </w:rPr>
      </w:pPr>
      <w:r>
        <w:rPr>
          <w:rFonts w:hint="eastAsia"/>
          <w:color w:val="auto"/>
        </w:rPr>
        <w:t>管理总负责人1人</w:t>
      </w:r>
      <w:r>
        <w:rPr>
          <w:rFonts w:hint="eastAsia"/>
          <w:color w:val="auto"/>
          <w:lang w:eastAsia="zh-CN"/>
        </w:rPr>
        <w:t>、</w:t>
      </w:r>
      <w:r>
        <w:rPr>
          <w:rFonts w:hint="eastAsia"/>
          <w:color w:val="auto"/>
        </w:rPr>
        <w:t>安全环保管理人员2人</w:t>
      </w:r>
      <w:r>
        <w:rPr>
          <w:rFonts w:hint="eastAsia"/>
          <w:color w:val="auto"/>
          <w:lang w:eastAsia="zh-CN"/>
        </w:rPr>
        <w:t>、</w:t>
      </w:r>
      <w:r>
        <w:rPr>
          <w:rFonts w:hint="eastAsia"/>
          <w:color w:val="auto"/>
        </w:rPr>
        <w:t>操作人员15人</w:t>
      </w:r>
      <w:r>
        <w:rPr>
          <w:rFonts w:hint="eastAsia"/>
          <w:color w:val="auto"/>
          <w:lang w:eastAsia="zh-CN"/>
        </w:rPr>
        <w:t>，</w:t>
      </w:r>
      <w:r>
        <w:rPr>
          <w:rFonts w:hint="eastAsia"/>
          <w:color w:val="auto"/>
        </w:rPr>
        <w:t>总计18人</w:t>
      </w:r>
      <w:r>
        <w:rPr>
          <w:rFonts w:hint="eastAsia"/>
          <w:color w:val="auto"/>
          <w:lang w:eastAsia="zh-CN"/>
        </w:rPr>
        <w:t>。</w:t>
      </w:r>
    </w:p>
    <w:p w14:paraId="38AE7FFD">
      <w:pPr>
        <w:bidi w:val="0"/>
        <w:rPr>
          <w:rFonts w:hint="default"/>
          <w:color w:val="auto"/>
          <w:lang w:val="en-US" w:eastAsia="zh-CN"/>
        </w:rPr>
      </w:pPr>
      <w:r>
        <w:rPr>
          <w:rFonts w:hint="eastAsia"/>
          <w:color w:val="auto"/>
          <w:lang w:val="en-US" w:eastAsia="zh-CN"/>
        </w:rPr>
        <w:t>2、建设概况</w:t>
      </w:r>
    </w:p>
    <w:p w14:paraId="7FDD453C">
      <w:pPr>
        <w:bidi w:val="0"/>
        <w:rPr>
          <w:rFonts w:hint="default"/>
          <w:color w:val="auto"/>
          <w:lang w:val="en-US" w:eastAsia="zh-CN"/>
        </w:rPr>
      </w:pPr>
      <w:r>
        <w:rPr>
          <w:rFonts w:hint="eastAsia"/>
          <w:color w:val="auto"/>
          <w:lang w:val="en-US" w:eastAsia="zh-CN"/>
        </w:rPr>
        <w:t>劳动定员为18人，其中</w:t>
      </w:r>
      <w:r>
        <w:rPr>
          <w:rFonts w:hint="eastAsia"/>
          <w:color w:val="auto"/>
        </w:rPr>
        <w:t>管理总负责人1人</w:t>
      </w:r>
      <w:r>
        <w:rPr>
          <w:rFonts w:hint="eastAsia"/>
          <w:color w:val="auto"/>
          <w:lang w:eastAsia="zh-CN"/>
        </w:rPr>
        <w:t>、</w:t>
      </w:r>
      <w:r>
        <w:rPr>
          <w:rFonts w:hint="eastAsia"/>
          <w:color w:val="auto"/>
        </w:rPr>
        <w:t>安全环保管理人员2人</w:t>
      </w:r>
      <w:r>
        <w:rPr>
          <w:rFonts w:hint="eastAsia"/>
          <w:color w:val="auto"/>
          <w:lang w:eastAsia="zh-CN"/>
        </w:rPr>
        <w:t>、</w:t>
      </w:r>
      <w:r>
        <w:rPr>
          <w:rFonts w:hint="eastAsia"/>
          <w:color w:val="auto"/>
        </w:rPr>
        <w:t>操作人员15人</w:t>
      </w:r>
      <w:r>
        <w:rPr>
          <w:rFonts w:hint="eastAsia"/>
          <w:color w:val="auto"/>
          <w:lang w:val="en-US" w:eastAsia="zh-CN"/>
        </w:rPr>
        <w:t>。工作制度为三班制，每班8小时。</w:t>
      </w:r>
    </w:p>
    <w:p w14:paraId="492670C3">
      <w:pPr>
        <w:pStyle w:val="3"/>
        <w:bidi w:val="0"/>
        <w:rPr>
          <w:rFonts w:hint="default"/>
          <w:color w:val="auto"/>
          <w:lang w:val="en-US" w:eastAsia="zh-CN"/>
        </w:rPr>
      </w:pPr>
      <w:bookmarkStart w:id="95" w:name="_Toc31617"/>
      <w:r>
        <w:rPr>
          <w:rFonts w:hint="eastAsia"/>
          <w:color w:val="auto"/>
          <w:lang w:val="en-US" w:eastAsia="zh-CN"/>
        </w:rPr>
        <w:t>2.6 安全管理</w:t>
      </w:r>
      <w:bookmarkEnd w:id="95"/>
    </w:p>
    <w:p w14:paraId="3B848018">
      <w:pPr>
        <w:pStyle w:val="4"/>
        <w:bidi w:val="0"/>
        <w:rPr>
          <w:rFonts w:hint="eastAsia"/>
          <w:color w:val="auto"/>
        </w:rPr>
      </w:pPr>
      <w:bookmarkStart w:id="96" w:name="_Toc23126"/>
      <w:r>
        <w:rPr>
          <w:rFonts w:hint="eastAsia"/>
          <w:color w:val="auto"/>
        </w:rPr>
        <w:t>2.</w:t>
      </w:r>
      <w:r>
        <w:rPr>
          <w:rFonts w:hint="eastAsia"/>
          <w:color w:val="auto"/>
          <w:lang w:val="en-US" w:eastAsia="zh-CN"/>
        </w:rPr>
        <w:t>6.1</w:t>
      </w:r>
      <w:r>
        <w:rPr>
          <w:rFonts w:hint="eastAsia"/>
          <w:color w:val="auto"/>
        </w:rPr>
        <w:t xml:space="preserve"> 安全生产管理机构</w:t>
      </w:r>
      <w:bookmarkEnd w:id="96"/>
    </w:p>
    <w:p w14:paraId="1CC0D601">
      <w:pPr>
        <w:bidi w:val="0"/>
        <w:rPr>
          <w:rFonts w:hint="default" w:eastAsia="宋体"/>
          <w:color w:val="auto"/>
          <w:lang w:val="en-US" w:eastAsia="zh-CN"/>
        </w:rPr>
      </w:pPr>
      <w:r>
        <w:rPr>
          <w:rFonts w:hint="eastAsia"/>
          <w:color w:val="auto"/>
        </w:rPr>
        <w:t>为全面贯彻实施《安全生产法》等相关法律法规，进一步提高公司的安全生产管理水平，适应安全生产新形势要求，加强基础工作，改进监管方式，依法落实各级安全生产责任制度，公司成立</w:t>
      </w:r>
      <w:r>
        <w:rPr>
          <w:rFonts w:hint="eastAsia"/>
          <w:color w:val="auto"/>
          <w:lang w:eastAsia="zh-CN"/>
        </w:rPr>
        <w:t>寻甸金林钛矿有限公司</w:t>
      </w:r>
      <w:r>
        <w:rPr>
          <w:rFonts w:hint="eastAsia"/>
          <w:color w:val="auto"/>
        </w:rPr>
        <w:t>安全生产管理机构（安全环保部），全面负责公司的各项安全管理工作，并任命了主要负责人及安全生产管理人员。寻甸金林钛矿有限公司尾矿处理技改升级建设项目，安全管理组织机构</w:t>
      </w:r>
      <w:r>
        <w:rPr>
          <w:rFonts w:hint="eastAsia"/>
          <w:color w:val="auto"/>
          <w:lang w:val="en-US" w:eastAsia="zh-CN"/>
        </w:rPr>
        <w:t>纳入原选矿厂组织机构中。</w:t>
      </w:r>
    </w:p>
    <w:p w14:paraId="7AE8187D">
      <w:pPr>
        <w:pStyle w:val="4"/>
        <w:bidi w:val="0"/>
        <w:rPr>
          <w:rFonts w:hint="eastAsia"/>
          <w:color w:val="auto"/>
        </w:rPr>
      </w:pPr>
      <w:bookmarkStart w:id="97" w:name="_Toc14365"/>
      <w:r>
        <w:rPr>
          <w:rFonts w:hint="eastAsia"/>
          <w:color w:val="auto"/>
        </w:rPr>
        <w:t>2.</w:t>
      </w:r>
      <w:r>
        <w:rPr>
          <w:rFonts w:hint="eastAsia"/>
          <w:color w:val="auto"/>
          <w:lang w:val="en-US" w:eastAsia="zh-CN"/>
        </w:rPr>
        <w:t xml:space="preserve">6.2 </w:t>
      </w:r>
      <w:r>
        <w:rPr>
          <w:rFonts w:hint="eastAsia"/>
          <w:color w:val="auto"/>
        </w:rPr>
        <w:t>安全教育培训及人员持证情况</w:t>
      </w:r>
      <w:bookmarkEnd w:id="97"/>
    </w:p>
    <w:p w14:paraId="1609204F">
      <w:pPr>
        <w:bidi w:val="0"/>
        <w:rPr>
          <w:rFonts w:hint="eastAsia"/>
          <w:color w:val="auto"/>
        </w:rPr>
      </w:pPr>
      <w:r>
        <w:rPr>
          <w:rFonts w:hint="eastAsia"/>
          <w:color w:val="auto"/>
        </w:rPr>
        <w:t>企业任命了主要负责人及专职安全员，负责组织或者参与本单位安全生产教育和培训，如实记录安全生产教育和培训情况，</w:t>
      </w:r>
      <w:r>
        <w:rPr>
          <w:rFonts w:hint="eastAsia"/>
          <w:color w:val="auto"/>
          <w:lang w:val="en-US" w:eastAsia="zh-CN"/>
        </w:rPr>
        <w:t>主要负责人、</w:t>
      </w:r>
      <w:r>
        <w:rPr>
          <w:rFonts w:hint="eastAsia"/>
          <w:color w:val="auto"/>
        </w:rPr>
        <w:t>安全管理人员已取得安全生产知识和管理能力培训合格证，相关证书见附件；电工</w:t>
      </w:r>
      <w:r>
        <w:rPr>
          <w:rFonts w:hint="eastAsia"/>
          <w:color w:val="auto"/>
          <w:lang w:eastAsia="zh-CN"/>
        </w:rPr>
        <w:t>、</w:t>
      </w:r>
      <w:r>
        <w:rPr>
          <w:rFonts w:hint="eastAsia"/>
          <w:color w:val="auto"/>
          <w:lang w:val="en-US" w:eastAsia="zh-CN"/>
        </w:rPr>
        <w:t>焊工</w:t>
      </w:r>
      <w:r>
        <w:rPr>
          <w:rFonts w:hint="eastAsia"/>
          <w:color w:val="auto"/>
        </w:rPr>
        <w:t>持证上岗；企业职工经不定期的安全教育、考核合格后上岗。新进人员经厂级、车间、班组三级安全教育，培训合格后上岗。</w:t>
      </w:r>
    </w:p>
    <w:p w14:paraId="2BDFD44D">
      <w:pPr>
        <w:pStyle w:val="23"/>
        <w:bidi w:val="0"/>
        <w:rPr>
          <w:color w:val="auto"/>
        </w:rPr>
      </w:pPr>
      <w:r>
        <w:rPr>
          <w:rFonts w:hint="eastAsia"/>
          <w:color w:val="auto"/>
        </w:rPr>
        <w:t>表2.</w:t>
      </w:r>
      <w:r>
        <w:rPr>
          <w:rFonts w:hint="eastAsia"/>
          <w:color w:val="auto"/>
          <w:lang w:val="en-US" w:eastAsia="zh-CN"/>
        </w:rPr>
        <w:t>6</w:t>
      </w:r>
      <w:r>
        <w:rPr>
          <w:rFonts w:hint="eastAsia"/>
          <w:color w:val="auto"/>
        </w:rPr>
        <w:t>-</w:t>
      </w:r>
      <w:r>
        <w:rPr>
          <w:rFonts w:hint="eastAsia"/>
          <w:color w:val="auto"/>
          <w:lang w:val="en-US" w:eastAsia="zh-CN"/>
        </w:rPr>
        <w:t>1</w:t>
      </w:r>
      <w:r>
        <w:rPr>
          <w:rFonts w:hint="eastAsia"/>
          <w:color w:val="auto"/>
        </w:rPr>
        <w:t xml:space="preserve">  人员相关证书一览表</w:t>
      </w:r>
    </w:p>
    <w:tbl>
      <w:tblPr>
        <w:tblStyle w:val="1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937"/>
        <w:gridCol w:w="2369"/>
        <w:gridCol w:w="1339"/>
        <w:gridCol w:w="2239"/>
        <w:gridCol w:w="2073"/>
      </w:tblGrid>
      <w:tr w14:paraId="2E2E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31" w:type="pct"/>
            <w:noWrap w:val="0"/>
            <w:vAlign w:val="center"/>
          </w:tcPr>
          <w:p w14:paraId="32892C34">
            <w:pPr>
              <w:pStyle w:val="24"/>
              <w:bidi w:val="0"/>
              <w:rPr>
                <w:rFonts w:hint="default"/>
                <w:b/>
                <w:bCs/>
                <w:color w:val="auto"/>
              </w:rPr>
            </w:pPr>
            <w:r>
              <w:rPr>
                <w:rFonts w:hint="default"/>
                <w:b/>
                <w:bCs/>
                <w:color w:val="auto"/>
              </w:rPr>
              <w:t>序号</w:t>
            </w:r>
          </w:p>
        </w:tc>
        <w:tc>
          <w:tcPr>
            <w:tcW w:w="498" w:type="pct"/>
            <w:noWrap w:val="0"/>
            <w:vAlign w:val="center"/>
          </w:tcPr>
          <w:p w14:paraId="7CA968BC">
            <w:pPr>
              <w:pStyle w:val="24"/>
              <w:bidi w:val="0"/>
              <w:rPr>
                <w:rFonts w:hint="default"/>
                <w:b/>
                <w:bCs/>
                <w:color w:val="auto"/>
              </w:rPr>
            </w:pPr>
            <w:r>
              <w:rPr>
                <w:rFonts w:hint="default"/>
                <w:b/>
                <w:bCs/>
                <w:color w:val="auto"/>
              </w:rPr>
              <w:t>姓名</w:t>
            </w:r>
          </w:p>
        </w:tc>
        <w:tc>
          <w:tcPr>
            <w:tcW w:w="1261" w:type="pct"/>
            <w:noWrap w:val="0"/>
            <w:vAlign w:val="center"/>
          </w:tcPr>
          <w:p w14:paraId="5F448ECB">
            <w:pPr>
              <w:pStyle w:val="24"/>
              <w:bidi w:val="0"/>
              <w:rPr>
                <w:rFonts w:hint="default"/>
                <w:b/>
                <w:bCs/>
                <w:color w:val="auto"/>
              </w:rPr>
            </w:pPr>
            <w:r>
              <w:rPr>
                <w:rFonts w:hint="default"/>
                <w:b/>
                <w:bCs/>
                <w:color w:val="auto"/>
              </w:rPr>
              <w:t>证号</w:t>
            </w:r>
          </w:p>
        </w:tc>
        <w:tc>
          <w:tcPr>
            <w:tcW w:w="712" w:type="pct"/>
            <w:noWrap w:val="0"/>
            <w:vAlign w:val="center"/>
          </w:tcPr>
          <w:p w14:paraId="7D7B2F37">
            <w:pPr>
              <w:pStyle w:val="24"/>
              <w:bidi w:val="0"/>
              <w:rPr>
                <w:rFonts w:hint="default"/>
                <w:b/>
                <w:bCs/>
                <w:color w:val="auto"/>
              </w:rPr>
            </w:pPr>
            <w:r>
              <w:rPr>
                <w:rFonts w:hint="default"/>
                <w:b/>
                <w:bCs/>
                <w:color w:val="auto"/>
              </w:rPr>
              <w:t>类别</w:t>
            </w:r>
          </w:p>
        </w:tc>
        <w:tc>
          <w:tcPr>
            <w:tcW w:w="1192" w:type="pct"/>
            <w:noWrap w:val="0"/>
            <w:vAlign w:val="center"/>
          </w:tcPr>
          <w:p w14:paraId="67710F5E">
            <w:pPr>
              <w:pStyle w:val="24"/>
              <w:bidi w:val="0"/>
              <w:rPr>
                <w:rFonts w:hint="default"/>
                <w:b/>
                <w:bCs/>
                <w:color w:val="auto"/>
              </w:rPr>
            </w:pPr>
            <w:r>
              <w:rPr>
                <w:rFonts w:hint="default"/>
                <w:b/>
                <w:bCs/>
                <w:color w:val="auto"/>
              </w:rPr>
              <w:t>有效期</w:t>
            </w:r>
          </w:p>
        </w:tc>
        <w:tc>
          <w:tcPr>
            <w:tcW w:w="1103" w:type="pct"/>
            <w:noWrap w:val="0"/>
            <w:vAlign w:val="center"/>
          </w:tcPr>
          <w:p w14:paraId="7BB0104C">
            <w:pPr>
              <w:pStyle w:val="24"/>
              <w:bidi w:val="0"/>
              <w:rPr>
                <w:rFonts w:hint="default"/>
                <w:b/>
                <w:bCs/>
                <w:color w:val="auto"/>
              </w:rPr>
            </w:pPr>
            <w:r>
              <w:rPr>
                <w:rFonts w:hint="default"/>
                <w:b/>
                <w:bCs/>
                <w:color w:val="auto"/>
              </w:rPr>
              <w:t>签发/培训机关</w:t>
            </w:r>
          </w:p>
        </w:tc>
      </w:tr>
      <w:tr w14:paraId="47CA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 w:type="pct"/>
            <w:noWrap w:val="0"/>
            <w:vAlign w:val="center"/>
          </w:tcPr>
          <w:p w14:paraId="75D8A6D7">
            <w:pPr>
              <w:pStyle w:val="24"/>
              <w:bidi w:val="0"/>
              <w:rPr>
                <w:rFonts w:hint="eastAsia" w:eastAsia="宋体"/>
                <w:color w:val="auto"/>
                <w:lang w:eastAsia="zh-CN"/>
              </w:rPr>
            </w:pPr>
            <w:r>
              <w:rPr>
                <w:rFonts w:hint="eastAsia"/>
                <w:color w:val="auto"/>
                <w:lang w:val="en-US" w:eastAsia="zh-CN"/>
              </w:rPr>
              <w:t>1</w:t>
            </w:r>
          </w:p>
        </w:tc>
        <w:tc>
          <w:tcPr>
            <w:tcW w:w="498" w:type="pct"/>
            <w:noWrap w:val="0"/>
            <w:vAlign w:val="center"/>
          </w:tcPr>
          <w:p w14:paraId="6E2516E8">
            <w:pPr>
              <w:pStyle w:val="24"/>
              <w:bidi w:val="0"/>
              <w:rPr>
                <w:rFonts w:hint="default"/>
                <w:color w:val="auto"/>
                <w:lang w:val="en-US" w:eastAsia="zh-CN"/>
              </w:rPr>
            </w:pPr>
            <w:r>
              <w:rPr>
                <w:rFonts w:hint="eastAsia"/>
                <w:color w:val="auto"/>
                <w:lang w:val="en-US" w:eastAsia="zh-CN"/>
              </w:rPr>
              <w:t>王向东</w:t>
            </w:r>
          </w:p>
        </w:tc>
        <w:tc>
          <w:tcPr>
            <w:tcW w:w="1261" w:type="pct"/>
            <w:noWrap w:val="0"/>
            <w:vAlign w:val="center"/>
          </w:tcPr>
          <w:p w14:paraId="014DDC85">
            <w:pPr>
              <w:pStyle w:val="24"/>
              <w:bidi w:val="0"/>
              <w:rPr>
                <w:rFonts w:hint="default"/>
                <w:color w:val="auto"/>
                <w:lang w:val="en-US" w:eastAsia="zh-CN"/>
              </w:rPr>
            </w:pPr>
            <w:r>
              <w:rPr>
                <w:rFonts w:hint="eastAsia"/>
                <w:color w:val="auto"/>
                <w:lang w:val="en-US" w:eastAsia="zh-CN"/>
              </w:rPr>
              <w:t>132628197107260016</w:t>
            </w:r>
          </w:p>
        </w:tc>
        <w:tc>
          <w:tcPr>
            <w:tcW w:w="712" w:type="pct"/>
            <w:noWrap w:val="0"/>
            <w:vAlign w:val="center"/>
          </w:tcPr>
          <w:p w14:paraId="31BD4782">
            <w:pPr>
              <w:pStyle w:val="24"/>
              <w:bidi w:val="0"/>
              <w:rPr>
                <w:rFonts w:hint="default"/>
                <w:color w:val="auto"/>
                <w:lang w:val="en-US" w:eastAsia="zh-CN"/>
              </w:rPr>
            </w:pPr>
            <w:r>
              <w:rPr>
                <w:rFonts w:hint="eastAsia"/>
                <w:color w:val="auto"/>
                <w:lang w:val="en-US" w:eastAsia="zh-CN"/>
              </w:rPr>
              <w:t>主要负责人</w:t>
            </w:r>
          </w:p>
        </w:tc>
        <w:tc>
          <w:tcPr>
            <w:tcW w:w="1192" w:type="pct"/>
            <w:noWrap w:val="0"/>
            <w:vAlign w:val="center"/>
          </w:tcPr>
          <w:p w14:paraId="0705AFE8">
            <w:pPr>
              <w:pStyle w:val="24"/>
              <w:bidi w:val="0"/>
              <w:rPr>
                <w:rFonts w:hint="default"/>
                <w:color w:val="auto"/>
                <w:lang w:val="en-US" w:eastAsia="zh-CN"/>
              </w:rPr>
            </w:pPr>
            <w:r>
              <w:rPr>
                <w:rFonts w:hint="eastAsia"/>
                <w:color w:val="auto"/>
                <w:lang w:val="en-US" w:eastAsia="zh-CN"/>
              </w:rPr>
              <w:t>2024.06.21-2027.06.20</w:t>
            </w:r>
          </w:p>
        </w:tc>
        <w:tc>
          <w:tcPr>
            <w:tcW w:w="1103" w:type="pct"/>
            <w:noWrap w:val="0"/>
            <w:vAlign w:val="center"/>
          </w:tcPr>
          <w:p w14:paraId="60AD83E8">
            <w:pPr>
              <w:pStyle w:val="24"/>
              <w:bidi w:val="0"/>
              <w:jc w:val="center"/>
              <w:rPr>
                <w:rFonts w:hint="default"/>
                <w:color w:val="auto"/>
              </w:rPr>
            </w:pPr>
            <w:r>
              <w:rPr>
                <w:rFonts w:hint="eastAsia"/>
                <w:color w:val="auto"/>
                <w:lang w:val="en-US" w:eastAsia="zh-CN"/>
              </w:rPr>
              <w:t>红河州</w:t>
            </w:r>
            <w:r>
              <w:rPr>
                <w:rFonts w:hint="default"/>
                <w:color w:val="auto"/>
                <w:lang w:val="en-US" w:eastAsia="zh-CN"/>
              </w:rPr>
              <w:t>应急管理局</w:t>
            </w:r>
          </w:p>
        </w:tc>
      </w:tr>
      <w:tr w14:paraId="21D6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 w:type="pct"/>
            <w:noWrap w:val="0"/>
            <w:vAlign w:val="center"/>
          </w:tcPr>
          <w:p w14:paraId="193E59B3">
            <w:pPr>
              <w:pStyle w:val="24"/>
              <w:bidi w:val="0"/>
              <w:rPr>
                <w:rFonts w:hint="default"/>
                <w:color w:val="auto"/>
                <w:lang w:val="en-US" w:eastAsia="zh-CN"/>
              </w:rPr>
            </w:pPr>
            <w:r>
              <w:rPr>
                <w:rFonts w:hint="eastAsia"/>
                <w:color w:val="auto"/>
                <w:lang w:val="en-US" w:eastAsia="zh-CN"/>
              </w:rPr>
              <w:t>2</w:t>
            </w:r>
          </w:p>
        </w:tc>
        <w:tc>
          <w:tcPr>
            <w:tcW w:w="498" w:type="pct"/>
            <w:noWrap w:val="0"/>
            <w:vAlign w:val="center"/>
          </w:tcPr>
          <w:p w14:paraId="62950DF7">
            <w:pPr>
              <w:pStyle w:val="24"/>
              <w:bidi w:val="0"/>
              <w:rPr>
                <w:rFonts w:hint="default"/>
                <w:color w:val="auto"/>
                <w:lang w:val="en-US" w:eastAsia="zh-CN"/>
              </w:rPr>
            </w:pPr>
            <w:r>
              <w:rPr>
                <w:rFonts w:hint="eastAsia"/>
                <w:color w:val="auto"/>
                <w:lang w:val="en-US" w:eastAsia="zh-CN"/>
              </w:rPr>
              <w:t>唐江平</w:t>
            </w:r>
          </w:p>
        </w:tc>
        <w:tc>
          <w:tcPr>
            <w:tcW w:w="1261" w:type="pct"/>
            <w:noWrap w:val="0"/>
            <w:vAlign w:val="center"/>
          </w:tcPr>
          <w:p w14:paraId="1F86F939">
            <w:pPr>
              <w:pStyle w:val="24"/>
              <w:bidi w:val="0"/>
              <w:rPr>
                <w:rFonts w:hint="default"/>
                <w:color w:val="auto"/>
                <w:lang w:val="en-US" w:eastAsia="zh-CN"/>
              </w:rPr>
            </w:pPr>
            <w:r>
              <w:rPr>
                <w:rFonts w:hint="eastAsia"/>
                <w:color w:val="auto"/>
                <w:lang w:val="en-US" w:eastAsia="zh-CN"/>
              </w:rPr>
              <w:t>51302319721223495X</w:t>
            </w:r>
          </w:p>
        </w:tc>
        <w:tc>
          <w:tcPr>
            <w:tcW w:w="712" w:type="pct"/>
            <w:noWrap w:val="0"/>
            <w:vAlign w:val="center"/>
          </w:tcPr>
          <w:p w14:paraId="59D57526">
            <w:pPr>
              <w:pStyle w:val="24"/>
              <w:bidi w:val="0"/>
              <w:rPr>
                <w:rFonts w:hint="default"/>
                <w:color w:val="auto"/>
                <w:lang w:val="en-US" w:eastAsia="zh-CN"/>
              </w:rPr>
            </w:pPr>
            <w:r>
              <w:rPr>
                <w:rFonts w:hint="eastAsia"/>
                <w:color w:val="auto"/>
                <w:lang w:val="en-US" w:eastAsia="zh-CN"/>
              </w:rPr>
              <w:t>主要负责人</w:t>
            </w:r>
          </w:p>
        </w:tc>
        <w:tc>
          <w:tcPr>
            <w:tcW w:w="1192" w:type="pct"/>
            <w:noWrap w:val="0"/>
            <w:vAlign w:val="center"/>
          </w:tcPr>
          <w:p w14:paraId="0BB17259">
            <w:pPr>
              <w:pStyle w:val="24"/>
              <w:bidi w:val="0"/>
              <w:rPr>
                <w:rFonts w:hint="default"/>
                <w:color w:val="auto"/>
                <w:lang w:val="en-US" w:eastAsia="zh-CN"/>
              </w:rPr>
            </w:pPr>
            <w:r>
              <w:rPr>
                <w:rFonts w:hint="eastAsia"/>
                <w:color w:val="auto"/>
                <w:lang w:val="en-US" w:eastAsia="zh-CN"/>
              </w:rPr>
              <w:t>2023.05.27-2026.05.26</w:t>
            </w:r>
          </w:p>
        </w:tc>
        <w:tc>
          <w:tcPr>
            <w:tcW w:w="1103" w:type="pct"/>
            <w:noWrap w:val="0"/>
            <w:vAlign w:val="center"/>
          </w:tcPr>
          <w:p w14:paraId="02AEAB53">
            <w:pPr>
              <w:pStyle w:val="24"/>
              <w:bidi w:val="0"/>
              <w:rPr>
                <w:rFonts w:hint="default"/>
                <w:color w:val="auto"/>
                <w:lang w:val="en-US" w:eastAsia="zh-CN"/>
              </w:rPr>
            </w:pPr>
            <w:r>
              <w:rPr>
                <w:rFonts w:hint="eastAsia"/>
                <w:color w:val="auto"/>
                <w:lang w:val="en-US" w:eastAsia="zh-CN"/>
              </w:rPr>
              <w:t>四川省应急管理厅</w:t>
            </w:r>
          </w:p>
        </w:tc>
      </w:tr>
      <w:tr w14:paraId="0B08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 w:type="pct"/>
            <w:noWrap w:val="0"/>
            <w:vAlign w:val="center"/>
          </w:tcPr>
          <w:p w14:paraId="7A5514D7">
            <w:pPr>
              <w:pStyle w:val="24"/>
              <w:bidi w:val="0"/>
              <w:rPr>
                <w:rFonts w:hint="default"/>
                <w:color w:val="auto"/>
                <w:lang w:val="en-US" w:eastAsia="zh-CN"/>
              </w:rPr>
            </w:pPr>
            <w:r>
              <w:rPr>
                <w:rFonts w:hint="eastAsia"/>
                <w:color w:val="auto"/>
                <w:lang w:val="en-US" w:eastAsia="zh-CN"/>
              </w:rPr>
              <w:t>3</w:t>
            </w:r>
          </w:p>
        </w:tc>
        <w:tc>
          <w:tcPr>
            <w:tcW w:w="498" w:type="pct"/>
            <w:noWrap w:val="0"/>
            <w:vAlign w:val="center"/>
          </w:tcPr>
          <w:p w14:paraId="41E56375">
            <w:pPr>
              <w:pStyle w:val="24"/>
              <w:bidi w:val="0"/>
              <w:rPr>
                <w:rFonts w:hint="default"/>
                <w:color w:val="auto"/>
                <w:lang w:val="en-US" w:eastAsia="zh-CN"/>
              </w:rPr>
            </w:pPr>
            <w:r>
              <w:rPr>
                <w:rFonts w:hint="eastAsia"/>
                <w:color w:val="auto"/>
                <w:lang w:val="en-US" w:eastAsia="zh-CN"/>
              </w:rPr>
              <w:t>张炎</w:t>
            </w:r>
          </w:p>
        </w:tc>
        <w:tc>
          <w:tcPr>
            <w:tcW w:w="1261" w:type="pct"/>
            <w:noWrap w:val="0"/>
            <w:vAlign w:val="center"/>
          </w:tcPr>
          <w:p w14:paraId="31CACECC">
            <w:pPr>
              <w:pStyle w:val="24"/>
              <w:bidi w:val="0"/>
              <w:rPr>
                <w:rFonts w:hint="default"/>
                <w:color w:val="auto"/>
                <w:lang w:val="en-US" w:eastAsia="zh-CN"/>
              </w:rPr>
            </w:pPr>
            <w:r>
              <w:rPr>
                <w:rFonts w:hint="eastAsia"/>
                <w:color w:val="auto"/>
                <w:lang w:val="en-US" w:eastAsia="zh-CN"/>
              </w:rPr>
              <w:t>530113197604280019</w:t>
            </w:r>
          </w:p>
        </w:tc>
        <w:tc>
          <w:tcPr>
            <w:tcW w:w="712" w:type="pct"/>
            <w:noWrap w:val="0"/>
            <w:vAlign w:val="center"/>
          </w:tcPr>
          <w:p w14:paraId="089CB382">
            <w:pPr>
              <w:pStyle w:val="24"/>
              <w:bidi w:val="0"/>
              <w:rPr>
                <w:rFonts w:hint="default"/>
                <w:color w:val="auto"/>
                <w:lang w:val="en-US" w:eastAsia="zh-CN"/>
              </w:rPr>
            </w:pPr>
            <w:r>
              <w:rPr>
                <w:rFonts w:hint="eastAsia"/>
                <w:color w:val="auto"/>
                <w:lang w:val="en-US" w:eastAsia="zh-CN"/>
              </w:rPr>
              <w:t>安全生产管理人员</w:t>
            </w:r>
          </w:p>
        </w:tc>
        <w:tc>
          <w:tcPr>
            <w:tcW w:w="1192" w:type="pct"/>
            <w:noWrap w:val="0"/>
            <w:vAlign w:val="center"/>
          </w:tcPr>
          <w:p w14:paraId="18A1D52D">
            <w:pPr>
              <w:pStyle w:val="24"/>
              <w:bidi w:val="0"/>
              <w:rPr>
                <w:rFonts w:hint="default"/>
                <w:color w:val="auto"/>
                <w:lang w:val="en-US" w:eastAsia="zh-CN"/>
              </w:rPr>
            </w:pPr>
            <w:r>
              <w:rPr>
                <w:rFonts w:hint="eastAsia"/>
                <w:color w:val="auto"/>
                <w:lang w:val="en-US" w:eastAsia="zh-CN"/>
              </w:rPr>
              <w:t>2024.07.01-2027.06.30</w:t>
            </w:r>
          </w:p>
        </w:tc>
        <w:tc>
          <w:tcPr>
            <w:tcW w:w="1103" w:type="pct"/>
            <w:noWrap w:val="0"/>
            <w:vAlign w:val="center"/>
          </w:tcPr>
          <w:p w14:paraId="410EADF9">
            <w:pPr>
              <w:pStyle w:val="24"/>
              <w:bidi w:val="0"/>
              <w:rPr>
                <w:rFonts w:hint="default"/>
                <w:color w:val="auto"/>
                <w:lang w:val="en-US" w:eastAsia="zh-CN"/>
              </w:rPr>
            </w:pPr>
            <w:r>
              <w:rPr>
                <w:rFonts w:hint="eastAsia"/>
                <w:color w:val="auto"/>
                <w:lang w:val="en-US" w:eastAsia="zh-CN"/>
              </w:rPr>
              <w:t>昆明市应急管理局</w:t>
            </w:r>
          </w:p>
        </w:tc>
      </w:tr>
      <w:tr w14:paraId="2182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 w:type="pct"/>
            <w:noWrap w:val="0"/>
            <w:vAlign w:val="center"/>
          </w:tcPr>
          <w:p w14:paraId="3B991FC8">
            <w:pPr>
              <w:pStyle w:val="24"/>
              <w:bidi w:val="0"/>
              <w:rPr>
                <w:rFonts w:hint="default"/>
                <w:color w:val="auto"/>
                <w:lang w:val="en-US" w:eastAsia="zh-CN"/>
              </w:rPr>
            </w:pPr>
            <w:r>
              <w:rPr>
                <w:rFonts w:hint="eastAsia"/>
                <w:color w:val="auto"/>
                <w:lang w:val="en-US" w:eastAsia="zh-CN"/>
              </w:rPr>
              <w:t>4</w:t>
            </w:r>
          </w:p>
        </w:tc>
        <w:tc>
          <w:tcPr>
            <w:tcW w:w="498" w:type="pct"/>
            <w:noWrap w:val="0"/>
            <w:vAlign w:val="center"/>
          </w:tcPr>
          <w:p w14:paraId="72AB3F2A">
            <w:pPr>
              <w:pStyle w:val="24"/>
              <w:bidi w:val="0"/>
              <w:rPr>
                <w:rFonts w:hint="default"/>
                <w:color w:val="auto"/>
                <w:lang w:val="en-US" w:eastAsia="zh-CN"/>
              </w:rPr>
            </w:pPr>
            <w:r>
              <w:rPr>
                <w:rFonts w:hint="eastAsia"/>
                <w:color w:val="auto"/>
                <w:lang w:val="en-US" w:eastAsia="zh-CN"/>
              </w:rPr>
              <w:t>孙在爽</w:t>
            </w:r>
          </w:p>
        </w:tc>
        <w:tc>
          <w:tcPr>
            <w:tcW w:w="1261" w:type="pct"/>
            <w:noWrap w:val="0"/>
            <w:vAlign w:val="center"/>
          </w:tcPr>
          <w:p w14:paraId="064AD007">
            <w:pPr>
              <w:pStyle w:val="24"/>
              <w:bidi w:val="0"/>
              <w:rPr>
                <w:rFonts w:hint="default"/>
                <w:color w:val="auto"/>
                <w:lang w:val="en-US" w:eastAsia="zh-CN"/>
              </w:rPr>
            </w:pPr>
            <w:r>
              <w:rPr>
                <w:rFonts w:hint="eastAsia"/>
                <w:color w:val="auto"/>
                <w:lang w:val="en-US" w:eastAsia="zh-CN"/>
              </w:rPr>
              <w:t>530381199106142517</w:t>
            </w:r>
          </w:p>
        </w:tc>
        <w:tc>
          <w:tcPr>
            <w:tcW w:w="712" w:type="pct"/>
            <w:noWrap w:val="0"/>
            <w:vAlign w:val="center"/>
          </w:tcPr>
          <w:p w14:paraId="681AC23C">
            <w:pPr>
              <w:pStyle w:val="24"/>
              <w:bidi w:val="0"/>
              <w:rPr>
                <w:rFonts w:hint="eastAsia"/>
                <w:color w:val="auto"/>
                <w:lang w:val="en-US" w:eastAsia="zh-CN"/>
              </w:rPr>
            </w:pPr>
            <w:r>
              <w:rPr>
                <w:rFonts w:hint="eastAsia"/>
                <w:color w:val="auto"/>
                <w:lang w:val="en-US" w:eastAsia="zh-CN"/>
              </w:rPr>
              <w:t>安全生产管理人员</w:t>
            </w:r>
          </w:p>
        </w:tc>
        <w:tc>
          <w:tcPr>
            <w:tcW w:w="1192" w:type="pct"/>
            <w:noWrap w:val="0"/>
            <w:vAlign w:val="center"/>
          </w:tcPr>
          <w:p w14:paraId="6E5749FA">
            <w:pPr>
              <w:pStyle w:val="24"/>
              <w:bidi w:val="0"/>
              <w:rPr>
                <w:rFonts w:hint="default"/>
                <w:color w:val="auto"/>
                <w:lang w:val="en-US" w:eastAsia="zh-CN"/>
              </w:rPr>
            </w:pPr>
            <w:r>
              <w:rPr>
                <w:rFonts w:hint="eastAsia"/>
                <w:color w:val="auto"/>
                <w:lang w:val="en-US" w:eastAsia="zh-CN"/>
              </w:rPr>
              <w:t>2022.06.01-2025.05.31</w:t>
            </w:r>
          </w:p>
        </w:tc>
        <w:tc>
          <w:tcPr>
            <w:tcW w:w="1103" w:type="pct"/>
            <w:noWrap w:val="0"/>
            <w:vAlign w:val="center"/>
          </w:tcPr>
          <w:p w14:paraId="21D4EF65">
            <w:pPr>
              <w:pStyle w:val="24"/>
              <w:bidi w:val="0"/>
              <w:rPr>
                <w:rFonts w:hint="eastAsia"/>
                <w:color w:val="auto"/>
                <w:lang w:val="en-US" w:eastAsia="zh-CN"/>
              </w:rPr>
            </w:pPr>
            <w:r>
              <w:rPr>
                <w:rFonts w:hint="eastAsia"/>
                <w:color w:val="auto"/>
                <w:lang w:val="en-US" w:eastAsia="zh-CN"/>
              </w:rPr>
              <w:t>昆明市应急管理局</w:t>
            </w:r>
          </w:p>
        </w:tc>
      </w:tr>
      <w:tr w14:paraId="6DC9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 w:type="pct"/>
            <w:noWrap w:val="0"/>
            <w:vAlign w:val="center"/>
          </w:tcPr>
          <w:p w14:paraId="5044BAE9">
            <w:pPr>
              <w:pStyle w:val="24"/>
              <w:bidi w:val="0"/>
              <w:rPr>
                <w:rFonts w:hint="default"/>
                <w:color w:val="auto"/>
                <w:lang w:val="en-US" w:eastAsia="zh-CN"/>
              </w:rPr>
            </w:pPr>
            <w:r>
              <w:rPr>
                <w:rFonts w:hint="eastAsia"/>
                <w:color w:val="auto"/>
                <w:lang w:val="en-US" w:eastAsia="zh-CN"/>
              </w:rPr>
              <w:t>5</w:t>
            </w:r>
          </w:p>
        </w:tc>
        <w:tc>
          <w:tcPr>
            <w:tcW w:w="498" w:type="pct"/>
            <w:noWrap w:val="0"/>
            <w:vAlign w:val="center"/>
          </w:tcPr>
          <w:p w14:paraId="1F0BFA9E">
            <w:pPr>
              <w:pStyle w:val="24"/>
              <w:bidi w:val="0"/>
              <w:rPr>
                <w:rFonts w:hint="default"/>
                <w:color w:val="auto"/>
                <w:lang w:val="en-US" w:eastAsia="zh-CN"/>
              </w:rPr>
            </w:pPr>
            <w:r>
              <w:rPr>
                <w:rFonts w:hint="eastAsia"/>
                <w:color w:val="auto"/>
                <w:lang w:val="en-US" w:eastAsia="zh-CN"/>
              </w:rPr>
              <w:t>李春林</w:t>
            </w:r>
          </w:p>
        </w:tc>
        <w:tc>
          <w:tcPr>
            <w:tcW w:w="1261" w:type="pct"/>
            <w:noWrap w:val="0"/>
            <w:vAlign w:val="center"/>
          </w:tcPr>
          <w:p w14:paraId="108D5071">
            <w:pPr>
              <w:pStyle w:val="24"/>
              <w:bidi w:val="0"/>
              <w:rPr>
                <w:rFonts w:hint="default"/>
                <w:color w:val="auto"/>
                <w:lang w:val="en-US" w:eastAsia="zh-CN"/>
              </w:rPr>
            </w:pPr>
            <w:r>
              <w:rPr>
                <w:rFonts w:hint="eastAsia"/>
                <w:color w:val="auto"/>
                <w:lang w:val="en-US" w:eastAsia="zh-CN"/>
              </w:rPr>
              <w:t>T530124198907170814</w:t>
            </w:r>
          </w:p>
        </w:tc>
        <w:tc>
          <w:tcPr>
            <w:tcW w:w="712" w:type="pct"/>
            <w:noWrap w:val="0"/>
            <w:vAlign w:val="center"/>
          </w:tcPr>
          <w:p w14:paraId="475F6208">
            <w:pPr>
              <w:pStyle w:val="24"/>
              <w:bidi w:val="0"/>
              <w:rPr>
                <w:rFonts w:hint="default"/>
                <w:color w:val="auto"/>
                <w:lang w:val="en-US" w:eastAsia="zh-CN"/>
              </w:rPr>
            </w:pPr>
            <w:r>
              <w:rPr>
                <w:rFonts w:hint="eastAsia"/>
                <w:color w:val="auto"/>
                <w:lang w:val="en-US" w:eastAsia="zh-CN"/>
              </w:rPr>
              <w:t>电工作业</w:t>
            </w:r>
          </w:p>
        </w:tc>
        <w:tc>
          <w:tcPr>
            <w:tcW w:w="1192" w:type="pct"/>
            <w:noWrap w:val="0"/>
            <w:vAlign w:val="center"/>
          </w:tcPr>
          <w:p w14:paraId="5F2A35C2">
            <w:pPr>
              <w:pStyle w:val="24"/>
              <w:bidi w:val="0"/>
              <w:rPr>
                <w:rFonts w:hint="default"/>
                <w:color w:val="auto"/>
                <w:lang w:val="en-US" w:eastAsia="zh-CN"/>
              </w:rPr>
            </w:pPr>
            <w:r>
              <w:rPr>
                <w:rFonts w:hint="eastAsia"/>
                <w:color w:val="auto"/>
                <w:lang w:val="en-US" w:eastAsia="zh-CN"/>
              </w:rPr>
              <w:t>2022.08.24-2028.08.23</w:t>
            </w:r>
          </w:p>
        </w:tc>
        <w:tc>
          <w:tcPr>
            <w:tcW w:w="1103" w:type="pct"/>
            <w:noWrap w:val="0"/>
            <w:vAlign w:val="center"/>
          </w:tcPr>
          <w:p w14:paraId="1BBC3CE7">
            <w:pPr>
              <w:pStyle w:val="24"/>
              <w:bidi w:val="0"/>
              <w:rPr>
                <w:rFonts w:hint="default"/>
                <w:color w:val="auto"/>
                <w:lang w:val="en-US" w:eastAsia="zh-CN"/>
              </w:rPr>
            </w:pPr>
            <w:r>
              <w:rPr>
                <w:rFonts w:hint="eastAsia"/>
                <w:color w:val="auto"/>
                <w:lang w:val="en-US" w:eastAsia="zh-CN"/>
              </w:rPr>
              <w:t>云南省应急管理厅</w:t>
            </w:r>
          </w:p>
        </w:tc>
      </w:tr>
      <w:tr w14:paraId="68A5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 w:type="pct"/>
            <w:noWrap w:val="0"/>
            <w:vAlign w:val="center"/>
          </w:tcPr>
          <w:p w14:paraId="1C0AB099">
            <w:pPr>
              <w:pStyle w:val="24"/>
              <w:bidi w:val="0"/>
              <w:rPr>
                <w:rFonts w:hint="default"/>
                <w:color w:val="auto"/>
                <w:lang w:val="en-US" w:eastAsia="zh-CN"/>
              </w:rPr>
            </w:pPr>
            <w:r>
              <w:rPr>
                <w:rFonts w:hint="eastAsia"/>
                <w:color w:val="auto"/>
                <w:lang w:val="en-US" w:eastAsia="zh-CN"/>
              </w:rPr>
              <w:t>6</w:t>
            </w:r>
          </w:p>
        </w:tc>
        <w:tc>
          <w:tcPr>
            <w:tcW w:w="498" w:type="pct"/>
            <w:noWrap w:val="0"/>
            <w:vAlign w:val="center"/>
          </w:tcPr>
          <w:p w14:paraId="3C05FA1D">
            <w:pPr>
              <w:pStyle w:val="24"/>
              <w:bidi w:val="0"/>
              <w:rPr>
                <w:rFonts w:hint="default"/>
                <w:color w:val="auto"/>
                <w:lang w:val="en-US" w:eastAsia="zh-CN"/>
              </w:rPr>
            </w:pPr>
            <w:r>
              <w:rPr>
                <w:rFonts w:hint="eastAsia"/>
                <w:color w:val="auto"/>
                <w:lang w:val="en-US" w:eastAsia="zh-CN"/>
              </w:rPr>
              <w:t>李朝廷</w:t>
            </w:r>
          </w:p>
        </w:tc>
        <w:tc>
          <w:tcPr>
            <w:tcW w:w="1261" w:type="pct"/>
            <w:noWrap w:val="0"/>
            <w:vAlign w:val="center"/>
          </w:tcPr>
          <w:p w14:paraId="75112A21">
            <w:pPr>
              <w:pStyle w:val="24"/>
              <w:bidi w:val="0"/>
              <w:rPr>
                <w:rFonts w:hint="default"/>
                <w:color w:val="auto"/>
                <w:lang w:val="en-US" w:eastAsia="zh-CN"/>
              </w:rPr>
            </w:pPr>
            <w:r>
              <w:rPr>
                <w:rFonts w:hint="eastAsia"/>
                <w:color w:val="auto"/>
                <w:lang w:val="en-US" w:eastAsia="zh-CN"/>
              </w:rPr>
              <w:t>T530129199412101936</w:t>
            </w:r>
          </w:p>
        </w:tc>
        <w:tc>
          <w:tcPr>
            <w:tcW w:w="712" w:type="pct"/>
            <w:noWrap w:val="0"/>
            <w:vAlign w:val="center"/>
          </w:tcPr>
          <w:p w14:paraId="2E1D962B">
            <w:pPr>
              <w:pStyle w:val="24"/>
              <w:bidi w:val="0"/>
              <w:rPr>
                <w:rFonts w:hint="default"/>
                <w:color w:val="auto"/>
                <w:lang w:val="en-US" w:eastAsia="zh-CN"/>
              </w:rPr>
            </w:pPr>
            <w:r>
              <w:rPr>
                <w:rFonts w:hint="eastAsia"/>
                <w:color w:val="auto"/>
                <w:lang w:val="en-US" w:eastAsia="zh-CN"/>
              </w:rPr>
              <w:t>焊接与热切割作业</w:t>
            </w:r>
          </w:p>
        </w:tc>
        <w:tc>
          <w:tcPr>
            <w:tcW w:w="1192" w:type="pct"/>
            <w:noWrap w:val="0"/>
            <w:vAlign w:val="center"/>
          </w:tcPr>
          <w:p w14:paraId="3AA697E4">
            <w:pPr>
              <w:pStyle w:val="24"/>
              <w:bidi w:val="0"/>
              <w:rPr>
                <w:rFonts w:hint="default"/>
                <w:color w:val="auto"/>
                <w:lang w:val="en-US" w:eastAsia="zh-CN"/>
              </w:rPr>
            </w:pPr>
            <w:r>
              <w:rPr>
                <w:rFonts w:hint="eastAsia"/>
                <w:color w:val="auto"/>
                <w:lang w:val="en-US" w:eastAsia="zh-CN"/>
              </w:rPr>
              <w:t>2023.08.08-2029.08.07</w:t>
            </w:r>
          </w:p>
        </w:tc>
        <w:tc>
          <w:tcPr>
            <w:tcW w:w="1103" w:type="pct"/>
            <w:noWrap w:val="0"/>
            <w:vAlign w:val="center"/>
          </w:tcPr>
          <w:p w14:paraId="52327C98">
            <w:pPr>
              <w:pStyle w:val="24"/>
              <w:bidi w:val="0"/>
              <w:rPr>
                <w:rFonts w:hint="eastAsia"/>
                <w:color w:val="auto"/>
                <w:lang w:val="en-US" w:eastAsia="zh-CN"/>
              </w:rPr>
            </w:pPr>
            <w:r>
              <w:rPr>
                <w:rFonts w:hint="eastAsia"/>
                <w:color w:val="auto"/>
                <w:lang w:val="en-US" w:eastAsia="zh-CN"/>
              </w:rPr>
              <w:t>昆明市应急管理局</w:t>
            </w:r>
          </w:p>
        </w:tc>
      </w:tr>
      <w:tr w14:paraId="03BF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 w:type="pct"/>
            <w:noWrap w:val="0"/>
            <w:vAlign w:val="center"/>
          </w:tcPr>
          <w:p w14:paraId="57CFC08A">
            <w:pPr>
              <w:pStyle w:val="24"/>
              <w:bidi w:val="0"/>
              <w:rPr>
                <w:rFonts w:hint="default"/>
                <w:color w:val="auto"/>
                <w:lang w:val="en-US" w:eastAsia="zh-CN"/>
              </w:rPr>
            </w:pPr>
            <w:r>
              <w:rPr>
                <w:rFonts w:hint="eastAsia"/>
                <w:color w:val="auto"/>
                <w:lang w:val="en-US" w:eastAsia="zh-CN"/>
              </w:rPr>
              <w:t>7</w:t>
            </w:r>
          </w:p>
        </w:tc>
        <w:tc>
          <w:tcPr>
            <w:tcW w:w="498" w:type="pct"/>
            <w:noWrap w:val="0"/>
            <w:vAlign w:val="center"/>
          </w:tcPr>
          <w:p w14:paraId="04B76678">
            <w:pPr>
              <w:pStyle w:val="24"/>
              <w:bidi w:val="0"/>
              <w:rPr>
                <w:rFonts w:hint="default"/>
                <w:color w:val="auto"/>
                <w:lang w:val="en-US" w:eastAsia="zh-CN"/>
              </w:rPr>
            </w:pPr>
            <w:r>
              <w:rPr>
                <w:rFonts w:hint="eastAsia"/>
                <w:color w:val="auto"/>
                <w:lang w:val="en-US" w:eastAsia="zh-CN"/>
              </w:rPr>
              <w:t>罗顺祥</w:t>
            </w:r>
          </w:p>
        </w:tc>
        <w:tc>
          <w:tcPr>
            <w:tcW w:w="1261" w:type="pct"/>
            <w:noWrap w:val="0"/>
            <w:vAlign w:val="center"/>
          </w:tcPr>
          <w:p w14:paraId="182D88B6">
            <w:pPr>
              <w:pStyle w:val="24"/>
              <w:bidi w:val="0"/>
              <w:rPr>
                <w:rFonts w:hint="default"/>
                <w:color w:val="auto"/>
                <w:lang w:val="en-US" w:eastAsia="zh-CN"/>
              </w:rPr>
            </w:pPr>
            <w:r>
              <w:rPr>
                <w:rFonts w:hint="eastAsia"/>
                <w:color w:val="auto"/>
                <w:lang w:val="en-US" w:eastAsia="zh-CN"/>
              </w:rPr>
              <w:t>T53012419770902087X</w:t>
            </w:r>
          </w:p>
        </w:tc>
        <w:tc>
          <w:tcPr>
            <w:tcW w:w="712" w:type="pct"/>
            <w:noWrap w:val="0"/>
            <w:vAlign w:val="center"/>
          </w:tcPr>
          <w:p w14:paraId="379D3C40">
            <w:pPr>
              <w:pStyle w:val="24"/>
              <w:bidi w:val="0"/>
              <w:rPr>
                <w:rFonts w:hint="eastAsia"/>
                <w:color w:val="auto"/>
                <w:lang w:val="en-US" w:eastAsia="zh-CN"/>
              </w:rPr>
            </w:pPr>
            <w:r>
              <w:rPr>
                <w:rFonts w:hint="eastAsia"/>
                <w:color w:val="auto"/>
                <w:lang w:val="en-US" w:eastAsia="zh-CN"/>
              </w:rPr>
              <w:t>焊接与热切割作业</w:t>
            </w:r>
          </w:p>
        </w:tc>
        <w:tc>
          <w:tcPr>
            <w:tcW w:w="1192" w:type="pct"/>
            <w:noWrap w:val="0"/>
            <w:vAlign w:val="center"/>
          </w:tcPr>
          <w:p w14:paraId="72A13920">
            <w:pPr>
              <w:pStyle w:val="24"/>
              <w:bidi w:val="0"/>
              <w:rPr>
                <w:rFonts w:hint="default"/>
                <w:color w:val="auto"/>
                <w:lang w:val="en-US" w:eastAsia="zh-CN"/>
              </w:rPr>
            </w:pPr>
            <w:r>
              <w:rPr>
                <w:rFonts w:hint="eastAsia"/>
                <w:color w:val="auto"/>
                <w:lang w:val="en-US" w:eastAsia="zh-CN"/>
              </w:rPr>
              <w:t>2023.07.17-2029.07.16</w:t>
            </w:r>
          </w:p>
        </w:tc>
        <w:tc>
          <w:tcPr>
            <w:tcW w:w="1103" w:type="pct"/>
            <w:noWrap w:val="0"/>
            <w:vAlign w:val="center"/>
          </w:tcPr>
          <w:p w14:paraId="2F4C6E22">
            <w:pPr>
              <w:pStyle w:val="24"/>
              <w:bidi w:val="0"/>
              <w:rPr>
                <w:rFonts w:hint="eastAsia"/>
                <w:color w:val="auto"/>
                <w:lang w:val="en-US" w:eastAsia="zh-CN"/>
              </w:rPr>
            </w:pPr>
            <w:r>
              <w:rPr>
                <w:rFonts w:hint="eastAsia"/>
                <w:color w:val="auto"/>
                <w:lang w:val="en-US" w:eastAsia="zh-CN"/>
              </w:rPr>
              <w:t>云南省应急管理厅</w:t>
            </w:r>
          </w:p>
        </w:tc>
      </w:tr>
      <w:tr w14:paraId="5A20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 w:type="pct"/>
            <w:noWrap w:val="0"/>
            <w:vAlign w:val="center"/>
          </w:tcPr>
          <w:p w14:paraId="2382156C">
            <w:pPr>
              <w:pStyle w:val="24"/>
              <w:bidi w:val="0"/>
              <w:rPr>
                <w:rFonts w:hint="default"/>
                <w:color w:val="auto"/>
                <w:lang w:val="en-US" w:eastAsia="zh-CN"/>
              </w:rPr>
            </w:pPr>
            <w:r>
              <w:rPr>
                <w:rFonts w:hint="eastAsia"/>
                <w:color w:val="auto"/>
                <w:lang w:val="en-US" w:eastAsia="zh-CN"/>
              </w:rPr>
              <w:t>8</w:t>
            </w:r>
          </w:p>
        </w:tc>
        <w:tc>
          <w:tcPr>
            <w:tcW w:w="498" w:type="pct"/>
            <w:noWrap w:val="0"/>
            <w:vAlign w:val="center"/>
          </w:tcPr>
          <w:p w14:paraId="2231970C">
            <w:pPr>
              <w:pStyle w:val="24"/>
              <w:bidi w:val="0"/>
              <w:rPr>
                <w:rFonts w:hint="default"/>
                <w:color w:val="auto"/>
                <w:lang w:val="en-US" w:eastAsia="zh-CN"/>
              </w:rPr>
            </w:pPr>
            <w:r>
              <w:rPr>
                <w:rFonts w:hint="eastAsia"/>
                <w:color w:val="auto"/>
                <w:lang w:val="en-US" w:eastAsia="zh-CN"/>
              </w:rPr>
              <w:t>钱朝斌</w:t>
            </w:r>
          </w:p>
        </w:tc>
        <w:tc>
          <w:tcPr>
            <w:tcW w:w="1261" w:type="pct"/>
            <w:noWrap w:val="0"/>
            <w:vAlign w:val="center"/>
          </w:tcPr>
          <w:p w14:paraId="5D1CA084">
            <w:pPr>
              <w:pStyle w:val="24"/>
              <w:bidi w:val="0"/>
              <w:rPr>
                <w:rFonts w:hint="default"/>
                <w:color w:val="auto"/>
                <w:lang w:val="en-US" w:eastAsia="zh-CN"/>
              </w:rPr>
            </w:pPr>
            <w:r>
              <w:rPr>
                <w:rFonts w:hint="eastAsia"/>
                <w:color w:val="auto"/>
                <w:lang w:val="en-US" w:eastAsia="zh-CN"/>
              </w:rPr>
              <w:t>15170374568</w:t>
            </w:r>
          </w:p>
        </w:tc>
        <w:tc>
          <w:tcPr>
            <w:tcW w:w="712" w:type="pct"/>
            <w:noWrap w:val="0"/>
            <w:vAlign w:val="center"/>
          </w:tcPr>
          <w:p w14:paraId="0C69E3AB">
            <w:pPr>
              <w:pStyle w:val="24"/>
              <w:bidi w:val="0"/>
              <w:rPr>
                <w:rFonts w:hint="default"/>
                <w:color w:val="auto"/>
                <w:lang w:val="en-US" w:eastAsia="zh-CN"/>
              </w:rPr>
            </w:pPr>
            <w:r>
              <w:rPr>
                <w:rFonts w:hint="eastAsia"/>
                <w:color w:val="auto"/>
                <w:lang w:val="en-US" w:eastAsia="zh-CN"/>
              </w:rPr>
              <w:t>装载机操作</w:t>
            </w:r>
          </w:p>
        </w:tc>
        <w:tc>
          <w:tcPr>
            <w:tcW w:w="1192" w:type="pct"/>
            <w:noWrap w:val="0"/>
            <w:vAlign w:val="center"/>
          </w:tcPr>
          <w:p w14:paraId="5DDE533B">
            <w:pPr>
              <w:pStyle w:val="24"/>
              <w:bidi w:val="0"/>
              <w:rPr>
                <w:rFonts w:hint="default"/>
                <w:color w:val="auto"/>
                <w:lang w:val="en-US" w:eastAsia="zh-CN"/>
              </w:rPr>
            </w:pPr>
            <w:r>
              <w:rPr>
                <w:rFonts w:hint="eastAsia"/>
                <w:color w:val="auto"/>
                <w:lang w:val="en-US" w:eastAsia="zh-CN"/>
              </w:rPr>
              <w:t>2021.07.05-2027.07.04</w:t>
            </w:r>
          </w:p>
        </w:tc>
        <w:tc>
          <w:tcPr>
            <w:tcW w:w="1103" w:type="pct"/>
            <w:noWrap w:val="0"/>
            <w:vAlign w:val="center"/>
          </w:tcPr>
          <w:p w14:paraId="21380A58">
            <w:pPr>
              <w:pStyle w:val="24"/>
              <w:bidi w:val="0"/>
              <w:rPr>
                <w:rFonts w:hint="default"/>
                <w:color w:val="auto"/>
                <w:lang w:val="en-US" w:eastAsia="zh-CN"/>
              </w:rPr>
            </w:pPr>
            <w:r>
              <w:rPr>
                <w:rFonts w:hint="eastAsia"/>
                <w:color w:val="auto"/>
                <w:lang w:val="en-US" w:eastAsia="zh-CN"/>
              </w:rPr>
              <w:t>菏泽市建筑机械行业协会</w:t>
            </w:r>
          </w:p>
        </w:tc>
      </w:tr>
    </w:tbl>
    <w:p w14:paraId="54FB6489">
      <w:pPr>
        <w:pStyle w:val="4"/>
        <w:bidi w:val="0"/>
        <w:rPr>
          <w:rFonts w:hint="eastAsia"/>
          <w:color w:val="auto"/>
        </w:rPr>
      </w:pPr>
      <w:bookmarkStart w:id="98" w:name="_Toc24480"/>
      <w:r>
        <w:rPr>
          <w:rFonts w:hint="eastAsia"/>
          <w:color w:val="auto"/>
        </w:rPr>
        <w:t>2.</w:t>
      </w:r>
      <w:r>
        <w:rPr>
          <w:rFonts w:hint="eastAsia"/>
          <w:color w:val="auto"/>
          <w:lang w:val="en-US" w:eastAsia="zh-CN"/>
        </w:rPr>
        <w:t>6</w:t>
      </w:r>
      <w:r>
        <w:rPr>
          <w:rFonts w:hint="eastAsia"/>
          <w:color w:val="auto"/>
        </w:rPr>
        <w:t>.3</w:t>
      </w:r>
      <w:r>
        <w:rPr>
          <w:rFonts w:hint="eastAsia"/>
          <w:color w:val="auto"/>
          <w:lang w:val="en-US" w:eastAsia="zh-CN"/>
        </w:rPr>
        <w:t xml:space="preserve"> </w:t>
      </w:r>
      <w:r>
        <w:rPr>
          <w:rFonts w:hint="eastAsia"/>
          <w:color w:val="auto"/>
        </w:rPr>
        <w:t>安全生产责任制、安全管理制度及安全操作规程</w:t>
      </w:r>
      <w:bookmarkEnd w:id="98"/>
    </w:p>
    <w:p w14:paraId="312292B9">
      <w:pPr>
        <w:bidi w:val="0"/>
        <w:rPr>
          <w:color w:val="auto"/>
        </w:rPr>
      </w:pPr>
      <w:r>
        <w:rPr>
          <w:rFonts w:hint="eastAsia"/>
          <w:color w:val="auto"/>
        </w:rPr>
        <w:t>依据国家安全生产法律法规，</w:t>
      </w:r>
      <w:r>
        <w:rPr>
          <w:rFonts w:hint="eastAsia"/>
          <w:color w:val="auto"/>
          <w:lang w:eastAsia="zh-CN"/>
        </w:rPr>
        <w:t>寻甸金林钛矿有限公司</w:t>
      </w:r>
      <w:r>
        <w:rPr>
          <w:rFonts w:hint="eastAsia"/>
          <w:color w:val="auto"/>
        </w:rPr>
        <w:t>结合公司安全生产管理实际，编制了公司的安全生产责任制、安全管理制度及安全生产操作规程</w:t>
      </w:r>
      <w:r>
        <w:rPr>
          <w:rFonts w:hint="eastAsia"/>
          <w:color w:val="auto"/>
          <w:lang w:eastAsia="zh-CN"/>
        </w:rPr>
        <w:t>，新增的设施和人员涵盖其中</w:t>
      </w:r>
      <w:r>
        <w:rPr>
          <w:rFonts w:hint="eastAsia"/>
          <w:color w:val="auto"/>
        </w:rPr>
        <w:t>。</w:t>
      </w:r>
    </w:p>
    <w:p w14:paraId="6FC92E51">
      <w:pPr>
        <w:pStyle w:val="4"/>
        <w:bidi w:val="0"/>
        <w:rPr>
          <w:rFonts w:hint="eastAsia"/>
          <w:color w:val="auto"/>
        </w:rPr>
      </w:pPr>
      <w:bookmarkStart w:id="99" w:name="_Toc22402"/>
      <w:r>
        <w:rPr>
          <w:rFonts w:hint="eastAsia"/>
          <w:color w:val="auto"/>
        </w:rPr>
        <w:t>2.</w:t>
      </w:r>
      <w:r>
        <w:rPr>
          <w:rFonts w:hint="eastAsia"/>
          <w:color w:val="auto"/>
          <w:lang w:val="en-US" w:eastAsia="zh-CN"/>
        </w:rPr>
        <w:t>6</w:t>
      </w:r>
      <w:r>
        <w:rPr>
          <w:rFonts w:hint="eastAsia"/>
          <w:color w:val="auto"/>
        </w:rPr>
        <w:t>.</w:t>
      </w:r>
      <w:r>
        <w:rPr>
          <w:rFonts w:hint="eastAsia"/>
          <w:color w:val="auto"/>
          <w:lang w:val="en-US" w:eastAsia="zh-CN"/>
        </w:rPr>
        <w:t xml:space="preserve">4 </w:t>
      </w:r>
      <w:r>
        <w:rPr>
          <w:rFonts w:hint="eastAsia"/>
          <w:color w:val="auto"/>
        </w:rPr>
        <w:t>应急管理</w:t>
      </w:r>
      <w:bookmarkEnd w:id="99"/>
    </w:p>
    <w:p w14:paraId="2323EDAF">
      <w:pPr>
        <w:bidi w:val="0"/>
        <w:rPr>
          <w:rFonts w:hint="eastAsia"/>
          <w:color w:val="auto"/>
        </w:rPr>
      </w:pPr>
      <w:r>
        <w:rPr>
          <w:rFonts w:hint="eastAsia"/>
          <w:color w:val="auto"/>
        </w:rPr>
        <w:t>企业202</w:t>
      </w:r>
      <w:r>
        <w:rPr>
          <w:rFonts w:hint="eastAsia"/>
          <w:color w:val="auto"/>
          <w:lang w:val="en-US" w:eastAsia="zh-CN"/>
        </w:rPr>
        <w:t>5</w:t>
      </w:r>
      <w:r>
        <w:rPr>
          <w:rFonts w:hint="eastAsia"/>
          <w:color w:val="auto"/>
        </w:rPr>
        <w:t>年</w:t>
      </w:r>
      <w:r>
        <w:rPr>
          <w:rFonts w:hint="eastAsia"/>
          <w:color w:val="auto"/>
          <w:lang w:val="en-US" w:eastAsia="zh-CN"/>
        </w:rPr>
        <w:t>2</w:t>
      </w:r>
      <w:r>
        <w:rPr>
          <w:rFonts w:hint="eastAsia"/>
          <w:color w:val="auto"/>
        </w:rPr>
        <w:t>月</w:t>
      </w:r>
      <w:r>
        <w:rPr>
          <w:rFonts w:hint="eastAsia"/>
          <w:color w:val="auto"/>
          <w:lang w:val="en-US" w:eastAsia="zh-CN"/>
        </w:rPr>
        <w:t>10日</w:t>
      </w:r>
      <w:r>
        <w:rPr>
          <w:rFonts w:hint="eastAsia"/>
          <w:color w:val="auto"/>
        </w:rPr>
        <w:t>发布了《</w:t>
      </w:r>
      <w:r>
        <w:rPr>
          <w:rFonts w:hint="eastAsia"/>
          <w:color w:val="auto"/>
          <w:lang w:eastAsia="zh-CN"/>
        </w:rPr>
        <w:t>寻甸金林钛矿有限公司</w:t>
      </w:r>
      <w:r>
        <w:rPr>
          <w:rFonts w:hint="eastAsia"/>
          <w:color w:val="auto"/>
        </w:rPr>
        <w:t>生产安全事故应急预案》</w:t>
      </w:r>
      <w:r>
        <w:rPr>
          <w:rFonts w:hint="eastAsia"/>
          <w:color w:val="auto"/>
          <w:lang w:eastAsia="zh-CN"/>
        </w:rPr>
        <w:t>，</w:t>
      </w:r>
      <w:r>
        <w:rPr>
          <w:rFonts w:hint="eastAsia"/>
          <w:color w:val="auto"/>
        </w:rPr>
        <w:t>并到</w:t>
      </w:r>
      <w:r>
        <w:rPr>
          <w:rFonts w:hint="eastAsia"/>
          <w:color w:val="auto"/>
          <w:lang w:eastAsia="zh-CN"/>
        </w:rPr>
        <w:t>寻甸回族彝族自治县</w:t>
      </w:r>
      <w:r>
        <w:rPr>
          <w:rFonts w:hint="eastAsia"/>
          <w:color w:val="auto"/>
        </w:rPr>
        <w:t>应急管理局备案，备案编号为53</w:t>
      </w:r>
      <w:r>
        <w:rPr>
          <w:rFonts w:hint="eastAsia"/>
          <w:color w:val="auto"/>
          <w:lang w:val="en-US" w:eastAsia="zh-CN"/>
        </w:rPr>
        <w:t>01</w:t>
      </w:r>
      <w:r>
        <w:rPr>
          <w:rFonts w:hint="eastAsia"/>
          <w:color w:val="auto"/>
        </w:rPr>
        <w:t>29-202</w:t>
      </w:r>
      <w:r>
        <w:rPr>
          <w:rFonts w:hint="eastAsia"/>
          <w:color w:val="auto"/>
          <w:lang w:val="en-US" w:eastAsia="zh-CN"/>
        </w:rPr>
        <w:t>5</w:t>
      </w:r>
      <w:r>
        <w:rPr>
          <w:rFonts w:hint="eastAsia"/>
          <w:color w:val="auto"/>
        </w:rPr>
        <w:t>-</w:t>
      </w:r>
      <w:r>
        <w:rPr>
          <w:rFonts w:hint="eastAsia"/>
          <w:color w:val="auto"/>
          <w:lang w:val="en-US" w:eastAsia="zh-CN"/>
        </w:rPr>
        <w:t>0008</w:t>
      </w:r>
      <w:r>
        <w:rPr>
          <w:rFonts w:hint="eastAsia"/>
          <w:color w:val="auto"/>
        </w:rPr>
        <w:t>。选厂配备了应急救援物资。</w:t>
      </w:r>
    </w:p>
    <w:p w14:paraId="2DF3E874">
      <w:pPr>
        <w:pStyle w:val="4"/>
        <w:bidi w:val="0"/>
        <w:rPr>
          <w:rFonts w:hint="eastAsia"/>
          <w:color w:val="auto"/>
        </w:rPr>
      </w:pPr>
      <w:bookmarkStart w:id="100" w:name="_Toc20944"/>
      <w:r>
        <w:rPr>
          <w:rFonts w:hint="eastAsia"/>
          <w:color w:val="auto"/>
        </w:rPr>
        <w:t>2.</w:t>
      </w:r>
      <w:r>
        <w:rPr>
          <w:rFonts w:hint="eastAsia"/>
          <w:color w:val="auto"/>
          <w:lang w:val="en-US" w:eastAsia="zh-CN"/>
        </w:rPr>
        <w:t>6</w:t>
      </w:r>
      <w:r>
        <w:rPr>
          <w:rFonts w:hint="eastAsia"/>
          <w:color w:val="auto"/>
        </w:rPr>
        <w:t>.</w:t>
      </w:r>
      <w:r>
        <w:rPr>
          <w:rFonts w:hint="eastAsia"/>
          <w:color w:val="auto"/>
          <w:lang w:val="en-US" w:eastAsia="zh-CN"/>
        </w:rPr>
        <w:t xml:space="preserve">5 </w:t>
      </w:r>
      <w:r>
        <w:rPr>
          <w:rFonts w:hint="eastAsia"/>
          <w:color w:val="auto"/>
        </w:rPr>
        <w:t>保险</w:t>
      </w:r>
      <w:bookmarkEnd w:id="100"/>
    </w:p>
    <w:p w14:paraId="7E4DDD72">
      <w:pPr>
        <w:bidi w:val="0"/>
        <w:rPr>
          <w:rFonts w:hint="eastAsia"/>
          <w:color w:val="auto"/>
        </w:rPr>
      </w:pPr>
      <w:r>
        <w:rPr>
          <w:rFonts w:hint="eastAsia"/>
          <w:color w:val="auto"/>
        </w:rPr>
        <w:t>企业已</w:t>
      </w:r>
      <w:r>
        <w:rPr>
          <w:rFonts w:hint="eastAsia"/>
          <w:color w:val="auto"/>
          <w:lang w:val="en-US" w:eastAsia="zh-CN"/>
        </w:rPr>
        <w:t>为从业人员</w:t>
      </w:r>
      <w:r>
        <w:rPr>
          <w:rFonts w:hint="eastAsia"/>
          <w:color w:val="auto"/>
        </w:rPr>
        <w:t>购买工伤保险</w:t>
      </w:r>
      <w:r>
        <w:rPr>
          <w:rFonts w:hint="eastAsia"/>
          <w:color w:val="auto"/>
          <w:lang w:val="en-US" w:eastAsia="zh-CN"/>
        </w:rPr>
        <w:t>和</w:t>
      </w:r>
      <w:r>
        <w:rPr>
          <w:rFonts w:hint="eastAsia"/>
          <w:color w:val="auto"/>
        </w:rPr>
        <w:t>安全生产责任险（详见附件）。</w:t>
      </w:r>
    </w:p>
    <w:p w14:paraId="3336B2A7">
      <w:pPr>
        <w:pStyle w:val="4"/>
        <w:bidi w:val="0"/>
        <w:rPr>
          <w:rFonts w:hint="eastAsia"/>
          <w:color w:val="auto"/>
        </w:rPr>
      </w:pPr>
      <w:bookmarkStart w:id="101" w:name="_Toc30076"/>
      <w:r>
        <w:rPr>
          <w:rFonts w:hint="eastAsia"/>
          <w:color w:val="auto"/>
        </w:rPr>
        <w:t>2.</w:t>
      </w:r>
      <w:r>
        <w:rPr>
          <w:rFonts w:hint="eastAsia"/>
          <w:color w:val="auto"/>
          <w:lang w:val="en-US" w:eastAsia="zh-CN"/>
        </w:rPr>
        <w:t>6</w:t>
      </w:r>
      <w:r>
        <w:rPr>
          <w:rFonts w:hint="eastAsia"/>
          <w:color w:val="auto"/>
        </w:rPr>
        <w:t>.</w:t>
      </w:r>
      <w:r>
        <w:rPr>
          <w:rFonts w:hint="eastAsia"/>
          <w:color w:val="auto"/>
          <w:lang w:val="en-US" w:eastAsia="zh-CN"/>
        </w:rPr>
        <w:t xml:space="preserve">6 </w:t>
      </w:r>
      <w:r>
        <w:rPr>
          <w:rFonts w:hint="eastAsia"/>
          <w:color w:val="auto"/>
        </w:rPr>
        <w:t>劳保用品</w:t>
      </w:r>
      <w:bookmarkEnd w:id="101"/>
    </w:p>
    <w:p w14:paraId="5B1CE39B">
      <w:pPr>
        <w:bidi w:val="0"/>
        <w:rPr>
          <w:color w:val="auto"/>
        </w:rPr>
      </w:pPr>
      <w:r>
        <w:rPr>
          <w:rFonts w:hint="eastAsia"/>
          <w:color w:val="auto"/>
        </w:rPr>
        <w:t>选厂已为员工购买劳动防护用品（劳保服、劳保鞋、安全帽、手套、防尘口罩、耳塞等），并</w:t>
      </w:r>
      <w:r>
        <w:rPr>
          <w:rFonts w:hint="eastAsia"/>
          <w:color w:val="auto"/>
          <w:lang w:val="en-US" w:eastAsia="zh-CN"/>
        </w:rPr>
        <w:t>建立</w:t>
      </w:r>
      <w:r>
        <w:rPr>
          <w:rFonts w:hint="eastAsia"/>
          <w:color w:val="auto"/>
        </w:rPr>
        <w:t>劳动防护物品发放</w:t>
      </w:r>
      <w:r>
        <w:rPr>
          <w:rFonts w:hint="eastAsia"/>
          <w:color w:val="auto"/>
          <w:lang w:val="en-US" w:eastAsia="zh-CN"/>
        </w:rPr>
        <w:t>台账</w:t>
      </w:r>
      <w:r>
        <w:rPr>
          <w:rFonts w:hint="eastAsia"/>
          <w:color w:val="auto"/>
        </w:rPr>
        <w:t>。</w:t>
      </w:r>
    </w:p>
    <w:p w14:paraId="7EA56671">
      <w:pPr>
        <w:pStyle w:val="3"/>
        <w:bidi w:val="0"/>
        <w:rPr>
          <w:rFonts w:hint="eastAsia"/>
          <w:color w:val="auto"/>
        </w:rPr>
      </w:pPr>
      <w:bookmarkStart w:id="102" w:name="_Toc26982"/>
      <w:r>
        <w:rPr>
          <w:rFonts w:hint="eastAsia"/>
          <w:color w:val="auto"/>
        </w:rPr>
        <w:t>2.7 安全设施投入</w:t>
      </w:r>
      <w:bookmarkEnd w:id="102"/>
    </w:p>
    <w:p w14:paraId="1F876CE5">
      <w:pPr>
        <w:bidi w:val="0"/>
        <w:rPr>
          <w:color w:val="auto"/>
        </w:rPr>
      </w:pPr>
      <w:r>
        <w:rPr>
          <w:color w:val="auto"/>
        </w:rPr>
        <w:t>本项目安全设施投资情况见表</w:t>
      </w:r>
      <w:r>
        <w:rPr>
          <w:rFonts w:hint="eastAsia"/>
          <w:color w:val="auto"/>
          <w:lang w:val="en-US" w:eastAsia="zh-CN"/>
        </w:rPr>
        <w:t>2.7-1</w:t>
      </w:r>
      <w:r>
        <w:rPr>
          <w:color w:val="auto"/>
        </w:rPr>
        <w:t>。安全设施投资80</w:t>
      </w:r>
      <w:r>
        <w:rPr>
          <w:rFonts w:hint="eastAsia"/>
          <w:color w:val="auto"/>
          <w:lang w:val="en-US" w:eastAsia="zh-CN"/>
        </w:rPr>
        <w:t>5</w:t>
      </w:r>
      <w:r>
        <w:rPr>
          <w:color w:val="auto"/>
        </w:rPr>
        <w:t>.</w:t>
      </w:r>
      <w:r>
        <w:rPr>
          <w:rFonts w:hint="eastAsia"/>
          <w:color w:val="auto"/>
          <w:lang w:val="en-US" w:eastAsia="zh-CN"/>
        </w:rPr>
        <w:t>8</w:t>
      </w:r>
      <w:r>
        <w:rPr>
          <w:color w:val="auto"/>
        </w:rPr>
        <w:t>7万元，主要用于以下内容：</w:t>
      </w:r>
    </w:p>
    <w:p w14:paraId="435B19FD">
      <w:pPr>
        <w:bidi w:val="0"/>
        <w:rPr>
          <w:color w:val="auto"/>
        </w:rPr>
      </w:pPr>
      <w:r>
        <w:rPr>
          <w:color w:val="auto"/>
        </w:rPr>
        <w:t>（1）安全技术措施工程建设；</w:t>
      </w:r>
    </w:p>
    <w:p w14:paraId="2ABA47B2">
      <w:pPr>
        <w:bidi w:val="0"/>
        <w:rPr>
          <w:color w:val="auto"/>
        </w:rPr>
      </w:pPr>
      <w:r>
        <w:rPr>
          <w:color w:val="auto"/>
        </w:rPr>
        <w:t>（2）安全设备、设施的更新、改造和维护；</w:t>
      </w:r>
    </w:p>
    <w:p w14:paraId="3BDCB40D">
      <w:pPr>
        <w:bidi w:val="0"/>
        <w:rPr>
          <w:color w:val="auto"/>
        </w:rPr>
      </w:pPr>
      <w:r>
        <w:rPr>
          <w:color w:val="auto"/>
        </w:rPr>
        <w:t>（3）安全生产宣传、教育和培训；</w:t>
      </w:r>
    </w:p>
    <w:p w14:paraId="6D989A25">
      <w:pPr>
        <w:bidi w:val="0"/>
        <w:rPr>
          <w:color w:val="auto"/>
        </w:rPr>
      </w:pPr>
      <w:r>
        <w:rPr>
          <w:color w:val="auto"/>
        </w:rPr>
        <w:t>（4）劳动防护用品配备、救生用品和特殊生活用品；</w:t>
      </w:r>
    </w:p>
    <w:p w14:paraId="48FC2468">
      <w:pPr>
        <w:bidi w:val="0"/>
        <w:rPr>
          <w:color w:val="auto"/>
        </w:rPr>
      </w:pPr>
      <w:r>
        <w:rPr>
          <w:color w:val="auto"/>
        </w:rPr>
        <w:t>（5）安全生产检查与评价支出；</w:t>
      </w:r>
    </w:p>
    <w:p w14:paraId="7DEB996B">
      <w:pPr>
        <w:bidi w:val="0"/>
        <w:rPr>
          <w:color w:val="auto"/>
        </w:rPr>
      </w:pPr>
      <w:r>
        <w:rPr>
          <w:color w:val="auto"/>
        </w:rPr>
        <w:t>（6）配备必要的应急救援器材、设备和现场作业人员安全防护物品；</w:t>
      </w:r>
    </w:p>
    <w:p w14:paraId="44285033">
      <w:pPr>
        <w:bidi w:val="0"/>
        <w:rPr>
          <w:color w:val="auto"/>
        </w:rPr>
      </w:pPr>
      <w:r>
        <w:rPr>
          <w:color w:val="auto"/>
        </w:rPr>
        <w:t>（7）完善、改造和维护安全防护设备、设施支出，主要是指：监测监控系统、防火、灭火、防暴、泄压、防潮、防静电、防腐或者隔离操作等设施设备；</w:t>
      </w:r>
    </w:p>
    <w:p w14:paraId="7A4A1D49">
      <w:pPr>
        <w:bidi w:val="0"/>
        <w:rPr>
          <w:color w:val="auto"/>
        </w:rPr>
      </w:pPr>
      <w:r>
        <w:rPr>
          <w:color w:val="auto"/>
        </w:rPr>
        <w:t>（8）重大危险源、重大事故隐患的评估、整改、监控支出；</w:t>
      </w:r>
    </w:p>
    <w:p w14:paraId="6A24BED0">
      <w:pPr>
        <w:bidi w:val="0"/>
        <w:rPr>
          <w:color w:val="auto"/>
        </w:rPr>
      </w:pPr>
      <w:r>
        <w:rPr>
          <w:color w:val="auto"/>
        </w:rPr>
        <w:t>（9）进行应急救援演练支出；</w:t>
      </w:r>
    </w:p>
    <w:p w14:paraId="1FE893AD">
      <w:pPr>
        <w:bidi w:val="0"/>
        <w:rPr>
          <w:color w:val="auto"/>
        </w:rPr>
      </w:pPr>
      <w:r>
        <w:rPr>
          <w:color w:val="auto"/>
        </w:rPr>
        <w:t>（10）其他与安全生产直接相关的支出。</w:t>
      </w:r>
    </w:p>
    <w:p w14:paraId="49E7EDBC">
      <w:pPr>
        <w:pStyle w:val="23"/>
        <w:bidi w:val="0"/>
        <w:rPr>
          <w:color w:val="auto"/>
        </w:rPr>
      </w:pPr>
      <w:r>
        <w:rPr>
          <w:color w:val="auto"/>
        </w:rPr>
        <w:t>表</w:t>
      </w:r>
      <w:r>
        <w:rPr>
          <w:rFonts w:hint="eastAsia"/>
          <w:color w:val="auto"/>
          <w:lang w:val="en-US" w:eastAsia="zh-CN"/>
        </w:rPr>
        <w:t>2.7-1</w:t>
      </w:r>
      <w:r>
        <w:rPr>
          <w:rFonts w:hint="eastAsia"/>
          <w:color w:val="auto"/>
        </w:rPr>
        <w:t xml:space="preserve">  </w:t>
      </w:r>
      <w:r>
        <w:rPr>
          <w:color w:val="auto"/>
        </w:rPr>
        <w:t>安全设施投资情况表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3074"/>
        <w:gridCol w:w="2251"/>
        <w:gridCol w:w="2723"/>
      </w:tblGrid>
      <w:tr w14:paraId="6688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noWrap w:val="0"/>
            <w:vAlign w:val="center"/>
          </w:tcPr>
          <w:p w14:paraId="219F2C4B">
            <w:pPr>
              <w:pStyle w:val="24"/>
              <w:bidi w:val="0"/>
              <w:rPr>
                <w:color w:val="auto"/>
              </w:rPr>
            </w:pPr>
            <w:r>
              <w:rPr>
                <w:color w:val="auto"/>
              </w:rPr>
              <w:t>序号</w:t>
            </w:r>
          </w:p>
        </w:tc>
        <w:tc>
          <w:tcPr>
            <w:tcW w:w="3074" w:type="dxa"/>
            <w:noWrap w:val="0"/>
            <w:vAlign w:val="center"/>
          </w:tcPr>
          <w:p w14:paraId="607F43D5">
            <w:pPr>
              <w:pStyle w:val="24"/>
              <w:bidi w:val="0"/>
              <w:rPr>
                <w:color w:val="auto"/>
              </w:rPr>
            </w:pPr>
            <w:r>
              <w:rPr>
                <w:color w:val="auto"/>
              </w:rPr>
              <w:t>项目名称</w:t>
            </w:r>
          </w:p>
        </w:tc>
        <w:tc>
          <w:tcPr>
            <w:tcW w:w="2251" w:type="dxa"/>
            <w:noWrap w:val="0"/>
            <w:vAlign w:val="center"/>
          </w:tcPr>
          <w:p w14:paraId="143410ED">
            <w:pPr>
              <w:pStyle w:val="24"/>
              <w:bidi w:val="0"/>
              <w:rPr>
                <w:color w:val="auto"/>
              </w:rPr>
            </w:pPr>
            <w:r>
              <w:rPr>
                <w:color w:val="auto"/>
              </w:rPr>
              <w:t>金额（万元）</w:t>
            </w:r>
          </w:p>
        </w:tc>
        <w:tc>
          <w:tcPr>
            <w:tcW w:w="2723" w:type="dxa"/>
            <w:noWrap w:val="0"/>
            <w:vAlign w:val="center"/>
          </w:tcPr>
          <w:p w14:paraId="1012E2E1">
            <w:pPr>
              <w:pStyle w:val="24"/>
              <w:bidi w:val="0"/>
              <w:rPr>
                <w:color w:val="auto"/>
              </w:rPr>
            </w:pPr>
            <w:r>
              <w:rPr>
                <w:color w:val="auto"/>
              </w:rPr>
              <w:t>占安全投资比例(%)</w:t>
            </w:r>
          </w:p>
        </w:tc>
      </w:tr>
      <w:tr w14:paraId="3626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noWrap w:val="0"/>
            <w:vAlign w:val="center"/>
          </w:tcPr>
          <w:p w14:paraId="78A95AB8">
            <w:pPr>
              <w:pStyle w:val="24"/>
              <w:bidi w:val="0"/>
              <w:rPr>
                <w:color w:val="auto"/>
              </w:rPr>
            </w:pPr>
            <w:r>
              <w:rPr>
                <w:color w:val="auto"/>
              </w:rPr>
              <w:t>1</w:t>
            </w:r>
          </w:p>
        </w:tc>
        <w:tc>
          <w:tcPr>
            <w:tcW w:w="3074" w:type="dxa"/>
            <w:noWrap w:val="0"/>
            <w:vAlign w:val="center"/>
          </w:tcPr>
          <w:p w14:paraId="72C05A50">
            <w:pPr>
              <w:pStyle w:val="24"/>
              <w:bidi w:val="0"/>
              <w:rPr>
                <w:color w:val="auto"/>
              </w:rPr>
            </w:pPr>
            <w:r>
              <w:rPr>
                <w:color w:val="auto"/>
              </w:rPr>
              <w:t>工艺、土建安全设施投资</w:t>
            </w:r>
          </w:p>
        </w:tc>
        <w:tc>
          <w:tcPr>
            <w:tcW w:w="2251" w:type="dxa"/>
            <w:noWrap w:val="0"/>
            <w:vAlign w:val="center"/>
          </w:tcPr>
          <w:p w14:paraId="09428AEF">
            <w:pPr>
              <w:pStyle w:val="24"/>
              <w:bidi w:val="0"/>
              <w:rPr>
                <w:rFonts w:hint="eastAsia"/>
                <w:color w:val="auto"/>
              </w:rPr>
            </w:pPr>
            <w:r>
              <w:rPr>
                <w:color w:val="auto"/>
              </w:rPr>
              <w:t>69</w:t>
            </w:r>
            <w:r>
              <w:rPr>
                <w:rFonts w:hint="eastAsia"/>
                <w:color w:val="auto"/>
                <w:lang w:val="en-US" w:eastAsia="zh-CN"/>
              </w:rPr>
              <w:t>4</w:t>
            </w:r>
            <w:r>
              <w:rPr>
                <w:color w:val="auto"/>
              </w:rPr>
              <w:t>.37</w:t>
            </w:r>
          </w:p>
        </w:tc>
        <w:tc>
          <w:tcPr>
            <w:tcW w:w="2723" w:type="dxa"/>
            <w:noWrap w:val="0"/>
            <w:vAlign w:val="center"/>
          </w:tcPr>
          <w:p w14:paraId="339169BD">
            <w:pPr>
              <w:pStyle w:val="24"/>
              <w:bidi w:val="0"/>
              <w:rPr>
                <w:rFonts w:hint="default" w:eastAsia="宋体"/>
                <w:color w:val="auto"/>
                <w:lang w:val="en-US" w:eastAsia="zh-CN"/>
              </w:rPr>
            </w:pPr>
            <w:r>
              <w:rPr>
                <w:rFonts w:hint="eastAsia"/>
                <w:color w:val="auto"/>
                <w:lang w:val="en-US" w:eastAsia="zh-CN"/>
              </w:rPr>
              <w:t>86.16</w:t>
            </w:r>
          </w:p>
        </w:tc>
      </w:tr>
      <w:tr w14:paraId="68D3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noWrap w:val="0"/>
            <w:vAlign w:val="center"/>
          </w:tcPr>
          <w:p w14:paraId="3FF46272">
            <w:pPr>
              <w:pStyle w:val="24"/>
              <w:bidi w:val="0"/>
              <w:rPr>
                <w:color w:val="auto"/>
              </w:rPr>
            </w:pPr>
            <w:r>
              <w:rPr>
                <w:color w:val="auto"/>
              </w:rPr>
              <w:t>2</w:t>
            </w:r>
          </w:p>
        </w:tc>
        <w:tc>
          <w:tcPr>
            <w:tcW w:w="3074" w:type="dxa"/>
            <w:noWrap w:val="0"/>
            <w:vAlign w:val="center"/>
          </w:tcPr>
          <w:p w14:paraId="5912A19B">
            <w:pPr>
              <w:pStyle w:val="24"/>
              <w:bidi w:val="0"/>
              <w:rPr>
                <w:color w:val="auto"/>
              </w:rPr>
            </w:pPr>
            <w:r>
              <w:rPr>
                <w:color w:val="auto"/>
              </w:rPr>
              <w:t>防雷防静电设施费用</w:t>
            </w:r>
          </w:p>
        </w:tc>
        <w:tc>
          <w:tcPr>
            <w:tcW w:w="2251" w:type="dxa"/>
            <w:noWrap w:val="0"/>
            <w:vAlign w:val="center"/>
          </w:tcPr>
          <w:p w14:paraId="40D58EBE">
            <w:pPr>
              <w:pStyle w:val="24"/>
              <w:bidi w:val="0"/>
              <w:rPr>
                <w:rFonts w:hint="default" w:eastAsia="宋体"/>
                <w:color w:val="auto"/>
                <w:lang w:val="en-US" w:eastAsia="zh-CN"/>
              </w:rPr>
            </w:pPr>
            <w:r>
              <w:rPr>
                <w:color w:val="auto"/>
              </w:rPr>
              <w:t>10</w:t>
            </w:r>
            <w:r>
              <w:rPr>
                <w:rFonts w:hint="eastAsia"/>
                <w:color w:val="auto"/>
                <w:lang w:val="en-US" w:eastAsia="zh-CN"/>
              </w:rPr>
              <w:t>.5</w:t>
            </w:r>
          </w:p>
        </w:tc>
        <w:tc>
          <w:tcPr>
            <w:tcW w:w="2723" w:type="dxa"/>
            <w:noWrap w:val="0"/>
            <w:vAlign w:val="center"/>
          </w:tcPr>
          <w:p w14:paraId="2562303A">
            <w:pPr>
              <w:pStyle w:val="24"/>
              <w:bidi w:val="0"/>
              <w:rPr>
                <w:rFonts w:hint="default" w:eastAsia="宋体"/>
                <w:color w:val="auto"/>
                <w:lang w:val="en-US" w:eastAsia="zh-CN"/>
              </w:rPr>
            </w:pPr>
            <w:r>
              <w:rPr>
                <w:rFonts w:hint="eastAsia"/>
                <w:color w:val="auto"/>
                <w:lang w:val="en-US" w:eastAsia="zh-CN"/>
              </w:rPr>
              <w:t>1.30</w:t>
            </w:r>
          </w:p>
        </w:tc>
      </w:tr>
      <w:tr w14:paraId="7CC3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noWrap w:val="0"/>
            <w:vAlign w:val="center"/>
          </w:tcPr>
          <w:p w14:paraId="19938A00">
            <w:pPr>
              <w:pStyle w:val="24"/>
              <w:bidi w:val="0"/>
              <w:rPr>
                <w:color w:val="auto"/>
              </w:rPr>
            </w:pPr>
            <w:r>
              <w:rPr>
                <w:color w:val="auto"/>
              </w:rPr>
              <w:t>3</w:t>
            </w:r>
          </w:p>
        </w:tc>
        <w:tc>
          <w:tcPr>
            <w:tcW w:w="3074" w:type="dxa"/>
            <w:noWrap w:val="0"/>
            <w:vAlign w:val="center"/>
          </w:tcPr>
          <w:p w14:paraId="42823E13">
            <w:pPr>
              <w:pStyle w:val="24"/>
              <w:bidi w:val="0"/>
              <w:rPr>
                <w:color w:val="auto"/>
              </w:rPr>
            </w:pPr>
            <w:r>
              <w:rPr>
                <w:color w:val="auto"/>
              </w:rPr>
              <w:t>消防设施费用</w:t>
            </w:r>
          </w:p>
        </w:tc>
        <w:tc>
          <w:tcPr>
            <w:tcW w:w="2251" w:type="dxa"/>
            <w:noWrap w:val="0"/>
            <w:vAlign w:val="center"/>
          </w:tcPr>
          <w:p w14:paraId="732B816E">
            <w:pPr>
              <w:pStyle w:val="24"/>
              <w:bidi w:val="0"/>
              <w:rPr>
                <w:color w:val="auto"/>
              </w:rPr>
            </w:pPr>
            <w:r>
              <w:rPr>
                <w:color w:val="auto"/>
              </w:rPr>
              <w:t>30</w:t>
            </w:r>
          </w:p>
        </w:tc>
        <w:tc>
          <w:tcPr>
            <w:tcW w:w="2723" w:type="dxa"/>
            <w:noWrap w:val="0"/>
            <w:vAlign w:val="center"/>
          </w:tcPr>
          <w:p w14:paraId="685F2D56">
            <w:pPr>
              <w:pStyle w:val="24"/>
              <w:bidi w:val="0"/>
              <w:rPr>
                <w:rFonts w:hint="default" w:eastAsia="宋体"/>
                <w:color w:val="auto"/>
                <w:lang w:val="en-US" w:eastAsia="zh-CN"/>
              </w:rPr>
            </w:pPr>
            <w:r>
              <w:rPr>
                <w:rFonts w:hint="eastAsia"/>
                <w:color w:val="auto"/>
                <w:lang w:val="en-US" w:eastAsia="zh-CN"/>
              </w:rPr>
              <w:t>3.72</w:t>
            </w:r>
          </w:p>
        </w:tc>
      </w:tr>
      <w:tr w14:paraId="6392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noWrap w:val="0"/>
            <w:vAlign w:val="center"/>
          </w:tcPr>
          <w:p w14:paraId="3FBFB40B">
            <w:pPr>
              <w:pStyle w:val="24"/>
              <w:bidi w:val="0"/>
              <w:rPr>
                <w:color w:val="auto"/>
              </w:rPr>
            </w:pPr>
            <w:r>
              <w:rPr>
                <w:color w:val="auto"/>
              </w:rPr>
              <w:t>4</w:t>
            </w:r>
          </w:p>
        </w:tc>
        <w:tc>
          <w:tcPr>
            <w:tcW w:w="3074" w:type="dxa"/>
            <w:noWrap w:val="0"/>
            <w:vAlign w:val="center"/>
          </w:tcPr>
          <w:p w14:paraId="756C1389">
            <w:pPr>
              <w:pStyle w:val="24"/>
              <w:bidi w:val="0"/>
              <w:rPr>
                <w:color w:val="auto"/>
              </w:rPr>
            </w:pPr>
            <w:r>
              <w:rPr>
                <w:color w:val="auto"/>
              </w:rPr>
              <w:t>安全应急照明、电气防爆器材</w:t>
            </w:r>
          </w:p>
        </w:tc>
        <w:tc>
          <w:tcPr>
            <w:tcW w:w="2251" w:type="dxa"/>
            <w:noWrap w:val="0"/>
            <w:vAlign w:val="center"/>
          </w:tcPr>
          <w:p w14:paraId="2D20919C">
            <w:pPr>
              <w:pStyle w:val="24"/>
              <w:bidi w:val="0"/>
              <w:rPr>
                <w:color w:val="auto"/>
              </w:rPr>
            </w:pPr>
            <w:r>
              <w:rPr>
                <w:rFonts w:hint="eastAsia"/>
                <w:color w:val="auto"/>
              </w:rPr>
              <w:t>20</w:t>
            </w:r>
          </w:p>
        </w:tc>
        <w:tc>
          <w:tcPr>
            <w:tcW w:w="2723" w:type="dxa"/>
            <w:noWrap w:val="0"/>
            <w:vAlign w:val="center"/>
          </w:tcPr>
          <w:p w14:paraId="78958A3D">
            <w:pPr>
              <w:pStyle w:val="24"/>
              <w:bidi w:val="0"/>
              <w:rPr>
                <w:rFonts w:hint="default" w:eastAsia="宋体"/>
                <w:color w:val="auto"/>
                <w:lang w:val="en-US" w:eastAsia="zh-CN"/>
              </w:rPr>
            </w:pPr>
            <w:r>
              <w:rPr>
                <w:rFonts w:hint="eastAsia"/>
                <w:color w:val="auto"/>
                <w:lang w:val="en-US" w:eastAsia="zh-CN"/>
              </w:rPr>
              <w:t>2.48</w:t>
            </w:r>
          </w:p>
        </w:tc>
      </w:tr>
      <w:tr w14:paraId="2001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noWrap w:val="0"/>
            <w:vAlign w:val="center"/>
          </w:tcPr>
          <w:p w14:paraId="3B120D00">
            <w:pPr>
              <w:pStyle w:val="24"/>
              <w:bidi w:val="0"/>
              <w:rPr>
                <w:color w:val="auto"/>
              </w:rPr>
            </w:pPr>
            <w:r>
              <w:rPr>
                <w:color w:val="auto"/>
              </w:rPr>
              <w:t>5</w:t>
            </w:r>
          </w:p>
        </w:tc>
        <w:tc>
          <w:tcPr>
            <w:tcW w:w="3074" w:type="dxa"/>
            <w:noWrap w:val="0"/>
            <w:vAlign w:val="center"/>
          </w:tcPr>
          <w:p w14:paraId="570748A3">
            <w:pPr>
              <w:pStyle w:val="24"/>
              <w:bidi w:val="0"/>
              <w:rPr>
                <w:color w:val="auto"/>
              </w:rPr>
            </w:pPr>
            <w:r>
              <w:rPr>
                <w:color w:val="auto"/>
              </w:rPr>
              <w:t>安全教育装备及设施费用</w:t>
            </w:r>
          </w:p>
        </w:tc>
        <w:tc>
          <w:tcPr>
            <w:tcW w:w="2251" w:type="dxa"/>
            <w:noWrap w:val="0"/>
            <w:vAlign w:val="center"/>
          </w:tcPr>
          <w:p w14:paraId="65790B72">
            <w:pPr>
              <w:pStyle w:val="24"/>
              <w:bidi w:val="0"/>
              <w:rPr>
                <w:rFonts w:hint="eastAsia" w:eastAsia="宋体"/>
                <w:color w:val="auto"/>
                <w:lang w:eastAsia="zh-CN"/>
              </w:rPr>
            </w:pPr>
            <w:r>
              <w:rPr>
                <w:rFonts w:hint="eastAsia"/>
                <w:color w:val="auto"/>
              </w:rPr>
              <w:t>3</w:t>
            </w:r>
            <w:r>
              <w:rPr>
                <w:rFonts w:hint="eastAsia"/>
                <w:color w:val="auto"/>
                <w:lang w:val="en-US" w:eastAsia="zh-CN"/>
              </w:rPr>
              <w:t>1</w:t>
            </w:r>
          </w:p>
        </w:tc>
        <w:tc>
          <w:tcPr>
            <w:tcW w:w="2723" w:type="dxa"/>
            <w:noWrap w:val="0"/>
            <w:vAlign w:val="center"/>
          </w:tcPr>
          <w:p w14:paraId="77E4E3BE">
            <w:pPr>
              <w:pStyle w:val="24"/>
              <w:bidi w:val="0"/>
              <w:rPr>
                <w:rFonts w:hint="default" w:eastAsia="宋体"/>
                <w:color w:val="auto"/>
                <w:lang w:val="en-US" w:eastAsia="zh-CN"/>
              </w:rPr>
            </w:pPr>
            <w:r>
              <w:rPr>
                <w:rFonts w:hint="eastAsia"/>
                <w:color w:val="auto"/>
                <w:lang w:val="en-US" w:eastAsia="zh-CN"/>
              </w:rPr>
              <w:t>3.85</w:t>
            </w:r>
          </w:p>
        </w:tc>
      </w:tr>
      <w:tr w14:paraId="5128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noWrap w:val="0"/>
            <w:vAlign w:val="center"/>
          </w:tcPr>
          <w:p w14:paraId="4CB5FCB3">
            <w:pPr>
              <w:pStyle w:val="24"/>
              <w:bidi w:val="0"/>
              <w:rPr>
                <w:color w:val="auto"/>
              </w:rPr>
            </w:pPr>
            <w:r>
              <w:rPr>
                <w:color w:val="auto"/>
              </w:rPr>
              <w:t>6</w:t>
            </w:r>
          </w:p>
        </w:tc>
        <w:tc>
          <w:tcPr>
            <w:tcW w:w="3074" w:type="dxa"/>
            <w:noWrap w:val="0"/>
            <w:vAlign w:val="center"/>
          </w:tcPr>
          <w:p w14:paraId="3458BC28">
            <w:pPr>
              <w:pStyle w:val="24"/>
              <w:bidi w:val="0"/>
              <w:rPr>
                <w:color w:val="auto"/>
              </w:rPr>
            </w:pPr>
            <w:r>
              <w:rPr>
                <w:color w:val="auto"/>
              </w:rPr>
              <w:t>职业卫生专项费用</w:t>
            </w:r>
          </w:p>
        </w:tc>
        <w:tc>
          <w:tcPr>
            <w:tcW w:w="2251" w:type="dxa"/>
            <w:noWrap w:val="0"/>
            <w:vAlign w:val="center"/>
          </w:tcPr>
          <w:p w14:paraId="4701DCF4">
            <w:pPr>
              <w:pStyle w:val="24"/>
              <w:bidi w:val="0"/>
              <w:rPr>
                <w:rFonts w:hint="eastAsia"/>
                <w:color w:val="auto"/>
              </w:rPr>
            </w:pPr>
            <w:r>
              <w:rPr>
                <w:rFonts w:hint="eastAsia"/>
                <w:color w:val="auto"/>
              </w:rPr>
              <w:t>20</w:t>
            </w:r>
          </w:p>
        </w:tc>
        <w:tc>
          <w:tcPr>
            <w:tcW w:w="2723" w:type="dxa"/>
            <w:noWrap w:val="0"/>
            <w:vAlign w:val="center"/>
          </w:tcPr>
          <w:p w14:paraId="2BFA29D7">
            <w:pPr>
              <w:pStyle w:val="24"/>
              <w:bidi w:val="0"/>
              <w:rPr>
                <w:rFonts w:hint="default" w:eastAsia="宋体"/>
                <w:color w:val="auto"/>
                <w:lang w:val="en-US" w:eastAsia="zh-CN"/>
              </w:rPr>
            </w:pPr>
            <w:r>
              <w:rPr>
                <w:rFonts w:hint="eastAsia"/>
                <w:color w:val="auto"/>
                <w:lang w:val="en-US" w:eastAsia="zh-CN"/>
              </w:rPr>
              <w:t>2.48</w:t>
            </w:r>
          </w:p>
        </w:tc>
      </w:tr>
      <w:tr w14:paraId="10E5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noWrap w:val="0"/>
            <w:vAlign w:val="center"/>
          </w:tcPr>
          <w:p w14:paraId="3F0574D9">
            <w:pPr>
              <w:pStyle w:val="24"/>
              <w:bidi w:val="0"/>
              <w:rPr>
                <w:color w:val="auto"/>
              </w:rPr>
            </w:pPr>
            <w:r>
              <w:rPr>
                <w:color w:val="auto"/>
              </w:rPr>
              <w:t>合计</w:t>
            </w:r>
          </w:p>
        </w:tc>
        <w:tc>
          <w:tcPr>
            <w:tcW w:w="3074" w:type="dxa"/>
            <w:noWrap w:val="0"/>
            <w:vAlign w:val="center"/>
          </w:tcPr>
          <w:p w14:paraId="278CB7F4">
            <w:pPr>
              <w:pStyle w:val="24"/>
              <w:bidi w:val="0"/>
              <w:rPr>
                <w:color w:val="auto"/>
              </w:rPr>
            </w:pPr>
          </w:p>
        </w:tc>
        <w:tc>
          <w:tcPr>
            <w:tcW w:w="2251" w:type="dxa"/>
            <w:noWrap w:val="0"/>
            <w:vAlign w:val="center"/>
          </w:tcPr>
          <w:p w14:paraId="05942FBA">
            <w:pPr>
              <w:pStyle w:val="24"/>
              <w:bidi w:val="0"/>
              <w:rPr>
                <w:rFonts w:hint="eastAsia"/>
                <w:color w:val="auto"/>
              </w:rPr>
            </w:pPr>
            <w:r>
              <w:rPr>
                <w:color w:val="auto"/>
              </w:rPr>
              <w:t>80</w:t>
            </w:r>
            <w:r>
              <w:rPr>
                <w:rFonts w:hint="eastAsia"/>
                <w:color w:val="auto"/>
                <w:lang w:val="en-US" w:eastAsia="zh-CN"/>
              </w:rPr>
              <w:t>5</w:t>
            </w:r>
            <w:r>
              <w:rPr>
                <w:color w:val="auto"/>
              </w:rPr>
              <w:t>.</w:t>
            </w:r>
            <w:r>
              <w:rPr>
                <w:rFonts w:hint="eastAsia"/>
                <w:color w:val="auto"/>
                <w:lang w:val="en-US" w:eastAsia="zh-CN"/>
              </w:rPr>
              <w:t>8</w:t>
            </w:r>
            <w:r>
              <w:rPr>
                <w:color w:val="auto"/>
              </w:rPr>
              <w:t>7</w:t>
            </w:r>
          </w:p>
        </w:tc>
        <w:tc>
          <w:tcPr>
            <w:tcW w:w="2723" w:type="dxa"/>
            <w:noWrap w:val="0"/>
            <w:vAlign w:val="center"/>
          </w:tcPr>
          <w:p w14:paraId="619565CA">
            <w:pPr>
              <w:pStyle w:val="24"/>
              <w:bidi w:val="0"/>
              <w:rPr>
                <w:color w:val="auto"/>
              </w:rPr>
            </w:pPr>
            <w:r>
              <w:rPr>
                <w:color w:val="auto"/>
              </w:rPr>
              <w:t>100%</w:t>
            </w:r>
          </w:p>
        </w:tc>
      </w:tr>
    </w:tbl>
    <w:p w14:paraId="508F4891">
      <w:pPr>
        <w:pStyle w:val="3"/>
        <w:bidi w:val="0"/>
        <w:rPr>
          <w:rFonts w:hint="eastAsia"/>
          <w:color w:val="auto"/>
        </w:rPr>
      </w:pPr>
      <w:bookmarkStart w:id="103" w:name="_Toc27853"/>
      <w:r>
        <w:rPr>
          <w:rFonts w:hint="eastAsia"/>
          <w:color w:val="auto"/>
        </w:rPr>
        <w:t>2.8 安全设施情况</w:t>
      </w:r>
      <w:bookmarkEnd w:id="103"/>
    </w:p>
    <w:p w14:paraId="7EFC953C">
      <w:pPr>
        <w:bidi w:val="0"/>
        <w:rPr>
          <w:rFonts w:hint="eastAsia"/>
          <w:color w:val="auto"/>
        </w:rPr>
      </w:pPr>
      <w:r>
        <w:rPr>
          <w:rFonts w:hint="eastAsia"/>
          <w:color w:val="auto"/>
        </w:rPr>
        <w:t>项目安全设施设备如下：</w:t>
      </w:r>
    </w:p>
    <w:p w14:paraId="697AEC46">
      <w:pPr>
        <w:pStyle w:val="23"/>
        <w:bidi w:val="0"/>
        <w:rPr>
          <w:color w:val="auto"/>
        </w:rPr>
      </w:pPr>
      <w:r>
        <w:rPr>
          <w:rFonts w:hint="eastAsia"/>
          <w:color w:val="auto"/>
        </w:rPr>
        <w:t>表2.8-1  项目安全设施一览表</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2050"/>
        <w:gridCol w:w="1323"/>
        <w:gridCol w:w="2323"/>
        <w:gridCol w:w="1349"/>
        <w:gridCol w:w="1620"/>
      </w:tblGrid>
      <w:tr w14:paraId="5436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389" w:type="pct"/>
            <w:noWrap w:val="0"/>
            <w:vAlign w:val="center"/>
          </w:tcPr>
          <w:p w14:paraId="0E00F0DE">
            <w:pPr>
              <w:pStyle w:val="24"/>
              <w:bidi w:val="0"/>
              <w:rPr>
                <w:b/>
                <w:bCs/>
                <w:color w:val="auto"/>
              </w:rPr>
            </w:pPr>
            <w:r>
              <w:rPr>
                <w:rFonts w:hint="eastAsia"/>
                <w:b/>
                <w:bCs/>
                <w:color w:val="auto"/>
              </w:rPr>
              <w:t>序号</w:t>
            </w:r>
          </w:p>
        </w:tc>
        <w:tc>
          <w:tcPr>
            <w:tcW w:w="1091" w:type="pct"/>
            <w:noWrap w:val="0"/>
            <w:vAlign w:val="center"/>
          </w:tcPr>
          <w:p w14:paraId="7FF2532A">
            <w:pPr>
              <w:pStyle w:val="24"/>
              <w:bidi w:val="0"/>
              <w:rPr>
                <w:b/>
                <w:bCs/>
                <w:color w:val="auto"/>
              </w:rPr>
            </w:pPr>
            <w:r>
              <w:rPr>
                <w:rFonts w:hint="eastAsia"/>
                <w:b/>
                <w:bCs/>
                <w:color w:val="auto"/>
              </w:rPr>
              <w:t>类别</w:t>
            </w:r>
          </w:p>
        </w:tc>
        <w:tc>
          <w:tcPr>
            <w:tcW w:w="1940" w:type="pct"/>
            <w:gridSpan w:val="2"/>
            <w:noWrap w:val="0"/>
            <w:vAlign w:val="center"/>
          </w:tcPr>
          <w:p w14:paraId="4133D06A">
            <w:pPr>
              <w:pStyle w:val="24"/>
              <w:bidi w:val="0"/>
              <w:rPr>
                <w:b/>
                <w:bCs/>
                <w:color w:val="auto"/>
              </w:rPr>
            </w:pPr>
            <w:r>
              <w:rPr>
                <w:rFonts w:hint="eastAsia"/>
                <w:b/>
                <w:bCs/>
                <w:color w:val="auto"/>
              </w:rPr>
              <w:t>名称</w:t>
            </w:r>
          </w:p>
        </w:tc>
        <w:tc>
          <w:tcPr>
            <w:tcW w:w="718" w:type="pct"/>
            <w:noWrap w:val="0"/>
            <w:vAlign w:val="center"/>
          </w:tcPr>
          <w:p w14:paraId="2E64BDDB">
            <w:pPr>
              <w:pStyle w:val="24"/>
              <w:bidi w:val="0"/>
              <w:rPr>
                <w:b/>
                <w:bCs/>
                <w:color w:val="auto"/>
              </w:rPr>
            </w:pPr>
            <w:r>
              <w:rPr>
                <w:rFonts w:hint="eastAsia"/>
                <w:b/>
                <w:bCs/>
                <w:color w:val="auto"/>
              </w:rPr>
              <w:t>规格及数量</w:t>
            </w:r>
          </w:p>
        </w:tc>
        <w:tc>
          <w:tcPr>
            <w:tcW w:w="859" w:type="pct"/>
            <w:noWrap w:val="0"/>
            <w:vAlign w:val="center"/>
          </w:tcPr>
          <w:p w14:paraId="26A55C18">
            <w:pPr>
              <w:pStyle w:val="24"/>
              <w:bidi w:val="0"/>
              <w:rPr>
                <w:b/>
                <w:bCs/>
                <w:color w:val="auto"/>
              </w:rPr>
            </w:pPr>
            <w:r>
              <w:rPr>
                <w:rFonts w:hint="eastAsia"/>
                <w:b/>
                <w:bCs/>
                <w:color w:val="auto"/>
              </w:rPr>
              <w:t>安装位置</w:t>
            </w:r>
          </w:p>
        </w:tc>
      </w:tr>
      <w:tr w14:paraId="56C4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6"/>
            <w:noWrap w:val="0"/>
            <w:vAlign w:val="center"/>
          </w:tcPr>
          <w:p w14:paraId="437D03FE">
            <w:pPr>
              <w:pStyle w:val="24"/>
              <w:bidi w:val="0"/>
              <w:rPr>
                <w:color w:val="auto"/>
              </w:rPr>
            </w:pPr>
            <w:r>
              <w:rPr>
                <w:rFonts w:hint="eastAsia"/>
                <w:color w:val="auto"/>
              </w:rPr>
              <w:t>一、预防事故安全设施</w:t>
            </w:r>
          </w:p>
        </w:tc>
      </w:tr>
      <w:tr w14:paraId="721E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noWrap w:val="0"/>
            <w:vAlign w:val="center"/>
          </w:tcPr>
          <w:p w14:paraId="50F61AAF">
            <w:pPr>
              <w:pStyle w:val="24"/>
              <w:bidi w:val="0"/>
              <w:rPr>
                <w:color w:val="auto"/>
              </w:rPr>
            </w:pPr>
            <w:r>
              <w:rPr>
                <w:rFonts w:hint="eastAsia"/>
                <w:color w:val="auto"/>
              </w:rPr>
              <w:t>1</w:t>
            </w:r>
          </w:p>
        </w:tc>
        <w:tc>
          <w:tcPr>
            <w:tcW w:w="1091" w:type="pct"/>
            <w:noWrap w:val="0"/>
            <w:vAlign w:val="center"/>
          </w:tcPr>
          <w:p w14:paraId="48F3AB86">
            <w:pPr>
              <w:pStyle w:val="24"/>
              <w:bidi w:val="0"/>
              <w:rPr>
                <w:color w:val="auto"/>
              </w:rPr>
            </w:pPr>
            <w:r>
              <w:rPr>
                <w:rFonts w:hint="eastAsia"/>
                <w:color w:val="auto"/>
              </w:rPr>
              <w:t>检查设施</w:t>
            </w:r>
          </w:p>
        </w:tc>
        <w:tc>
          <w:tcPr>
            <w:tcW w:w="1940" w:type="pct"/>
            <w:gridSpan w:val="2"/>
            <w:noWrap w:val="0"/>
            <w:vAlign w:val="center"/>
          </w:tcPr>
          <w:p w14:paraId="06E60B96">
            <w:pPr>
              <w:pStyle w:val="24"/>
              <w:bidi w:val="0"/>
              <w:rPr>
                <w:color w:val="auto"/>
              </w:rPr>
            </w:pPr>
            <w:r>
              <w:rPr>
                <w:rFonts w:hint="eastAsia"/>
                <w:color w:val="auto"/>
              </w:rPr>
              <w:t>火灾报警显示器</w:t>
            </w:r>
          </w:p>
        </w:tc>
        <w:tc>
          <w:tcPr>
            <w:tcW w:w="718" w:type="pct"/>
            <w:noWrap w:val="0"/>
            <w:vAlign w:val="center"/>
          </w:tcPr>
          <w:p w14:paraId="56CF1122">
            <w:pPr>
              <w:pStyle w:val="24"/>
              <w:bidi w:val="0"/>
              <w:rPr>
                <w:color w:val="auto"/>
              </w:rPr>
            </w:pPr>
            <w:r>
              <w:rPr>
                <w:rFonts w:hint="eastAsia"/>
                <w:color w:val="auto"/>
              </w:rPr>
              <w:t>若干</w:t>
            </w:r>
          </w:p>
        </w:tc>
        <w:tc>
          <w:tcPr>
            <w:tcW w:w="859" w:type="pct"/>
            <w:noWrap w:val="0"/>
            <w:vAlign w:val="center"/>
          </w:tcPr>
          <w:p w14:paraId="6930E3DC">
            <w:pPr>
              <w:pStyle w:val="24"/>
              <w:bidi w:val="0"/>
              <w:rPr>
                <w:color w:val="auto"/>
              </w:rPr>
            </w:pPr>
            <w:r>
              <w:rPr>
                <w:rFonts w:hint="eastAsia"/>
                <w:color w:val="auto"/>
              </w:rPr>
              <w:t>控制室</w:t>
            </w:r>
          </w:p>
        </w:tc>
      </w:tr>
      <w:tr w14:paraId="78E6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restart"/>
            <w:noWrap w:val="0"/>
            <w:vAlign w:val="center"/>
          </w:tcPr>
          <w:p w14:paraId="00BAF68E">
            <w:pPr>
              <w:pStyle w:val="24"/>
              <w:bidi w:val="0"/>
              <w:rPr>
                <w:color w:val="auto"/>
              </w:rPr>
            </w:pPr>
            <w:r>
              <w:rPr>
                <w:rFonts w:hint="eastAsia"/>
                <w:color w:val="auto"/>
              </w:rPr>
              <w:t>2</w:t>
            </w:r>
          </w:p>
        </w:tc>
        <w:tc>
          <w:tcPr>
            <w:tcW w:w="1091" w:type="pct"/>
            <w:vMerge w:val="restart"/>
            <w:noWrap w:val="0"/>
            <w:vAlign w:val="center"/>
          </w:tcPr>
          <w:p w14:paraId="3EF63A74">
            <w:pPr>
              <w:pStyle w:val="24"/>
              <w:bidi w:val="0"/>
              <w:rPr>
                <w:color w:val="auto"/>
              </w:rPr>
            </w:pPr>
            <w:r>
              <w:rPr>
                <w:rFonts w:hint="eastAsia"/>
                <w:color w:val="auto"/>
              </w:rPr>
              <w:t>设备安全防护设施</w:t>
            </w:r>
          </w:p>
        </w:tc>
        <w:tc>
          <w:tcPr>
            <w:tcW w:w="703" w:type="pct"/>
            <w:vMerge w:val="restart"/>
            <w:noWrap w:val="0"/>
            <w:vAlign w:val="center"/>
          </w:tcPr>
          <w:p w14:paraId="52E3EEAE">
            <w:pPr>
              <w:pStyle w:val="24"/>
              <w:bidi w:val="0"/>
              <w:rPr>
                <w:color w:val="auto"/>
              </w:rPr>
            </w:pPr>
            <w:r>
              <w:rPr>
                <w:rFonts w:hint="eastAsia"/>
                <w:color w:val="auto"/>
              </w:rPr>
              <w:t>防雷、防静</w:t>
            </w:r>
          </w:p>
          <w:p w14:paraId="2BB7E407">
            <w:pPr>
              <w:pStyle w:val="24"/>
              <w:bidi w:val="0"/>
              <w:rPr>
                <w:color w:val="auto"/>
              </w:rPr>
            </w:pPr>
            <w:r>
              <w:rPr>
                <w:rFonts w:hint="eastAsia"/>
                <w:color w:val="auto"/>
              </w:rPr>
              <w:t>电设施</w:t>
            </w:r>
          </w:p>
        </w:tc>
        <w:tc>
          <w:tcPr>
            <w:tcW w:w="1236" w:type="pct"/>
            <w:noWrap w:val="0"/>
            <w:vAlign w:val="center"/>
          </w:tcPr>
          <w:p w14:paraId="33A8D33F">
            <w:pPr>
              <w:pStyle w:val="24"/>
              <w:bidi w:val="0"/>
              <w:rPr>
                <w:color w:val="auto"/>
              </w:rPr>
            </w:pPr>
            <w:r>
              <w:rPr>
                <w:rFonts w:hint="eastAsia"/>
                <w:color w:val="auto"/>
              </w:rPr>
              <w:t>接地故障保护装置</w:t>
            </w:r>
          </w:p>
        </w:tc>
        <w:tc>
          <w:tcPr>
            <w:tcW w:w="718" w:type="pct"/>
            <w:noWrap w:val="0"/>
            <w:vAlign w:val="center"/>
          </w:tcPr>
          <w:p w14:paraId="4B36B4BC">
            <w:pPr>
              <w:pStyle w:val="24"/>
              <w:bidi w:val="0"/>
              <w:rPr>
                <w:color w:val="auto"/>
              </w:rPr>
            </w:pPr>
            <w:r>
              <w:rPr>
                <w:rFonts w:hint="eastAsia"/>
                <w:color w:val="auto"/>
              </w:rPr>
              <w:t>若干</w:t>
            </w:r>
          </w:p>
        </w:tc>
        <w:tc>
          <w:tcPr>
            <w:tcW w:w="859" w:type="pct"/>
            <w:noWrap w:val="0"/>
            <w:vAlign w:val="center"/>
          </w:tcPr>
          <w:p w14:paraId="10E7A605">
            <w:pPr>
              <w:pStyle w:val="24"/>
              <w:bidi w:val="0"/>
              <w:rPr>
                <w:color w:val="auto"/>
              </w:rPr>
            </w:pPr>
            <w:r>
              <w:rPr>
                <w:rFonts w:hint="eastAsia"/>
                <w:color w:val="auto"/>
              </w:rPr>
              <w:t>电器设备</w:t>
            </w:r>
          </w:p>
        </w:tc>
      </w:tr>
      <w:tr w14:paraId="79F4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33A4A523">
            <w:pPr>
              <w:pStyle w:val="24"/>
              <w:bidi w:val="0"/>
              <w:rPr>
                <w:color w:val="auto"/>
              </w:rPr>
            </w:pPr>
          </w:p>
        </w:tc>
        <w:tc>
          <w:tcPr>
            <w:tcW w:w="1091" w:type="pct"/>
            <w:vMerge w:val="continue"/>
            <w:noWrap w:val="0"/>
            <w:vAlign w:val="center"/>
          </w:tcPr>
          <w:p w14:paraId="0FB062E9">
            <w:pPr>
              <w:pStyle w:val="24"/>
              <w:bidi w:val="0"/>
              <w:rPr>
                <w:color w:val="auto"/>
              </w:rPr>
            </w:pPr>
          </w:p>
        </w:tc>
        <w:tc>
          <w:tcPr>
            <w:tcW w:w="703" w:type="pct"/>
            <w:vMerge w:val="continue"/>
            <w:noWrap w:val="0"/>
            <w:vAlign w:val="center"/>
          </w:tcPr>
          <w:p w14:paraId="12175CD0">
            <w:pPr>
              <w:pStyle w:val="24"/>
              <w:bidi w:val="0"/>
              <w:rPr>
                <w:color w:val="auto"/>
              </w:rPr>
            </w:pPr>
          </w:p>
        </w:tc>
        <w:tc>
          <w:tcPr>
            <w:tcW w:w="1236" w:type="pct"/>
            <w:noWrap w:val="0"/>
            <w:vAlign w:val="center"/>
          </w:tcPr>
          <w:p w14:paraId="3F0144F5">
            <w:pPr>
              <w:pStyle w:val="24"/>
              <w:bidi w:val="0"/>
              <w:rPr>
                <w:color w:val="auto"/>
              </w:rPr>
            </w:pPr>
            <w:r>
              <w:rPr>
                <w:rFonts w:hint="eastAsia"/>
                <w:color w:val="auto"/>
              </w:rPr>
              <w:t>垂直接地体</w:t>
            </w:r>
          </w:p>
        </w:tc>
        <w:tc>
          <w:tcPr>
            <w:tcW w:w="718" w:type="pct"/>
            <w:noWrap w:val="0"/>
            <w:vAlign w:val="center"/>
          </w:tcPr>
          <w:p w14:paraId="2E24ADB7">
            <w:pPr>
              <w:pStyle w:val="24"/>
              <w:bidi w:val="0"/>
              <w:rPr>
                <w:color w:val="auto"/>
              </w:rPr>
            </w:pPr>
            <w:r>
              <w:rPr>
                <w:rFonts w:hint="eastAsia"/>
                <w:color w:val="auto"/>
              </w:rPr>
              <w:t>若干</w:t>
            </w:r>
          </w:p>
        </w:tc>
        <w:tc>
          <w:tcPr>
            <w:tcW w:w="859" w:type="pct"/>
            <w:noWrap w:val="0"/>
            <w:vAlign w:val="center"/>
          </w:tcPr>
          <w:p w14:paraId="57DB2B56">
            <w:pPr>
              <w:pStyle w:val="24"/>
              <w:bidi w:val="0"/>
              <w:rPr>
                <w:color w:val="auto"/>
              </w:rPr>
            </w:pPr>
            <w:r>
              <w:rPr>
                <w:rFonts w:hint="eastAsia"/>
                <w:color w:val="auto"/>
              </w:rPr>
              <w:t>厂区</w:t>
            </w:r>
          </w:p>
        </w:tc>
      </w:tr>
      <w:tr w14:paraId="5BCE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4B8EA421">
            <w:pPr>
              <w:pStyle w:val="24"/>
              <w:bidi w:val="0"/>
              <w:rPr>
                <w:color w:val="auto"/>
              </w:rPr>
            </w:pPr>
          </w:p>
        </w:tc>
        <w:tc>
          <w:tcPr>
            <w:tcW w:w="1091" w:type="pct"/>
            <w:vMerge w:val="continue"/>
            <w:noWrap w:val="0"/>
            <w:vAlign w:val="center"/>
          </w:tcPr>
          <w:p w14:paraId="254DC9B5">
            <w:pPr>
              <w:pStyle w:val="24"/>
              <w:bidi w:val="0"/>
              <w:rPr>
                <w:color w:val="auto"/>
              </w:rPr>
            </w:pPr>
          </w:p>
        </w:tc>
        <w:tc>
          <w:tcPr>
            <w:tcW w:w="703" w:type="pct"/>
            <w:vMerge w:val="continue"/>
            <w:noWrap w:val="0"/>
            <w:vAlign w:val="center"/>
          </w:tcPr>
          <w:p w14:paraId="2EFA8800">
            <w:pPr>
              <w:pStyle w:val="24"/>
              <w:bidi w:val="0"/>
              <w:rPr>
                <w:color w:val="auto"/>
              </w:rPr>
            </w:pPr>
          </w:p>
        </w:tc>
        <w:tc>
          <w:tcPr>
            <w:tcW w:w="1236" w:type="pct"/>
            <w:noWrap w:val="0"/>
            <w:vAlign w:val="center"/>
          </w:tcPr>
          <w:p w14:paraId="0DB1E75B">
            <w:pPr>
              <w:pStyle w:val="24"/>
              <w:bidi w:val="0"/>
              <w:rPr>
                <w:color w:val="auto"/>
              </w:rPr>
            </w:pPr>
            <w:r>
              <w:rPr>
                <w:rFonts w:hint="eastAsia"/>
                <w:color w:val="auto"/>
              </w:rPr>
              <w:t>水平接地体</w:t>
            </w:r>
          </w:p>
        </w:tc>
        <w:tc>
          <w:tcPr>
            <w:tcW w:w="718" w:type="pct"/>
            <w:noWrap w:val="0"/>
            <w:vAlign w:val="center"/>
          </w:tcPr>
          <w:p w14:paraId="361DFA59">
            <w:pPr>
              <w:pStyle w:val="24"/>
              <w:bidi w:val="0"/>
              <w:rPr>
                <w:color w:val="auto"/>
              </w:rPr>
            </w:pPr>
            <w:r>
              <w:rPr>
                <w:rFonts w:hint="eastAsia"/>
                <w:color w:val="auto"/>
              </w:rPr>
              <w:t>若干</w:t>
            </w:r>
          </w:p>
        </w:tc>
        <w:tc>
          <w:tcPr>
            <w:tcW w:w="859" w:type="pct"/>
            <w:noWrap w:val="0"/>
            <w:vAlign w:val="center"/>
          </w:tcPr>
          <w:p w14:paraId="38818741">
            <w:pPr>
              <w:pStyle w:val="24"/>
              <w:bidi w:val="0"/>
              <w:rPr>
                <w:color w:val="auto"/>
              </w:rPr>
            </w:pPr>
            <w:r>
              <w:rPr>
                <w:rFonts w:hint="eastAsia"/>
                <w:color w:val="auto"/>
              </w:rPr>
              <w:t>厂区</w:t>
            </w:r>
          </w:p>
        </w:tc>
      </w:tr>
      <w:tr w14:paraId="3304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113E021E">
            <w:pPr>
              <w:pStyle w:val="24"/>
              <w:bidi w:val="0"/>
              <w:rPr>
                <w:color w:val="auto"/>
              </w:rPr>
            </w:pPr>
          </w:p>
        </w:tc>
        <w:tc>
          <w:tcPr>
            <w:tcW w:w="1091" w:type="pct"/>
            <w:vMerge w:val="continue"/>
            <w:noWrap w:val="0"/>
            <w:vAlign w:val="center"/>
          </w:tcPr>
          <w:p w14:paraId="2CF39EC0">
            <w:pPr>
              <w:pStyle w:val="24"/>
              <w:bidi w:val="0"/>
              <w:rPr>
                <w:color w:val="auto"/>
              </w:rPr>
            </w:pPr>
          </w:p>
        </w:tc>
        <w:tc>
          <w:tcPr>
            <w:tcW w:w="703" w:type="pct"/>
            <w:noWrap w:val="0"/>
            <w:vAlign w:val="center"/>
          </w:tcPr>
          <w:p w14:paraId="5623452B">
            <w:pPr>
              <w:pStyle w:val="24"/>
              <w:bidi w:val="0"/>
              <w:rPr>
                <w:color w:val="auto"/>
              </w:rPr>
            </w:pPr>
            <w:r>
              <w:rPr>
                <w:rFonts w:hint="eastAsia"/>
                <w:color w:val="auto"/>
              </w:rPr>
              <w:t>防机械伤害</w:t>
            </w:r>
          </w:p>
        </w:tc>
        <w:tc>
          <w:tcPr>
            <w:tcW w:w="1236" w:type="pct"/>
            <w:noWrap w:val="0"/>
            <w:vAlign w:val="center"/>
          </w:tcPr>
          <w:p w14:paraId="001CA838">
            <w:pPr>
              <w:pStyle w:val="24"/>
              <w:bidi w:val="0"/>
              <w:rPr>
                <w:color w:val="auto"/>
              </w:rPr>
            </w:pPr>
            <w:r>
              <w:rPr>
                <w:rFonts w:hint="eastAsia"/>
                <w:color w:val="auto"/>
              </w:rPr>
              <w:t>防护罩、防护栏、轴套</w:t>
            </w:r>
          </w:p>
        </w:tc>
        <w:tc>
          <w:tcPr>
            <w:tcW w:w="718" w:type="pct"/>
            <w:noWrap w:val="0"/>
            <w:vAlign w:val="center"/>
          </w:tcPr>
          <w:p w14:paraId="417C7300">
            <w:pPr>
              <w:pStyle w:val="24"/>
              <w:bidi w:val="0"/>
              <w:rPr>
                <w:color w:val="auto"/>
              </w:rPr>
            </w:pPr>
            <w:r>
              <w:rPr>
                <w:rFonts w:hint="eastAsia"/>
                <w:color w:val="auto"/>
              </w:rPr>
              <w:t>若干</w:t>
            </w:r>
          </w:p>
        </w:tc>
        <w:tc>
          <w:tcPr>
            <w:tcW w:w="859" w:type="pct"/>
            <w:noWrap w:val="0"/>
            <w:vAlign w:val="center"/>
          </w:tcPr>
          <w:p w14:paraId="495A0BFD">
            <w:pPr>
              <w:pStyle w:val="24"/>
              <w:bidi w:val="0"/>
              <w:rPr>
                <w:color w:val="auto"/>
              </w:rPr>
            </w:pPr>
            <w:r>
              <w:rPr>
                <w:rFonts w:hint="eastAsia"/>
                <w:color w:val="auto"/>
              </w:rPr>
              <w:t>传动部位</w:t>
            </w:r>
          </w:p>
        </w:tc>
      </w:tr>
      <w:tr w14:paraId="77DE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377C0830">
            <w:pPr>
              <w:pStyle w:val="24"/>
              <w:bidi w:val="0"/>
              <w:rPr>
                <w:color w:val="auto"/>
              </w:rPr>
            </w:pPr>
          </w:p>
        </w:tc>
        <w:tc>
          <w:tcPr>
            <w:tcW w:w="1091" w:type="pct"/>
            <w:vMerge w:val="continue"/>
            <w:noWrap w:val="0"/>
            <w:vAlign w:val="center"/>
          </w:tcPr>
          <w:p w14:paraId="40711BED">
            <w:pPr>
              <w:pStyle w:val="24"/>
              <w:bidi w:val="0"/>
              <w:rPr>
                <w:color w:val="auto"/>
              </w:rPr>
            </w:pPr>
          </w:p>
        </w:tc>
        <w:tc>
          <w:tcPr>
            <w:tcW w:w="703" w:type="pct"/>
            <w:noWrap w:val="0"/>
            <w:vAlign w:val="center"/>
          </w:tcPr>
          <w:p w14:paraId="340D31E8">
            <w:pPr>
              <w:pStyle w:val="24"/>
              <w:bidi w:val="0"/>
              <w:rPr>
                <w:color w:val="auto"/>
              </w:rPr>
            </w:pPr>
            <w:r>
              <w:rPr>
                <w:rFonts w:hint="eastAsia"/>
                <w:color w:val="auto"/>
              </w:rPr>
              <w:t>防触电</w:t>
            </w:r>
          </w:p>
        </w:tc>
        <w:tc>
          <w:tcPr>
            <w:tcW w:w="1236" w:type="pct"/>
            <w:noWrap w:val="0"/>
            <w:vAlign w:val="center"/>
          </w:tcPr>
          <w:p w14:paraId="2F4D81A4">
            <w:pPr>
              <w:pStyle w:val="24"/>
              <w:bidi w:val="0"/>
              <w:rPr>
                <w:color w:val="auto"/>
              </w:rPr>
            </w:pPr>
            <w:r>
              <w:rPr>
                <w:rFonts w:hint="eastAsia"/>
                <w:color w:val="auto"/>
              </w:rPr>
              <w:t>接地、接零、屏护、防漏电</w:t>
            </w:r>
          </w:p>
        </w:tc>
        <w:tc>
          <w:tcPr>
            <w:tcW w:w="718" w:type="pct"/>
            <w:noWrap w:val="0"/>
            <w:vAlign w:val="center"/>
          </w:tcPr>
          <w:p w14:paraId="0EC1910F">
            <w:pPr>
              <w:pStyle w:val="24"/>
              <w:bidi w:val="0"/>
              <w:rPr>
                <w:color w:val="auto"/>
              </w:rPr>
            </w:pPr>
            <w:r>
              <w:rPr>
                <w:rFonts w:hint="eastAsia"/>
                <w:color w:val="auto"/>
              </w:rPr>
              <w:t>若干</w:t>
            </w:r>
          </w:p>
        </w:tc>
        <w:tc>
          <w:tcPr>
            <w:tcW w:w="859" w:type="pct"/>
            <w:noWrap w:val="0"/>
            <w:vAlign w:val="center"/>
          </w:tcPr>
          <w:p w14:paraId="5C47FF0A">
            <w:pPr>
              <w:pStyle w:val="24"/>
              <w:bidi w:val="0"/>
              <w:rPr>
                <w:color w:val="auto"/>
              </w:rPr>
            </w:pPr>
            <w:r>
              <w:rPr>
                <w:rFonts w:hint="eastAsia"/>
                <w:color w:val="auto"/>
              </w:rPr>
              <w:t>电机、电器设备、配电室</w:t>
            </w:r>
          </w:p>
        </w:tc>
      </w:tr>
      <w:tr w14:paraId="3FF0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4CC93242">
            <w:pPr>
              <w:pStyle w:val="24"/>
              <w:bidi w:val="0"/>
              <w:rPr>
                <w:color w:val="auto"/>
              </w:rPr>
            </w:pPr>
          </w:p>
        </w:tc>
        <w:tc>
          <w:tcPr>
            <w:tcW w:w="1091" w:type="pct"/>
            <w:vMerge w:val="continue"/>
            <w:noWrap w:val="0"/>
            <w:vAlign w:val="center"/>
          </w:tcPr>
          <w:p w14:paraId="2D9C964E">
            <w:pPr>
              <w:pStyle w:val="24"/>
              <w:bidi w:val="0"/>
              <w:rPr>
                <w:color w:val="auto"/>
              </w:rPr>
            </w:pPr>
          </w:p>
        </w:tc>
        <w:tc>
          <w:tcPr>
            <w:tcW w:w="703" w:type="pct"/>
            <w:noWrap w:val="0"/>
            <w:vAlign w:val="center"/>
          </w:tcPr>
          <w:p w14:paraId="39BA8763">
            <w:pPr>
              <w:pStyle w:val="24"/>
              <w:bidi w:val="0"/>
              <w:rPr>
                <w:color w:val="auto"/>
              </w:rPr>
            </w:pPr>
            <w:r>
              <w:rPr>
                <w:rFonts w:hint="eastAsia"/>
                <w:color w:val="auto"/>
              </w:rPr>
              <w:t>防起重伤害</w:t>
            </w:r>
          </w:p>
        </w:tc>
        <w:tc>
          <w:tcPr>
            <w:tcW w:w="1236" w:type="pct"/>
            <w:noWrap w:val="0"/>
            <w:vAlign w:val="center"/>
          </w:tcPr>
          <w:p w14:paraId="45252D4A">
            <w:pPr>
              <w:pStyle w:val="24"/>
              <w:bidi w:val="0"/>
              <w:rPr>
                <w:color w:val="auto"/>
              </w:rPr>
            </w:pPr>
            <w:r>
              <w:rPr>
                <w:rFonts w:hint="eastAsia"/>
                <w:color w:val="auto"/>
              </w:rPr>
              <w:t>联锁装置、操作室上方平台、限位装置等</w:t>
            </w:r>
          </w:p>
        </w:tc>
        <w:tc>
          <w:tcPr>
            <w:tcW w:w="718" w:type="pct"/>
            <w:noWrap w:val="0"/>
            <w:vAlign w:val="center"/>
          </w:tcPr>
          <w:p w14:paraId="7D185E13">
            <w:pPr>
              <w:pStyle w:val="24"/>
              <w:bidi w:val="0"/>
              <w:rPr>
                <w:color w:val="auto"/>
              </w:rPr>
            </w:pPr>
            <w:r>
              <w:rPr>
                <w:rFonts w:hint="eastAsia"/>
                <w:color w:val="auto"/>
              </w:rPr>
              <w:t>1</w:t>
            </w:r>
          </w:p>
        </w:tc>
        <w:tc>
          <w:tcPr>
            <w:tcW w:w="859" w:type="pct"/>
            <w:noWrap w:val="0"/>
            <w:vAlign w:val="center"/>
          </w:tcPr>
          <w:p w14:paraId="641D00F1">
            <w:pPr>
              <w:pStyle w:val="24"/>
              <w:bidi w:val="0"/>
              <w:rPr>
                <w:color w:val="auto"/>
              </w:rPr>
            </w:pPr>
            <w:r>
              <w:rPr>
                <w:rFonts w:hint="eastAsia"/>
                <w:color w:val="auto"/>
              </w:rPr>
              <w:t>各车间厂房等</w:t>
            </w:r>
          </w:p>
        </w:tc>
      </w:tr>
      <w:tr w14:paraId="246E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restart"/>
            <w:noWrap w:val="0"/>
            <w:vAlign w:val="center"/>
          </w:tcPr>
          <w:p w14:paraId="02A10BA0">
            <w:pPr>
              <w:pStyle w:val="24"/>
              <w:bidi w:val="0"/>
              <w:rPr>
                <w:color w:val="auto"/>
              </w:rPr>
            </w:pPr>
            <w:r>
              <w:rPr>
                <w:rFonts w:hint="eastAsia"/>
                <w:color w:val="auto"/>
              </w:rPr>
              <w:t>3</w:t>
            </w:r>
          </w:p>
        </w:tc>
        <w:tc>
          <w:tcPr>
            <w:tcW w:w="1091" w:type="pct"/>
            <w:vMerge w:val="restart"/>
            <w:noWrap w:val="0"/>
            <w:vAlign w:val="center"/>
          </w:tcPr>
          <w:p w14:paraId="590187C5">
            <w:pPr>
              <w:pStyle w:val="24"/>
              <w:bidi w:val="0"/>
              <w:rPr>
                <w:color w:val="auto"/>
              </w:rPr>
            </w:pPr>
            <w:r>
              <w:rPr>
                <w:rFonts w:hint="eastAsia"/>
                <w:color w:val="auto"/>
              </w:rPr>
              <w:t>作业场所的防护设施</w:t>
            </w:r>
          </w:p>
        </w:tc>
        <w:tc>
          <w:tcPr>
            <w:tcW w:w="703" w:type="pct"/>
            <w:noWrap w:val="0"/>
            <w:vAlign w:val="center"/>
          </w:tcPr>
          <w:p w14:paraId="7C7F155A">
            <w:pPr>
              <w:pStyle w:val="24"/>
              <w:bidi w:val="0"/>
              <w:rPr>
                <w:color w:val="auto"/>
              </w:rPr>
            </w:pPr>
            <w:r>
              <w:rPr>
                <w:rFonts w:hint="eastAsia"/>
                <w:color w:val="auto"/>
              </w:rPr>
              <w:t>防坠落设施</w:t>
            </w:r>
          </w:p>
        </w:tc>
        <w:tc>
          <w:tcPr>
            <w:tcW w:w="1236" w:type="pct"/>
            <w:noWrap w:val="0"/>
            <w:vAlign w:val="center"/>
          </w:tcPr>
          <w:p w14:paraId="7F0ED926">
            <w:pPr>
              <w:pStyle w:val="24"/>
              <w:bidi w:val="0"/>
              <w:rPr>
                <w:color w:val="auto"/>
              </w:rPr>
            </w:pPr>
            <w:r>
              <w:rPr>
                <w:rFonts w:hint="eastAsia"/>
                <w:color w:val="auto"/>
              </w:rPr>
              <w:t>安全栏杆、斜梯</w:t>
            </w:r>
          </w:p>
        </w:tc>
        <w:tc>
          <w:tcPr>
            <w:tcW w:w="718" w:type="pct"/>
            <w:noWrap w:val="0"/>
            <w:vAlign w:val="center"/>
          </w:tcPr>
          <w:p w14:paraId="00AD7E3B">
            <w:pPr>
              <w:pStyle w:val="24"/>
              <w:bidi w:val="0"/>
              <w:rPr>
                <w:color w:val="auto"/>
              </w:rPr>
            </w:pPr>
            <w:r>
              <w:rPr>
                <w:rFonts w:hint="eastAsia"/>
                <w:color w:val="auto"/>
              </w:rPr>
              <w:t>若干</w:t>
            </w:r>
          </w:p>
        </w:tc>
        <w:tc>
          <w:tcPr>
            <w:tcW w:w="859" w:type="pct"/>
            <w:noWrap w:val="0"/>
            <w:vAlign w:val="center"/>
          </w:tcPr>
          <w:p w14:paraId="42BA9270">
            <w:pPr>
              <w:pStyle w:val="24"/>
              <w:bidi w:val="0"/>
              <w:rPr>
                <w:color w:val="auto"/>
              </w:rPr>
            </w:pPr>
            <w:r>
              <w:rPr>
                <w:rFonts w:hint="eastAsia"/>
                <w:color w:val="auto"/>
              </w:rPr>
              <w:t>大于0.6m的平台、高坎、池</w:t>
            </w:r>
          </w:p>
        </w:tc>
      </w:tr>
      <w:tr w14:paraId="5F28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23228C27">
            <w:pPr>
              <w:pStyle w:val="24"/>
              <w:bidi w:val="0"/>
              <w:rPr>
                <w:color w:val="auto"/>
              </w:rPr>
            </w:pPr>
          </w:p>
        </w:tc>
        <w:tc>
          <w:tcPr>
            <w:tcW w:w="1091" w:type="pct"/>
            <w:vMerge w:val="continue"/>
            <w:noWrap w:val="0"/>
            <w:vAlign w:val="center"/>
          </w:tcPr>
          <w:p w14:paraId="7B2BBAA6">
            <w:pPr>
              <w:pStyle w:val="24"/>
              <w:bidi w:val="0"/>
              <w:rPr>
                <w:color w:val="auto"/>
              </w:rPr>
            </w:pPr>
          </w:p>
        </w:tc>
        <w:tc>
          <w:tcPr>
            <w:tcW w:w="703" w:type="pct"/>
            <w:noWrap w:val="0"/>
            <w:vAlign w:val="center"/>
          </w:tcPr>
          <w:p w14:paraId="70A80AE0">
            <w:pPr>
              <w:pStyle w:val="24"/>
              <w:bidi w:val="0"/>
              <w:rPr>
                <w:color w:val="auto"/>
              </w:rPr>
            </w:pPr>
            <w:r>
              <w:rPr>
                <w:rFonts w:hint="eastAsia"/>
                <w:color w:val="auto"/>
              </w:rPr>
              <w:t>防其他伤害</w:t>
            </w:r>
          </w:p>
        </w:tc>
        <w:tc>
          <w:tcPr>
            <w:tcW w:w="1236" w:type="pct"/>
            <w:noWrap w:val="0"/>
            <w:vAlign w:val="center"/>
          </w:tcPr>
          <w:p w14:paraId="44DB63E2">
            <w:pPr>
              <w:pStyle w:val="24"/>
              <w:bidi w:val="0"/>
              <w:rPr>
                <w:color w:val="auto"/>
              </w:rPr>
            </w:pPr>
            <w:r>
              <w:rPr>
                <w:rFonts w:hint="eastAsia"/>
                <w:color w:val="auto"/>
              </w:rPr>
              <w:t>地沟盖板</w:t>
            </w:r>
          </w:p>
        </w:tc>
        <w:tc>
          <w:tcPr>
            <w:tcW w:w="718" w:type="pct"/>
            <w:noWrap w:val="0"/>
            <w:vAlign w:val="center"/>
          </w:tcPr>
          <w:p w14:paraId="6CD14883">
            <w:pPr>
              <w:pStyle w:val="24"/>
              <w:bidi w:val="0"/>
              <w:rPr>
                <w:color w:val="auto"/>
              </w:rPr>
            </w:pPr>
            <w:r>
              <w:rPr>
                <w:rFonts w:hint="eastAsia"/>
                <w:color w:val="auto"/>
              </w:rPr>
              <w:t>若干</w:t>
            </w:r>
          </w:p>
        </w:tc>
        <w:tc>
          <w:tcPr>
            <w:tcW w:w="859" w:type="pct"/>
            <w:noWrap w:val="0"/>
            <w:vAlign w:val="center"/>
          </w:tcPr>
          <w:p w14:paraId="73E67C10">
            <w:pPr>
              <w:pStyle w:val="24"/>
              <w:bidi w:val="0"/>
              <w:rPr>
                <w:color w:val="auto"/>
              </w:rPr>
            </w:pPr>
            <w:r>
              <w:rPr>
                <w:rFonts w:hint="eastAsia"/>
                <w:color w:val="auto"/>
              </w:rPr>
              <w:t>地沟处</w:t>
            </w:r>
          </w:p>
        </w:tc>
      </w:tr>
      <w:tr w14:paraId="4C52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54FBDEE5">
            <w:pPr>
              <w:pStyle w:val="24"/>
              <w:bidi w:val="0"/>
              <w:rPr>
                <w:color w:val="auto"/>
              </w:rPr>
            </w:pPr>
          </w:p>
        </w:tc>
        <w:tc>
          <w:tcPr>
            <w:tcW w:w="1091" w:type="pct"/>
            <w:vMerge w:val="continue"/>
            <w:noWrap w:val="0"/>
            <w:vAlign w:val="center"/>
          </w:tcPr>
          <w:p w14:paraId="533F8BED">
            <w:pPr>
              <w:pStyle w:val="24"/>
              <w:bidi w:val="0"/>
              <w:rPr>
                <w:color w:val="auto"/>
              </w:rPr>
            </w:pPr>
          </w:p>
        </w:tc>
        <w:tc>
          <w:tcPr>
            <w:tcW w:w="703" w:type="pct"/>
            <w:noWrap w:val="0"/>
            <w:vAlign w:val="center"/>
          </w:tcPr>
          <w:p w14:paraId="653CC3B8">
            <w:pPr>
              <w:pStyle w:val="24"/>
              <w:bidi w:val="0"/>
              <w:rPr>
                <w:color w:val="auto"/>
              </w:rPr>
            </w:pPr>
            <w:r>
              <w:rPr>
                <w:rFonts w:hint="eastAsia"/>
                <w:color w:val="auto"/>
              </w:rPr>
              <w:t>防物体打击</w:t>
            </w:r>
          </w:p>
        </w:tc>
        <w:tc>
          <w:tcPr>
            <w:tcW w:w="1236" w:type="pct"/>
            <w:noWrap w:val="0"/>
            <w:vAlign w:val="center"/>
          </w:tcPr>
          <w:p w14:paraId="2EEA7D6F">
            <w:pPr>
              <w:pStyle w:val="24"/>
              <w:bidi w:val="0"/>
              <w:rPr>
                <w:color w:val="auto"/>
              </w:rPr>
            </w:pPr>
            <w:r>
              <w:rPr>
                <w:rFonts w:hint="eastAsia"/>
                <w:color w:val="auto"/>
              </w:rPr>
              <w:t>防护罩、踢脚板</w:t>
            </w:r>
          </w:p>
        </w:tc>
        <w:tc>
          <w:tcPr>
            <w:tcW w:w="718" w:type="pct"/>
            <w:noWrap w:val="0"/>
            <w:vAlign w:val="center"/>
          </w:tcPr>
          <w:p w14:paraId="2F300B72">
            <w:pPr>
              <w:pStyle w:val="24"/>
              <w:bidi w:val="0"/>
              <w:rPr>
                <w:color w:val="auto"/>
              </w:rPr>
            </w:pPr>
            <w:r>
              <w:rPr>
                <w:rFonts w:hint="eastAsia"/>
                <w:color w:val="auto"/>
              </w:rPr>
              <w:t>若干</w:t>
            </w:r>
          </w:p>
        </w:tc>
        <w:tc>
          <w:tcPr>
            <w:tcW w:w="859" w:type="pct"/>
            <w:noWrap w:val="0"/>
            <w:vAlign w:val="center"/>
          </w:tcPr>
          <w:p w14:paraId="28470B6C">
            <w:pPr>
              <w:pStyle w:val="24"/>
              <w:bidi w:val="0"/>
              <w:rPr>
                <w:color w:val="auto"/>
              </w:rPr>
            </w:pPr>
            <w:r>
              <w:rPr>
                <w:rFonts w:hint="eastAsia"/>
                <w:color w:val="auto"/>
              </w:rPr>
              <w:t>设备、平台</w:t>
            </w:r>
          </w:p>
        </w:tc>
      </w:tr>
      <w:tr w14:paraId="07AF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3FAC4C2C">
            <w:pPr>
              <w:pStyle w:val="24"/>
              <w:bidi w:val="0"/>
              <w:rPr>
                <w:color w:val="auto"/>
              </w:rPr>
            </w:pPr>
          </w:p>
        </w:tc>
        <w:tc>
          <w:tcPr>
            <w:tcW w:w="1091" w:type="pct"/>
            <w:vMerge w:val="continue"/>
            <w:noWrap w:val="0"/>
            <w:vAlign w:val="center"/>
          </w:tcPr>
          <w:p w14:paraId="7CBF7B39">
            <w:pPr>
              <w:pStyle w:val="24"/>
              <w:bidi w:val="0"/>
              <w:rPr>
                <w:color w:val="auto"/>
              </w:rPr>
            </w:pPr>
          </w:p>
        </w:tc>
        <w:tc>
          <w:tcPr>
            <w:tcW w:w="703" w:type="pct"/>
            <w:noWrap w:val="0"/>
            <w:vAlign w:val="center"/>
          </w:tcPr>
          <w:p w14:paraId="622105A3">
            <w:pPr>
              <w:pStyle w:val="24"/>
              <w:bidi w:val="0"/>
              <w:rPr>
                <w:color w:val="auto"/>
              </w:rPr>
            </w:pPr>
            <w:r>
              <w:rPr>
                <w:rFonts w:hint="eastAsia"/>
                <w:color w:val="auto"/>
              </w:rPr>
              <w:t>防淹溺</w:t>
            </w:r>
          </w:p>
        </w:tc>
        <w:tc>
          <w:tcPr>
            <w:tcW w:w="1236" w:type="pct"/>
            <w:noWrap w:val="0"/>
            <w:vAlign w:val="center"/>
          </w:tcPr>
          <w:p w14:paraId="6431D72B">
            <w:pPr>
              <w:pStyle w:val="24"/>
              <w:bidi w:val="0"/>
              <w:rPr>
                <w:color w:val="auto"/>
              </w:rPr>
            </w:pPr>
            <w:r>
              <w:rPr>
                <w:rFonts w:hint="eastAsia"/>
                <w:color w:val="auto"/>
              </w:rPr>
              <w:t>防护栏杆</w:t>
            </w:r>
          </w:p>
        </w:tc>
        <w:tc>
          <w:tcPr>
            <w:tcW w:w="718" w:type="pct"/>
            <w:noWrap w:val="0"/>
            <w:vAlign w:val="center"/>
          </w:tcPr>
          <w:p w14:paraId="5321475B">
            <w:pPr>
              <w:pStyle w:val="24"/>
              <w:bidi w:val="0"/>
              <w:rPr>
                <w:color w:val="auto"/>
              </w:rPr>
            </w:pPr>
            <w:r>
              <w:rPr>
                <w:rFonts w:hint="eastAsia"/>
                <w:color w:val="auto"/>
              </w:rPr>
              <w:t>若干</w:t>
            </w:r>
          </w:p>
        </w:tc>
        <w:tc>
          <w:tcPr>
            <w:tcW w:w="859" w:type="pct"/>
            <w:noWrap w:val="0"/>
            <w:vAlign w:val="center"/>
          </w:tcPr>
          <w:p w14:paraId="1E666FE5">
            <w:pPr>
              <w:pStyle w:val="24"/>
              <w:bidi w:val="0"/>
              <w:rPr>
                <w:color w:val="auto"/>
              </w:rPr>
            </w:pPr>
            <w:r>
              <w:rPr>
                <w:rFonts w:hint="eastAsia"/>
                <w:color w:val="auto"/>
              </w:rPr>
              <w:t>水池</w:t>
            </w:r>
          </w:p>
        </w:tc>
      </w:tr>
      <w:tr w14:paraId="0790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5912A648">
            <w:pPr>
              <w:pStyle w:val="24"/>
              <w:bidi w:val="0"/>
              <w:rPr>
                <w:color w:val="auto"/>
              </w:rPr>
            </w:pPr>
          </w:p>
        </w:tc>
        <w:tc>
          <w:tcPr>
            <w:tcW w:w="1091" w:type="pct"/>
            <w:vMerge w:val="continue"/>
            <w:noWrap w:val="0"/>
            <w:vAlign w:val="center"/>
          </w:tcPr>
          <w:p w14:paraId="5E6B48C0">
            <w:pPr>
              <w:pStyle w:val="24"/>
              <w:bidi w:val="0"/>
              <w:rPr>
                <w:color w:val="auto"/>
              </w:rPr>
            </w:pPr>
          </w:p>
        </w:tc>
        <w:tc>
          <w:tcPr>
            <w:tcW w:w="703" w:type="pct"/>
            <w:noWrap w:val="0"/>
            <w:vAlign w:val="center"/>
          </w:tcPr>
          <w:p w14:paraId="7D88DD4C">
            <w:pPr>
              <w:pStyle w:val="24"/>
              <w:bidi w:val="0"/>
              <w:rPr>
                <w:color w:val="auto"/>
              </w:rPr>
            </w:pPr>
            <w:r>
              <w:rPr>
                <w:rFonts w:hint="eastAsia"/>
                <w:color w:val="auto"/>
              </w:rPr>
              <w:t>除尘</w:t>
            </w:r>
          </w:p>
        </w:tc>
        <w:tc>
          <w:tcPr>
            <w:tcW w:w="1236" w:type="pct"/>
            <w:noWrap w:val="0"/>
            <w:vAlign w:val="center"/>
          </w:tcPr>
          <w:p w14:paraId="644CB5A7">
            <w:pPr>
              <w:pStyle w:val="24"/>
              <w:bidi w:val="0"/>
              <w:rPr>
                <w:color w:val="auto"/>
              </w:rPr>
            </w:pPr>
            <w:r>
              <w:rPr>
                <w:rFonts w:hint="eastAsia"/>
                <w:color w:val="auto"/>
              </w:rPr>
              <w:t>除尘设施</w:t>
            </w:r>
          </w:p>
        </w:tc>
        <w:tc>
          <w:tcPr>
            <w:tcW w:w="718" w:type="pct"/>
            <w:noWrap w:val="0"/>
            <w:vAlign w:val="center"/>
          </w:tcPr>
          <w:p w14:paraId="67CD261B">
            <w:pPr>
              <w:pStyle w:val="24"/>
              <w:bidi w:val="0"/>
              <w:rPr>
                <w:color w:val="auto"/>
              </w:rPr>
            </w:pPr>
            <w:r>
              <w:rPr>
                <w:rFonts w:hint="eastAsia"/>
                <w:color w:val="auto"/>
              </w:rPr>
              <w:t>2</w:t>
            </w:r>
          </w:p>
        </w:tc>
        <w:tc>
          <w:tcPr>
            <w:tcW w:w="859" w:type="pct"/>
            <w:noWrap w:val="0"/>
            <w:vAlign w:val="center"/>
          </w:tcPr>
          <w:p w14:paraId="67DB1C8D">
            <w:pPr>
              <w:pStyle w:val="24"/>
              <w:bidi w:val="0"/>
              <w:rPr>
                <w:color w:val="auto"/>
              </w:rPr>
            </w:pPr>
            <w:r>
              <w:rPr>
                <w:rFonts w:hint="eastAsia"/>
                <w:color w:val="auto"/>
              </w:rPr>
              <w:t>皮带</w:t>
            </w:r>
          </w:p>
        </w:tc>
      </w:tr>
      <w:tr w14:paraId="50C2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2E1E9F78">
            <w:pPr>
              <w:pStyle w:val="24"/>
              <w:bidi w:val="0"/>
              <w:rPr>
                <w:color w:val="auto"/>
              </w:rPr>
            </w:pPr>
          </w:p>
        </w:tc>
        <w:tc>
          <w:tcPr>
            <w:tcW w:w="1091" w:type="pct"/>
            <w:vMerge w:val="continue"/>
            <w:noWrap w:val="0"/>
            <w:vAlign w:val="center"/>
          </w:tcPr>
          <w:p w14:paraId="2C215857">
            <w:pPr>
              <w:pStyle w:val="24"/>
              <w:bidi w:val="0"/>
              <w:rPr>
                <w:color w:val="auto"/>
              </w:rPr>
            </w:pPr>
          </w:p>
        </w:tc>
        <w:tc>
          <w:tcPr>
            <w:tcW w:w="703" w:type="pct"/>
            <w:noWrap w:val="0"/>
            <w:vAlign w:val="center"/>
          </w:tcPr>
          <w:p w14:paraId="17542F19">
            <w:pPr>
              <w:pStyle w:val="24"/>
              <w:bidi w:val="0"/>
              <w:rPr>
                <w:color w:val="auto"/>
              </w:rPr>
            </w:pPr>
            <w:r>
              <w:rPr>
                <w:rFonts w:hint="eastAsia"/>
                <w:color w:val="auto"/>
              </w:rPr>
              <w:t>防噪音</w:t>
            </w:r>
          </w:p>
        </w:tc>
        <w:tc>
          <w:tcPr>
            <w:tcW w:w="1236" w:type="pct"/>
            <w:noWrap w:val="0"/>
            <w:vAlign w:val="center"/>
          </w:tcPr>
          <w:p w14:paraId="2FCF1C0C">
            <w:pPr>
              <w:pStyle w:val="24"/>
              <w:bidi w:val="0"/>
              <w:rPr>
                <w:color w:val="auto"/>
              </w:rPr>
            </w:pPr>
            <w:r>
              <w:rPr>
                <w:rFonts w:hint="eastAsia"/>
                <w:color w:val="auto"/>
              </w:rPr>
              <w:t>隔音室、耳塞、橡胶垫圈</w:t>
            </w:r>
          </w:p>
        </w:tc>
        <w:tc>
          <w:tcPr>
            <w:tcW w:w="718" w:type="pct"/>
            <w:noWrap w:val="0"/>
            <w:vAlign w:val="center"/>
          </w:tcPr>
          <w:p w14:paraId="1B9F44DA">
            <w:pPr>
              <w:pStyle w:val="24"/>
              <w:bidi w:val="0"/>
              <w:rPr>
                <w:color w:val="auto"/>
              </w:rPr>
            </w:pPr>
            <w:r>
              <w:rPr>
                <w:rFonts w:hint="eastAsia"/>
                <w:color w:val="auto"/>
              </w:rPr>
              <w:t>若干</w:t>
            </w:r>
          </w:p>
        </w:tc>
        <w:tc>
          <w:tcPr>
            <w:tcW w:w="859" w:type="pct"/>
            <w:noWrap w:val="0"/>
            <w:vAlign w:val="center"/>
          </w:tcPr>
          <w:p w14:paraId="6831CC13">
            <w:pPr>
              <w:pStyle w:val="24"/>
              <w:bidi w:val="0"/>
              <w:rPr>
                <w:color w:val="auto"/>
              </w:rPr>
            </w:pPr>
            <w:r>
              <w:rPr>
                <w:rFonts w:hint="eastAsia"/>
                <w:color w:val="auto"/>
              </w:rPr>
              <w:t>泵房</w:t>
            </w:r>
          </w:p>
        </w:tc>
      </w:tr>
      <w:tr w14:paraId="3916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noWrap w:val="0"/>
            <w:vAlign w:val="center"/>
          </w:tcPr>
          <w:p w14:paraId="0C9E4BF3">
            <w:pPr>
              <w:pStyle w:val="24"/>
              <w:bidi w:val="0"/>
              <w:rPr>
                <w:color w:val="auto"/>
              </w:rPr>
            </w:pPr>
            <w:r>
              <w:rPr>
                <w:rFonts w:hint="eastAsia"/>
                <w:color w:val="auto"/>
              </w:rPr>
              <w:t>4</w:t>
            </w:r>
          </w:p>
        </w:tc>
        <w:tc>
          <w:tcPr>
            <w:tcW w:w="1091" w:type="pct"/>
            <w:noWrap w:val="0"/>
            <w:vAlign w:val="center"/>
          </w:tcPr>
          <w:p w14:paraId="5A4101A0">
            <w:pPr>
              <w:pStyle w:val="24"/>
              <w:bidi w:val="0"/>
              <w:rPr>
                <w:color w:val="auto"/>
              </w:rPr>
            </w:pPr>
            <w:r>
              <w:rPr>
                <w:rFonts w:hint="eastAsia"/>
                <w:color w:val="auto"/>
              </w:rPr>
              <w:t>安全警示标标识</w:t>
            </w:r>
          </w:p>
        </w:tc>
        <w:tc>
          <w:tcPr>
            <w:tcW w:w="1940" w:type="pct"/>
            <w:gridSpan w:val="2"/>
            <w:noWrap w:val="0"/>
            <w:vAlign w:val="center"/>
          </w:tcPr>
          <w:p w14:paraId="7384EB81">
            <w:pPr>
              <w:pStyle w:val="24"/>
              <w:bidi w:val="0"/>
              <w:rPr>
                <w:color w:val="auto"/>
              </w:rPr>
            </w:pPr>
            <w:r>
              <w:rPr>
                <w:rFonts w:hint="eastAsia"/>
                <w:color w:val="auto"/>
              </w:rPr>
              <w:t>禁止烟火、正在运行、停止工作、</w:t>
            </w:r>
          </w:p>
          <w:p w14:paraId="33454143">
            <w:pPr>
              <w:pStyle w:val="24"/>
              <w:bidi w:val="0"/>
              <w:rPr>
                <w:color w:val="auto"/>
              </w:rPr>
            </w:pPr>
            <w:r>
              <w:rPr>
                <w:rFonts w:hint="eastAsia"/>
                <w:color w:val="auto"/>
              </w:rPr>
              <w:t>检修中、有电危险、禁止合闸、当心机械伤人等</w:t>
            </w:r>
          </w:p>
        </w:tc>
        <w:tc>
          <w:tcPr>
            <w:tcW w:w="718" w:type="pct"/>
            <w:noWrap w:val="0"/>
            <w:vAlign w:val="center"/>
          </w:tcPr>
          <w:p w14:paraId="23150975">
            <w:pPr>
              <w:pStyle w:val="24"/>
              <w:bidi w:val="0"/>
              <w:rPr>
                <w:color w:val="auto"/>
              </w:rPr>
            </w:pPr>
            <w:r>
              <w:rPr>
                <w:rFonts w:hint="eastAsia"/>
                <w:color w:val="auto"/>
              </w:rPr>
              <w:t>若干</w:t>
            </w:r>
          </w:p>
        </w:tc>
        <w:tc>
          <w:tcPr>
            <w:tcW w:w="859" w:type="pct"/>
            <w:noWrap w:val="0"/>
            <w:vAlign w:val="center"/>
          </w:tcPr>
          <w:p w14:paraId="712B3B25">
            <w:pPr>
              <w:pStyle w:val="24"/>
              <w:bidi w:val="0"/>
              <w:rPr>
                <w:color w:val="auto"/>
              </w:rPr>
            </w:pPr>
            <w:r>
              <w:rPr>
                <w:rFonts w:hint="eastAsia"/>
                <w:color w:val="auto"/>
              </w:rPr>
              <w:t>车间、厂区、堆场、配电车间等</w:t>
            </w:r>
          </w:p>
        </w:tc>
      </w:tr>
      <w:tr w14:paraId="4EF1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6"/>
            <w:noWrap w:val="0"/>
            <w:vAlign w:val="center"/>
          </w:tcPr>
          <w:p w14:paraId="18285FA1">
            <w:pPr>
              <w:pStyle w:val="24"/>
              <w:bidi w:val="0"/>
              <w:rPr>
                <w:color w:val="auto"/>
              </w:rPr>
            </w:pPr>
            <w:r>
              <w:rPr>
                <w:rFonts w:hint="eastAsia"/>
                <w:color w:val="auto"/>
              </w:rPr>
              <w:t>二、控制事故安全设施</w:t>
            </w:r>
          </w:p>
        </w:tc>
      </w:tr>
      <w:tr w14:paraId="1DA8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restart"/>
            <w:noWrap w:val="0"/>
            <w:vAlign w:val="center"/>
          </w:tcPr>
          <w:p w14:paraId="6E9899B5">
            <w:pPr>
              <w:pStyle w:val="24"/>
              <w:bidi w:val="0"/>
              <w:rPr>
                <w:color w:val="auto"/>
              </w:rPr>
            </w:pPr>
            <w:r>
              <w:rPr>
                <w:rFonts w:hint="eastAsia"/>
                <w:color w:val="auto"/>
              </w:rPr>
              <w:t>1</w:t>
            </w:r>
          </w:p>
        </w:tc>
        <w:tc>
          <w:tcPr>
            <w:tcW w:w="1795" w:type="pct"/>
            <w:gridSpan w:val="2"/>
            <w:vMerge w:val="restart"/>
            <w:noWrap w:val="0"/>
            <w:vAlign w:val="center"/>
          </w:tcPr>
          <w:p w14:paraId="0CC83486">
            <w:pPr>
              <w:pStyle w:val="24"/>
              <w:bidi w:val="0"/>
              <w:rPr>
                <w:color w:val="auto"/>
              </w:rPr>
            </w:pPr>
            <w:r>
              <w:rPr>
                <w:rFonts w:hint="eastAsia"/>
                <w:color w:val="auto"/>
              </w:rPr>
              <w:t>紧急处理设施</w:t>
            </w:r>
          </w:p>
        </w:tc>
        <w:tc>
          <w:tcPr>
            <w:tcW w:w="1236" w:type="pct"/>
            <w:noWrap w:val="0"/>
            <w:vAlign w:val="center"/>
          </w:tcPr>
          <w:p w14:paraId="5B0CC1A5">
            <w:pPr>
              <w:pStyle w:val="24"/>
              <w:bidi w:val="0"/>
              <w:rPr>
                <w:color w:val="auto"/>
              </w:rPr>
            </w:pPr>
            <w:r>
              <w:rPr>
                <w:rFonts w:hint="eastAsia"/>
                <w:color w:val="auto"/>
              </w:rPr>
              <w:t>联锁装置</w:t>
            </w:r>
          </w:p>
        </w:tc>
        <w:tc>
          <w:tcPr>
            <w:tcW w:w="718" w:type="pct"/>
            <w:noWrap w:val="0"/>
            <w:vAlign w:val="center"/>
          </w:tcPr>
          <w:p w14:paraId="059081EC">
            <w:pPr>
              <w:pStyle w:val="24"/>
              <w:bidi w:val="0"/>
              <w:rPr>
                <w:color w:val="auto"/>
              </w:rPr>
            </w:pPr>
            <w:r>
              <w:rPr>
                <w:rFonts w:hint="eastAsia"/>
                <w:color w:val="auto"/>
              </w:rPr>
              <w:t>若干</w:t>
            </w:r>
          </w:p>
        </w:tc>
        <w:tc>
          <w:tcPr>
            <w:tcW w:w="859" w:type="pct"/>
            <w:noWrap w:val="0"/>
            <w:vAlign w:val="center"/>
          </w:tcPr>
          <w:p w14:paraId="1F7B71FB">
            <w:pPr>
              <w:pStyle w:val="24"/>
              <w:bidi w:val="0"/>
              <w:rPr>
                <w:color w:val="auto"/>
              </w:rPr>
            </w:pPr>
            <w:r>
              <w:rPr>
                <w:rFonts w:hint="eastAsia"/>
                <w:color w:val="auto"/>
              </w:rPr>
              <w:t>工艺流程</w:t>
            </w:r>
          </w:p>
        </w:tc>
      </w:tr>
      <w:tr w14:paraId="2555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3FA294C4">
            <w:pPr>
              <w:pStyle w:val="24"/>
              <w:bidi w:val="0"/>
              <w:rPr>
                <w:color w:val="auto"/>
              </w:rPr>
            </w:pPr>
          </w:p>
        </w:tc>
        <w:tc>
          <w:tcPr>
            <w:tcW w:w="1795" w:type="pct"/>
            <w:gridSpan w:val="2"/>
            <w:vMerge w:val="continue"/>
            <w:noWrap w:val="0"/>
            <w:vAlign w:val="center"/>
          </w:tcPr>
          <w:p w14:paraId="16477153">
            <w:pPr>
              <w:pStyle w:val="24"/>
              <w:bidi w:val="0"/>
              <w:rPr>
                <w:color w:val="auto"/>
              </w:rPr>
            </w:pPr>
          </w:p>
        </w:tc>
        <w:tc>
          <w:tcPr>
            <w:tcW w:w="1236" w:type="pct"/>
            <w:noWrap w:val="0"/>
            <w:vAlign w:val="center"/>
          </w:tcPr>
          <w:p w14:paraId="44D9C52F">
            <w:pPr>
              <w:pStyle w:val="24"/>
              <w:bidi w:val="0"/>
              <w:rPr>
                <w:color w:val="auto"/>
              </w:rPr>
            </w:pPr>
            <w:r>
              <w:rPr>
                <w:rFonts w:hint="eastAsia"/>
                <w:color w:val="auto"/>
              </w:rPr>
              <w:t>紧停装置（设备按钮、事故拉绳开关）、带式输送机</w:t>
            </w:r>
            <w:r>
              <w:rPr>
                <w:color w:val="auto"/>
              </w:rPr>
              <w:t>防跑偏装置</w:t>
            </w:r>
          </w:p>
        </w:tc>
        <w:tc>
          <w:tcPr>
            <w:tcW w:w="718" w:type="pct"/>
            <w:noWrap w:val="0"/>
            <w:vAlign w:val="center"/>
          </w:tcPr>
          <w:p w14:paraId="48DF2AD3">
            <w:pPr>
              <w:pStyle w:val="24"/>
              <w:bidi w:val="0"/>
              <w:rPr>
                <w:color w:val="auto"/>
              </w:rPr>
            </w:pPr>
            <w:r>
              <w:rPr>
                <w:rFonts w:hint="eastAsia"/>
                <w:color w:val="auto"/>
              </w:rPr>
              <w:t>若干</w:t>
            </w:r>
          </w:p>
        </w:tc>
        <w:tc>
          <w:tcPr>
            <w:tcW w:w="859" w:type="pct"/>
            <w:noWrap w:val="0"/>
            <w:vAlign w:val="center"/>
          </w:tcPr>
          <w:p w14:paraId="19FB6579">
            <w:pPr>
              <w:pStyle w:val="24"/>
              <w:bidi w:val="0"/>
              <w:rPr>
                <w:color w:val="auto"/>
              </w:rPr>
            </w:pPr>
            <w:r>
              <w:rPr>
                <w:rFonts w:hint="eastAsia"/>
                <w:color w:val="auto"/>
              </w:rPr>
              <w:t>厂房</w:t>
            </w:r>
          </w:p>
        </w:tc>
      </w:tr>
      <w:tr w14:paraId="7515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6"/>
            <w:noWrap w:val="0"/>
            <w:vAlign w:val="center"/>
          </w:tcPr>
          <w:p w14:paraId="675CBCC2">
            <w:pPr>
              <w:pStyle w:val="24"/>
              <w:bidi w:val="0"/>
              <w:rPr>
                <w:color w:val="auto"/>
              </w:rPr>
            </w:pPr>
            <w:r>
              <w:rPr>
                <w:rFonts w:hint="eastAsia"/>
                <w:color w:val="auto"/>
              </w:rPr>
              <w:t>三、减少与消除事故安全设施</w:t>
            </w:r>
          </w:p>
        </w:tc>
      </w:tr>
      <w:tr w14:paraId="54B3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restart"/>
            <w:noWrap w:val="0"/>
            <w:vAlign w:val="center"/>
          </w:tcPr>
          <w:p w14:paraId="3493B443">
            <w:pPr>
              <w:pStyle w:val="24"/>
              <w:bidi w:val="0"/>
              <w:rPr>
                <w:color w:val="auto"/>
              </w:rPr>
            </w:pPr>
            <w:r>
              <w:rPr>
                <w:rFonts w:hint="eastAsia"/>
                <w:color w:val="auto"/>
              </w:rPr>
              <w:t>1</w:t>
            </w:r>
          </w:p>
        </w:tc>
        <w:tc>
          <w:tcPr>
            <w:tcW w:w="1795" w:type="pct"/>
            <w:gridSpan w:val="2"/>
            <w:vMerge w:val="restart"/>
            <w:noWrap w:val="0"/>
            <w:vAlign w:val="center"/>
          </w:tcPr>
          <w:p w14:paraId="4942A065">
            <w:pPr>
              <w:pStyle w:val="24"/>
              <w:bidi w:val="0"/>
              <w:rPr>
                <w:color w:val="auto"/>
              </w:rPr>
            </w:pPr>
            <w:r>
              <w:rPr>
                <w:rFonts w:hint="eastAsia"/>
                <w:color w:val="auto"/>
              </w:rPr>
              <w:t>防止火灾蔓延设施</w:t>
            </w:r>
          </w:p>
        </w:tc>
        <w:tc>
          <w:tcPr>
            <w:tcW w:w="1236" w:type="pct"/>
            <w:noWrap w:val="0"/>
            <w:vAlign w:val="center"/>
          </w:tcPr>
          <w:p w14:paraId="49464A76">
            <w:pPr>
              <w:pStyle w:val="24"/>
              <w:bidi w:val="0"/>
              <w:rPr>
                <w:color w:val="auto"/>
              </w:rPr>
            </w:pPr>
            <w:r>
              <w:rPr>
                <w:rFonts w:hint="eastAsia"/>
                <w:color w:val="auto"/>
              </w:rPr>
              <w:t>防火涂料</w:t>
            </w:r>
          </w:p>
        </w:tc>
        <w:tc>
          <w:tcPr>
            <w:tcW w:w="718" w:type="pct"/>
            <w:noWrap w:val="0"/>
            <w:vAlign w:val="center"/>
          </w:tcPr>
          <w:p w14:paraId="55138F86">
            <w:pPr>
              <w:pStyle w:val="24"/>
              <w:bidi w:val="0"/>
              <w:rPr>
                <w:color w:val="auto"/>
              </w:rPr>
            </w:pPr>
            <w:r>
              <w:rPr>
                <w:rFonts w:hint="eastAsia"/>
                <w:color w:val="auto"/>
              </w:rPr>
              <w:t>若干</w:t>
            </w:r>
          </w:p>
        </w:tc>
        <w:tc>
          <w:tcPr>
            <w:tcW w:w="859" w:type="pct"/>
            <w:noWrap w:val="0"/>
            <w:vAlign w:val="center"/>
          </w:tcPr>
          <w:p w14:paraId="67D29E1B">
            <w:pPr>
              <w:pStyle w:val="24"/>
              <w:bidi w:val="0"/>
              <w:rPr>
                <w:color w:val="auto"/>
              </w:rPr>
            </w:pPr>
            <w:r>
              <w:rPr>
                <w:rFonts w:hint="eastAsia"/>
                <w:color w:val="auto"/>
              </w:rPr>
              <w:t>建筑物</w:t>
            </w:r>
          </w:p>
        </w:tc>
      </w:tr>
      <w:tr w14:paraId="5310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720C8C8E">
            <w:pPr>
              <w:pStyle w:val="24"/>
              <w:bidi w:val="0"/>
              <w:rPr>
                <w:color w:val="auto"/>
              </w:rPr>
            </w:pPr>
          </w:p>
        </w:tc>
        <w:tc>
          <w:tcPr>
            <w:tcW w:w="1795" w:type="pct"/>
            <w:gridSpan w:val="2"/>
            <w:vMerge w:val="continue"/>
            <w:noWrap w:val="0"/>
            <w:vAlign w:val="center"/>
          </w:tcPr>
          <w:p w14:paraId="628EAE40">
            <w:pPr>
              <w:pStyle w:val="24"/>
              <w:bidi w:val="0"/>
              <w:rPr>
                <w:color w:val="auto"/>
              </w:rPr>
            </w:pPr>
          </w:p>
        </w:tc>
        <w:tc>
          <w:tcPr>
            <w:tcW w:w="1236" w:type="pct"/>
            <w:noWrap w:val="0"/>
            <w:vAlign w:val="center"/>
          </w:tcPr>
          <w:p w14:paraId="6C05B17F">
            <w:pPr>
              <w:pStyle w:val="24"/>
              <w:bidi w:val="0"/>
              <w:rPr>
                <w:color w:val="auto"/>
              </w:rPr>
            </w:pPr>
            <w:r>
              <w:rPr>
                <w:rFonts w:hint="eastAsia"/>
                <w:color w:val="auto"/>
              </w:rPr>
              <w:t>围墙</w:t>
            </w:r>
          </w:p>
        </w:tc>
        <w:tc>
          <w:tcPr>
            <w:tcW w:w="718" w:type="pct"/>
            <w:noWrap w:val="0"/>
            <w:vAlign w:val="center"/>
          </w:tcPr>
          <w:p w14:paraId="5C7633DE">
            <w:pPr>
              <w:pStyle w:val="24"/>
              <w:bidi w:val="0"/>
              <w:rPr>
                <w:color w:val="auto"/>
              </w:rPr>
            </w:pPr>
            <w:r>
              <w:rPr>
                <w:rFonts w:hint="eastAsia"/>
                <w:color w:val="auto"/>
              </w:rPr>
              <w:t>若干</w:t>
            </w:r>
          </w:p>
        </w:tc>
        <w:tc>
          <w:tcPr>
            <w:tcW w:w="859" w:type="pct"/>
            <w:noWrap w:val="0"/>
            <w:vAlign w:val="center"/>
          </w:tcPr>
          <w:p w14:paraId="393B9397">
            <w:pPr>
              <w:pStyle w:val="24"/>
              <w:bidi w:val="0"/>
              <w:rPr>
                <w:color w:val="auto"/>
              </w:rPr>
            </w:pPr>
            <w:r>
              <w:rPr>
                <w:rFonts w:hint="eastAsia"/>
                <w:color w:val="auto"/>
              </w:rPr>
              <w:t>厂房</w:t>
            </w:r>
          </w:p>
        </w:tc>
      </w:tr>
      <w:tr w14:paraId="11B9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noWrap w:val="0"/>
            <w:vAlign w:val="center"/>
          </w:tcPr>
          <w:p w14:paraId="7D24E897">
            <w:pPr>
              <w:pStyle w:val="24"/>
              <w:bidi w:val="0"/>
              <w:rPr>
                <w:color w:val="auto"/>
              </w:rPr>
            </w:pPr>
            <w:r>
              <w:rPr>
                <w:rFonts w:hint="eastAsia"/>
                <w:color w:val="auto"/>
              </w:rPr>
              <w:t>2</w:t>
            </w:r>
          </w:p>
        </w:tc>
        <w:tc>
          <w:tcPr>
            <w:tcW w:w="1795" w:type="pct"/>
            <w:gridSpan w:val="2"/>
            <w:noWrap w:val="0"/>
            <w:vAlign w:val="center"/>
          </w:tcPr>
          <w:p w14:paraId="2E14E681">
            <w:pPr>
              <w:pStyle w:val="24"/>
              <w:bidi w:val="0"/>
              <w:rPr>
                <w:color w:val="auto"/>
              </w:rPr>
            </w:pPr>
            <w:r>
              <w:rPr>
                <w:rFonts w:hint="eastAsia"/>
                <w:color w:val="auto"/>
              </w:rPr>
              <w:t>灭火设施</w:t>
            </w:r>
          </w:p>
        </w:tc>
        <w:tc>
          <w:tcPr>
            <w:tcW w:w="1236" w:type="pct"/>
            <w:noWrap w:val="0"/>
            <w:vAlign w:val="center"/>
          </w:tcPr>
          <w:p w14:paraId="5D2784FC">
            <w:pPr>
              <w:pStyle w:val="24"/>
              <w:bidi w:val="0"/>
              <w:rPr>
                <w:color w:val="auto"/>
              </w:rPr>
            </w:pPr>
            <w:r>
              <w:rPr>
                <w:rFonts w:hint="eastAsia"/>
                <w:color w:val="auto"/>
              </w:rPr>
              <w:t>灭火器</w:t>
            </w:r>
          </w:p>
        </w:tc>
        <w:tc>
          <w:tcPr>
            <w:tcW w:w="718" w:type="pct"/>
            <w:noWrap w:val="0"/>
            <w:vAlign w:val="center"/>
          </w:tcPr>
          <w:p w14:paraId="2309F7BE">
            <w:pPr>
              <w:pStyle w:val="24"/>
              <w:bidi w:val="0"/>
              <w:rPr>
                <w:rFonts w:hint="default" w:eastAsia="宋体"/>
                <w:color w:val="auto"/>
                <w:lang w:val="en-US" w:eastAsia="zh-CN"/>
              </w:rPr>
            </w:pPr>
            <w:r>
              <w:rPr>
                <w:rFonts w:hint="eastAsia"/>
                <w:color w:val="auto"/>
                <w:lang w:val="en-US" w:eastAsia="zh-CN"/>
              </w:rPr>
              <w:t>26</w:t>
            </w:r>
          </w:p>
        </w:tc>
        <w:tc>
          <w:tcPr>
            <w:tcW w:w="859" w:type="pct"/>
            <w:noWrap w:val="0"/>
            <w:vAlign w:val="center"/>
          </w:tcPr>
          <w:p w14:paraId="7B7DDBA1">
            <w:pPr>
              <w:pStyle w:val="24"/>
              <w:bidi w:val="0"/>
              <w:rPr>
                <w:rFonts w:hint="default" w:eastAsia="宋体"/>
                <w:color w:val="auto"/>
                <w:lang w:val="en-US" w:eastAsia="zh-CN"/>
              </w:rPr>
            </w:pPr>
            <w:r>
              <w:rPr>
                <w:rFonts w:hint="eastAsia"/>
                <w:color w:val="auto"/>
                <w:lang w:val="en-US" w:eastAsia="zh-CN"/>
              </w:rPr>
              <w:t>各厂房、配电柜旁</w:t>
            </w:r>
          </w:p>
        </w:tc>
      </w:tr>
      <w:tr w14:paraId="17D7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restart"/>
            <w:noWrap w:val="0"/>
            <w:vAlign w:val="center"/>
          </w:tcPr>
          <w:p w14:paraId="3FD99213">
            <w:pPr>
              <w:pStyle w:val="24"/>
              <w:bidi w:val="0"/>
              <w:rPr>
                <w:color w:val="auto"/>
              </w:rPr>
            </w:pPr>
            <w:r>
              <w:rPr>
                <w:rFonts w:hint="eastAsia"/>
                <w:color w:val="auto"/>
              </w:rPr>
              <w:t>3</w:t>
            </w:r>
          </w:p>
        </w:tc>
        <w:tc>
          <w:tcPr>
            <w:tcW w:w="1795" w:type="pct"/>
            <w:gridSpan w:val="2"/>
            <w:vMerge w:val="restart"/>
            <w:noWrap w:val="0"/>
            <w:vAlign w:val="center"/>
          </w:tcPr>
          <w:p w14:paraId="5227A072">
            <w:pPr>
              <w:pStyle w:val="24"/>
              <w:bidi w:val="0"/>
              <w:rPr>
                <w:color w:val="auto"/>
              </w:rPr>
            </w:pPr>
            <w:r>
              <w:rPr>
                <w:rFonts w:hint="eastAsia"/>
                <w:color w:val="auto"/>
              </w:rPr>
              <w:t>应急救援设施</w:t>
            </w:r>
          </w:p>
        </w:tc>
        <w:tc>
          <w:tcPr>
            <w:tcW w:w="1236" w:type="pct"/>
            <w:noWrap w:val="0"/>
            <w:vAlign w:val="center"/>
          </w:tcPr>
          <w:p w14:paraId="0E707D0B">
            <w:pPr>
              <w:pStyle w:val="24"/>
              <w:bidi w:val="0"/>
              <w:rPr>
                <w:color w:val="auto"/>
              </w:rPr>
            </w:pPr>
            <w:r>
              <w:rPr>
                <w:rFonts w:hint="eastAsia"/>
                <w:color w:val="auto"/>
              </w:rPr>
              <w:t>常用应急药箱</w:t>
            </w:r>
          </w:p>
        </w:tc>
        <w:tc>
          <w:tcPr>
            <w:tcW w:w="718" w:type="pct"/>
            <w:noWrap w:val="0"/>
            <w:vAlign w:val="center"/>
          </w:tcPr>
          <w:p w14:paraId="4DD33AEA">
            <w:pPr>
              <w:pStyle w:val="24"/>
              <w:bidi w:val="0"/>
              <w:rPr>
                <w:color w:val="auto"/>
              </w:rPr>
            </w:pPr>
            <w:r>
              <w:rPr>
                <w:rFonts w:hint="eastAsia"/>
                <w:color w:val="auto"/>
              </w:rPr>
              <w:t>若干</w:t>
            </w:r>
          </w:p>
        </w:tc>
        <w:tc>
          <w:tcPr>
            <w:tcW w:w="859" w:type="pct"/>
            <w:noWrap w:val="0"/>
            <w:vAlign w:val="center"/>
          </w:tcPr>
          <w:p w14:paraId="63A6463C">
            <w:pPr>
              <w:pStyle w:val="24"/>
              <w:bidi w:val="0"/>
              <w:rPr>
                <w:color w:val="auto"/>
              </w:rPr>
            </w:pPr>
            <w:r>
              <w:rPr>
                <w:rFonts w:hint="eastAsia"/>
                <w:color w:val="auto"/>
              </w:rPr>
              <w:t>生产现场</w:t>
            </w:r>
          </w:p>
        </w:tc>
      </w:tr>
      <w:tr w14:paraId="7507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23588096">
            <w:pPr>
              <w:pStyle w:val="24"/>
              <w:bidi w:val="0"/>
              <w:rPr>
                <w:color w:val="auto"/>
              </w:rPr>
            </w:pPr>
          </w:p>
        </w:tc>
        <w:tc>
          <w:tcPr>
            <w:tcW w:w="1795" w:type="pct"/>
            <w:gridSpan w:val="2"/>
            <w:vMerge w:val="continue"/>
            <w:noWrap w:val="0"/>
            <w:vAlign w:val="center"/>
          </w:tcPr>
          <w:p w14:paraId="7D46E9DA">
            <w:pPr>
              <w:pStyle w:val="24"/>
              <w:bidi w:val="0"/>
              <w:rPr>
                <w:color w:val="auto"/>
              </w:rPr>
            </w:pPr>
          </w:p>
        </w:tc>
        <w:tc>
          <w:tcPr>
            <w:tcW w:w="1236" w:type="pct"/>
            <w:noWrap w:val="0"/>
            <w:vAlign w:val="center"/>
          </w:tcPr>
          <w:p w14:paraId="2E14F872">
            <w:pPr>
              <w:pStyle w:val="24"/>
              <w:bidi w:val="0"/>
              <w:rPr>
                <w:color w:val="auto"/>
              </w:rPr>
            </w:pPr>
            <w:r>
              <w:rPr>
                <w:rFonts w:hint="eastAsia"/>
                <w:color w:val="auto"/>
              </w:rPr>
              <w:t>对讲机、应急物资、担架</w:t>
            </w:r>
          </w:p>
        </w:tc>
        <w:tc>
          <w:tcPr>
            <w:tcW w:w="718" w:type="pct"/>
            <w:noWrap w:val="0"/>
            <w:vAlign w:val="center"/>
          </w:tcPr>
          <w:p w14:paraId="1E2FB184">
            <w:pPr>
              <w:pStyle w:val="24"/>
              <w:bidi w:val="0"/>
              <w:rPr>
                <w:color w:val="auto"/>
              </w:rPr>
            </w:pPr>
            <w:r>
              <w:rPr>
                <w:rFonts w:hint="eastAsia"/>
                <w:color w:val="auto"/>
              </w:rPr>
              <w:t>若干</w:t>
            </w:r>
          </w:p>
        </w:tc>
        <w:tc>
          <w:tcPr>
            <w:tcW w:w="859" w:type="pct"/>
            <w:noWrap w:val="0"/>
            <w:vAlign w:val="center"/>
          </w:tcPr>
          <w:p w14:paraId="664826B6">
            <w:pPr>
              <w:pStyle w:val="24"/>
              <w:bidi w:val="0"/>
              <w:rPr>
                <w:color w:val="auto"/>
              </w:rPr>
            </w:pPr>
            <w:r>
              <w:rPr>
                <w:rFonts w:hint="eastAsia"/>
                <w:color w:val="auto"/>
              </w:rPr>
              <w:t>应急物资库</w:t>
            </w:r>
          </w:p>
        </w:tc>
      </w:tr>
      <w:tr w14:paraId="74F4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restart"/>
            <w:noWrap w:val="0"/>
            <w:vAlign w:val="center"/>
          </w:tcPr>
          <w:p w14:paraId="021662DD">
            <w:pPr>
              <w:pStyle w:val="24"/>
              <w:bidi w:val="0"/>
              <w:rPr>
                <w:color w:val="auto"/>
              </w:rPr>
            </w:pPr>
            <w:r>
              <w:rPr>
                <w:rFonts w:hint="eastAsia"/>
                <w:color w:val="auto"/>
              </w:rPr>
              <w:t>4</w:t>
            </w:r>
          </w:p>
        </w:tc>
        <w:tc>
          <w:tcPr>
            <w:tcW w:w="1795" w:type="pct"/>
            <w:gridSpan w:val="2"/>
            <w:vMerge w:val="restart"/>
            <w:noWrap w:val="0"/>
            <w:vAlign w:val="center"/>
          </w:tcPr>
          <w:p w14:paraId="4E8B75C5">
            <w:pPr>
              <w:pStyle w:val="24"/>
              <w:bidi w:val="0"/>
              <w:rPr>
                <w:color w:val="auto"/>
              </w:rPr>
            </w:pPr>
            <w:r>
              <w:rPr>
                <w:rFonts w:hint="eastAsia"/>
                <w:color w:val="auto"/>
              </w:rPr>
              <w:t>逃生避难</w:t>
            </w:r>
          </w:p>
        </w:tc>
        <w:tc>
          <w:tcPr>
            <w:tcW w:w="1236" w:type="pct"/>
            <w:noWrap w:val="0"/>
            <w:vAlign w:val="center"/>
          </w:tcPr>
          <w:p w14:paraId="6B239961">
            <w:pPr>
              <w:pStyle w:val="24"/>
              <w:bidi w:val="0"/>
              <w:rPr>
                <w:color w:val="auto"/>
              </w:rPr>
            </w:pPr>
            <w:r>
              <w:rPr>
                <w:rFonts w:hint="eastAsia"/>
                <w:color w:val="auto"/>
              </w:rPr>
              <w:t>安全通道、紧急疏散口</w:t>
            </w:r>
          </w:p>
        </w:tc>
        <w:tc>
          <w:tcPr>
            <w:tcW w:w="718" w:type="pct"/>
            <w:noWrap w:val="0"/>
            <w:vAlign w:val="center"/>
          </w:tcPr>
          <w:p w14:paraId="205B2B0C">
            <w:pPr>
              <w:pStyle w:val="24"/>
              <w:bidi w:val="0"/>
              <w:rPr>
                <w:color w:val="auto"/>
              </w:rPr>
            </w:pPr>
            <w:r>
              <w:rPr>
                <w:rFonts w:hint="eastAsia"/>
                <w:color w:val="auto"/>
              </w:rPr>
              <w:t>若干</w:t>
            </w:r>
          </w:p>
        </w:tc>
        <w:tc>
          <w:tcPr>
            <w:tcW w:w="859" w:type="pct"/>
            <w:noWrap w:val="0"/>
            <w:vAlign w:val="center"/>
          </w:tcPr>
          <w:p w14:paraId="30AEEAC0">
            <w:pPr>
              <w:pStyle w:val="24"/>
              <w:bidi w:val="0"/>
              <w:rPr>
                <w:color w:val="auto"/>
              </w:rPr>
            </w:pPr>
            <w:r>
              <w:rPr>
                <w:rFonts w:hint="eastAsia"/>
                <w:color w:val="auto"/>
              </w:rPr>
              <w:t>办公室、车间、走道和工作台</w:t>
            </w:r>
          </w:p>
        </w:tc>
      </w:tr>
      <w:tr w14:paraId="5024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vMerge w:val="continue"/>
            <w:noWrap w:val="0"/>
            <w:vAlign w:val="center"/>
          </w:tcPr>
          <w:p w14:paraId="2972211A">
            <w:pPr>
              <w:pStyle w:val="24"/>
              <w:bidi w:val="0"/>
              <w:rPr>
                <w:color w:val="auto"/>
              </w:rPr>
            </w:pPr>
          </w:p>
        </w:tc>
        <w:tc>
          <w:tcPr>
            <w:tcW w:w="1795" w:type="pct"/>
            <w:gridSpan w:val="2"/>
            <w:vMerge w:val="continue"/>
            <w:noWrap w:val="0"/>
            <w:vAlign w:val="center"/>
          </w:tcPr>
          <w:p w14:paraId="7A0955F5">
            <w:pPr>
              <w:pStyle w:val="24"/>
              <w:bidi w:val="0"/>
              <w:rPr>
                <w:color w:val="auto"/>
              </w:rPr>
            </w:pPr>
          </w:p>
        </w:tc>
        <w:tc>
          <w:tcPr>
            <w:tcW w:w="1236" w:type="pct"/>
            <w:noWrap w:val="0"/>
            <w:vAlign w:val="center"/>
          </w:tcPr>
          <w:p w14:paraId="17A0F9F5">
            <w:pPr>
              <w:pStyle w:val="24"/>
              <w:bidi w:val="0"/>
              <w:rPr>
                <w:color w:val="auto"/>
              </w:rPr>
            </w:pPr>
            <w:r>
              <w:rPr>
                <w:rFonts w:hint="eastAsia"/>
                <w:color w:val="auto"/>
              </w:rPr>
              <w:t>应急照明灯</w:t>
            </w:r>
          </w:p>
        </w:tc>
        <w:tc>
          <w:tcPr>
            <w:tcW w:w="718" w:type="pct"/>
            <w:noWrap w:val="0"/>
            <w:vAlign w:val="center"/>
          </w:tcPr>
          <w:p w14:paraId="50E0C14F">
            <w:pPr>
              <w:pStyle w:val="24"/>
              <w:bidi w:val="0"/>
              <w:rPr>
                <w:rFonts w:hint="default" w:eastAsia="宋体"/>
                <w:color w:val="auto"/>
                <w:lang w:val="en-US" w:eastAsia="zh-CN"/>
              </w:rPr>
            </w:pPr>
            <w:r>
              <w:rPr>
                <w:rFonts w:hint="eastAsia"/>
                <w:color w:val="auto"/>
                <w:lang w:val="en-US" w:eastAsia="zh-CN"/>
              </w:rPr>
              <w:t>13</w:t>
            </w:r>
          </w:p>
        </w:tc>
        <w:tc>
          <w:tcPr>
            <w:tcW w:w="859" w:type="pct"/>
            <w:noWrap w:val="0"/>
            <w:vAlign w:val="center"/>
          </w:tcPr>
          <w:p w14:paraId="2B8CEB4B">
            <w:pPr>
              <w:pStyle w:val="24"/>
              <w:bidi w:val="0"/>
              <w:rPr>
                <w:color w:val="auto"/>
              </w:rPr>
            </w:pPr>
            <w:r>
              <w:rPr>
                <w:rFonts w:hint="eastAsia"/>
                <w:color w:val="auto"/>
              </w:rPr>
              <w:t>主要通道和配电室</w:t>
            </w:r>
          </w:p>
        </w:tc>
      </w:tr>
      <w:tr w14:paraId="22C2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9" w:type="pct"/>
            <w:noWrap w:val="0"/>
            <w:vAlign w:val="center"/>
          </w:tcPr>
          <w:p w14:paraId="52A0010C">
            <w:pPr>
              <w:pStyle w:val="24"/>
              <w:bidi w:val="0"/>
              <w:rPr>
                <w:color w:val="auto"/>
              </w:rPr>
            </w:pPr>
            <w:r>
              <w:rPr>
                <w:rFonts w:hint="eastAsia"/>
                <w:color w:val="auto"/>
              </w:rPr>
              <w:t>5</w:t>
            </w:r>
          </w:p>
        </w:tc>
        <w:tc>
          <w:tcPr>
            <w:tcW w:w="1795" w:type="pct"/>
            <w:gridSpan w:val="2"/>
            <w:noWrap w:val="0"/>
            <w:vAlign w:val="center"/>
          </w:tcPr>
          <w:p w14:paraId="61ED6A52">
            <w:pPr>
              <w:pStyle w:val="24"/>
              <w:bidi w:val="0"/>
              <w:rPr>
                <w:color w:val="auto"/>
              </w:rPr>
            </w:pPr>
            <w:r>
              <w:rPr>
                <w:rFonts w:hint="eastAsia"/>
                <w:color w:val="auto"/>
              </w:rPr>
              <w:t>劳动防护用品和装备</w:t>
            </w:r>
          </w:p>
        </w:tc>
        <w:tc>
          <w:tcPr>
            <w:tcW w:w="1236" w:type="pct"/>
            <w:noWrap w:val="0"/>
            <w:vAlign w:val="center"/>
          </w:tcPr>
          <w:p w14:paraId="07E9B4C1">
            <w:pPr>
              <w:pStyle w:val="24"/>
              <w:bidi w:val="0"/>
              <w:rPr>
                <w:color w:val="auto"/>
              </w:rPr>
            </w:pPr>
            <w:r>
              <w:rPr>
                <w:rFonts w:hint="eastAsia"/>
                <w:color w:val="auto"/>
              </w:rPr>
              <w:t>口罩、手套、鞋帽、耳塞、防滑、鞋、绳子</w:t>
            </w:r>
          </w:p>
        </w:tc>
        <w:tc>
          <w:tcPr>
            <w:tcW w:w="718" w:type="pct"/>
            <w:noWrap w:val="0"/>
            <w:vAlign w:val="center"/>
          </w:tcPr>
          <w:p w14:paraId="014078DA">
            <w:pPr>
              <w:pStyle w:val="24"/>
              <w:bidi w:val="0"/>
              <w:rPr>
                <w:color w:val="auto"/>
              </w:rPr>
            </w:pPr>
            <w:r>
              <w:rPr>
                <w:rFonts w:hint="eastAsia"/>
                <w:color w:val="auto"/>
              </w:rPr>
              <w:t>若干</w:t>
            </w:r>
          </w:p>
        </w:tc>
        <w:tc>
          <w:tcPr>
            <w:tcW w:w="859" w:type="pct"/>
            <w:noWrap w:val="0"/>
            <w:vAlign w:val="center"/>
          </w:tcPr>
          <w:p w14:paraId="7B9FAA1D">
            <w:pPr>
              <w:pStyle w:val="24"/>
              <w:bidi w:val="0"/>
              <w:rPr>
                <w:color w:val="auto"/>
              </w:rPr>
            </w:pPr>
            <w:r>
              <w:rPr>
                <w:rFonts w:hint="eastAsia"/>
                <w:color w:val="auto"/>
              </w:rPr>
              <w:t>车间、办公室</w:t>
            </w:r>
          </w:p>
        </w:tc>
      </w:tr>
    </w:tbl>
    <w:p w14:paraId="1EDB2B45">
      <w:pPr>
        <w:pStyle w:val="3"/>
        <w:bidi w:val="0"/>
        <w:rPr>
          <w:color w:val="auto"/>
        </w:rPr>
      </w:pPr>
      <w:bookmarkStart w:id="104" w:name="_Toc4440"/>
      <w:r>
        <w:rPr>
          <w:rFonts w:hint="eastAsia"/>
          <w:color w:val="auto"/>
        </w:rPr>
        <w:t>2.9 施工及监理概况</w:t>
      </w:r>
      <w:bookmarkEnd w:id="104"/>
    </w:p>
    <w:p w14:paraId="5590D73C">
      <w:pPr>
        <w:bidi w:val="0"/>
        <w:rPr>
          <w:color w:val="auto"/>
        </w:rPr>
      </w:pPr>
      <w:r>
        <w:rPr>
          <w:rFonts w:hint="eastAsia"/>
          <w:color w:val="auto"/>
        </w:rPr>
        <w:t>企业按照202</w:t>
      </w:r>
      <w:r>
        <w:rPr>
          <w:rFonts w:hint="eastAsia"/>
          <w:color w:val="auto"/>
          <w:lang w:val="en-US" w:eastAsia="zh-CN"/>
        </w:rPr>
        <w:t>5</w:t>
      </w:r>
      <w:r>
        <w:rPr>
          <w:rFonts w:hint="eastAsia"/>
          <w:color w:val="auto"/>
        </w:rPr>
        <w:t>年</w:t>
      </w:r>
      <w:r>
        <w:rPr>
          <w:rFonts w:hint="eastAsia"/>
          <w:color w:val="auto"/>
          <w:lang w:val="en-US" w:eastAsia="zh-CN"/>
        </w:rPr>
        <w:t>1</w:t>
      </w:r>
      <w:r>
        <w:rPr>
          <w:rFonts w:hint="eastAsia"/>
          <w:color w:val="auto"/>
        </w:rPr>
        <w:t>月2</w:t>
      </w:r>
      <w:r>
        <w:rPr>
          <w:rFonts w:hint="eastAsia"/>
          <w:color w:val="auto"/>
          <w:lang w:val="en-US" w:eastAsia="zh-CN"/>
        </w:rPr>
        <w:t>2</w:t>
      </w:r>
      <w:r>
        <w:rPr>
          <w:rFonts w:hint="eastAsia"/>
          <w:color w:val="auto"/>
        </w:rPr>
        <w:t>日通过</w:t>
      </w:r>
      <w:r>
        <w:rPr>
          <w:rFonts w:hint="eastAsia"/>
          <w:color w:val="auto"/>
          <w:lang w:val="en-US" w:eastAsia="zh-CN"/>
        </w:rPr>
        <w:t>昆明市</w:t>
      </w:r>
      <w:r>
        <w:rPr>
          <w:rFonts w:hint="eastAsia"/>
          <w:color w:val="auto"/>
        </w:rPr>
        <w:t>应急管理局组织的专家组审查的《安全设施设计》进行寻甸金林钛矿有限公司尾矿处理技改升级建设项目的工程建设。工程于202</w:t>
      </w:r>
      <w:r>
        <w:rPr>
          <w:rFonts w:hint="eastAsia"/>
          <w:color w:val="auto"/>
          <w:lang w:val="en-US" w:eastAsia="zh-CN"/>
        </w:rPr>
        <w:t>5</w:t>
      </w:r>
      <w:r>
        <w:rPr>
          <w:rFonts w:hint="eastAsia"/>
          <w:color w:val="auto"/>
        </w:rPr>
        <w:t>年</w:t>
      </w:r>
      <w:r>
        <w:rPr>
          <w:rFonts w:hint="eastAsia"/>
          <w:color w:val="auto"/>
          <w:lang w:val="en-US" w:eastAsia="zh-CN"/>
        </w:rPr>
        <w:t>1</w:t>
      </w:r>
      <w:r>
        <w:rPr>
          <w:rFonts w:hint="eastAsia"/>
          <w:color w:val="auto"/>
        </w:rPr>
        <w:t>月2</w:t>
      </w:r>
      <w:r>
        <w:rPr>
          <w:rFonts w:hint="eastAsia"/>
          <w:color w:val="auto"/>
          <w:lang w:val="en-US" w:eastAsia="zh-CN"/>
        </w:rPr>
        <w:t>3</w:t>
      </w:r>
      <w:r>
        <w:rPr>
          <w:rFonts w:hint="eastAsia"/>
          <w:color w:val="auto"/>
        </w:rPr>
        <w:t>日正式开工，于202</w:t>
      </w:r>
      <w:r>
        <w:rPr>
          <w:rFonts w:hint="eastAsia"/>
          <w:color w:val="auto"/>
          <w:lang w:val="en-US" w:eastAsia="zh-CN"/>
        </w:rPr>
        <w:t>5</w:t>
      </w:r>
      <w:r>
        <w:rPr>
          <w:rFonts w:hint="eastAsia"/>
          <w:color w:val="auto"/>
        </w:rPr>
        <w:t>年</w:t>
      </w:r>
      <w:r>
        <w:rPr>
          <w:rFonts w:hint="eastAsia"/>
          <w:color w:val="auto"/>
          <w:lang w:val="en-US" w:eastAsia="zh-CN"/>
        </w:rPr>
        <w:t>2</w:t>
      </w:r>
      <w:r>
        <w:rPr>
          <w:rFonts w:hint="eastAsia"/>
          <w:color w:val="auto"/>
        </w:rPr>
        <w:t>月</w:t>
      </w:r>
      <w:r>
        <w:rPr>
          <w:rFonts w:hint="eastAsia"/>
          <w:color w:val="auto"/>
          <w:lang w:val="en-US" w:eastAsia="zh-CN"/>
        </w:rPr>
        <w:t>20</w:t>
      </w:r>
      <w:r>
        <w:rPr>
          <w:rFonts w:hint="eastAsia"/>
          <w:color w:val="auto"/>
        </w:rPr>
        <w:t>日完工。</w:t>
      </w:r>
    </w:p>
    <w:p w14:paraId="4BE09E6A">
      <w:pPr>
        <w:bidi w:val="0"/>
        <w:rPr>
          <w:rFonts w:hint="default" w:eastAsia="宋体"/>
          <w:color w:val="auto"/>
          <w:lang w:val="en-US" w:eastAsia="zh-CN"/>
        </w:rPr>
      </w:pPr>
      <w:r>
        <w:rPr>
          <w:rFonts w:hint="eastAsia"/>
          <w:color w:val="auto"/>
          <w:lang w:val="en-US" w:eastAsia="zh-CN"/>
        </w:rPr>
        <w:t>本项目由普洱铖鑫矿业工程有限公司施工，根据施工总结报告结论：本工程在整个施工过程中，加强现场施工安全管理工作，落实贯彻执行施工技术安全操作规程及有关规定，签定施工安全责任制，健全施工班前活动，完善安全交底工作，发现隐患及时整改，公司实行工地的安全评分检查制度，工程由始至终未发生过安全事故，实现了“五无”施工，安全资料及时整理。本工程在整个施工过程中，编制施工方案，做好技术交底，加强施工技术管理工作，实行质量安全目标责任制，做到有计划地进行施工，合理安排人力、物力，同时密切与现场甲方、设计、勘察和监理等部门联系，听取合理意见，使施工中出现的问题能及时处理，有效地控制了质量安全隐患。使工程在有关部门的大力支持和配合下，安全质量得到了保证，从项目开工到工程竣工末发生一般事故和重大事故。今后在施工中应多学习宝贵经验，提高和加强施工现场管理水平，重视施工安全、文明施工工作，使施工水平再上新的台阶。</w:t>
      </w:r>
    </w:p>
    <w:p w14:paraId="77D18533">
      <w:pPr>
        <w:bidi w:val="0"/>
        <w:rPr>
          <w:rFonts w:hint="default" w:eastAsia="宋体"/>
          <w:color w:val="auto"/>
          <w:lang w:val="en-US" w:eastAsia="zh-CN"/>
        </w:rPr>
      </w:pPr>
      <w:r>
        <w:rPr>
          <w:rFonts w:hint="eastAsia"/>
          <w:color w:val="auto"/>
          <w:lang w:val="en-US" w:eastAsia="zh-CN"/>
        </w:rPr>
        <w:t>本项目由云南鑫华工程项目管理有限公司监理，根据监理工作总结报告结论：寻甸金林钛矿有限公司尾矿处理技改升级建设项目监理过程中，监理人员本着守法、公证、诚信、严格、科学的服务宗旨，按业主委托的内容和赋予的权限，依照施工合同、设计图纸及国家有规范和规程，代表业主进行监理，致力于提高业主的投资效益，对工程实行质量、进度、投资三大控制，严格按监理程序办事，精心施工、精心监督，实现了业主的各项目标，项目监理部按监理合同的约定完成了该项目阶段监理工作内容，监理工作得到了业主的大力支持与认可。</w:t>
      </w:r>
    </w:p>
    <w:p w14:paraId="3B5CB555">
      <w:pPr>
        <w:pStyle w:val="3"/>
        <w:bidi w:val="0"/>
        <w:rPr>
          <w:color w:val="auto"/>
        </w:rPr>
      </w:pPr>
      <w:bookmarkStart w:id="105" w:name="_Toc29415"/>
      <w:r>
        <w:rPr>
          <w:rFonts w:hint="eastAsia"/>
          <w:color w:val="auto"/>
        </w:rPr>
        <w:t>2.</w:t>
      </w:r>
      <w:r>
        <w:rPr>
          <w:rFonts w:hint="eastAsia"/>
          <w:color w:val="auto"/>
          <w:lang w:val="en-US" w:eastAsia="zh-CN"/>
        </w:rPr>
        <w:t>10</w:t>
      </w:r>
      <w:r>
        <w:rPr>
          <w:rFonts w:hint="eastAsia"/>
          <w:color w:val="auto"/>
        </w:rPr>
        <w:t xml:space="preserve"> 建设项目情况照片</w:t>
      </w:r>
      <w:bookmarkEnd w:id="105"/>
    </w:p>
    <w:p w14:paraId="1C033B10">
      <w:pPr>
        <w:rPr>
          <w:color w:val="auto"/>
        </w:rPr>
      </w:pPr>
      <w:r>
        <w:rPr>
          <w:rFonts w:hint="eastAsia"/>
          <w:color w:val="auto"/>
          <w:lang w:val="en-US" w:eastAsia="zh-CN"/>
        </w:rPr>
        <w:t>*********</w:t>
      </w:r>
      <w:r>
        <w:rPr>
          <w:color w:val="auto"/>
        </w:rPr>
        <w:br w:type="page"/>
      </w:r>
    </w:p>
    <w:p w14:paraId="1D0416A7">
      <w:pPr>
        <w:pStyle w:val="2"/>
        <w:bidi w:val="0"/>
        <w:rPr>
          <w:rFonts w:hint="eastAsia"/>
          <w:color w:val="auto"/>
        </w:rPr>
      </w:pPr>
      <w:bookmarkStart w:id="106" w:name="_Toc3674"/>
      <w:r>
        <w:rPr>
          <w:rFonts w:hint="eastAsia"/>
          <w:color w:val="auto"/>
        </w:rPr>
        <w:t>3 危险、有害因素辨识与分析</w:t>
      </w:r>
      <w:bookmarkEnd w:id="106"/>
    </w:p>
    <w:p w14:paraId="09346158">
      <w:pPr>
        <w:pStyle w:val="3"/>
        <w:bidi w:val="0"/>
        <w:rPr>
          <w:rFonts w:hint="eastAsia"/>
          <w:color w:val="auto"/>
        </w:rPr>
      </w:pPr>
      <w:bookmarkStart w:id="107" w:name="_Toc12941"/>
      <w:r>
        <w:rPr>
          <w:rFonts w:hint="eastAsia"/>
          <w:color w:val="auto"/>
        </w:rPr>
        <w:t>3.1 主要物料危险、有害因素、有害程度分析</w:t>
      </w:r>
      <w:bookmarkEnd w:id="107"/>
    </w:p>
    <w:p w14:paraId="6DA0C0FD">
      <w:pPr>
        <w:pStyle w:val="4"/>
        <w:bidi w:val="0"/>
        <w:rPr>
          <w:color w:val="auto"/>
        </w:rPr>
      </w:pPr>
      <w:bookmarkStart w:id="108" w:name="_Toc32125"/>
      <w:r>
        <w:rPr>
          <w:rFonts w:hint="eastAsia"/>
          <w:color w:val="auto"/>
        </w:rPr>
        <w:t>3.1.1 危险化学品辨识</w:t>
      </w:r>
      <w:bookmarkEnd w:id="108"/>
    </w:p>
    <w:p w14:paraId="274FB34F">
      <w:pPr>
        <w:bidi w:val="0"/>
        <w:rPr>
          <w:rFonts w:hint="eastAsia"/>
          <w:color w:val="auto"/>
        </w:rPr>
      </w:pPr>
      <w:r>
        <w:rPr>
          <w:rFonts w:hint="eastAsia"/>
          <w:color w:val="auto"/>
        </w:rPr>
        <w:t>项目中应用到的化学试剂及药品。</w:t>
      </w:r>
    </w:p>
    <w:p w14:paraId="4D034E71">
      <w:pPr>
        <w:bidi w:val="0"/>
        <w:rPr>
          <w:rFonts w:hint="eastAsia"/>
          <w:color w:val="auto"/>
        </w:rPr>
      </w:pPr>
      <w:r>
        <w:rPr>
          <w:rFonts w:hint="eastAsia"/>
          <w:color w:val="auto"/>
        </w:rPr>
        <w:t>项目存在的主要危险、有害物质有：柴油、变压器油、设备润滑油、乙炔、氧气等。</w:t>
      </w:r>
    </w:p>
    <w:p w14:paraId="3C8E93C7">
      <w:pPr>
        <w:bidi w:val="0"/>
        <w:rPr>
          <w:rFonts w:hint="eastAsia"/>
          <w:color w:val="auto"/>
        </w:rPr>
      </w:pPr>
      <w:r>
        <w:rPr>
          <w:rFonts w:hint="eastAsia"/>
          <w:color w:val="auto"/>
        </w:rPr>
        <w:t>依据</w:t>
      </w:r>
      <w:r>
        <w:rPr>
          <w:rFonts w:hint="eastAsia"/>
          <w:color w:val="auto"/>
          <w:lang w:eastAsia="zh-CN"/>
        </w:rPr>
        <w:t>《危险化学品目录》（2022年调整版）</w:t>
      </w:r>
      <w:r>
        <w:rPr>
          <w:rFonts w:hint="eastAsia"/>
          <w:color w:val="auto"/>
        </w:rPr>
        <w:t>判定可知：</w:t>
      </w:r>
    </w:p>
    <w:p w14:paraId="2008F7A9">
      <w:pPr>
        <w:bidi w:val="0"/>
        <w:rPr>
          <w:rFonts w:hint="eastAsia"/>
          <w:color w:val="auto"/>
        </w:rPr>
      </w:pPr>
      <w:r>
        <w:rPr>
          <w:rFonts w:hint="eastAsia"/>
          <w:color w:val="auto"/>
        </w:rPr>
        <w:t>1、根据</w:t>
      </w:r>
      <w:r>
        <w:rPr>
          <w:rFonts w:hint="eastAsia"/>
          <w:color w:val="auto"/>
          <w:lang w:eastAsia="zh-CN"/>
        </w:rPr>
        <w:t>《危险化学品目录》（2022年调整版）</w:t>
      </w:r>
      <w:r>
        <w:rPr>
          <w:rFonts w:hint="eastAsia"/>
          <w:color w:val="auto"/>
        </w:rPr>
        <w:t>判别：乙炔属于危险化学品；柴油属于危险化学品；变压器油、设备润滑油、不属于危险化学品，但也具有一定的火灾危险性。</w:t>
      </w:r>
    </w:p>
    <w:p w14:paraId="2E1CBC41">
      <w:pPr>
        <w:bidi w:val="0"/>
        <w:rPr>
          <w:rFonts w:hint="eastAsia"/>
          <w:color w:val="auto"/>
        </w:rPr>
      </w:pPr>
      <w:r>
        <w:rPr>
          <w:rFonts w:hint="eastAsia"/>
          <w:color w:val="auto"/>
        </w:rPr>
        <w:t>2、根据《国家安全监管总局关于公布首批重点监管的危险化学品名录的通知》【原安监总管三（2011）95号】，该项目涉及的主要危险、有害物质中乙炔属于首批重点监管的危险化学品，其它不属于首批重点监管的危险化学品。</w:t>
      </w:r>
    </w:p>
    <w:p w14:paraId="599B27B8">
      <w:pPr>
        <w:bidi w:val="0"/>
        <w:rPr>
          <w:rFonts w:hint="eastAsia"/>
          <w:color w:val="auto"/>
        </w:rPr>
      </w:pPr>
      <w:r>
        <w:rPr>
          <w:rFonts w:hint="eastAsia"/>
          <w:color w:val="auto"/>
        </w:rPr>
        <w:t>3</w:t>
      </w:r>
      <w:r>
        <w:rPr>
          <w:rFonts w:hint="eastAsia"/>
          <w:color w:val="auto"/>
          <w:lang w:eastAsia="zh-CN"/>
        </w:rPr>
        <w:t>、</w:t>
      </w:r>
      <w:r>
        <w:rPr>
          <w:rFonts w:hint="eastAsia"/>
          <w:color w:val="auto"/>
        </w:rPr>
        <w:t>根据《剧毒化学品目录》（</w:t>
      </w:r>
      <w:r>
        <w:rPr>
          <w:rFonts w:hint="eastAsia"/>
          <w:color w:val="auto"/>
          <w:lang w:val="en-US" w:eastAsia="zh-CN"/>
        </w:rPr>
        <w:t>2022年调整版</w:t>
      </w:r>
      <w:r>
        <w:rPr>
          <w:rFonts w:hint="eastAsia"/>
          <w:color w:val="auto"/>
        </w:rPr>
        <w:t>）、《易制毒化学品管理条例》（国务院令第445号</w:t>
      </w:r>
      <w:r>
        <w:rPr>
          <w:rFonts w:hint="eastAsia"/>
          <w:color w:val="auto"/>
          <w:lang w:eastAsia="zh-CN"/>
        </w:rPr>
        <w:t>，根据2018年9月18日《国务院关于修改部分行政法规的决定》第三次修订</w:t>
      </w:r>
      <w:r>
        <w:rPr>
          <w:rFonts w:hint="eastAsia"/>
          <w:color w:val="auto"/>
        </w:rPr>
        <w:t>）、《非药品类易制毒化学品生产、经营许可办法》（</w:t>
      </w:r>
      <w:r>
        <w:rPr>
          <w:rFonts w:hint="eastAsia"/>
          <w:color w:val="auto"/>
          <w:lang w:val="en-US" w:eastAsia="zh-CN"/>
        </w:rPr>
        <w:t>原</w:t>
      </w:r>
      <w:r>
        <w:rPr>
          <w:rFonts w:hint="eastAsia"/>
          <w:color w:val="auto"/>
        </w:rPr>
        <w:t>国家安全生产监督管理总局令第5号）和《云南省可制毒化学品管理规定》（云南省政府令</w:t>
      </w:r>
      <w:r>
        <w:rPr>
          <w:rFonts w:hint="eastAsia"/>
          <w:color w:val="auto"/>
          <w:lang w:val="en-US" w:eastAsia="zh-CN"/>
        </w:rPr>
        <w:t>[2024]</w:t>
      </w:r>
      <w:r>
        <w:rPr>
          <w:rFonts w:hint="eastAsia"/>
          <w:color w:val="auto"/>
        </w:rPr>
        <w:t>第231号）进行辨识，该项目不涉及剧毒化学品。</w:t>
      </w:r>
    </w:p>
    <w:p w14:paraId="0D33A72F">
      <w:pPr>
        <w:bidi w:val="0"/>
        <w:rPr>
          <w:rFonts w:hint="eastAsia"/>
          <w:color w:val="auto"/>
        </w:rPr>
      </w:pPr>
      <w:r>
        <w:rPr>
          <w:rFonts w:hint="eastAsia"/>
          <w:color w:val="auto"/>
          <w:lang w:val="en-US" w:eastAsia="zh-CN"/>
        </w:rPr>
        <w:t>4、</w:t>
      </w:r>
      <w:r>
        <w:rPr>
          <w:rFonts w:hint="eastAsia"/>
          <w:color w:val="auto"/>
        </w:rPr>
        <w:t>易制毒品辨识</w:t>
      </w:r>
    </w:p>
    <w:p w14:paraId="29C3D72A">
      <w:pPr>
        <w:bidi w:val="0"/>
        <w:rPr>
          <w:rFonts w:hint="eastAsia"/>
          <w:color w:val="auto"/>
        </w:rPr>
      </w:pPr>
      <w:r>
        <w:rPr>
          <w:rFonts w:hint="eastAsia"/>
          <w:color w:val="auto"/>
        </w:rPr>
        <w:t>根据《易制毒化学品管理条例》（国务院令第445号</w:t>
      </w:r>
      <w:r>
        <w:rPr>
          <w:rFonts w:hint="eastAsia"/>
          <w:color w:val="auto"/>
          <w:lang w:eastAsia="zh-CN"/>
        </w:rPr>
        <w:t>，根据2018年9月18日《国务院关于修改部分行政法规的决定》第三次修订</w:t>
      </w:r>
      <w:r>
        <w:rPr>
          <w:rFonts w:hint="eastAsia"/>
          <w:color w:val="auto"/>
        </w:rPr>
        <w:t>）和《非药品类易制毒化学品生产、经营许可办法》（国家安全生产监督管理总局令第5号）、《云南省可制毒化学品管理规定》（云南省政府令[2024]第231号）的相关规定，该项目不涉及易制毒化学品。</w:t>
      </w:r>
    </w:p>
    <w:p w14:paraId="47A46059">
      <w:pPr>
        <w:pStyle w:val="4"/>
        <w:bidi w:val="0"/>
        <w:rPr>
          <w:rFonts w:hint="eastAsia"/>
          <w:color w:val="auto"/>
        </w:rPr>
      </w:pPr>
      <w:bookmarkStart w:id="109" w:name="_Toc25732"/>
      <w:r>
        <w:rPr>
          <w:rFonts w:hint="eastAsia"/>
          <w:color w:val="auto"/>
        </w:rPr>
        <w:t>3.1.</w:t>
      </w:r>
      <w:r>
        <w:rPr>
          <w:rFonts w:hint="eastAsia"/>
          <w:color w:val="auto"/>
          <w:lang w:val="en-US" w:eastAsia="zh-CN"/>
        </w:rPr>
        <w:t xml:space="preserve">2 </w:t>
      </w:r>
      <w:r>
        <w:rPr>
          <w:rFonts w:hint="eastAsia"/>
          <w:color w:val="auto"/>
        </w:rPr>
        <w:t>危险、有害物质的主要危险特性</w:t>
      </w:r>
      <w:bookmarkEnd w:id="109"/>
    </w:p>
    <w:p w14:paraId="685AA612">
      <w:pPr>
        <w:bidi w:val="0"/>
        <w:rPr>
          <w:rFonts w:hint="eastAsia"/>
          <w:color w:val="auto"/>
        </w:rPr>
      </w:pPr>
      <w:r>
        <w:rPr>
          <w:rFonts w:hint="eastAsia"/>
          <w:color w:val="auto"/>
        </w:rPr>
        <w:t>1、柴油</w:t>
      </w:r>
    </w:p>
    <w:p w14:paraId="0F8C05CB">
      <w:pPr>
        <w:pStyle w:val="23"/>
        <w:bidi w:val="0"/>
        <w:rPr>
          <w:color w:val="auto"/>
        </w:rPr>
      </w:pPr>
      <w:r>
        <w:rPr>
          <w:rFonts w:hint="eastAsia"/>
          <w:color w:val="auto"/>
        </w:rPr>
        <w:t>表3</w:t>
      </w:r>
      <w:r>
        <w:rPr>
          <w:rFonts w:hint="eastAsia"/>
          <w:color w:val="auto"/>
          <w:lang w:val="en-US" w:eastAsia="zh-CN"/>
        </w:rPr>
        <w:t>.1</w:t>
      </w:r>
      <w:r>
        <w:rPr>
          <w:rFonts w:hint="eastAsia"/>
          <w:color w:val="auto"/>
        </w:rPr>
        <w:t xml:space="preserve">-1 </w:t>
      </w:r>
      <w:r>
        <w:rPr>
          <w:rFonts w:hint="eastAsia"/>
          <w:color w:val="auto"/>
          <w:lang w:val="en-US" w:eastAsia="zh-CN"/>
        </w:rPr>
        <w:t xml:space="preserve"> </w:t>
      </w:r>
      <w:r>
        <w:rPr>
          <w:rFonts w:hint="eastAsia"/>
          <w:color w:val="auto"/>
        </w:rPr>
        <w:t>柴油理化特性表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9"/>
        <w:gridCol w:w="7411"/>
      </w:tblGrid>
      <w:tr w14:paraId="7ECC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
            <w:noWrap w:val="0"/>
            <w:vAlign w:val="center"/>
          </w:tcPr>
          <w:p w14:paraId="29FBFD20">
            <w:pPr>
              <w:pStyle w:val="24"/>
              <w:bidi w:val="0"/>
              <w:rPr>
                <w:color w:val="auto"/>
              </w:rPr>
            </w:pPr>
            <w:r>
              <w:rPr>
                <w:color w:val="auto"/>
              </w:rPr>
              <w:t>1.标识</w:t>
            </w:r>
          </w:p>
        </w:tc>
      </w:tr>
      <w:tr w14:paraId="08AB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78F5CB33">
            <w:pPr>
              <w:pStyle w:val="24"/>
              <w:bidi w:val="0"/>
              <w:rPr>
                <w:color w:val="auto"/>
              </w:rPr>
            </w:pPr>
            <w:r>
              <w:rPr>
                <w:color w:val="auto"/>
              </w:rPr>
              <w:t>中文名</w:t>
            </w:r>
          </w:p>
        </w:tc>
        <w:tc>
          <w:tcPr>
            <w:tcW w:w="3941" w:type="pct"/>
            <w:noWrap w:val="0"/>
            <w:vAlign w:val="center"/>
          </w:tcPr>
          <w:p w14:paraId="6670E443">
            <w:pPr>
              <w:pStyle w:val="24"/>
              <w:bidi w:val="0"/>
              <w:jc w:val="both"/>
              <w:rPr>
                <w:color w:val="auto"/>
              </w:rPr>
            </w:pPr>
            <w:r>
              <w:rPr>
                <w:color w:val="auto"/>
              </w:rPr>
              <w:t>柴油</w:t>
            </w:r>
          </w:p>
        </w:tc>
      </w:tr>
      <w:tr w14:paraId="5B2C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2ABE75CF">
            <w:pPr>
              <w:pStyle w:val="24"/>
              <w:bidi w:val="0"/>
              <w:rPr>
                <w:color w:val="auto"/>
              </w:rPr>
            </w:pPr>
            <w:r>
              <w:rPr>
                <w:color w:val="auto"/>
              </w:rPr>
              <w:t>英文名</w:t>
            </w:r>
          </w:p>
        </w:tc>
        <w:tc>
          <w:tcPr>
            <w:tcW w:w="3941" w:type="pct"/>
            <w:noWrap w:val="0"/>
            <w:vAlign w:val="center"/>
          </w:tcPr>
          <w:p w14:paraId="3E221F55">
            <w:pPr>
              <w:pStyle w:val="24"/>
              <w:bidi w:val="0"/>
              <w:jc w:val="both"/>
              <w:rPr>
                <w:color w:val="auto"/>
              </w:rPr>
            </w:pPr>
            <w:r>
              <w:rPr>
                <w:color w:val="auto"/>
              </w:rPr>
              <w:t>Diesel Oil；diesel fuel；</w:t>
            </w:r>
          </w:p>
        </w:tc>
      </w:tr>
      <w:tr w14:paraId="3225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3B6BAF3A">
            <w:pPr>
              <w:pStyle w:val="24"/>
              <w:bidi w:val="0"/>
              <w:rPr>
                <w:color w:val="auto"/>
              </w:rPr>
            </w:pPr>
            <w:r>
              <w:rPr>
                <w:color w:val="auto"/>
              </w:rPr>
              <w:t>CAS号：</w:t>
            </w:r>
          </w:p>
        </w:tc>
        <w:tc>
          <w:tcPr>
            <w:tcW w:w="3941" w:type="pct"/>
            <w:noWrap w:val="0"/>
            <w:vAlign w:val="center"/>
          </w:tcPr>
          <w:p w14:paraId="06937C33">
            <w:pPr>
              <w:pStyle w:val="24"/>
              <w:bidi w:val="0"/>
              <w:jc w:val="both"/>
              <w:rPr>
                <w:color w:val="auto"/>
              </w:rPr>
            </w:pPr>
            <w:r>
              <w:rPr>
                <w:color w:val="auto"/>
              </w:rPr>
              <w:t>68334-30-5</w:t>
            </w:r>
          </w:p>
        </w:tc>
      </w:tr>
      <w:tr w14:paraId="4202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
            <w:noWrap w:val="0"/>
            <w:vAlign w:val="center"/>
          </w:tcPr>
          <w:p w14:paraId="7C551435">
            <w:pPr>
              <w:pStyle w:val="24"/>
              <w:bidi w:val="0"/>
              <w:rPr>
                <w:color w:val="auto"/>
              </w:rPr>
            </w:pPr>
            <w:r>
              <w:rPr>
                <w:color w:val="auto"/>
              </w:rPr>
              <w:t>2.理化性质</w:t>
            </w:r>
          </w:p>
        </w:tc>
      </w:tr>
      <w:tr w14:paraId="0CB9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1A617C85">
            <w:pPr>
              <w:pStyle w:val="24"/>
              <w:bidi w:val="0"/>
              <w:rPr>
                <w:color w:val="auto"/>
              </w:rPr>
            </w:pPr>
            <w:r>
              <w:rPr>
                <w:color w:val="auto"/>
              </w:rPr>
              <w:t>主要成分：</w:t>
            </w:r>
          </w:p>
        </w:tc>
        <w:tc>
          <w:tcPr>
            <w:tcW w:w="3941" w:type="pct"/>
            <w:noWrap w:val="0"/>
            <w:vAlign w:val="center"/>
          </w:tcPr>
          <w:p w14:paraId="69E92494">
            <w:pPr>
              <w:pStyle w:val="24"/>
              <w:bidi w:val="0"/>
              <w:jc w:val="both"/>
              <w:rPr>
                <w:color w:val="auto"/>
              </w:rPr>
            </w:pPr>
            <w:r>
              <w:rPr>
                <w:color w:val="auto"/>
              </w:rPr>
              <w:t>烷烃、烯烃、环烷烃、芳香烃、多环芳烃与少量硫（2g/kg～60g/kg）、氮（&lt;lg/kg）及添加剂组成的混合物</w:t>
            </w:r>
          </w:p>
        </w:tc>
      </w:tr>
      <w:tr w14:paraId="054B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15BF9A6E">
            <w:pPr>
              <w:pStyle w:val="24"/>
              <w:bidi w:val="0"/>
              <w:rPr>
                <w:color w:val="auto"/>
              </w:rPr>
            </w:pPr>
            <w:r>
              <w:rPr>
                <w:color w:val="auto"/>
              </w:rPr>
              <w:t xml:space="preserve">沸点： </w:t>
            </w:r>
          </w:p>
        </w:tc>
        <w:tc>
          <w:tcPr>
            <w:tcW w:w="3941" w:type="pct"/>
            <w:noWrap w:val="0"/>
            <w:vAlign w:val="center"/>
          </w:tcPr>
          <w:p w14:paraId="55412917">
            <w:pPr>
              <w:pStyle w:val="24"/>
              <w:bidi w:val="0"/>
              <w:jc w:val="both"/>
              <w:rPr>
                <w:color w:val="auto"/>
              </w:rPr>
            </w:pPr>
            <w:r>
              <w:rPr>
                <w:color w:val="auto"/>
              </w:rPr>
              <w:t>180</w:t>
            </w:r>
            <w:r>
              <w:rPr>
                <w:rFonts w:hint="eastAsia"/>
                <w:color w:val="auto"/>
              </w:rPr>
              <w:t>℃</w:t>
            </w:r>
            <w:r>
              <w:rPr>
                <w:color w:val="auto"/>
              </w:rPr>
              <w:t>～370</w:t>
            </w:r>
            <w:r>
              <w:rPr>
                <w:rFonts w:hint="eastAsia"/>
                <w:color w:val="auto"/>
              </w:rPr>
              <w:t>℃</w:t>
            </w:r>
          </w:p>
        </w:tc>
      </w:tr>
      <w:tr w14:paraId="0F23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46017A7C">
            <w:pPr>
              <w:pStyle w:val="24"/>
              <w:bidi w:val="0"/>
              <w:rPr>
                <w:color w:val="auto"/>
              </w:rPr>
            </w:pPr>
            <w:r>
              <w:rPr>
                <w:color w:val="auto"/>
              </w:rPr>
              <w:t xml:space="preserve">溶点： </w:t>
            </w:r>
          </w:p>
        </w:tc>
        <w:tc>
          <w:tcPr>
            <w:tcW w:w="3941" w:type="pct"/>
            <w:noWrap w:val="0"/>
            <w:vAlign w:val="center"/>
          </w:tcPr>
          <w:p w14:paraId="3275FA1C">
            <w:pPr>
              <w:pStyle w:val="24"/>
              <w:bidi w:val="0"/>
              <w:jc w:val="both"/>
              <w:rPr>
                <w:color w:val="auto"/>
              </w:rPr>
            </w:pPr>
            <w:r>
              <w:rPr>
                <w:color w:val="auto"/>
              </w:rPr>
              <w:t>-29.56</w:t>
            </w:r>
            <w:r>
              <w:rPr>
                <w:rFonts w:hint="eastAsia"/>
                <w:color w:val="auto"/>
              </w:rPr>
              <w:t>℃</w:t>
            </w:r>
          </w:p>
        </w:tc>
      </w:tr>
      <w:tr w14:paraId="3939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22E6BCCF">
            <w:pPr>
              <w:pStyle w:val="24"/>
              <w:bidi w:val="0"/>
              <w:rPr>
                <w:color w:val="auto"/>
              </w:rPr>
            </w:pPr>
            <w:r>
              <w:rPr>
                <w:color w:val="auto"/>
              </w:rPr>
              <w:t>相对密度（水=1）：</w:t>
            </w:r>
          </w:p>
        </w:tc>
        <w:tc>
          <w:tcPr>
            <w:tcW w:w="3941" w:type="pct"/>
            <w:noWrap w:val="0"/>
            <w:vAlign w:val="center"/>
          </w:tcPr>
          <w:p w14:paraId="1D320CE1">
            <w:pPr>
              <w:pStyle w:val="24"/>
              <w:bidi w:val="0"/>
              <w:jc w:val="both"/>
              <w:rPr>
                <w:color w:val="auto"/>
              </w:rPr>
            </w:pPr>
            <w:r>
              <w:rPr>
                <w:color w:val="auto"/>
              </w:rPr>
              <w:t>0.85～0.9</w:t>
            </w:r>
          </w:p>
        </w:tc>
      </w:tr>
      <w:tr w14:paraId="2844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551E36D1">
            <w:pPr>
              <w:pStyle w:val="24"/>
              <w:bidi w:val="0"/>
              <w:rPr>
                <w:color w:val="auto"/>
              </w:rPr>
            </w:pPr>
            <w:r>
              <w:rPr>
                <w:color w:val="auto"/>
              </w:rPr>
              <w:t>蒸汽密度：</w:t>
            </w:r>
          </w:p>
        </w:tc>
        <w:tc>
          <w:tcPr>
            <w:tcW w:w="3941" w:type="pct"/>
            <w:noWrap w:val="0"/>
            <w:vAlign w:val="center"/>
          </w:tcPr>
          <w:p w14:paraId="2F622BBB">
            <w:pPr>
              <w:pStyle w:val="24"/>
              <w:bidi w:val="0"/>
              <w:jc w:val="both"/>
              <w:rPr>
                <w:color w:val="auto"/>
              </w:rPr>
            </w:pPr>
            <w:r>
              <w:rPr>
                <w:color w:val="auto"/>
              </w:rPr>
              <w:t>4</w:t>
            </w:r>
          </w:p>
        </w:tc>
      </w:tr>
      <w:tr w14:paraId="2D94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6947A421">
            <w:pPr>
              <w:pStyle w:val="24"/>
              <w:bidi w:val="0"/>
              <w:rPr>
                <w:color w:val="auto"/>
              </w:rPr>
            </w:pPr>
            <w:r>
              <w:rPr>
                <w:color w:val="auto"/>
              </w:rPr>
              <w:t>蒸气压：</w:t>
            </w:r>
          </w:p>
        </w:tc>
        <w:tc>
          <w:tcPr>
            <w:tcW w:w="3941" w:type="pct"/>
            <w:noWrap w:val="0"/>
            <w:vAlign w:val="center"/>
          </w:tcPr>
          <w:p w14:paraId="1956FCD8">
            <w:pPr>
              <w:pStyle w:val="24"/>
              <w:bidi w:val="0"/>
              <w:jc w:val="both"/>
              <w:rPr>
                <w:color w:val="auto"/>
              </w:rPr>
            </w:pPr>
            <w:r>
              <w:rPr>
                <w:color w:val="auto"/>
              </w:rPr>
              <w:t>4.0kPa</w:t>
            </w:r>
          </w:p>
        </w:tc>
      </w:tr>
      <w:tr w14:paraId="4725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5A0F8B17">
            <w:pPr>
              <w:pStyle w:val="24"/>
              <w:bidi w:val="0"/>
              <w:rPr>
                <w:color w:val="auto"/>
              </w:rPr>
            </w:pPr>
            <w:r>
              <w:rPr>
                <w:color w:val="auto"/>
              </w:rPr>
              <w:t>外观性状：</w:t>
            </w:r>
          </w:p>
        </w:tc>
        <w:tc>
          <w:tcPr>
            <w:tcW w:w="3941" w:type="pct"/>
            <w:noWrap w:val="0"/>
            <w:vAlign w:val="center"/>
          </w:tcPr>
          <w:p w14:paraId="605A5E35">
            <w:pPr>
              <w:pStyle w:val="24"/>
              <w:bidi w:val="0"/>
              <w:jc w:val="both"/>
              <w:rPr>
                <w:color w:val="auto"/>
              </w:rPr>
            </w:pPr>
            <w:r>
              <w:rPr>
                <w:color w:val="auto"/>
              </w:rPr>
              <w:t>（以燃料油为例）稍有粘性的浅黄至棕色或淡黄色液体，不溶于水。</w:t>
            </w:r>
          </w:p>
        </w:tc>
      </w:tr>
      <w:tr w14:paraId="6EE8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400BAAFF">
            <w:pPr>
              <w:pStyle w:val="24"/>
              <w:bidi w:val="0"/>
              <w:rPr>
                <w:color w:val="auto"/>
              </w:rPr>
            </w:pPr>
            <w:r>
              <w:rPr>
                <w:color w:val="auto"/>
              </w:rPr>
              <w:t>主要用途</w:t>
            </w:r>
          </w:p>
        </w:tc>
        <w:tc>
          <w:tcPr>
            <w:tcW w:w="3941" w:type="pct"/>
            <w:noWrap w:val="0"/>
            <w:vAlign w:val="center"/>
          </w:tcPr>
          <w:p w14:paraId="49F61554">
            <w:pPr>
              <w:pStyle w:val="24"/>
              <w:bidi w:val="0"/>
              <w:jc w:val="both"/>
              <w:rPr>
                <w:color w:val="auto"/>
              </w:rPr>
            </w:pPr>
            <w:r>
              <w:rPr>
                <w:color w:val="auto"/>
              </w:rPr>
              <w:t>主要用于做柴油汽车、拖拉机等柴油发动机的燃料。</w:t>
            </w:r>
          </w:p>
        </w:tc>
      </w:tr>
      <w:tr w14:paraId="1F7F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29CEFB13">
            <w:pPr>
              <w:pStyle w:val="24"/>
              <w:bidi w:val="0"/>
              <w:rPr>
                <w:color w:val="auto"/>
              </w:rPr>
            </w:pPr>
            <w:r>
              <w:rPr>
                <w:color w:val="auto"/>
              </w:rPr>
              <w:t>危险特性</w:t>
            </w:r>
          </w:p>
        </w:tc>
        <w:tc>
          <w:tcPr>
            <w:tcW w:w="3941" w:type="pct"/>
            <w:noWrap w:val="0"/>
            <w:vAlign w:val="center"/>
          </w:tcPr>
          <w:p w14:paraId="44EC098B">
            <w:pPr>
              <w:pStyle w:val="24"/>
              <w:bidi w:val="0"/>
              <w:jc w:val="both"/>
              <w:rPr>
                <w:color w:val="auto"/>
              </w:rPr>
            </w:pPr>
            <w:r>
              <w:rPr>
                <w:color w:val="auto"/>
              </w:rPr>
              <w:t>闪点：40</w:t>
            </w:r>
            <w:r>
              <w:rPr>
                <w:rFonts w:hint="eastAsia"/>
                <w:color w:val="auto"/>
              </w:rPr>
              <w:t>℃</w:t>
            </w:r>
          </w:p>
          <w:p w14:paraId="5434E67F">
            <w:pPr>
              <w:pStyle w:val="24"/>
              <w:bidi w:val="0"/>
              <w:jc w:val="both"/>
              <w:rPr>
                <w:color w:val="auto"/>
              </w:rPr>
            </w:pPr>
            <w:r>
              <w:rPr>
                <w:color w:val="auto"/>
              </w:rPr>
              <w:t>爆炸极限：0.6％～6.5％</w:t>
            </w:r>
          </w:p>
          <w:p w14:paraId="6FD8A783">
            <w:pPr>
              <w:pStyle w:val="24"/>
              <w:bidi w:val="0"/>
              <w:jc w:val="both"/>
              <w:rPr>
                <w:color w:val="auto"/>
              </w:rPr>
            </w:pPr>
            <w:r>
              <w:rPr>
                <w:color w:val="auto"/>
              </w:rPr>
              <w:t>引燃温度：257</w:t>
            </w:r>
            <w:r>
              <w:rPr>
                <w:rFonts w:hint="eastAsia"/>
                <w:color w:val="auto"/>
              </w:rPr>
              <w:t>℃</w:t>
            </w:r>
          </w:p>
          <w:p w14:paraId="10AC24DE">
            <w:pPr>
              <w:pStyle w:val="24"/>
              <w:bidi w:val="0"/>
              <w:jc w:val="both"/>
              <w:rPr>
                <w:color w:val="auto"/>
              </w:rPr>
            </w:pPr>
            <w:r>
              <w:rPr>
                <w:color w:val="auto"/>
              </w:rPr>
              <w:t>自燃点：350</w:t>
            </w:r>
            <w:r>
              <w:rPr>
                <w:rFonts w:hint="eastAsia"/>
                <w:color w:val="auto"/>
              </w:rPr>
              <w:t>℃</w:t>
            </w:r>
            <w:r>
              <w:rPr>
                <w:color w:val="auto"/>
              </w:rPr>
              <w:t>~380</w:t>
            </w:r>
            <w:r>
              <w:rPr>
                <w:rFonts w:hint="eastAsia"/>
                <w:color w:val="auto"/>
              </w:rPr>
              <w:t>℃</w:t>
            </w:r>
          </w:p>
          <w:p w14:paraId="6A7F24D2">
            <w:pPr>
              <w:pStyle w:val="24"/>
              <w:bidi w:val="0"/>
              <w:jc w:val="both"/>
              <w:rPr>
                <w:color w:val="auto"/>
              </w:rPr>
            </w:pPr>
            <w:r>
              <w:rPr>
                <w:color w:val="auto"/>
              </w:rPr>
              <w:t>稳定性：稳定</w:t>
            </w:r>
          </w:p>
          <w:p w14:paraId="58720443">
            <w:pPr>
              <w:pStyle w:val="24"/>
              <w:bidi w:val="0"/>
              <w:jc w:val="both"/>
              <w:rPr>
                <w:color w:val="auto"/>
              </w:rPr>
            </w:pPr>
            <w:r>
              <w:rPr>
                <w:color w:val="auto"/>
              </w:rPr>
              <w:t>聚合危害：不能出现</w:t>
            </w:r>
          </w:p>
          <w:p w14:paraId="4800C162">
            <w:pPr>
              <w:pStyle w:val="24"/>
              <w:bidi w:val="0"/>
              <w:jc w:val="both"/>
              <w:rPr>
                <w:color w:val="auto"/>
              </w:rPr>
            </w:pPr>
            <w:r>
              <w:rPr>
                <w:color w:val="auto"/>
              </w:rPr>
              <w:t>禁忌物：强氧化剂、卤素</w:t>
            </w:r>
          </w:p>
          <w:p w14:paraId="27DBCA0F">
            <w:pPr>
              <w:pStyle w:val="24"/>
              <w:bidi w:val="0"/>
              <w:jc w:val="both"/>
              <w:rPr>
                <w:color w:val="auto"/>
              </w:rPr>
            </w:pPr>
            <w:r>
              <w:rPr>
                <w:rFonts w:hint="eastAsia"/>
                <w:color w:val="auto"/>
              </w:rPr>
              <w:t>①</w:t>
            </w:r>
            <w:r>
              <w:rPr>
                <w:color w:val="auto"/>
              </w:rPr>
              <w:t>蒸气与空气混合成为爆炸性混合物0.7％~5.0％；</w:t>
            </w:r>
          </w:p>
          <w:p w14:paraId="47D2BBDC">
            <w:pPr>
              <w:pStyle w:val="24"/>
              <w:bidi w:val="0"/>
              <w:jc w:val="both"/>
              <w:rPr>
                <w:color w:val="auto"/>
              </w:rPr>
            </w:pPr>
            <w:r>
              <w:rPr>
                <w:rFonts w:hint="eastAsia"/>
                <w:color w:val="auto"/>
              </w:rPr>
              <w:t>②</w:t>
            </w:r>
            <w:r>
              <w:rPr>
                <w:color w:val="auto"/>
              </w:rPr>
              <w:t>遇热、火花、明火，有引起燃烧爆炸的危险；</w:t>
            </w:r>
          </w:p>
          <w:p w14:paraId="7EE1085E">
            <w:pPr>
              <w:pStyle w:val="24"/>
              <w:bidi w:val="0"/>
              <w:jc w:val="both"/>
              <w:rPr>
                <w:color w:val="auto"/>
              </w:rPr>
            </w:pPr>
            <w:r>
              <w:rPr>
                <w:rFonts w:hint="eastAsia"/>
                <w:color w:val="auto"/>
              </w:rPr>
              <w:t>③</w:t>
            </w:r>
            <w:r>
              <w:rPr>
                <w:color w:val="auto"/>
              </w:rPr>
              <w:t>遇高热，容器内压增大，有开裂和爆炸的危险；</w:t>
            </w:r>
          </w:p>
          <w:p w14:paraId="67C791C7">
            <w:pPr>
              <w:pStyle w:val="24"/>
              <w:bidi w:val="0"/>
              <w:jc w:val="both"/>
              <w:rPr>
                <w:color w:val="auto"/>
              </w:rPr>
            </w:pPr>
            <w:r>
              <w:rPr>
                <w:rFonts w:hint="eastAsia"/>
                <w:color w:val="auto"/>
              </w:rPr>
              <w:t>④</w:t>
            </w:r>
            <w:r>
              <w:rPr>
                <w:color w:val="auto"/>
              </w:rPr>
              <w:t>可蓄积静电，引起电火花；</w:t>
            </w:r>
          </w:p>
          <w:p w14:paraId="17386394">
            <w:pPr>
              <w:pStyle w:val="24"/>
              <w:bidi w:val="0"/>
              <w:jc w:val="both"/>
              <w:rPr>
                <w:color w:val="auto"/>
              </w:rPr>
            </w:pPr>
            <w:r>
              <w:rPr>
                <w:rFonts w:hint="eastAsia"/>
                <w:color w:val="auto"/>
              </w:rPr>
              <w:t>⑤</w:t>
            </w:r>
            <w:r>
              <w:rPr>
                <w:color w:val="auto"/>
              </w:rPr>
              <w:t>分解和燃烧产物为一氧化碳、二氧化碳和硫氧化物；</w:t>
            </w:r>
          </w:p>
          <w:p w14:paraId="348386F6">
            <w:pPr>
              <w:pStyle w:val="24"/>
              <w:bidi w:val="0"/>
              <w:jc w:val="both"/>
              <w:rPr>
                <w:color w:val="auto"/>
              </w:rPr>
            </w:pPr>
            <w:r>
              <w:rPr>
                <w:rFonts w:hint="eastAsia"/>
                <w:color w:val="auto"/>
              </w:rPr>
              <w:t>⑥</w:t>
            </w:r>
            <w:r>
              <w:rPr>
                <w:color w:val="auto"/>
              </w:rPr>
              <w:t>避免接触氧化剂。</w:t>
            </w:r>
          </w:p>
        </w:tc>
      </w:tr>
      <w:tr w14:paraId="3C23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2933A655">
            <w:pPr>
              <w:pStyle w:val="24"/>
              <w:bidi w:val="0"/>
              <w:rPr>
                <w:color w:val="auto"/>
              </w:rPr>
            </w:pPr>
            <w:r>
              <w:rPr>
                <w:color w:val="auto"/>
              </w:rPr>
              <w:t>灭火方法</w:t>
            </w:r>
          </w:p>
        </w:tc>
        <w:tc>
          <w:tcPr>
            <w:tcW w:w="3941" w:type="pct"/>
            <w:noWrap w:val="0"/>
            <w:vAlign w:val="center"/>
          </w:tcPr>
          <w:p w14:paraId="02307170">
            <w:pPr>
              <w:pStyle w:val="24"/>
              <w:bidi w:val="0"/>
              <w:jc w:val="both"/>
              <w:rPr>
                <w:color w:val="auto"/>
              </w:rPr>
            </w:pPr>
            <w:r>
              <w:rPr>
                <w:color w:val="auto"/>
              </w:rPr>
              <w:t>泡沫、二氧化碳、干粉、1211灭火剂、砂土。</w:t>
            </w:r>
          </w:p>
        </w:tc>
      </w:tr>
      <w:tr w14:paraId="4F84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472BF26A">
            <w:pPr>
              <w:pStyle w:val="24"/>
              <w:bidi w:val="0"/>
              <w:rPr>
                <w:color w:val="auto"/>
              </w:rPr>
            </w:pPr>
            <w:r>
              <w:rPr>
                <w:color w:val="auto"/>
              </w:rPr>
              <w:t>泄漏处理</w:t>
            </w:r>
          </w:p>
        </w:tc>
        <w:tc>
          <w:tcPr>
            <w:tcW w:w="3941" w:type="pct"/>
            <w:noWrap w:val="0"/>
            <w:vAlign w:val="center"/>
          </w:tcPr>
          <w:p w14:paraId="1E2F5FC2">
            <w:pPr>
              <w:pStyle w:val="24"/>
              <w:bidi w:val="0"/>
              <w:jc w:val="both"/>
              <w:rPr>
                <w:color w:val="auto"/>
              </w:rPr>
            </w:pPr>
            <w:r>
              <w:rPr>
                <w:color w:val="auto"/>
              </w:rPr>
              <w:t>疏散泄漏污染区人员至安全区，禁止无关人员进入污染区，切断电源。应急处理人员戴自给式呼吸器，穿一般消防防护服。在确保安全情况下堵漏。喷水雾可减少蒸发。用活性炭或其它惰性材料吸收，然后收集于干燥净洁有盖的容器中，运至废物处理场所。如大量泄漏，利用围堤收容，然后收集、转移、回收或无害处理后废弃。</w:t>
            </w:r>
          </w:p>
        </w:tc>
      </w:tr>
      <w:tr w14:paraId="2AA4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5D5B5861">
            <w:pPr>
              <w:pStyle w:val="24"/>
              <w:bidi w:val="0"/>
              <w:rPr>
                <w:color w:val="auto"/>
              </w:rPr>
            </w:pPr>
            <w:r>
              <w:rPr>
                <w:color w:val="auto"/>
              </w:rPr>
              <w:t>储运注意事项</w:t>
            </w:r>
          </w:p>
        </w:tc>
        <w:tc>
          <w:tcPr>
            <w:tcW w:w="3941" w:type="pct"/>
            <w:noWrap w:val="0"/>
            <w:vAlign w:val="center"/>
          </w:tcPr>
          <w:p w14:paraId="089CD55C">
            <w:pPr>
              <w:pStyle w:val="24"/>
              <w:bidi w:val="0"/>
              <w:jc w:val="both"/>
              <w:rPr>
                <w:color w:val="auto"/>
              </w:rPr>
            </w:pPr>
            <w:r>
              <w:rPr>
                <w:color w:val="auto"/>
              </w:rPr>
              <w:t>储存于阴凉、通风仓间内。远离火种、热源。防止阳光直射。保持容器密封。应与氧化剂分开存放。储存间内的照明、通风等设施应采用防爆型。配备相应品种和数量的消防器材。罐储时要有防爆技术措施。禁止使用易产生火花的机械设备和工具。充装时控制流速，注意防止静电积聚。搬运时要轻装轻卸，防止包装及容器损坏。</w:t>
            </w:r>
          </w:p>
        </w:tc>
      </w:tr>
      <w:tr w14:paraId="4EF6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162F1D08">
            <w:pPr>
              <w:pStyle w:val="24"/>
              <w:bidi w:val="0"/>
              <w:rPr>
                <w:color w:val="auto"/>
              </w:rPr>
            </w:pPr>
            <w:r>
              <w:rPr>
                <w:color w:val="auto"/>
              </w:rPr>
              <w:t>防护措施</w:t>
            </w:r>
          </w:p>
        </w:tc>
        <w:tc>
          <w:tcPr>
            <w:tcW w:w="3941" w:type="pct"/>
            <w:noWrap w:val="0"/>
            <w:vAlign w:val="center"/>
          </w:tcPr>
          <w:p w14:paraId="3DAE7C9A">
            <w:pPr>
              <w:pStyle w:val="24"/>
              <w:bidi w:val="0"/>
              <w:jc w:val="both"/>
              <w:rPr>
                <w:color w:val="auto"/>
              </w:rPr>
            </w:pPr>
            <w:r>
              <w:rPr>
                <w:color w:val="auto"/>
              </w:rPr>
              <w:t>工程控制：密闭操作，注意通风。</w:t>
            </w:r>
          </w:p>
          <w:p w14:paraId="275A4E73">
            <w:pPr>
              <w:pStyle w:val="24"/>
              <w:bidi w:val="0"/>
              <w:jc w:val="both"/>
              <w:rPr>
                <w:color w:val="auto"/>
              </w:rPr>
            </w:pPr>
            <w:r>
              <w:rPr>
                <w:color w:val="auto"/>
              </w:rPr>
              <w:t>呼吸系统防护：一般不需要特殊防护，但建议特殊情况下，佩戴防毒面具。</w:t>
            </w:r>
          </w:p>
          <w:p w14:paraId="07D96AE8">
            <w:pPr>
              <w:pStyle w:val="24"/>
              <w:bidi w:val="0"/>
              <w:jc w:val="both"/>
              <w:rPr>
                <w:rFonts w:hint="eastAsia"/>
                <w:color w:val="auto"/>
              </w:rPr>
            </w:pPr>
            <w:r>
              <w:rPr>
                <w:color w:val="auto"/>
              </w:rPr>
              <w:t>眼睛防护：必要时戴安</w:t>
            </w:r>
          </w:p>
          <w:p w14:paraId="6879726F">
            <w:pPr>
              <w:pStyle w:val="24"/>
              <w:bidi w:val="0"/>
              <w:jc w:val="both"/>
              <w:rPr>
                <w:color w:val="auto"/>
              </w:rPr>
            </w:pPr>
            <w:r>
              <w:rPr>
                <w:color w:val="auto"/>
              </w:rPr>
              <w:t>全防护眼镜。</w:t>
            </w:r>
          </w:p>
          <w:p w14:paraId="66F505D9">
            <w:pPr>
              <w:pStyle w:val="24"/>
              <w:bidi w:val="0"/>
              <w:jc w:val="both"/>
              <w:rPr>
                <w:color w:val="auto"/>
              </w:rPr>
            </w:pPr>
            <w:r>
              <w:rPr>
                <w:color w:val="auto"/>
              </w:rPr>
              <w:t>防护服：穿工作服</w:t>
            </w:r>
          </w:p>
          <w:p w14:paraId="2E272B08">
            <w:pPr>
              <w:pStyle w:val="24"/>
              <w:bidi w:val="0"/>
              <w:jc w:val="both"/>
              <w:rPr>
                <w:color w:val="auto"/>
              </w:rPr>
            </w:pPr>
            <w:r>
              <w:rPr>
                <w:color w:val="auto"/>
              </w:rPr>
              <w:t>手防护：戴防护手套</w:t>
            </w:r>
          </w:p>
          <w:p w14:paraId="4EC52188">
            <w:pPr>
              <w:pStyle w:val="24"/>
              <w:bidi w:val="0"/>
              <w:jc w:val="both"/>
              <w:rPr>
                <w:color w:val="auto"/>
              </w:rPr>
            </w:pPr>
            <w:r>
              <w:rPr>
                <w:color w:val="auto"/>
              </w:rPr>
              <w:t>其  它：工作后，淋浴更衣。保持良好的卫生习惯。</w:t>
            </w:r>
          </w:p>
        </w:tc>
      </w:tr>
      <w:tr w14:paraId="710C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338ED2BE">
            <w:pPr>
              <w:pStyle w:val="24"/>
              <w:bidi w:val="0"/>
              <w:rPr>
                <w:color w:val="auto"/>
              </w:rPr>
            </w:pPr>
            <w:r>
              <w:rPr>
                <w:color w:val="auto"/>
              </w:rPr>
              <w:t>毒理学资料</w:t>
            </w:r>
          </w:p>
        </w:tc>
        <w:tc>
          <w:tcPr>
            <w:tcW w:w="3941" w:type="pct"/>
            <w:noWrap w:val="0"/>
            <w:vAlign w:val="center"/>
          </w:tcPr>
          <w:p w14:paraId="34AAB1BF">
            <w:pPr>
              <w:pStyle w:val="24"/>
              <w:bidi w:val="0"/>
              <w:jc w:val="both"/>
              <w:rPr>
                <w:color w:val="auto"/>
              </w:rPr>
            </w:pPr>
            <w:r>
              <w:rPr>
                <w:color w:val="auto"/>
              </w:rPr>
              <w:t>大鼠经口LD50：7500mg/kg。</w:t>
            </w:r>
          </w:p>
          <w:p w14:paraId="3DCD2B74">
            <w:pPr>
              <w:pStyle w:val="24"/>
              <w:bidi w:val="0"/>
              <w:jc w:val="both"/>
              <w:rPr>
                <w:color w:val="auto"/>
              </w:rPr>
            </w:pPr>
            <w:r>
              <w:rPr>
                <w:color w:val="auto"/>
              </w:rPr>
              <w:t>兔经皮LD50：&gt;5ml/kg。因杂质及添加剂（如硫化酯类等）不同而毒性可有差异。</w:t>
            </w:r>
          </w:p>
          <w:p w14:paraId="19B48210">
            <w:pPr>
              <w:pStyle w:val="24"/>
              <w:bidi w:val="0"/>
              <w:jc w:val="both"/>
              <w:rPr>
                <w:color w:val="auto"/>
              </w:rPr>
            </w:pPr>
            <w:r>
              <w:rPr>
                <w:color w:val="auto"/>
              </w:rPr>
              <w:t>对皮肤和粘膜有刺激作用。也可有轻度麻醉作用。用500mg涂兔皮肤引起中毒皮肤刺激。柴油为高沸点物质，吸入蒸气而毒害的机会较少。</w:t>
            </w:r>
          </w:p>
        </w:tc>
      </w:tr>
      <w:tr w14:paraId="3C15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6E5A8AF2">
            <w:pPr>
              <w:pStyle w:val="24"/>
              <w:bidi w:val="0"/>
              <w:rPr>
                <w:color w:val="auto"/>
              </w:rPr>
            </w:pPr>
            <w:r>
              <w:rPr>
                <w:color w:val="auto"/>
              </w:rPr>
              <w:t>急  救</w:t>
            </w:r>
          </w:p>
        </w:tc>
        <w:tc>
          <w:tcPr>
            <w:tcW w:w="3941" w:type="pct"/>
            <w:noWrap w:val="0"/>
            <w:vAlign w:val="center"/>
          </w:tcPr>
          <w:p w14:paraId="5258071C">
            <w:pPr>
              <w:pStyle w:val="24"/>
              <w:bidi w:val="0"/>
              <w:jc w:val="both"/>
              <w:rPr>
                <w:color w:val="auto"/>
              </w:rPr>
            </w:pPr>
            <w:r>
              <w:rPr>
                <w:color w:val="auto"/>
              </w:rPr>
              <w:t>皮肤接触：脱去污染的衣着，用肥皂及清水彻底冲洗，就医。</w:t>
            </w:r>
          </w:p>
          <w:p w14:paraId="7ADFA473">
            <w:pPr>
              <w:pStyle w:val="24"/>
              <w:bidi w:val="0"/>
              <w:jc w:val="both"/>
              <w:rPr>
                <w:color w:val="auto"/>
              </w:rPr>
            </w:pPr>
            <w:r>
              <w:rPr>
                <w:color w:val="auto"/>
              </w:rPr>
              <w:t>眼睛接触：立即翻开上下眼睑，用流动清水或生理盐水冲洗至少1min，就医。</w:t>
            </w:r>
          </w:p>
          <w:p w14:paraId="48F96985">
            <w:pPr>
              <w:pStyle w:val="24"/>
              <w:bidi w:val="0"/>
              <w:jc w:val="both"/>
              <w:rPr>
                <w:color w:val="auto"/>
              </w:rPr>
            </w:pPr>
            <w:r>
              <w:rPr>
                <w:color w:val="auto"/>
              </w:rPr>
              <w:t>吸入：迅速脱离现场至空气新鲜处。保持呼吸道通畅。保暖并休息。呼吸困难时给输氧。呼吸停止时，立即进行人工呼吸。就医。</w:t>
            </w:r>
          </w:p>
          <w:p w14:paraId="4E7BDB73">
            <w:pPr>
              <w:pStyle w:val="24"/>
              <w:bidi w:val="0"/>
              <w:jc w:val="both"/>
              <w:rPr>
                <w:color w:val="auto"/>
              </w:rPr>
            </w:pPr>
            <w:r>
              <w:rPr>
                <w:color w:val="auto"/>
              </w:rPr>
              <w:t>食入：误服者立即漱口，饮足量温水，尽快洗胃。就医。</w:t>
            </w:r>
          </w:p>
        </w:tc>
      </w:tr>
      <w:tr w14:paraId="2426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pct"/>
            <w:noWrap w:val="0"/>
            <w:vAlign w:val="center"/>
          </w:tcPr>
          <w:p w14:paraId="1B1B6066">
            <w:pPr>
              <w:pStyle w:val="24"/>
              <w:bidi w:val="0"/>
              <w:rPr>
                <w:color w:val="auto"/>
              </w:rPr>
            </w:pPr>
            <w:r>
              <w:rPr>
                <w:color w:val="auto"/>
              </w:rPr>
              <w:t>临床表现</w:t>
            </w:r>
          </w:p>
        </w:tc>
        <w:tc>
          <w:tcPr>
            <w:tcW w:w="3941" w:type="pct"/>
            <w:noWrap w:val="0"/>
            <w:vAlign w:val="center"/>
          </w:tcPr>
          <w:p w14:paraId="247B4559">
            <w:pPr>
              <w:pStyle w:val="24"/>
              <w:bidi w:val="0"/>
              <w:jc w:val="both"/>
              <w:rPr>
                <w:color w:val="auto"/>
              </w:rPr>
            </w:pPr>
            <w:r>
              <w:rPr>
                <w:color w:val="auto"/>
              </w:rPr>
              <w:t>有报道拖拉机驾驶台四周空气污染细微雾滴，拖拉机手持续吸入15分钟而引起严重的吸入性肺炎。国外有病例报道，用柴油清洁两手和两臂数周而引发急性肾功能衰竭，肾活检验显示急性肾上管坏死。经治疗后恢复。故需考虑在皮肤大量接触后，个别人可能发生肾脏损害。皮肤接触后可能发生接触性皮炎，表现为红斑、水疱、丘疹。</w:t>
            </w:r>
          </w:p>
        </w:tc>
      </w:tr>
    </w:tbl>
    <w:p w14:paraId="509202C4">
      <w:pPr>
        <w:bidi w:val="0"/>
        <w:rPr>
          <w:rFonts w:hint="eastAsia"/>
          <w:color w:val="auto"/>
        </w:rPr>
      </w:pPr>
      <w:r>
        <w:rPr>
          <w:rFonts w:hint="eastAsia"/>
          <w:color w:val="auto"/>
        </w:rPr>
        <w:t>2、润滑油</w:t>
      </w:r>
    </w:p>
    <w:p w14:paraId="0E241798">
      <w:pPr>
        <w:pStyle w:val="23"/>
        <w:bidi w:val="0"/>
        <w:rPr>
          <w:color w:val="auto"/>
        </w:rPr>
      </w:pPr>
      <w:r>
        <w:rPr>
          <w:rFonts w:hint="eastAsia"/>
          <w:color w:val="auto"/>
        </w:rPr>
        <w:t>表3</w:t>
      </w:r>
      <w:r>
        <w:rPr>
          <w:rFonts w:hint="eastAsia"/>
          <w:color w:val="auto"/>
          <w:lang w:val="en-US" w:eastAsia="zh-CN"/>
        </w:rPr>
        <w:t>.1</w:t>
      </w:r>
      <w:r>
        <w:rPr>
          <w:rFonts w:hint="eastAsia"/>
          <w:color w:val="auto"/>
        </w:rPr>
        <w:t xml:space="preserve">-2 </w:t>
      </w:r>
      <w:r>
        <w:rPr>
          <w:rFonts w:hint="eastAsia"/>
          <w:color w:val="auto"/>
          <w:lang w:val="en-US" w:eastAsia="zh-CN"/>
        </w:rPr>
        <w:t xml:space="preserve"> </w:t>
      </w:r>
      <w:r>
        <w:rPr>
          <w:rFonts w:hint="eastAsia"/>
          <w:color w:val="auto"/>
        </w:rPr>
        <w:t>润滑油理化特性表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8"/>
        <w:gridCol w:w="342"/>
        <w:gridCol w:w="682"/>
        <w:gridCol w:w="6408"/>
      </w:tblGrid>
      <w:tr w14:paraId="356E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0FBB4162">
            <w:pPr>
              <w:pStyle w:val="24"/>
              <w:bidi w:val="0"/>
              <w:rPr>
                <w:color w:val="auto"/>
              </w:rPr>
            </w:pPr>
            <w:r>
              <w:rPr>
                <w:color w:val="auto"/>
              </w:rPr>
              <w:t>化学名称</w:t>
            </w:r>
          </w:p>
        </w:tc>
      </w:tr>
      <w:tr w14:paraId="368E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3B2504D6">
            <w:pPr>
              <w:pStyle w:val="24"/>
              <w:bidi w:val="0"/>
              <w:rPr>
                <w:color w:val="auto"/>
              </w:rPr>
            </w:pPr>
            <w:r>
              <w:rPr>
                <w:color w:val="auto"/>
              </w:rPr>
              <w:t>中文名称：</w:t>
            </w:r>
          </w:p>
        </w:tc>
        <w:tc>
          <w:tcPr>
            <w:tcW w:w="3952" w:type="pct"/>
            <w:gridSpan w:val="3"/>
            <w:noWrap w:val="0"/>
            <w:vAlign w:val="center"/>
          </w:tcPr>
          <w:p w14:paraId="02759EB2">
            <w:pPr>
              <w:pStyle w:val="24"/>
              <w:bidi w:val="0"/>
              <w:jc w:val="both"/>
              <w:rPr>
                <w:color w:val="auto"/>
              </w:rPr>
            </w:pPr>
            <w:r>
              <w:rPr>
                <w:color w:val="auto"/>
              </w:rPr>
              <w:t>润滑油；机油</w:t>
            </w:r>
          </w:p>
        </w:tc>
      </w:tr>
      <w:tr w14:paraId="5615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096450BA">
            <w:pPr>
              <w:pStyle w:val="24"/>
              <w:bidi w:val="0"/>
              <w:rPr>
                <w:color w:val="auto"/>
              </w:rPr>
            </w:pPr>
            <w:r>
              <w:rPr>
                <w:color w:val="auto"/>
              </w:rPr>
              <w:t>英文名称：</w:t>
            </w:r>
          </w:p>
        </w:tc>
        <w:tc>
          <w:tcPr>
            <w:tcW w:w="3952" w:type="pct"/>
            <w:gridSpan w:val="3"/>
            <w:noWrap w:val="0"/>
            <w:vAlign w:val="center"/>
          </w:tcPr>
          <w:p w14:paraId="62541E96">
            <w:pPr>
              <w:pStyle w:val="24"/>
              <w:bidi w:val="0"/>
              <w:jc w:val="both"/>
              <w:rPr>
                <w:color w:val="auto"/>
              </w:rPr>
            </w:pPr>
            <w:r>
              <w:rPr>
                <w:color w:val="auto"/>
              </w:rPr>
              <w:t>lubricating oil；Lube oil</w:t>
            </w:r>
          </w:p>
        </w:tc>
      </w:tr>
      <w:tr w14:paraId="4248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301A594D">
            <w:pPr>
              <w:pStyle w:val="24"/>
              <w:bidi w:val="0"/>
              <w:rPr>
                <w:color w:val="auto"/>
              </w:rPr>
            </w:pPr>
            <w:r>
              <w:rPr>
                <w:color w:val="auto"/>
              </w:rPr>
              <w:t>分子量：</w:t>
            </w:r>
          </w:p>
        </w:tc>
        <w:tc>
          <w:tcPr>
            <w:tcW w:w="3952" w:type="pct"/>
            <w:gridSpan w:val="3"/>
            <w:noWrap w:val="0"/>
            <w:vAlign w:val="center"/>
          </w:tcPr>
          <w:p w14:paraId="5B837296">
            <w:pPr>
              <w:pStyle w:val="24"/>
              <w:bidi w:val="0"/>
              <w:jc w:val="both"/>
              <w:rPr>
                <w:color w:val="auto"/>
              </w:rPr>
            </w:pPr>
            <w:r>
              <w:rPr>
                <w:color w:val="auto"/>
              </w:rPr>
              <w:t>230～500</w:t>
            </w:r>
          </w:p>
        </w:tc>
      </w:tr>
      <w:tr w14:paraId="7322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00A171B5">
            <w:pPr>
              <w:pStyle w:val="24"/>
              <w:bidi w:val="0"/>
              <w:rPr>
                <w:color w:val="auto"/>
              </w:rPr>
            </w:pPr>
            <w:r>
              <w:rPr>
                <w:color w:val="auto"/>
              </w:rPr>
              <w:t>危险性描述</w:t>
            </w:r>
          </w:p>
        </w:tc>
      </w:tr>
      <w:tr w14:paraId="71DE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2173F739">
            <w:pPr>
              <w:pStyle w:val="24"/>
              <w:bidi w:val="0"/>
              <w:rPr>
                <w:color w:val="auto"/>
              </w:rPr>
            </w:pPr>
            <w:r>
              <w:rPr>
                <w:color w:val="auto"/>
              </w:rPr>
              <w:t>健康危害：</w:t>
            </w:r>
          </w:p>
        </w:tc>
        <w:tc>
          <w:tcPr>
            <w:tcW w:w="3952" w:type="pct"/>
            <w:gridSpan w:val="3"/>
            <w:noWrap w:val="0"/>
            <w:vAlign w:val="center"/>
          </w:tcPr>
          <w:p w14:paraId="7C10EEB6">
            <w:pPr>
              <w:pStyle w:val="24"/>
              <w:bidi w:val="0"/>
              <w:jc w:val="both"/>
              <w:rPr>
                <w:color w:val="auto"/>
              </w:rPr>
            </w:pPr>
            <w:r>
              <w:rPr>
                <w:color w:val="auto"/>
              </w:rPr>
              <w:t>急性吸入，可出现乏力、头晕、头痛、恶心，严重者可引起油脂性肺炎。慢性接触者，暴露部位可发生油性痤疮和接触性皮炎。可引起神经衰弱综合征，呼吸道和眼刺激症状及慢性油脂性肺炎。有资料报道，接触石油润滑油类的工人，有致癌的病例报告。 </w:t>
            </w:r>
          </w:p>
        </w:tc>
      </w:tr>
      <w:tr w14:paraId="5251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38F08849">
            <w:pPr>
              <w:pStyle w:val="24"/>
              <w:bidi w:val="0"/>
              <w:rPr>
                <w:color w:val="auto"/>
              </w:rPr>
            </w:pPr>
            <w:r>
              <w:rPr>
                <w:color w:val="auto"/>
              </w:rPr>
              <w:t>燃爆危险：</w:t>
            </w:r>
          </w:p>
        </w:tc>
        <w:tc>
          <w:tcPr>
            <w:tcW w:w="3952" w:type="pct"/>
            <w:gridSpan w:val="3"/>
            <w:noWrap w:val="0"/>
            <w:vAlign w:val="center"/>
          </w:tcPr>
          <w:p w14:paraId="402CB8EA">
            <w:pPr>
              <w:pStyle w:val="24"/>
              <w:bidi w:val="0"/>
              <w:jc w:val="both"/>
              <w:rPr>
                <w:color w:val="auto"/>
              </w:rPr>
            </w:pPr>
            <w:r>
              <w:rPr>
                <w:color w:val="auto"/>
              </w:rPr>
              <w:t>本品可燃，具刺激性。</w:t>
            </w:r>
          </w:p>
        </w:tc>
      </w:tr>
      <w:tr w14:paraId="5C5D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5E640D89">
            <w:pPr>
              <w:pStyle w:val="24"/>
              <w:bidi w:val="0"/>
              <w:rPr>
                <w:color w:val="auto"/>
              </w:rPr>
            </w:pPr>
            <w:r>
              <w:rPr>
                <w:color w:val="auto"/>
              </w:rPr>
              <w:t>急救措施</w:t>
            </w:r>
          </w:p>
        </w:tc>
      </w:tr>
      <w:tr w14:paraId="3142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351DBCDA">
            <w:pPr>
              <w:pStyle w:val="24"/>
              <w:bidi w:val="0"/>
              <w:rPr>
                <w:color w:val="auto"/>
              </w:rPr>
            </w:pPr>
            <w:r>
              <w:rPr>
                <w:color w:val="auto"/>
              </w:rPr>
              <w:t>皮肤接触：</w:t>
            </w:r>
          </w:p>
        </w:tc>
        <w:tc>
          <w:tcPr>
            <w:tcW w:w="3952" w:type="pct"/>
            <w:gridSpan w:val="3"/>
            <w:noWrap w:val="0"/>
            <w:vAlign w:val="center"/>
          </w:tcPr>
          <w:p w14:paraId="705DFB36">
            <w:pPr>
              <w:pStyle w:val="24"/>
              <w:bidi w:val="0"/>
              <w:jc w:val="both"/>
              <w:rPr>
                <w:color w:val="auto"/>
              </w:rPr>
            </w:pPr>
            <w:r>
              <w:rPr>
                <w:color w:val="auto"/>
              </w:rPr>
              <w:t>脱去污染的衣着，用大量流动清水冲洗。就医。</w:t>
            </w:r>
          </w:p>
        </w:tc>
      </w:tr>
      <w:tr w14:paraId="4D12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22533186">
            <w:pPr>
              <w:pStyle w:val="24"/>
              <w:bidi w:val="0"/>
              <w:rPr>
                <w:color w:val="auto"/>
              </w:rPr>
            </w:pPr>
            <w:r>
              <w:rPr>
                <w:color w:val="auto"/>
              </w:rPr>
              <w:t>眼接触：</w:t>
            </w:r>
          </w:p>
        </w:tc>
        <w:tc>
          <w:tcPr>
            <w:tcW w:w="3952" w:type="pct"/>
            <w:gridSpan w:val="3"/>
            <w:noWrap w:val="0"/>
            <w:vAlign w:val="center"/>
          </w:tcPr>
          <w:p w14:paraId="3C62A28B">
            <w:pPr>
              <w:pStyle w:val="24"/>
              <w:bidi w:val="0"/>
              <w:jc w:val="both"/>
              <w:rPr>
                <w:color w:val="auto"/>
              </w:rPr>
            </w:pPr>
            <w:r>
              <w:rPr>
                <w:color w:val="auto"/>
              </w:rPr>
              <w:t>提起眼睑，用流动清水或生理盐水冲洗。就医。</w:t>
            </w:r>
          </w:p>
        </w:tc>
      </w:tr>
      <w:tr w14:paraId="0394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4A62A6BE">
            <w:pPr>
              <w:pStyle w:val="24"/>
              <w:bidi w:val="0"/>
              <w:rPr>
                <w:color w:val="auto"/>
              </w:rPr>
            </w:pPr>
            <w:r>
              <w:rPr>
                <w:color w:val="auto"/>
              </w:rPr>
              <w:t>吸入：</w:t>
            </w:r>
          </w:p>
        </w:tc>
        <w:tc>
          <w:tcPr>
            <w:tcW w:w="3952" w:type="pct"/>
            <w:gridSpan w:val="3"/>
            <w:noWrap w:val="0"/>
            <w:vAlign w:val="center"/>
          </w:tcPr>
          <w:p w14:paraId="12AFB860">
            <w:pPr>
              <w:pStyle w:val="24"/>
              <w:bidi w:val="0"/>
              <w:jc w:val="both"/>
              <w:rPr>
                <w:color w:val="auto"/>
              </w:rPr>
            </w:pPr>
            <w:r>
              <w:rPr>
                <w:color w:val="auto"/>
              </w:rPr>
              <w:t>迅速脱离现场至空气新鲜处。保持呼吸道通畅。如呼吸困难，给输氧。如呼吸停止，立即进行人工呼吸。就医。</w:t>
            </w:r>
          </w:p>
        </w:tc>
      </w:tr>
      <w:tr w14:paraId="78D2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4A74D3B9">
            <w:pPr>
              <w:pStyle w:val="24"/>
              <w:bidi w:val="0"/>
              <w:rPr>
                <w:color w:val="auto"/>
              </w:rPr>
            </w:pPr>
            <w:r>
              <w:rPr>
                <w:color w:val="auto"/>
              </w:rPr>
              <w:t>食入：</w:t>
            </w:r>
          </w:p>
        </w:tc>
        <w:tc>
          <w:tcPr>
            <w:tcW w:w="3952" w:type="pct"/>
            <w:gridSpan w:val="3"/>
            <w:noWrap w:val="0"/>
            <w:vAlign w:val="center"/>
          </w:tcPr>
          <w:p w14:paraId="7647E7D8">
            <w:pPr>
              <w:pStyle w:val="24"/>
              <w:bidi w:val="0"/>
              <w:jc w:val="both"/>
              <w:rPr>
                <w:color w:val="auto"/>
              </w:rPr>
            </w:pPr>
            <w:r>
              <w:rPr>
                <w:color w:val="auto"/>
              </w:rPr>
              <w:t>饮足量温水，催吐。就医。</w:t>
            </w:r>
          </w:p>
        </w:tc>
      </w:tr>
      <w:tr w14:paraId="7705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209E7928">
            <w:pPr>
              <w:pStyle w:val="24"/>
              <w:bidi w:val="0"/>
              <w:rPr>
                <w:color w:val="auto"/>
              </w:rPr>
            </w:pPr>
            <w:r>
              <w:rPr>
                <w:color w:val="auto"/>
              </w:rPr>
              <w:t>消防措施</w:t>
            </w:r>
          </w:p>
        </w:tc>
      </w:tr>
      <w:tr w14:paraId="5AC2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4A66DCCC">
            <w:pPr>
              <w:pStyle w:val="24"/>
              <w:bidi w:val="0"/>
              <w:rPr>
                <w:color w:val="auto"/>
              </w:rPr>
            </w:pPr>
            <w:r>
              <w:rPr>
                <w:color w:val="auto"/>
              </w:rPr>
              <w:t>危险特性：</w:t>
            </w:r>
          </w:p>
        </w:tc>
        <w:tc>
          <w:tcPr>
            <w:tcW w:w="3952" w:type="pct"/>
            <w:gridSpan w:val="3"/>
            <w:noWrap w:val="0"/>
            <w:vAlign w:val="center"/>
          </w:tcPr>
          <w:p w14:paraId="11FFEA07">
            <w:pPr>
              <w:pStyle w:val="24"/>
              <w:bidi w:val="0"/>
              <w:jc w:val="both"/>
              <w:rPr>
                <w:color w:val="auto"/>
              </w:rPr>
            </w:pPr>
            <w:r>
              <w:rPr>
                <w:color w:val="auto"/>
              </w:rPr>
              <w:t>遇明火、高热可燃。</w:t>
            </w:r>
          </w:p>
        </w:tc>
      </w:tr>
      <w:tr w14:paraId="4078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28F513B3">
            <w:pPr>
              <w:pStyle w:val="24"/>
              <w:bidi w:val="0"/>
              <w:rPr>
                <w:color w:val="auto"/>
              </w:rPr>
            </w:pPr>
            <w:r>
              <w:rPr>
                <w:color w:val="auto"/>
              </w:rPr>
              <w:t>有害燃烧产物：</w:t>
            </w:r>
          </w:p>
        </w:tc>
        <w:tc>
          <w:tcPr>
            <w:tcW w:w="3952" w:type="pct"/>
            <w:gridSpan w:val="3"/>
            <w:noWrap w:val="0"/>
            <w:vAlign w:val="center"/>
          </w:tcPr>
          <w:p w14:paraId="6E648B73">
            <w:pPr>
              <w:pStyle w:val="24"/>
              <w:bidi w:val="0"/>
              <w:jc w:val="both"/>
              <w:rPr>
                <w:color w:val="auto"/>
              </w:rPr>
            </w:pPr>
            <w:r>
              <w:rPr>
                <w:color w:val="auto"/>
              </w:rPr>
              <w:t>一氧化碳、二氧化碳。</w:t>
            </w:r>
          </w:p>
        </w:tc>
      </w:tr>
      <w:tr w14:paraId="43C4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5C071D70">
            <w:pPr>
              <w:pStyle w:val="24"/>
              <w:bidi w:val="0"/>
              <w:rPr>
                <w:color w:val="auto"/>
              </w:rPr>
            </w:pPr>
            <w:r>
              <w:rPr>
                <w:color w:val="auto"/>
              </w:rPr>
              <w:t>灭火方法：</w:t>
            </w:r>
          </w:p>
        </w:tc>
        <w:tc>
          <w:tcPr>
            <w:tcW w:w="3952" w:type="pct"/>
            <w:gridSpan w:val="3"/>
            <w:noWrap w:val="0"/>
            <w:vAlign w:val="center"/>
          </w:tcPr>
          <w:p w14:paraId="0BA9FD77">
            <w:pPr>
              <w:pStyle w:val="24"/>
              <w:bidi w:val="0"/>
              <w:jc w:val="both"/>
              <w:rPr>
                <w:color w:val="auto"/>
              </w:rPr>
            </w:pPr>
            <w:r>
              <w:rPr>
                <w:color w:val="auto"/>
              </w:rPr>
              <w:t>消防人员须佩戴防毒面具、穿全身消防服，在上风向灭火。尽可能将容器从火场移至空旷处。喷水保持火场容器冷却，直至灭火结束。处在火场中的容器若已变色或从安全泄压装置中产生声音，必须马上撤离。灭火剂：雾状水、泡沫、干粉、二氧化碳、砂土。</w:t>
            </w:r>
          </w:p>
        </w:tc>
      </w:tr>
      <w:tr w14:paraId="39F0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067CDD96">
            <w:pPr>
              <w:pStyle w:val="24"/>
              <w:bidi w:val="0"/>
              <w:rPr>
                <w:color w:val="auto"/>
              </w:rPr>
            </w:pPr>
            <w:r>
              <w:rPr>
                <w:color w:val="auto"/>
              </w:rPr>
              <w:t>泄露应急处理</w:t>
            </w:r>
          </w:p>
        </w:tc>
      </w:tr>
      <w:tr w14:paraId="08FF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607E048B">
            <w:pPr>
              <w:pStyle w:val="24"/>
              <w:bidi w:val="0"/>
              <w:rPr>
                <w:color w:val="auto"/>
              </w:rPr>
            </w:pPr>
            <w:r>
              <w:rPr>
                <w:color w:val="auto"/>
              </w:rPr>
              <w:t>应急处理：</w:t>
            </w:r>
          </w:p>
        </w:tc>
        <w:tc>
          <w:tcPr>
            <w:tcW w:w="3952" w:type="pct"/>
            <w:gridSpan w:val="3"/>
            <w:noWrap w:val="0"/>
            <w:vAlign w:val="center"/>
          </w:tcPr>
          <w:p w14:paraId="6B1680A6">
            <w:pPr>
              <w:pStyle w:val="24"/>
              <w:bidi w:val="0"/>
              <w:jc w:val="both"/>
              <w:rPr>
                <w:color w:val="auto"/>
              </w:rPr>
            </w:pPr>
            <w:r>
              <w:rPr>
                <w:color w:val="auto"/>
              </w:rPr>
              <w:t>迅速撤离泄漏污染区人员至安全区，并进行隔离，严格限制出入。切断火源。建议应急处理人员戴自给正压式呼吸器，穿防毒服。尽可能切断泄漏源。防止流入下水道、排洪沟等限制性空间。小量泄漏：用砂土或其它不燃材料吸附或吸收。大量泄漏：构筑围堤或挖坑收容。用泵转移至槽车或专用收集器内，回收或运至废物处理场所处置。</w:t>
            </w:r>
          </w:p>
        </w:tc>
      </w:tr>
      <w:tr w14:paraId="1874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29CEB776">
            <w:pPr>
              <w:pStyle w:val="24"/>
              <w:bidi w:val="0"/>
              <w:rPr>
                <w:color w:val="auto"/>
              </w:rPr>
            </w:pPr>
            <w:r>
              <w:rPr>
                <w:color w:val="auto"/>
              </w:rPr>
              <w:t>操作处置与储存</w:t>
            </w:r>
          </w:p>
        </w:tc>
      </w:tr>
      <w:tr w14:paraId="0118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0ACADF96">
            <w:pPr>
              <w:pStyle w:val="24"/>
              <w:bidi w:val="0"/>
              <w:rPr>
                <w:color w:val="auto"/>
              </w:rPr>
            </w:pPr>
            <w:r>
              <w:rPr>
                <w:color w:val="auto"/>
              </w:rPr>
              <w:t>操作注意事项：</w:t>
            </w:r>
          </w:p>
        </w:tc>
        <w:tc>
          <w:tcPr>
            <w:tcW w:w="3952" w:type="pct"/>
            <w:gridSpan w:val="3"/>
            <w:noWrap w:val="0"/>
            <w:vAlign w:val="center"/>
          </w:tcPr>
          <w:p w14:paraId="3E2D0AF7">
            <w:pPr>
              <w:pStyle w:val="24"/>
              <w:bidi w:val="0"/>
              <w:jc w:val="both"/>
              <w:rPr>
                <w:color w:val="auto"/>
              </w:rPr>
            </w:pPr>
            <w:r>
              <w:rPr>
                <w:color w:val="auto"/>
              </w:rPr>
              <w:t>密闭操作，注意通风。操作人员必须经过专门培训，严格遵守操作规程。建议操作人员佩戴自吸过滤式防毒面具（半面罩），戴化学安全防护眼镜，穿防毒物渗透工作服，戴橡胶耐油手套。远离火种、热源，工作场所严禁吸烟。使用防爆型的通风系统和设备。防止蒸气泄漏到工作场所空气中。避免与氧化剂接触。搬运时要轻装轻卸，防止包装及容器损坏。配备相应品种和数量的消防器材及泄漏应急处理设备。倒空的容器可能残留有害物。</w:t>
            </w:r>
          </w:p>
        </w:tc>
      </w:tr>
      <w:tr w14:paraId="7FA8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7" w:type="pct"/>
            <w:noWrap w:val="0"/>
            <w:vAlign w:val="center"/>
          </w:tcPr>
          <w:p w14:paraId="651E1C3E">
            <w:pPr>
              <w:pStyle w:val="24"/>
              <w:bidi w:val="0"/>
              <w:rPr>
                <w:color w:val="auto"/>
              </w:rPr>
            </w:pPr>
            <w:r>
              <w:rPr>
                <w:color w:val="auto"/>
              </w:rPr>
              <w:t>储存注意事项：</w:t>
            </w:r>
          </w:p>
        </w:tc>
        <w:tc>
          <w:tcPr>
            <w:tcW w:w="3952" w:type="pct"/>
            <w:gridSpan w:val="3"/>
            <w:noWrap w:val="0"/>
            <w:vAlign w:val="center"/>
          </w:tcPr>
          <w:p w14:paraId="423AAD5C">
            <w:pPr>
              <w:pStyle w:val="24"/>
              <w:bidi w:val="0"/>
              <w:jc w:val="both"/>
              <w:rPr>
                <w:color w:val="auto"/>
              </w:rPr>
            </w:pPr>
            <w:r>
              <w:rPr>
                <w:color w:val="auto"/>
              </w:rPr>
              <w:t>储存于阴凉、通风的库房。远离火种、热源。应与氧化剂分开存放，切忌混储。配备相应品种和数量的消防器材。储区应备有泄漏应急处理设备和合适的收容材料。</w:t>
            </w:r>
          </w:p>
        </w:tc>
      </w:tr>
      <w:tr w14:paraId="62D9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23D6AC24">
            <w:pPr>
              <w:pStyle w:val="24"/>
              <w:bidi w:val="0"/>
              <w:rPr>
                <w:color w:val="auto"/>
              </w:rPr>
            </w:pPr>
            <w:r>
              <w:rPr>
                <w:color w:val="auto"/>
              </w:rPr>
              <w:t>接触控制/个体防护</w:t>
            </w:r>
          </w:p>
        </w:tc>
      </w:tr>
      <w:tr w14:paraId="209D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9" w:type="pct"/>
            <w:gridSpan w:val="2"/>
            <w:noWrap w:val="0"/>
            <w:vAlign w:val="center"/>
          </w:tcPr>
          <w:p w14:paraId="2C4C5F0E">
            <w:pPr>
              <w:pStyle w:val="24"/>
              <w:bidi w:val="0"/>
              <w:rPr>
                <w:color w:val="auto"/>
              </w:rPr>
            </w:pPr>
            <w:r>
              <w:rPr>
                <w:color w:val="auto"/>
              </w:rPr>
              <w:t>工程控制：</w:t>
            </w:r>
          </w:p>
        </w:tc>
        <w:tc>
          <w:tcPr>
            <w:tcW w:w="3770" w:type="pct"/>
            <w:gridSpan w:val="2"/>
            <w:noWrap w:val="0"/>
            <w:vAlign w:val="center"/>
          </w:tcPr>
          <w:p w14:paraId="5C62064F">
            <w:pPr>
              <w:pStyle w:val="24"/>
              <w:bidi w:val="0"/>
              <w:jc w:val="both"/>
              <w:rPr>
                <w:color w:val="auto"/>
              </w:rPr>
            </w:pPr>
            <w:r>
              <w:rPr>
                <w:color w:val="auto"/>
              </w:rPr>
              <w:t>密闭操作，注意通风。</w:t>
            </w:r>
          </w:p>
        </w:tc>
      </w:tr>
      <w:tr w14:paraId="2A02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9" w:type="pct"/>
            <w:gridSpan w:val="2"/>
            <w:noWrap w:val="0"/>
            <w:vAlign w:val="center"/>
          </w:tcPr>
          <w:p w14:paraId="02F271A7">
            <w:pPr>
              <w:pStyle w:val="24"/>
              <w:bidi w:val="0"/>
              <w:rPr>
                <w:color w:val="auto"/>
              </w:rPr>
            </w:pPr>
            <w:r>
              <w:rPr>
                <w:color w:val="auto"/>
              </w:rPr>
              <w:t>呼吸系统防护：</w:t>
            </w:r>
          </w:p>
        </w:tc>
        <w:tc>
          <w:tcPr>
            <w:tcW w:w="3770" w:type="pct"/>
            <w:gridSpan w:val="2"/>
            <w:noWrap w:val="0"/>
            <w:vAlign w:val="center"/>
          </w:tcPr>
          <w:p w14:paraId="6FBC434A">
            <w:pPr>
              <w:pStyle w:val="24"/>
              <w:bidi w:val="0"/>
              <w:jc w:val="both"/>
              <w:rPr>
                <w:color w:val="auto"/>
              </w:rPr>
            </w:pPr>
            <w:r>
              <w:rPr>
                <w:color w:val="auto"/>
              </w:rPr>
              <w:t>空气中浓度超标时，必须佩戴自吸过滤式防毒面具（半面罩）。紧急事态抢救或撤离时，应该佩戴空气呼吸器。</w:t>
            </w:r>
          </w:p>
        </w:tc>
      </w:tr>
      <w:tr w14:paraId="01FC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9" w:type="pct"/>
            <w:gridSpan w:val="2"/>
            <w:noWrap w:val="0"/>
            <w:vAlign w:val="center"/>
          </w:tcPr>
          <w:p w14:paraId="6961D30B">
            <w:pPr>
              <w:pStyle w:val="24"/>
              <w:bidi w:val="0"/>
              <w:rPr>
                <w:color w:val="auto"/>
              </w:rPr>
            </w:pPr>
            <w:r>
              <w:rPr>
                <w:color w:val="auto"/>
              </w:rPr>
              <w:t>眼睛防护：</w:t>
            </w:r>
          </w:p>
        </w:tc>
        <w:tc>
          <w:tcPr>
            <w:tcW w:w="3770" w:type="pct"/>
            <w:gridSpan w:val="2"/>
            <w:noWrap w:val="0"/>
            <w:vAlign w:val="center"/>
          </w:tcPr>
          <w:p w14:paraId="2F87E463">
            <w:pPr>
              <w:pStyle w:val="24"/>
              <w:bidi w:val="0"/>
              <w:jc w:val="both"/>
              <w:rPr>
                <w:color w:val="auto"/>
              </w:rPr>
            </w:pPr>
            <w:r>
              <w:rPr>
                <w:color w:val="auto"/>
              </w:rPr>
              <w:t>戴化学安全防护眼镜。</w:t>
            </w:r>
          </w:p>
        </w:tc>
      </w:tr>
      <w:tr w14:paraId="5C87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9" w:type="pct"/>
            <w:gridSpan w:val="2"/>
            <w:noWrap w:val="0"/>
            <w:vAlign w:val="center"/>
          </w:tcPr>
          <w:p w14:paraId="1422A020">
            <w:pPr>
              <w:pStyle w:val="24"/>
              <w:bidi w:val="0"/>
              <w:rPr>
                <w:color w:val="auto"/>
              </w:rPr>
            </w:pPr>
            <w:r>
              <w:rPr>
                <w:color w:val="auto"/>
              </w:rPr>
              <w:t>身体防护：</w:t>
            </w:r>
          </w:p>
        </w:tc>
        <w:tc>
          <w:tcPr>
            <w:tcW w:w="3770" w:type="pct"/>
            <w:gridSpan w:val="2"/>
            <w:noWrap w:val="0"/>
            <w:vAlign w:val="center"/>
          </w:tcPr>
          <w:p w14:paraId="6FD5311A">
            <w:pPr>
              <w:pStyle w:val="24"/>
              <w:bidi w:val="0"/>
              <w:jc w:val="both"/>
              <w:rPr>
                <w:color w:val="auto"/>
              </w:rPr>
            </w:pPr>
            <w:r>
              <w:rPr>
                <w:color w:val="auto"/>
              </w:rPr>
              <w:t>穿防毒物渗透工作服。</w:t>
            </w:r>
          </w:p>
        </w:tc>
      </w:tr>
      <w:tr w14:paraId="2BD7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9" w:type="pct"/>
            <w:gridSpan w:val="2"/>
            <w:noWrap w:val="0"/>
            <w:vAlign w:val="center"/>
          </w:tcPr>
          <w:p w14:paraId="41005001">
            <w:pPr>
              <w:pStyle w:val="24"/>
              <w:bidi w:val="0"/>
              <w:rPr>
                <w:color w:val="auto"/>
              </w:rPr>
            </w:pPr>
            <w:r>
              <w:rPr>
                <w:color w:val="auto"/>
              </w:rPr>
              <w:t>手防护：</w:t>
            </w:r>
          </w:p>
        </w:tc>
        <w:tc>
          <w:tcPr>
            <w:tcW w:w="3770" w:type="pct"/>
            <w:gridSpan w:val="2"/>
            <w:noWrap w:val="0"/>
            <w:vAlign w:val="center"/>
          </w:tcPr>
          <w:p w14:paraId="6773C411">
            <w:pPr>
              <w:pStyle w:val="24"/>
              <w:bidi w:val="0"/>
              <w:jc w:val="both"/>
              <w:rPr>
                <w:color w:val="auto"/>
              </w:rPr>
            </w:pPr>
            <w:r>
              <w:rPr>
                <w:color w:val="auto"/>
              </w:rPr>
              <w:t>戴橡胶耐油手套。</w:t>
            </w:r>
          </w:p>
        </w:tc>
      </w:tr>
      <w:tr w14:paraId="4C94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9" w:type="pct"/>
            <w:gridSpan w:val="2"/>
            <w:noWrap w:val="0"/>
            <w:vAlign w:val="center"/>
          </w:tcPr>
          <w:p w14:paraId="1E99DB18">
            <w:pPr>
              <w:pStyle w:val="24"/>
              <w:bidi w:val="0"/>
              <w:rPr>
                <w:color w:val="auto"/>
              </w:rPr>
            </w:pPr>
            <w:r>
              <w:rPr>
                <w:color w:val="auto"/>
              </w:rPr>
              <w:t>其他防护：</w:t>
            </w:r>
          </w:p>
        </w:tc>
        <w:tc>
          <w:tcPr>
            <w:tcW w:w="3770" w:type="pct"/>
            <w:gridSpan w:val="2"/>
            <w:noWrap w:val="0"/>
            <w:vAlign w:val="center"/>
          </w:tcPr>
          <w:p w14:paraId="1E644BBD">
            <w:pPr>
              <w:pStyle w:val="24"/>
              <w:bidi w:val="0"/>
              <w:jc w:val="both"/>
              <w:rPr>
                <w:color w:val="auto"/>
              </w:rPr>
            </w:pPr>
            <w:r>
              <w:rPr>
                <w:color w:val="auto"/>
              </w:rPr>
              <w:t>工作现场严禁吸烟。避免长期反复接触。</w:t>
            </w:r>
          </w:p>
        </w:tc>
      </w:tr>
      <w:tr w14:paraId="6046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5E5FC0CB">
            <w:pPr>
              <w:pStyle w:val="24"/>
              <w:bidi w:val="0"/>
              <w:rPr>
                <w:color w:val="auto"/>
              </w:rPr>
            </w:pPr>
            <w:r>
              <w:rPr>
                <w:color w:val="auto"/>
              </w:rPr>
              <w:t>理化特性</w:t>
            </w:r>
          </w:p>
        </w:tc>
      </w:tr>
      <w:tr w14:paraId="5D2E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2" w:type="pct"/>
            <w:gridSpan w:val="3"/>
            <w:noWrap w:val="0"/>
            <w:vAlign w:val="center"/>
          </w:tcPr>
          <w:p w14:paraId="51B3E9C8">
            <w:pPr>
              <w:pStyle w:val="24"/>
              <w:bidi w:val="0"/>
              <w:rPr>
                <w:color w:val="auto"/>
              </w:rPr>
            </w:pPr>
            <w:r>
              <w:rPr>
                <w:color w:val="auto"/>
              </w:rPr>
              <w:t>外观与性状：</w:t>
            </w:r>
          </w:p>
        </w:tc>
        <w:tc>
          <w:tcPr>
            <w:tcW w:w="3407" w:type="pct"/>
            <w:noWrap w:val="0"/>
            <w:vAlign w:val="center"/>
          </w:tcPr>
          <w:p w14:paraId="51CB615B">
            <w:pPr>
              <w:pStyle w:val="24"/>
              <w:bidi w:val="0"/>
              <w:jc w:val="both"/>
              <w:rPr>
                <w:color w:val="auto"/>
              </w:rPr>
            </w:pPr>
            <w:r>
              <w:rPr>
                <w:color w:val="auto"/>
              </w:rPr>
              <w:t>油状液体</w:t>
            </w:r>
            <w:r>
              <w:rPr>
                <w:rFonts w:hint="eastAsia"/>
                <w:color w:val="auto"/>
                <w:lang w:eastAsia="zh-CN"/>
              </w:rPr>
              <w:t>，</w:t>
            </w:r>
            <w:r>
              <w:rPr>
                <w:color w:val="auto"/>
              </w:rPr>
              <w:t>淡黄色至褐色</w:t>
            </w:r>
            <w:r>
              <w:rPr>
                <w:rFonts w:hint="eastAsia"/>
                <w:color w:val="auto"/>
                <w:lang w:eastAsia="zh-CN"/>
              </w:rPr>
              <w:t>，</w:t>
            </w:r>
            <w:r>
              <w:rPr>
                <w:color w:val="auto"/>
              </w:rPr>
              <w:t>无气味或略带异味。</w:t>
            </w:r>
          </w:p>
        </w:tc>
      </w:tr>
      <w:tr w14:paraId="0160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2" w:type="pct"/>
            <w:gridSpan w:val="3"/>
            <w:noWrap w:val="0"/>
            <w:vAlign w:val="center"/>
          </w:tcPr>
          <w:p w14:paraId="44FBACA5">
            <w:pPr>
              <w:pStyle w:val="24"/>
              <w:bidi w:val="0"/>
              <w:rPr>
                <w:color w:val="auto"/>
              </w:rPr>
            </w:pPr>
            <w:r>
              <w:rPr>
                <w:color w:val="auto"/>
              </w:rPr>
              <w:t>相对密度(水=1)：</w:t>
            </w:r>
          </w:p>
        </w:tc>
        <w:tc>
          <w:tcPr>
            <w:tcW w:w="3407" w:type="pct"/>
            <w:noWrap w:val="0"/>
            <w:vAlign w:val="center"/>
          </w:tcPr>
          <w:p w14:paraId="3FB3323D">
            <w:pPr>
              <w:pStyle w:val="24"/>
              <w:bidi w:val="0"/>
              <w:jc w:val="both"/>
              <w:rPr>
                <w:color w:val="auto"/>
              </w:rPr>
            </w:pPr>
            <w:r>
              <w:rPr>
                <w:color w:val="auto"/>
              </w:rPr>
              <w:t>＜1</w:t>
            </w:r>
          </w:p>
        </w:tc>
      </w:tr>
      <w:tr w14:paraId="5355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2" w:type="pct"/>
            <w:gridSpan w:val="3"/>
            <w:noWrap w:val="0"/>
            <w:vAlign w:val="center"/>
          </w:tcPr>
          <w:p w14:paraId="6250396F">
            <w:pPr>
              <w:pStyle w:val="24"/>
              <w:bidi w:val="0"/>
              <w:rPr>
                <w:color w:val="auto"/>
              </w:rPr>
            </w:pPr>
            <w:r>
              <w:rPr>
                <w:color w:val="auto"/>
              </w:rPr>
              <w:t>闪点(</w:t>
            </w:r>
            <w:r>
              <w:rPr>
                <w:rFonts w:hint="eastAsia"/>
                <w:color w:val="auto"/>
              </w:rPr>
              <w:t>℃</w:t>
            </w:r>
            <w:r>
              <w:rPr>
                <w:color w:val="auto"/>
              </w:rPr>
              <w:t>)：</w:t>
            </w:r>
          </w:p>
        </w:tc>
        <w:tc>
          <w:tcPr>
            <w:tcW w:w="3407" w:type="pct"/>
            <w:noWrap w:val="0"/>
            <w:vAlign w:val="center"/>
          </w:tcPr>
          <w:p w14:paraId="6DBCA232">
            <w:pPr>
              <w:pStyle w:val="24"/>
              <w:bidi w:val="0"/>
              <w:jc w:val="both"/>
              <w:rPr>
                <w:color w:val="auto"/>
              </w:rPr>
            </w:pPr>
            <w:r>
              <w:rPr>
                <w:color w:val="auto"/>
              </w:rPr>
              <w:t>76</w:t>
            </w:r>
          </w:p>
        </w:tc>
      </w:tr>
      <w:tr w14:paraId="1D5B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2" w:type="pct"/>
            <w:gridSpan w:val="3"/>
            <w:noWrap w:val="0"/>
            <w:vAlign w:val="center"/>
          </w:tcPr>
          <w:p w14:paraId="24BFC514">
            <w:pPr>
              <w:pStyle w:val="24"/>
              <w:bidi w:val="0"/>
              <w:rPr>
                <w:color w:val="auto"/>
              </w:rPr>
            </w:pPr>
            <w:r>
              <w:rPr>
                <w:color w:val="auto"/>
              </w:rPr>
              <w:t>引燃温度(</w:t>
            </w:r>
            <w:r>
              <w:rPr>
                <w:rFonts w:hint="eastAsia"/>
                <w:color w:val="auto"/>
              </w:rPr>
              <w:t>℃</w:t>
            </w:r>
            <w:r>
              <w:rPr>
                <w:color w:val="auto"/>
              </w:rPr>
              <w:t>)：</w:t>
            </w:r>
          </w:p>
        </w:tc>
        <w:tc>
          <w:tcPr>
            <w:tcW w:w="3407" w:type="pct"/>
            <w:noWrap w:val="0"/>
            <w:vAlign w:val="center"/>
          </w:tcPr>
          <w:p w14:paraId="0623B939">
            <w:pPr>
              <w:pStyle w:val="24"/>
              <w:bidi w:val="0"/>
              <w:jc w:val="both"/>
              <w:rPr>
                <w:color w:val="auto"/>
              </w:rPr>
            </w:pPr>
            <w:r>
              <w:rPr>
                <w:color w:val="auto"/>
              </w:rPr>
              <w:t>248</w:t>
            </w:r>
          </w:p>
        </w:tc>
      </w:tr>
      <w:tr w14:paraId="2657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2" w:type="pct"/>
            <w:gridSpan w:val="3"/>
            <w:noWrap w:val="0"/>
            <w:vAlign w:val="center"/>
          </w:tcPr>
          <w:p w14:paraId="79D83C5F">
            <w:pPr>
              <w:pStyle w:val="24"/>
              <w:bidi w:val="0"/>
              <w:rPr>
                <w:color w:val="auto"/>
              </w:rPr>
            </w:pPr>
            <w:r>
              <w:rPr>
                <w:color w:val="auto"/>
              </w:rPr>
              <w:t>主要用途：</w:t>
            </w:r>
          </w:p>
        </w:tc>
        <w:tc>
          <w:tcPr>
            <w:tcW w:w="3407" w:type="pct"/>
            <w:noWrap w:val="0"/>
            <w:vAlign w:val="center"/>
          </w:tcPr>
          <w:p w14:paraId="12FD47E7">
            <w:pPr>
              <w:pStyle w:val="24"/>
              <w:bidi w:val="0"/>
              <w:jc w:val="both"/>
              <w:rPr>
                <w:color w:val="auto"/>
              </w:rPr>
            </w:pPr>
            <w:r>
              <w:rPr>
                <w:color w:val="auto"/>
              </w:rPr>
              <w:t>用于机械的摩擦部分</w:t>
            </w:r>
            <w:r>
              <w:rPr>
                <w:rFonts w:hint="eastAsia"/>
                <w:color w:val="auto"/>
                <w:lang w:eastAsia="zh-CN"/>
              </w:rPr>
              <w:t>，</w:t>
            </w:r>
            <w:r>
              <w:rPr>
                <w:color w:val="auto"/>
              </w:rPr>
              <w:t>起润滑、冷却和密封作用。</w:t>
            </w:r>
          </w:p>
        </w:tc>
      </w:tr>
      <w:tr w14:paraId="2B02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7995FC1E">
            <w:pPr>
              <w:pStyle w:val="24"/>
              <w:bidi w:val="0"/>
              <w:rPr>
                <w:color w:val="auto"/>
              </w:rPr>
            </w:pPr>
            <w:r>
              <w:rPr>
                <w:color w:val="auto"/>
              </w:rPr>
              <w:t>稳定性和反应活性</w:t>
            </w:r>
          </w:p>
        </w:tc>
      </w:tr>
      <w:tr w14:paraId="63B4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9" w:type="pct"/>
            <w:gridSpan w:val="2"/>
            <w:noWrap w:val="0"/>
            <w:vAlign w:val="center"/>
          </w:tcPr>
          <w:p w14:paraId="3A79A0B2">
            <w:pPr>
              <w:pStyle w:val="24"/>
              <w:bidi w:val="0"/>
              <w:rPr>
                <w:color w:val="auto"/>
              </w:rPr>
            </w:pPr>
            <w:r>
              <w:rPr>
                <w:color w:val="auto"/>
              </w:rPr>
              <w:t>禁配物：</w:t>
            </w:r>
          </w:p>
        </w:tc>
        <w:tc>
          <w:tcPr>
            <w:tcW w:w="3770" w:type="pct"/>
            <w:gridSpan w:val="2"/>
            <w:noWrap w:val="0"/>
            <w:vAlign w:val="center"/>
          </w:tcPr>
          <w:p w14:paraId="56408716">
            <w:pPr>
              <w:pStyle w:val="24"/>
              <w:bidi w:val="0"/>
              <w:jc w:val="both"/>
              <w:rPr>
                <w:color w:val="auto"/>
              </w:rPr>
            </w:pPr>
            <w:r>
              <w:rPr>
                <w:color w:val="auto"/>
              </w:rPr>
              <w:t>强氧化剂。</w:t>
            </w:r>
          </w:p>
        </w:tc>
      </w:tr>
      <w:tr w14:paraId="7B3A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1401B94C">
            <w:pPr>
              <w:pStyle w:val="24"/>
              <w:bidi w:val="0"/>
              <w:rPr>
                <w:color w:val="auto"/>
              </w:rPr>
            </w:pPr>
            <w:r>
              <w:rPr>
                <w:color w:val="auto"/>
              </w:rPr>
              <w:t>废弃处理</w:t>
            </w:r>
          </w:p>
        </w:tc>
      </w:tr>
      <w:tr w14:paraId="20AD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9" w:type="pct"/>
            <w:gridSpan w:val="2"/>
            <w:noWrap w:val="0"/>
            <w:vAlign w:val="center"/>
          </w:tcPr>
          <w:p w14:paraId="56D93CCA">
            <w:pPr>
              <w:pStyle w:val="24"/>
              <w:bidi w:val="0"/>
              <w:rPr>
                <w:color w:val="auto"/>
              </w:rPr>
            </w:pPr>
            <w:r>
              <w:rPr>
                <w:color w:val="auto"/>
              </w:rPr>
              <w:t>废弃处置方法：</w:t>
            </w:r>
          </w:p>
        </w:tc>
        <w:tc>
          <w:tcPr>
            <w:tcW w:w="3770" w:type="pct"/>
            <w:gridSpan w:val="2"/>
            <w:noWrap w:val="0"/>
            <w:vAlign w:val="center"/>
          </w:tcPr>
          <w:p w14:paraId="75647CDC">
            <w:pPr>
              <w:pStyle w:val="24"/>
              <w:bidi w:val="0"/>
              <w:jc w:val="both"/>
              <w:rPr>
                <w:color w:val="auto"/>
              </w:rPr>
            </w:pPr>
            <w:r>
              <w:rPr>
                <w:color w:val="auto"/>
              </w:rPr>
              <w:t>处置前应参阅国家和地方有关法规。建议用焚烧法处置。</w:t>
            </w:r>
          </w:p>
        </w:tc>
      </w:tr>
      <w:tr w14:paraId="00C0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4C7B399F">
            <w:pPr>
              <w:pStyle w:val="24"/>
              <w:bidi w:val="0"/>
              <w:rPr>
                <w:color w:val="auto"/>
              </w:rPr>
            </w:pPr>
            <w:r>
              <w:rPr>
                <w:color w:val="auto"/>
              </w:rPr>
              <w:t>运输信息</w:t>
            </w:r>
          </w:p>
        </w:tc>
      </w:tr>
      <w:tr w14:paraId="1D06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9" w:type="pct"/>
            <w:gridSpan w:val="2"/>
            <w:noWrap w:val="0"/>
            <w:vAlign w:val="center"/>
          </w:tcPr>
          <w:p w14:paraId="2A95D3CF">
            <w:pPr>
              <w:pStyle w:val="24"/>
              <w:bidi w:val="0"/>
              <w:rPr>
                <w:color w:val="auto"/>
              </w:rPr>
            </w:pPr>
            <w:r>
              <w:rPr>
                <w:color w:val="auto"/>
              </w:rPr>
              <w:t>运输注意事项：</w:t>
            </w:r>
          </w:p>
        </w:tc>
        <w:tc>
          <w:tcPr>
            <w:tcW w:w="3770" w:type="pct"/>
            <w:gridSpan w:val="2"/>
            <w:noWrap w:val="0"/>
            <w:vAlign w:val="center"/>
          </w:tcPr>
          <w:p w14:paraId="697AB7C3">
            <w:pPr>
              <w:pStyle w:val="24"/>
              <w:bidi w:val="0"/>
              <w:jc w:val="both"/>
              <w:rPr>
                <w:color w:val="auto"/>
              </w:rPr>
            </w:pPr>
            <w:r>
              <w:rPr>
                <w:color w:val="auto"/>
              </w:rPr>
              <w:t>运输前应先检查包装容器是否完整、密封，运输过程中要确保容器不泄漏、不倒塌、不坠落、不损坏。严禁与氧化剂、食用化学品等混装混运。运输车船必须彻底清洗、消毒，否则不得装运其它物品。船运时，配装位置应远离卧室、厨房，并与机舱、电源、火源等部位隔离。公路运输时要按规定路线行驶。</w:t>
            </w:r>
          </w:p>
        </w:tc>
      </w:tr>
    </w:tbl>
    <w:p w14:paraId="21EA3BE5">
      <w:pPr>
        <w:bidi w:val="0"/>
        <w:rPr>
          <w:rFonts w:hint="eastAsia"/>
          <w:color w:val="auto"/>
        </w:rPr>
      </w:pPr>
      <w:r>
        <w:rPr>
          <w:rFonts w:hint="eastAsia"/>
          <w:color w:val="auto"/>
        </w:rPr>
        <w:t>3、乙炔</w:t>
      </w:r>
    </w:p>
    <w:p w14:paraId="6512235D">
      <w:pPr>
        <w:pStyle w:val="23"/>
        <w:bidi w:val="0"/>
        <w:rPr>
          <w:color w:val="auto"/>
        </w:rPr>
      </w:pPr>
      <w:r>
        <w:rPr>
          <w:rFonts w:hint="eastAsia"/>
          <w:color w:val="auto"/>
        </w:rPr>
        <w:t>表3</w:t>
      </w:r>
      <w:r>
        <w:rPr>
          <w:rFonts w:hint="eastAsia"/>
          <w:color w:val="auto"/>
          <w:lang w:val="en-US" w:eastAsia="zh-CN"/>
        </w:rPr>
        <w:t>.1</w:t>
      </w:r>
      <w:r>
        <w:rPr>
          <w:rFonts w:hint="eastAsia"/>
          <w:color w:val="auto"/>
        </w:rPr>
        <w:t>-3  乙炔理化特性表</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925"/>
        <w:gridCol w:w="7473"/>
      </w:tblGrid>
      <w:tr w14:paraId="1DE522B0">
        <w:tblPrEx>
          <w:tblCellMar>
            <w:top w:w="0" w:type="dxa"/>
            <w:left w:w="108" w:type="dxa"/>
            <w:bottom w:w="0" w:type="dxa"/>
            <w:right w:w="108" w:type="dxa"/>
          </w:tblCellMar>
        </w:tblPrEx>
        <w:trPr>
          <w:trHeight w:val="567" w:hRule="atLeast"/>
          <w:jc w:val="center"/>
        </w:trPr>
        <w:tc>
          <w:tcPr>
            <w:tcW w:w="1024" w:type="pct"/>
            <w:noWrap w:val="0"/>
            <w:vAlign w:val="center"/>
          </w:tcPr>
          <w:p w14:paraId="78DE1A4C">
            <w:pPr>
              <w:pStyle w:val="24"/>
              <w:bidi w:val="0"/>
              <w:rPr>
                <w:color w:val="auto"/>
              </w:rPr>
            </w:pPr>
            <w:r>
              <w:rPr>
                <w:color w:val="auto"/>
              </w:rPr>
              <w:t>中文名称：</w:t>
            </w:r>
          </w:p>
        </w:tc>
        <w:tc>
          <w:tcPr>
            <w:tcW w:w="3975" w:type="pct"/>
            <w:noWrap w:val="0"/>
            <w:vAlign w:val="center"/>
          </w:tcPr>
          <w:p w14:paraId="7027C656">
            <w:pPr>
              <w:pStyle w:val="24"/>
              <w:bidi w:val="0"/>
              <w:jc w:val="both"/>
              <w:rPr>
                <w:color w:val="auto"/>
              </w:rPr>
            </w:pPr>
            <w:r>
              <w:rPr>
                <w:color w:val="auto"/>
              </w:rPr>
              <w:t>乙炔；电石气</w:t>
            </w:r>
          </w:p>
        </w:tc>
      </w:tr>
      <w:tr w14:paraId="1F2F95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15D221F2">
            <w:pPr>
              <w:pStyle w:val="24"/>
              <w:bidi w:val="0"/>
              <w:rPr>
                <w:color w:val="auto"/>
              </w:rPr>
            </w:pPr>
            <w:r>
              <w:rPr>
                <w:color w:val="auto"/>
              </w:rPr>
              <w:t>英文名称：</w:t>
            </w:r>
          </w:p>
        </w:tc>
        <w:tc>
          <w:tcPr>
            <w:tcW w:w="3975" w:type="pct"/>
            <w:noWrap w:val="0"/>
            <w:vAlign w:val="center"/>
          </w:tcPr>
          <w:p w14:paraId="647010A9">
            <w:pPr>
              <w:pStyle w:val="24"/>
              <w:bidi w:val="0"/>
              <w:jc w:val="both"/>
              <w:rPr>
                <w:color w:val="auto"/>
              </w:rPr>
            </w:pPr>
            <w:r>
              <w:rPr>
                <w:color w:val="auto"/>
              </w:rPr>
              <w:t>Acetylene</w:t>
            </w:r>
          </w:p>
        </w:tc>
      </w:tr>
      <w:tr w14:paraId="054E64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02305B48">
            <w:pPr>
              <w:pStyle w:val="24"/>
              <w:bidi w:val="0"/>
              <w:rPr>
                <w:color w:val="auto"/>
              </w:rPr>
            </w:pPr>
            <w:r>
              <w:rPr>
                <w:color w:val="auto"/>
              </w:rPr>
              <w:t>分子式：</w:t>
            </w:r>
          </w:p>
        </w:tc>
        <w:tc>
          <w:tcPr>
            <w:tcW w:w="3975" w:type="pct"/>
            <w:noWrap w:val="0"/>
            <w:vAlign w:val="center"/>
          </w:tcPr>
          <w:p w14:paraId="7A884CF2">
            <w:pPr>
              <w:pStyle w:val="24"/>
              <w:bidi w:val="0"/>
              <w:jc w:val="both"/>
              <w:rPr>
                <w:color w:val="auto"/>
              </w:rPr>
            </w:pPr>
            <w:r>
              <w:rPr>
                <w:color w:val="auto"/>
              </w:rPr>
              <w:t>C</w:t>
            </w:r>
            <w:r>
              <w:rPr>
                <w:color w:val="auto"/>
                <w:vertAlign w:val="subscript"/>
              </w:rPr>
              <w:t>2</w:t>
            </w:r>
            <w:r>
              <w:rPr>
                <w:color w:val="auto"/>
              </w:rPr>
              <w:t>H</w:t>
            </w:r>
            <w:r>
              <w:rPr>
                <w:color w:val="auto"/>
                <w:vertAlign w:val="subscript"/>
              </w:rPr>
              <w:t>2</w:t>
            </w:r>
          </w:p>
        </w:tc>
      </w:tr>
      <w:tr w14:paraId="74FB83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1B2A948E">
            <w:pPr>
              <w:pStyle w:val="24"/>
              <w:bidi w:val="0"/>
              <w:rPr>
                <w:color w:val="auto"/>
              </w:rPr>
            </w:pPr>
            <w:r>
              <w:rPr>
                <w:color w:val="auto"/>
              </w:rPr>
              <w:t>相对分子质量：</w:t>
            </w:r>
          </w:p>
        </w:tc>
        <w:tc>
          <w:tcPr>
            <w:tcW w:w="3975" w:type="pct"/>
            <w:noWrap w:val="0"/>
            <w:vAlign w:val="center"/>
          </w:tcPr>
          <w:p w14:paraId="6C46E370">
            <w:pPr>
              <w:pStyle w:val="24"/>
              <w:bidi w:val="0"/>
              <w:jc w:val="both"/>
              <w:rPr>
                <w:color w:val="auto"/>
              </w:rPr>
            </w:pPr>
            <w:r>
              <w:rPr>
                <w:color w:val="auto"/>
              </w:rPr>
              <w:t>26.04</w:t>
            </w:r>
          </w:p>
        </w:tc>
      </w:tr>
      <w:tr w14:paraId="0B6764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3E27816B">
            <w:pPr>
              <w:pStyle w:val="24"/>
              <w:bidi w:val="0"/>
              <w:rPr>
                <w:color w:val="auto"/>
              </w:rPr>
            </w:pPr>
            <w:r>
              <w:rPr>
                <w:color w:val="auto"/>
              </w:rPr>
              <w:t>CAS号：</w:t>
            </w:r>
          </w:p>
        </w:tc>
        <w:tc>
          <w:tcPr>
            <w:tcW w:w="3975" w:type="pct"/>
            <w:noWrap w:val="0"/>
            <w:vAlign w:val="center"/>
          </w:tcPr>
          <w:p w14:paraId="32711FA8">
            <w:pPr>
              <w:pStyle w:val="24"/>
              <w:bidi w:val="0"/>
              <w:jc w:val="both"/>
              <w:rPr>
                <w:color w:val="auto"/>
              </w:rPr>
            </w:pPr>
            <w:r>
              <w:rPr>
                <w:color w:val="auto"/>
              </w:rPr>
              <w:t>74-86-2</w:t>
            </w:r>
          </w:p>
        </w:tc>
      </w:tr>
      <w:tr w14:paraId="444D9C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1B675503">
            <w:pPr>
              <w:pStyle w:val="24"/>
              <w:bidi w:val="0"/>
              <w:rPr>
                <w:color w:val="auto"/>
              </w:rPr>
            </w:pPr>
            <w:r>
              <w:rPr>
                <w:color w:val="auto"/>
              </w:rPr>
              <w:t>危规号：</w:t>
            </w:r>
          </w:p>
        </w:tc>
        <w:tc>
          <w:tcPr>
            <w:tcW w:w="3975" w:type="pct"/>
            <w:noWrap w:val="0"/>
            <w:vAlign w:val="center"/>
          </w:tcPr>
          <w:p w14:paraId="43661399">
            <w:pPr>
              <w:pStyle w:val="24"/>
              <w:bidi w:val="0"/>
              <w:jc w:val="both"/>
              <w:rPr>
                <w:color w:val="auto"/>
              </w:rPr>
            </w:pPr>
            <w:r>
              <w:rPr>
                <w:color w:val="auto"/>
              </w:rPr>
              <w:t>21024</w:t>
            </w:r>
          </w:p>
        </w:tc>
      </w:tr>
      <w:tr w14:paraId="322D96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4285AC23">
            <w:pPr>
              <w:pStyle w:val="24"/>
              <w:bidi w:val="0"/>
              <w:rPr>
                <w:color w:val="auto"/>
              </w:rPr>
            </w:pPr>
            <w:r>
              <w:rPr>
                <w:color w:val="auto"/>
              </w:rPr>
              <w:t>UN编号：</w:t>
            </w:r>
          </w:p>
        </w:tc>
        <w:tc>
          <w:tcPr>
            <w:tcW w:w="3975" w:type="pct"/>
            <w:noWrap w:val="0"/>
            <w:vAlign w:val="center"/>
          </w:tcPr>
          <w:p w14:paraId="6D58F06B">
            <w:pPr>
              <w:pStyle w:val="24"/>
              <w:bidi w:val="0"/>
              <w:jc w:val="both"/>
              <w:rPr>
                <w:color w:val="auto"/>
              </w:rPr>
            </w:pPr>
            <w:r>
              <w:rPr>
                <w:color w:val="auto"/>
              </w:rPr>
              <w:t>1001</w:t>
            </w:r>
          </w:p>
        </w:tc>
      </w:tr>
      <w:tr w14:paraId="0371BC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top"/>
          </w:tcPr>
          <w:p w14:paraId="7F474087">
            <w:pPr>
              <w:pStyle w:val="24"/>
              <w:bidi w:val="0"/>
              <w:rPr>
                <w:color w:val="auto"/>
              </w:rPr>
            </w:pPr>
            <w:r>
              <w:rPr>
                <w:color w:val="auto"/>
              </w:rPr>
              <w:t>主要成分：</w:t>
            </w:r>
          </w:p>
        </w:tc>
        <w:tc>
          <w:tcPr>
            <w:tcW w:w="3975" w:type="pct"/>
            <w:noWrap w:val="0"/>
            <w:vAlign w:val="top"/>
          </w:tcPr>
          <w:p w14:paraId="14ED60F1">
            <w:pPr>
              <w:pStyle w:val="24"/>
              <w:bidi w:val="0"/>
              <w:jc w:val="both"/>
              <w:rPr>
                <w:color w:val="auto"/>
              </w:rPr>
            </w:pPr>
            <w:r>
              <w:rPr>
                <w:color w:val="auto"/>
              </w:rPr>
              <w:t>含量</w:t>
            </w:r>
            <w:r>
              <w:rPr>
                <w:rFonts w:hint="eastAsia"/>
                <w:color w:val="auto"/>
                <w:lang w:eastAsia="zh-CN"/>
              </w:rPr>
              <w:t>：</w:t>
            </w:r>
            <w:r>
              <w:rPr>
                <w:color w:val="auto"/>
              </w:rPr>
              <w:t>工业级≥97.5％。</w:t>
            </w:r>
          </w:p>
        </w:tc>
      </w:tr>
      <w:tr w14:paraId="2D23BA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42CE0886">
            <w:pPr>
              <w:pStyle w:val="24"/>
              <w:bidi w:val="0"/>
              <w:rPr>
                <w:color w:val="auto"/>
              </w:rPr>
            </w:pPr>
            <w:r>
              <w:rPr>
                <w:color w:val="auto"/>
              </w:rPr>
              <w:t>外观与性状：</w:t>
            </w:r>
          </w:p>
        </w:tc>
        <w:tc>
          <w:tcPr>
            <w:tcW w:w="3975" w:type="pct"/>
            <w:noWrap w:val="0"/>
            <w:vAlign w:val="center"/>
          </w:tcPr>
          <w:p w14:paraId="57A8C0F2">
            <w:pPr>
              <w:pStyle w:val="24"/>
              <w:bidi w:val="0"/>
              <w:jc w:val="both"/>
              <w:rPr>
                <w:color w:val="auto"/>
              </w:rPr>
            </w:pPr>
            <w:r>
              <w:rPr>
                <w:color w:val="auto"/>
              </w:rPr>
              <w:t>无色无臭气体，工业品有使人不愉快的大蒜气味。</w:t>
            </w:r>
          </w:p>
        </w:tc>
      </w:tr>
      <w:tr w14:paraId="3A3FAB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00BDA6AA">
            <w:pPr>
              <w:pStyle w:val="24"/>
              <w:bidi w:val="0"/>
              <w:rPr>
                <w:color w:val="auto"/>
              </w:rPr>
            </w:pPr>
            <w:r>
              <w:rPr>
                <w:color w:val="auto"/>
              </w:rPr>
              <w:t>主要用途：</w:t>
            </w:r>
          </w:p>
        </w:tc>
        <w:tc>
          <w:tcPr>
            <w:tcW w:w="3975" w:type="pct"/>
            <w:noWrap w:val="0"/>
            <w:vAlign w:val="center"/>
          </w:tcPr>
          <w:p w14:paraId="1B07A9DD">
            <w:pPr>
              <w:pStyle w:val="24"/>
              <w:bidi w:val="0"/>
              <w:jc w:val="both"/>
              <w:rPr>
                <w:color w:val="auto"/>
              </w:rPr>
            </w:pPr>
            <w:r>
              <w:rPr>
                <w:color w:val="auto"/>
              </w:rPr>
              <w:t>是有机合成的重要原料之一。亦是合成橡胶、合成纤维和塑料的单体，也用于氧炔焊割。</w:t>
            </w:r>
          </w:p>
        </w:tc>
      </w:tr>
      <w:tr w14:paraId="17DA4C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000" w:type="pct"/>
            <w:gridSpan w:val="2"/>
            <w:noWrap w:val="0"/>
            <w:vAlign w:val="center"/>
          </w:tcPr>
          <w:p w14:paraId="53E33A1A">
            <w:pPr>
              <w:pStyle w:val="24"/>
              <w:bidi w:val="0"/>
              <w:rPr>
                <w:color w:val="auto"/>
              </w:rPr>
            </w:pPr>
            <w:r>
              <w:rPr>
                <w:color w:val="auto"/>
              </w:rPr>
              <w:t>健 康 危 害</w:t>
            </w:r>
          </w:p>
        </w:tc>
      </w:tr>
      <w:tr w14:paraId="1C7938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403ABEF1">
            <w:pPr>
              <w:pStyle w:val="24"/>
              <w:bidi w:val="0"/>
              <w:rPr>
                <w:color w:val="auto"/>
              </w:rPr>
            </w:pPr>
            <w:r>
              <w:rPr>
                <w:color w:val="auto"/>
              </w:rPr>
              <w:t>侵入途径：</w:t>
            </w:r>
          </w:p>
        </w:tc>
        <w:tc>
          <w:tcPr>
            <w:tcW w:w="3975" w:type="pct"/>
            <w:noWrap w:val="0"/>
            <w:vAlign w:val="center"/>
          </w:tcPr>
          <w:p w14:paraId="22FE3F1A">
            <w:pPr>
              <w:pStyle w:val="24"/>
              <w:bidi w:val="0"/>
              <w:jc w:val="both"/>
              <w:rPr>
                <w:color w:val="auto"/>
              </w:rPr>
            </w:pPr>
            <w:r>
              <w:rPr>
                <w:color w:val="auto"/>
              </w:rPr>
              <w:t>吸入。</w:t>
            </w:r>
          </w:p>
        </w:tc>
      </w:tr>
      <w:tr w14:paraId="58BA01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40E3B0BA">
            <w:pPr>
              <w:pStyle w:val="24"/>
              <w:bidi w:val="0"/>
              <w:rPr>
                <w:color w:val="auto"/>
              </w:rPr>
            </w:pPr>
            <w:r>
              <w:rPr>
                <w:color w:val="auto"/>
              </w:rPr>
              <w:t>健康危害：</w:t>
            </w:r>
          </w:p>
        </w:tc>
        <w:tc>
          <w:tcPr>
            <w:tcW w:w="3975" w:type="pct"/>
            <w:noWrap w:val="0"/>
            <w:vAlign w:val="center"/>
          </w:tcPr>
          <w:p w14:paraId="390095D1">
            <w:pPr>
              <w:pStyle w:val="24"/>
              <w:bidi w:val="0"/>
              <w:jc w:val="both"/>
              <w:rPr>
                <w:color w:val="auto"/>
              </w:rPr>
            </w:pPr>
            <w:r>
              <w:rPr>
                <w:color w:val="auto"/>
              </w:rPr>
              <w:t>具有弱麻醉作用。高浓度吸入可引起单纯窒息。急性中毒：暴露于20％浓度时，出现明显缺氧症状；吸入高浓度，初期兴奋、多语、哭笑不安，后出现眩晕、头痛、恶心、呕吐、共济失调、嗜睡；严重者昏迷、紫绀、瞳孔对光反应消失、脉弱而不齐。当混有磷化氢、硫化氢时，毒性增大，应予以注意。</w:t>
            </w:r>
          </w:p>
        </w:tc>
      </w:tr>
      <w:tr w14:paraId="517BD7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top"/>
          </w:tcPr>
          <w:p w14:paraId="633E82F6">
            <w:pPr>
              <w:pStyle w:val="24"/>
              <w:bidi w:val="0"/>
              <w:rPr>
                <w:color w:val="auto"/>
              </w:rPr>
            </w:pPr>
            <w:r>
              <w:rPr>
                <w:color w:val="auto"/>
              </w:rPr>
              <w:t>吸入：</w:t>
            </w:r>
          </w:p>
        </w:tc>
        <w:tc>
          <w:tcPr>
            <w:tcW w:w="3975" w:type="pct"/>
            <w:noWrap w:val="0"/>
            <w:vAlign w:val="top"/>
          </w:tcPr>
          <w:p w14:paraId="07225AD2">
            <w:pPr>
              <w:pStyle w:val="24"/>
              <w:bidi w:val="0"/>
              <w:jc w:val="both"/>
              <w:rPr>
                <w:color w:val="auto"/>
              </w:rPr>
            </w:pPr>
            <w:r>
              <w:rPr>
                <w:color w:val="auto"/>
              </w:rPr>
              <w:t>迅速脱离现场至空气新鲜处。保持呼吸道通畅。如呼吸困难，给输氧。如呼吸停止，立即进行人工呼吸。就医。</w:t>
            </w:r>
          </w:p>
        </w:tc>
      </w:tr>
      <w:tr w14:paraId="560969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000" w:type="pct"/>
            <w:gridSpan w:val="2"/>
            <w:noWrap w:val="0"/>
            <w:vAlign w:val="center"/>
          </w:tcPr>
          <w:p w14:paraId="7A2A7F96">
            <w:pPr>
              <w:pStyle w:val="24"/>
              <w:bidi w:val="0"/>
              <w:rPr>
                <w:color w:val="auto"/>
              </w:rPr>
            </w:pPr>
            <w:r>
              <w:rPr>
                <w:color w:val="auto"/>
              </w:rPr>
              <w:t>理 化 特 性</w:t>
            </w:r>
          </w:p>
        </w:tc>
      </w:tr>
      <w:tr w14:paraId="079A44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384900D1">
            <w:pPr>
              <w:pStyle w:val="24"/>
              <w:bidi w:val="0"/>
              <w:rPr>
                <w:color w:val="auto"/>
              </w:rPr>
            </w:pPr>
            <w:r>
              <w:rPr>
                <w:color w:val="auto"/>
              </w:rPr>
              <w:t>燃烧性：</w:t>
            </w:r>
          </w:p>
        </w:tc>
        <w:tc>
          <w:tcPr>
            <w:tcW w:w="3975" w:type="pct"/>
            <w:noWrap w:val="0"/>
            <w:vAlign w:val="center"/>
          </w:tcPr>
          <w:p w14:paraId="183CEB26">
            <w:pPr>
              <w:pStyle w:val="24"/>
              <w:bidi w:val="0"/>
              <w:jc w:val="both"/>
              <w:rPr>
                <w:color w:val="auto"/>
              </w:rPr>
            </w:pPr>
            <w:r>
              <w:rPr>
                <w:color w:val="auto"/>
              </w:rPr>
              <w:t>本品易燃，具窒息性。</w:t>
            </w:r>
          </w:p>
        </w:tc>
      </w:tr>
      <w:tr w14:paraId="50093B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6ABE372B">
            <w:pPr>
              <w:pStyle w:val="24"/>
              <w:bidi w:val="0"/>
              <w:rPr>
                <w:color w:val="auto"/>
              </w:rPr>
            </w:pPr>
            <w:r>
              <w:rPr>
                <w:color w:val="auto"/>
              </w:rPr>
              <w:t>闪点：</w:t>
            </w:r>
          </w:p>
        </w:tc>
        <w:tc>
          <w:tcPr>
            <w:tcW w:w="3975" w:type="pct"/>
            <w:noWrap w:val="0"/>
            <w:vAlign w:val="center"/>
          </w:tcPr>
          <w:p w14:paraId="2E5A2BEE">
            <w:pPr>
              <w:pStyle w:val="24"/>
              <w:bidi w:val="0"/>
              <w:jc w:val="both"/>
              <w:rPr>
                <w:color w:val="auto"/>
              </w:rPr>
            </w:pPr>
            <w:r>
              <w:rPr>
                <w:color w:val="auto"/>
              </w:rPr>
              <w:t>（</w:t>
            </w:r>
            <w:r>
              <w:rPr>
                <w:rFonts w:hint="eastAsia"/>
                <w:color w:val="auto"/>
              </w:rPr>
              <w:t>℃</w:t>
            </w:r>
            <w:r>
              <w:rPr>
                <w:color w:val="auto"/>
              </w:rPr>
              <w:t>） 无意义</w:t>
            </w:r>
          </w:p>
        </w:tc>
      </w:tr>
      <w:tr w14:paraId="178CCC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top"/>
          </w:tcPr>
          <w:p w14:paraId="0708F961">
            <w:pPr>
              <w:pStyle w:val="24"/>
              <w:bidi w:val="0"/>
              <w:rPr>
                <w:color w:val="auto"/>
              </w:rPr>
            </w:pPr>
            <w:r>
              <w:rPr>
                <w:color w:val="auto"/>
              </w:rPr>
              <w:t>爆炸下限：</w:t>
            </w:r>
          </w:p>
        </w:tc>
        <w:tc>
          <w:tcPr>
            <w:tcW w:w="3975" w:type="pct"/>
            <w:noWrap w:val="0"/>
            <w:vAlign w:val="top"/>
          </w:tcPr>
          <w:p w14:paraId="469CFFB2">
            <w:pPr>
              <w:pStyle w:val="24"/>
              <w:bidi w:val="0"/>
              <w:jc w:val="both"/>
              <w:rPr>
                <w:color w:val="auto"/>
              </w:rPr>
            </w:pPr>
            <w:r>
              <w:rPr>
                <w:color w:val="auto"/>
              </w:rPr>
              <w:t>（％） 2.1</w:t>
            </w:r>
          </w:p>
        </w:tc>
      </w:tr>
      <w:tr w14:paraId="6715B5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240C7E9F">
            <w:pPr>
              <w:pStyle w:val="24"/>
              <w:bidi w:val="0"/>
              <w:rPr>
                <w:color w:val="auto"/>
              </w:rPr>
            </w:pPr>
            <w:r>
              <w:rPr>
                <w:color w:val="auto"/>
              </w:rPr>
              <w:t>引燃温度：</w:t>
            </w:r>
          </w:p>
        </w:tc>
        <w:tc>
          <w:tcPr>
            <w:tcW w:w="3975" w:type="pct"/>
            <w:noWrap w:val="0"/>
            <w:vAlign w:val="center"/>
          </w:tcPr>
          <w:p w14:paraId="65DF2EBB">
            <w:pPr>
              <w:pStyle w:val="24"/>
              <w:bidi w:val="0"/>
              <w:jc w:val="both"/>
              <w:rPr>
                <w:color w:val="auto"/>
              </w:rPr>
            </w:pPr>
            <w:r>
              <w:rPr>
                <w:color w:val="auto"/>
              </w:rPr>
              <w:t>（</w:t>
            </w:r>
            <w:r>
              <w:rPr>
                <w:rFonts w:hint="eastAsia"/>
                <w:color w:val="auto"/>
              </w:rPr>
              <w:t>℃</w:t>
            </w:r>
            <w:r>
              <w:rPr>
                <w:color w:val="auto"/>
              </w:rPr>
              <w:t>） 305</w:t>
            </w:r>
          </w:p>
        </w:tc>
      </w:tr>
      <w:tr w14:paraId="68965C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top"/>
          </w:tcPr>
          <w:p w14:paraId="1CCB2785">
            <w:pPr>
              <w:pStyle w:val="24"/>
              <w:bidi w:val="0"/>
              <w:rPr>
                <w:color w:val="auto"/>
              </w:rPr>
            </w:pPr>
            <w:r>
              <w:rPr>
                <w:color w:val="auto"/>
              </w:rPr>
              <w:t>爆炸上限：</w:t>
            </w:r>
          </w:p>
        </w:tc>
        <w:tc>
          <w:tcPr>
            <w:tcW w:w="3975" w:type="pct"/>
            <w:noWrap w:val="0"/>
            <w:vAlign w:val="top"/>
          </w:tcPr>
          <w:p w14:paraId="6A641A74">
            <w:pPr>
              <w:pStyle w:val="24"/>
              <w:bidi w:val="0"/>
              <w:jc w:val="both"/>
              <w:rPr>
                <w:color w:val="auto"/>
              </w:rPr>
            </w:pPr>
            <w:r>
              <w:rPr>
                <w:color w:val="auto"/>
              </w:rPr>
              <w:t>（％） 80.0</w:t>
            </w:r>
          </w:p>
        </w:tc>
      </w:tr>
      <w:tr w14:paraId="3AD620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09C81EEC">
            <w:pPr>
              <w:pStyle w:val="24"/>
              <w:bidi w:val="0"/>
              <w:rPr>
                <w:color w:val="auto"/>
              </w:rPr>
            </w:pPr>
            <w:r>
              <w:rPr>
                <w:color w:val="auto"/>
              </w:rPr>
              <w:t>危险特性：</w:t>
            </w:r>
          </w:p>
        </w:tc>
        <w:tc>
          <w:tcPr>
            <w:tcW w:w="3975" w:type="pct"/>
            <w:noWrap w:val="0"/>
            <w:vAlign w:val="center"/>
          </w:tcPr>
          <w:p w14:paraId="48AEB8EF">
            <w:pPr>
              <w:pStyle w:val="24"/>
              <w:bidi w:val="0"/>
              <w:jc w:val="both"/>
              <w:rPr>
                <w:color w:val="auto"/>
              </w:rPr>
            </w:pPr>
            <w:r>
              <w:rPr>
                <w:color w:val="auto"/>
              </w:rPr>
              <w:t>极易燃烧爆炸。与空气混合能形成爆炸性混合物，遇明火、高热能引起燃烧爆炸。与氧化剂接触猛烈反应。与氟、氯等接触会发生剧烈的化学反应。能与铜、银、汞等的化合物生成爆炸性物质。</w:t>
            </w:r>
          </w:p>
        </w:tc>
      </w:tr>
      <w:tr w14:paraId="1132E6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51552A34">
            <w:pPr>
              <w:pStyle w:val="24"/>
              <w:bidi w:val="0"/>
              <w:rPr>
                <w:color w:val="auto"/>
              </w:rPr>
            </w:pPr>
            <w:r>
              <w:rPr>
                <w:color w:val="auto"/>
              </w:rPr>
              <w:t>有害燃烧产物：</w:t>
            </w:r>
          </w:p>
        </w:tc>
        <w:tc>
          <w:tcPr>
            <w:tcW w:w="3975" w:type="pct"/>
            <w:noWrap w:val="0"/>
            <w:vAlign w:val="center"/>
          </w:tcPr>
          <w:p w14:paraId="1514831D">
            <w:pPr>
              <w:pStyle w:val="24"/>
              <w:bidi w:val="0"/>
              <w:jc w:val="both"/>
              <w:rPr>
                <w:color w:val="auto"/>
              </w:rPr>
            </w:pPr>
            <w:r>
              <w:rPr>
                <w:color w:val="auto"/>
              </w:rPr>
              <w:t>一氧化碳、二氧化碳。</w:t>
            </w:r>
          </w:p>
        </w:tc>
      </w:tr>
      <w:tr w14:paraId="12DDFB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72855B50">
            <w:pPr>
              <w:pStyle w:val="24"/>
              <w:bidi w:val="0"/>
              <w:rPr>
                <w:color w:val="auto"/>
              </w:rPr>
            </w:pPr>
            <w:r>
              <w:rPr>
                <w:color w:val="auto"/>
              </w:rPr>
              <w:t>灭火方法：</w:t>
            </w:r>
          </w:p>
        </w:tc>
        <w:tc>
          <w:tcPr>
            <w:tcW w:w="3975" w:type="pct"/>
            <w:noWrap w:val="0"/>
            <w:vAlign w:val="center"/>
          </w:tcPr>
          <w:p w14:paraId="140D6CE5">
            <w:pPr>
              <w:pStyle w:val="24"/>
              <w:bidi w:val="0"/>
              <w:jc w:val="both"/>
              <w:rPr>
                <w:color w:val="auto"/>
              </w:rPr>
            </w:pPr>
            <w:r>
              <w:rPr>
                <w:color w:val="auto"/>
              </w:rPr>
              <w:t>切断气源。若不能切断气源，则不允许熄灭泄漏处的火焰。喷水冷却容器，可能的话将容器从火场移至空旷处。灭火剂：雾状水、泡沫、二氧化碳、干粉。</w:t>
            </w:r>
          </w:p>
        </w:tc>
      </w:tr>
      <w:tr w14:paraId="59C3C3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2EA3AA20">
            <w:pPr>
              <w:pStyle w:val="24"/>
              <w:bidi w:val="0"/>
              <w:rPr>
                <w:color w:val="auto"/>
              </w:rPr>
            </w:pPr>
            <w:r>
              <w:rPr>
                <w:color w:val="auto"/>
              </w:rPr>
              <w:t>泄漏应急处理：</w:t>
            </w:r>
          </w:p>
        </w:tc>
        <w:tc>
          <w:tcPr>
            <w:tcW w:w="3975" w:type="pct"/>
            <w:noWrap w:val="0"/>
            <w:vAlign w:val="center"/>
          </w:tcPr>
          <w:p w14:paraId="62BDFD4A">
            <w:pPr>
              <w:pStyle w:val="24"/>
              <w:bidi w:val="0"/>
              <w:jc w:val="both"/>
              <w:rPr>
                <w:color w:val="auto"/>
              </w:rPr>
            </w:pPr>
            <w:r>
              <w:rPr>
                <w:color w:val="auto"/>
              </w:rPr>
              <w:t>迅速撤离泄漏污染区人员至上风处，并进行隔离，严格限制出入。切断火源。建议应急处理人员戴自给正压式呼吸器，穿防静电工作服。尽可能切断泄漏源。合理通风，加速扩散。喷雾状水稀释、溶解。构筑围堤或挖坑收容产生的大量废水。如有可能，将漏出气用排风机送至空旷地方或装设适当喷头烧掉。漏气容器要妥善处理，修复、检验后再用。</w:t>
            </w:r>
          </w:p>
        </w:tc>
      </w:tr>
      <w:tr w14:paraId="18F7BA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100E4E5B">
            <w:pPr>
              <w:pStyle w:val="24"/>
              <w:bidi w:val="0"/>
              <w:rPr>
                <w:color w:val="auto"/>
              </w:rPr>
            </w:pPr>
            <w:r>
              <w:rPr>
                <w:color w:val="auto"/>
              </w:rPr>
              <w:t>操作注意事项：</w:t>
            </w:r>
          </w:p>
        </w:tc>
        <w:tc>
          <w:tcPr>
            <w:tcW w:w="3975" w:type="pct"/>
            <w:noWrap w:val="0"/>
            <w:vAlign w:val="center"/>
          </w:tcPr>
          <w:p w14:paraId="47E8270B">
            <w:pPr>
              <w:pStyle w:val="24"/>
              <w:bidi w:val="0"/>
              <w:jc w:val="both"/>
              <w:rPr>
                <w:color w:val="auto"/>
              </w:rPr>
            </w:pPr>
            <w:r>
              <w:rPr>
                <w:color w:val="auto"/>
              </w:rPr>
              <w:t>密闭操作，全面通风。操作人员必须经过专门培训，严格遵守操作规程。建议操作人员穿防静电工作服。远离火种、热源，工作场所严禁吸烟。使用防爆型的通风系统和设备。防止气体泄漏到工作场所空气中。避免与氧化剂、酸类、卤素接触。在传送过程中，钢瓶和容器必须接地和跨接，防止产生静电。搬运时轻装轻卸，防止钢瓶及附件破损。配备相应品种和数量的消防器材及泄漏应急处理设备。</w:t>
            </w:r>
          </w:p>
        </w:tc>
      </w:tr>
      <w:tr w14:paraId="6CF73B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736D993C">
            <w:pPr>
              <w:pStyle w:val="24"/>
              <w:bidi w:val="0"/>
              <w:rPr>
                <w:color w:val="auto"/>
              </w:rPr>
            </w:pPr>
            <w:r>
              <w:rPr>
                <w:color w:val="auto"/>
              </w:rPr>
              <w:t>贮运注意事项：</w:t>
            </w:r>
          </w:p>
        </w:tc>
        <w:tc>
          <w:tcPr>
            <w:tcW w:w="3975" w:type="pct"/>
            <w:noWrap w:val="0"/>
            <w:vAlign w:val="top"/>
          </w:tcPr>
          <w:p w14:paraId="732D1FE3">
            <w:pPr>
              <w:pStyle w:val="24"/>
              <w:bidi w:val="0"/>
              <w:jc w:val="both"/>
              <w:rPr>
                <w:color w:val="auto"/>
              </w:rPr>
            </w:pPr>
            <w:r>
              <w:rPr>
                <w:color w:val="auto"/>
              </w:rPr>
              <w:t>乙炔的包装法通常是溶解在溶剂及多孔物中, 装入钢瓶内。储存于阴凉、通风的库房。远离火种、热源。库温不宜超过30</w:t>
            </w:r>
            <w:r>
              <w:rPr>
                <w:rFonts w:hint="eastAsia"/>
                <w:color w:val="auto"/>
              </w:rPr>
              <w:t>℃</w:t>
            </w:r>
            <w:r>
              <w:rPr>
                <w:color w:val="auto"/>
              </w:rPr>
              <w:t>。应与氧化剂、酸类、卤素分开存放，切忌混储。采用防爆型照明、通风设施。禁止使用易产生火花的机械设备和工具。储区应备有泄漏应急处理设备。采用刚瓶运输时必须戴好钢瓶上的安全帽。钢瓶一般平放，并应将瓶口朝同一方向，不可交叉；高度不得超过车辆的防护栏板，并用三角木垫卡牢，防止滚动。运输时运输车辆应配备相应品种和数量的消防器材。装运该物品的车辆排气管必须配备阻火装置，禁止使用易产生火花的机械设备和工具装卸。严禁与氧化剂、酸类、卤素等混装混运。夏季应早晚运输，防止日光曝晒。中途停留时应远离火种、热源。公路运输时要按规定路线行驶，勿在居民区和人口稠密区停留。铁路运输时要禁止溜放。</w:t>
            </w:r>
          </w:p>
        </w:tc>
      </w:tr>
      <w:tr w14:paraId="3A62EC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0773C16C">
            <w:pPr>
              <w:pStyle w:val="24"/>
              <w:bidi w:val="0"/>
              <w:rPr>
                <w:color w:val="auto"/>
              </w:rPr>
            </w:pPr>
            <w:r>
              <w:rPr>
                <w:color w:val="auto"/>
              </w:rPr>
              <w:t>防护措施：</w:t>
            </w:r>
          </w:p>
        </w:tc>
        <w:tc>
          <w:tcPr>
            <w:tcW w:w="3975" w:type="pct"/>
            <w:noWrap w:val="0"/>
            <w:vAlign w:val="top"/>
          </w:tcPr>
          <w:p w14:paraId="5B44DBB1">
            <w:pPr>
              <w:pStyle w:val="24"/>
              <w:bidi w:val="0"/>
              <w:jc w:val="both"/>
              <w:rPr>
                <w:color w:val="auto"/>
              </w:rPr>
            </w:pPr>
            <w:r>
              <w:rPr>
                <w:color w:val="auto"/>
              </w:rPr>
              <w:t>职业接触限值</w:t>
            </w:r>
          </w:p>
          <w:p w14:paraId="3421A1AF">
            <w:pPr>
              <w:pStyle w:val="24"/>
              <w:bidi w:val="0"/>
              <w:jc w:val="both"/>
              <w:rPr>
                <w:color w:val="auto"/>
              </w:rPr>
            </w:pPr>
            <w:r>
              <w:rPr>
                <w:color w:val="auto"/>
              </w:rPr>
              <w:t>中国MAC(mg/m</w:t>
            </w:r>
            <w:r>
              <w:rPr>
                <w:color w:val="auto"/>
                <w:vertAlign w:val="superscript"/>
              </w:rPr>
              <w:t>3</w:t>
            </w:r>
            <w:r>
              <w:rPr>
                <w:color w:val="auto"/>
              </w:rPr>
              <w:t>)：未制定标准</w:t>
            </w:r>
          </w:p>
          <w:p w14:paraId="42AC7DA3">
            <w:pPr>
              <w:pStyle w:val="24"/>
              <w:bidi w:val="0"/>
              <w:jc w:val="both"/>
              <w:rPr>
                <w:color w:val="auto"/>
              </w:rPr>
            </w:pPr>
            <w:r>
              <w:rPr>
                <w:color w:val="auto"/>
              </w:rPr>
              <w:t>前苏联MAC(mg/m</w:t>
            </w:r>
            <w:r>
              <w:rPr>
                <w:color w:val="auto"/>
                <w:vertAlign w:val="superscript"/>
              </w:rPr>
              <w:t>3</w:t>
            </w:r>
            <w:r>
              <w:rPr>
                <w:color w:val="auto"/>
              </w:rPr>
              <w:t>)：未制定标准</w:t>
            </w:r>
          </w:p>
          <w:p w14:paraId="0903E78F">
            <w:pPr>
              <w:pStyle w:val="24"/>
              <w:bidi w:val="0"/>
              <w:jc w:val="both"/>
              <w:rPr>
                <w:color w:val="auto"/>
              </w:rPr>
            </w:pPr>
            <w:r>
              <w:rPr>
                <w:color w:val="auto"/>
              </w:rPr>
              <w:t>TLVTN：ACGIH 窒息性气体</w:t>
            </w:r>
          </w:p>
          <w:p w14:paraId="345EA01D">
            <w:pPr>
              <w:pStyle w:val="24"/>
              <w:bidi w:val="0"/>
              <w:jc w:val="both"/>
              <w:rPr>
                <w:color w:val="auto"/>
              </w:rPr>
            </w:pPr>
            <w:r>
              <w:rPr>
                <w:color w:val="auto"/>
              </w:rPr>
              <w:t>TLVWN：未制定标准</w:t>
            </w:r>
          </w:p>
          <w:p w14:paraId="699FDA7E">
            <w:pPr>
              <w:pStyle w:val="24"/>
              <w:bidi w:val="0"/>
              <w:jc w:val="both"/>
              <w:rPr>
                <w:color w:val="auto"/>
              </w:rPr>
            </w:pPr>
            <w:r>
              <w:rPr>
                <w:color w:val="auto"/>
              </w:rPr>
              <w:t>工程控制：生产过程密闭，全面通风。</w:t>
            </w:r>
          </w:p>
          <w:p w14:paraId="1AEF2FA5">
            <w:pPr>
              <w:pStyle w:val="24"/>
              <w:bidi w:val="0"/>
              <w:jc w:val="both"/>
              <w:rPr>
                <w:color w:val="auto"/>
              </w:rPr>
            </w:pPr>
            <w:r>
              <w:rPr>
                <w:color w:val="auto"/>
              </w:rPr>
              <w:t>呼吸系统防护：一般不需要特殊防护，但建议特殊情况下，佩戴自吸过滤式防毒面具（半面罩）。</w:t>
            </w:r>
          </w:p>
          <w:p w14:paraId="1D3619AB">
            <w:pPr>
              <w:pStyle w:val="24"/>
              <w:bidi w:val="0"/>
              <w:jc w:val="both"/>
              <w:rPr>
                <w:color w:val="auto"/>
              </w:rPr>
            </w:pPr>
            <w:r>
              <w:rPr>
                <w:color w:val="auto"/>
              </w:rPr>
              <w:t>眼睛防护：一般不需特殊防护。</w:t>
            </w:r>
          </w:p>
          <w:p w14:paraId="3EE8995D">
            <w:pPr>
              <w:pStyle w:val="24"/>
              <w:bidi w:val="0"/>
              <w:jc w:val="both"/>
              <w:rPr>
                <w:color w:val="auto"/>
              </w:rPr>
            </w:pPr>
            <w:r>
              <w:rPr>
                <w:color w:val="auto"/>
              </w:rPr>
              <w:t>身体防护：穿防静电工作服。</w:t>
            </w:r>
          </w:p>
          <w:p w14:paraId="69DE3446">
            <w:pPr>
              <w:pStyle w:val="24"/>
              <w:bidi w:val="0"/>
              <w:jc w:val="both"/>
              <w:rPr>
                <w:color w:val="auto"/>
              </w:rPr>
            </w:pPr>
            <w:r>
              <w:rPr>
                <w:color w:val="auto"/>
              </w:rPr>
              <w:t>手防护：戴一般作业防护手套。</w:t>
            </w:r>
          </w:p>
          <w:p w14:paraId="39F7C518">
            <w:pPr>
              <w:pStyle w:val="24"/>
              <w:bidi w:val="0"/>
              <w:jc w:val="both"/>
              <w:rPr>
                <w:color w:val="auto"/>
              </w:rPr>
            </w:pPr>
            <w:r>
              <w:rPr>
                <w:color w:val="auto"/>
              </w:rPr>
              <w:t>其他防护：工作现场严禁吸烟。避免长期反复接触。进入罐、限制性空间或其它高浓度区作业，须有人监护。</w:t>
            </w:r>
          </w:p>
        </w:tc>
      </w:tr>
      <w:tr w14:paraId="492AA1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5B882198">
            <w:pPr>
              <w:pStyle w:val="24"/>
              <w:bidi w:val="0"/>
              <w:rPr>
                <w:color w:val="auto"/>
              </w:rPr>
            </w:pPr>
            <w:r>
              <w:rPr>
                <w:color w:val="auto"/>
              </w:rPr>
              <w:t>理化性质：</w:t>
            </w:r>
          </w:p>
        </w:tc>
        <w:tc>
          <w:tcPr>
            <w:tcW w:w="3975" w:type="pct"/>
            <w:noWrap w:val="0"/>
            <w:vAlign w:val="top"/>
          </w:tcPr>
          <w:p w14:paraId="2771F9FA">
            <w:pPr>
              <w:pStyle w:val="24"/>
              <w:bidi w:val="0"/>
              <w:jc w:val="both"/>
              <w:rPr>
                <w:color w:val="auto"/>
              </w:rPr>
            </w:pPr>
            <w:r>
              <w:rPr>
                <w:color w:val="auto"/>
              </w:rPr>
              <w:t>熔点(</w:t>
            </w:r>
            <w:r>
              <w:rPr>
                <w:rFonts w:hint="eastAsia"/>
                <w:color w:val="auto"/>
              </w:rPr>
              <w:t>℃</w:t>
            </w:r>
            <w:r>
              <w:rPr>
                <w:color w:val="auto"/>
              </w:rPr>
              <w:t>)：-81.8(119kPa)；沸点(</w:t>
            </w:r>
            <w:r>
              <w:rPr>
                <w:rFonts w:hint="eastAsia"/>
                <w:color w:val="auto"/>
              </w:rPr>
              <w:t>℃</w:t>
            </w:r>
            <w:r>
              <w:rPr>
                <w:color w:val="auto"/>
              </w:rPr>
              <w:t>)：-83.8；相对密度(水=1)：0.62；相对蒸气密度(空气=1)：0.91；饱和蒸气压(kPa)：4053(16.8</w:t>
            </w:r>
            <w:r>
              <w:rPr>
                <w:rFonts w:hint="eastAsia"/>
                <w:color w:val="auto"/>
              </w:rPr>
              <w:t>℃</w:t>
            </w:r>
            <w:r>
              <w:rPr>
                <w:color w:val="auto"/>
              </w:rPr>
              <w:t>)；燃烧热(kJ/mol)：1298.4；临界温度(</w:t>
            </w:r>
            <w:r>
              <w:rPr>
                <w:rFonts w:hint="eastAsia"/>
                <w:color w:val="auto"/>
              </w:rPr>
              <w:t>℃</w:t>
            </w:r>
            <w:r>
              <w:rPr>
                <w:color w:val="auto"/>
              </w:rPr>
              <w:t>)：35.2；临界压力(MPa)：6.14；辛醇/水分配系数的对数值：无资料；溶解性：微溶于水、乙醇，溶于丙酮、氯仿、苯。</w:t>
            </w:r>
          </w:p>
        </w:tc>
      </w:tr>
      <w:tr w14:paraId="332411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27899F81">
            <w:pPr>
              <w:pStyle w:val="24"/>
              <w:bidi w:val="0"/>
              <w:rPr>
                <w:color w:val="auto"/>
              </w:rPr>
            </w:pPr>
            <w:r>
              <w:rPr>
                <w:color w:val="auto"/>
              </w:rPr>
              <w:t>稳定性和反应活性：</w:t>
            </w:r>
          </w:p>
        </w:tc>
        <w:tc>
          <w:tcPr>
            <w:tcW w:w="3975" w:type="pct"/>
            <w:noWrap w:val="0"/>
            <w:vAlign w:val="center"/>
          </w:tcPr>
          <w:p w14:paraId="4558078B">
            <w:pPr>
              <w:pStyle w:val="24"/>
              <w:bidi w:val="0"/>
              <w:jc w:val="both"/>
              <w:rPr>
                <w:color w:val="auto"/>
              </w:rPr>
            </w:pPr>
            <w:r>
              <w:rPr>
                <w:color w:val="auto"/>
              </w:rPr>
              <w:t>禁忌物：强氧化剂、强酸、卤素。</w:t>
            </w:r>
          </w:p>
          <w:p w14:paraId="57392734">
            <w:pPr>
              <w:pStyle w:val="24"/>
              <w:bidi w:val="0"/>
              <w:jc w:val="both"/>
              <w:rPr>
                <w:color w:val="auto"/>
              </w:rPr>
            </w:pPr>
            <w:r>
              <w:rPr>
                <w:color w:val="auto"/>
              </w:rPr>
              <w:t>避免接触的条件：受热。</w:t>
            </w:r>
          </w:p>
        </w:tc>
      </w:tr>
      <w:tr w14:paraId="1C5485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63623AB8">
            <w:pPr>
              <w:pStyle w:val="24"/>
              <w:bidi w:val="0"/>
              <w:rPr>
                <w:color w:val="auto"/>
              </w:rPr>
            </w:pPr>
            <w:r>
              <w:rPr>
                <w:color w:val="auto"/>
              </w:rPr>
              <w:t>毒理学资料：</w:t>
            </w:r>
          </w:p>
        </w:tc>
        <w:tc>
          <w:tcPr>
            <w:tcW w:w="3975" w:type="pct"/>
            <w:noWrap w:val="0"/>
            <w:vAlign w:val="center"/>
          </w:tcPr>
          <w:p w14:paraId="69802A4B">
            <w:pPr>
              <w:pStyle w:val="24"/>
              <w:bidi w:val="0"/>
              <w:jc w:val="both"/>
              <w:rPr>
                <w:color w:val="auto"/>
              </w:rPr>
            </w:pPr>
            <w:r>
              <w:rPr>
                <w:color w:val="auto"/>
              </w:rPr>
              <w:t>急性毒性：LD50：无资料</w:t>
            </w:r>
            <w:r>
              <w:rPr>
                <w:color w:val="auto"/>
              </w:rPr>
              <w:br w:type="textWrapping"/>
            </w:r>
            <w:r>
              <w:rPr>
                <w:color w:val="auto"/>
              </w:rPr>
              <w:t>LC50：无资料</w:t>
            </w:r>
          </w:p>
        </w:tc>
      </w:tr>
      <w:tr w14:paraId="68821D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79A5C7AB">
            <w:pPr>
              <w:pStyle w:val="24"/>
              <w:bidi w:val="0"/>
              <w:rPr>
                <w:color w:val="auto"/>
              </w:rPr>
            </w:pPr>
            <w:r>
              <w:rPr>
                <w:color w:val="auto"/>
              </w:rPr>
              <w:t>环境影响：</w:t>
            </w:r>
          </w:p>
        </w:tc>
        <w:tc>
          <w:tcPr>
            <w:tcW w:w="3975" w:type="pct"/>
            <w:noWrap w:val="0"/>
            <w:vAlign w:val="center"/>
          </w:tcPr>
          <w:p w14:paraId="77CD8279">
            <w:pPr>
              <w:pStyle w:val="24"/>
              <w:bidi w:val="0"/>
              <w:jc w:val="both"/>
              <w:rPr>
                <w:color w:val="auto"/>
              </w:rPr>
            </w:pPr>
            <w:r>
              <w:rPr>
                <w:color w:val="auto"/>
              </w:rPr>
              <w:t>该物质对环境可能有危害，对水体应给予特别注意。</w:t>
            </w:r>
          </w:p>
        </w:tc>
      </w:tr>
      <w:tr w14:paraId="3235B4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1CE28CC1">
            <w:pPr>
              <w:pStyle w:val="24"/>
              <w:bidi w:val="0"/>
              <w:rPr>
                <w:color w:val="auto"/>
              </w:rPr>
            </w:pPr>
            <w:r>
              <w:rPr>
                <w:color w:val="auto"/>
              </w:rPr>
              <w:t>废弃：</w:t>
            </w:r>
          </w:p>
        </w:tc>
        <w:tc>
          <w:tcPr>
            <w:tcW w:w="3975" w:type="pct"/>
            <w:noWrap w:val="0"/>
            <w:vAlign w:val="center"/>
          </w:tcPr>
          <w:p w14:paraId="7A65289A">
            <w:pPr>
              <w:pStyle w:val="24"/>
              <w:bidi w:val="0"/>
              <w:jc w:val="both"/>
              <w:rPr>
                <w:color w:val="auto"/>
              </w:rPr>
            </w:pPr>
            <w:r>
              <w:rPr>
                <w:color w:val="auto"/>
              </w:rPr>
              <w:t>处置前应参阅国家和地方有关法规。建议用焚烧法处置。</w:t>
            </w:r>
          </w:p>
        </w:tc>
      </w:tr>
      <w:tr w14:paraId="22FADE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000" w:type="pct"/>
            <w:gridSpan w:val="2"/>
            <w:noWrap w:val="0"/>
            <w:vAlign w:val="center"/>
          </w:tcPr>
          <w:p w14:paraId="17BC2B29">
            <w:pPr>
              <w:pStyle w:val="24"/>
              <w:bidi w:val="0"/>
              <w:rPr>
                <w:color w:val="auto"/>
              </w:rPr>
            </w:pPr>
            <w:r>
              <w:rPr>
                <w:color w:val="auto"/>
              </w:rPr>
              <w:t>其 他 信 息</w:t>
            </w:r>
          </w:p>
        </w:tc>
      </w:tr>
      <w:tr w14:paraId="25A536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13F37E08">
            <w:pPr>
              <w:pStyle w:val="24"/>
              <w:bidi w:val="0"/>
              <w:rPr>
                <w:color w:val="auto"/>
              </w:rPr>
            </w:pPr>
            <w:r>
              <w:rPr>
                <w:color w:val="auto"/>
              </w:rPr>
              <w:t>包装分类：</w:t>
            </w:r>
          </w:p>
        </w:tc>
        <w:tc>
          <w:tcPr>
            <w:tcW w:w="3975" w:type="pct"/>
            <w:noWrap w:val="0"/>
            <w:vAlign w:val="center"/>
          </w:tcPr>
          <w:p w14:paraId="1120CB67">
            <w:pPr>
              <w:pStyle w:val="24"/>
              <w:bidi w:val="0"/>
              <w:jc w:val="both"/>
              <w:rPr>
                <w:color w:val="auto"/>
              </w:rPr>
            </w:pPr>
            <w:r>
              <w:rPr>
                <w:color w:val="auto"/>
              </w:rPr>
              <w:t>052</w:t>
            </w:r>
          </w:p>
        </w:tc>
      </w:tr>
      <w:tr w14:paraId="5457CA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24" w:type="pct"/>
            <w:noWrap w:val="0"/>
            <w:vAlign w:val="center"/>
          </w:tcPr>
          <w:p w14:paraId="6F5EB9E3">
            <w:pPr>
              <w:pStyle w:val="24"/>
              <w:bidi w:val="0"/>
              <w:rPr>
                <w:color w:val="auto"/>
              </w:rPr>
            </w:pPr>
            <w:r>
              <w:rPr>
                <w:color w:val="auto"/>
              </w:rPr>
              <w:t>包装方法：</w:t>
            </w:r>
          </w:p>
        </w:tc>
        <w:tc>
          <w:tcPr>
            <w:tcW w:w="3975" w:type="pct"/>
            <w:noWrap w:val="0"/>
            <w:vAlign w:val="center"/>
          </w:tcPr>
          <w:p w14:paraId="6DC0F9D5">
            <w:pPr>
              <w:pStyle w:val="24"/>
              <w:bidi w:val="0"/>
              <w:jc w:val="both"/>
              <w:rPr>
                <w:color w:val="auto"/>
              </w:rPr>
            </w:pPr>
            <w:r>
              <w:rPr>
                <w:color w:val="auto"/>
              </w:rPr>
              <w:t>钢质气瓶。</w:t>
            </w:r>
          </w:p>
        </w:tc>
      </w:tr>
    </w:tbl>
    <w:p w14:paraId="0007ACDC">
      <w:pPr>
        <w:bidi w:val="0"/>
        <w:rPr>
          <w:rFonts w:hint="eastAsia"/>
          <w:color w:val="auto"/>
        </w:rPr>
      </w:pPr>
      <w:r>
        <w:rPr>
          <w:rFonts w:hint="eastAsia"/>
          <w:color w:val="auto"/>
        </w:rPr>
        <w:t>4、氧气</w:t>
      </w:r>
    </w:p>
    <w:p w14:paraId="5D4E0243">
      <w:pPr>
        <w:pStyle w:val="23"/>
        <w:bidi w:val="0"/>
        <w:rPr>
          <w:color w:val="auto"/>
        </w:rPr>
      </w:pPr>
      <w:r>
        <w:rPr>
          <w:rFonts w:hint="eastAsia"/>
          <w:color w:val="auto"/>
        </w:rPr>
        <w:t>表3</w:t>
      </w:r>
      <w:r>
        <w:rPr>
          <w:rFonts w:hint="eastAsia"/>
          <w:color w:val="auto"/>
          <w:lang w:val="en-US" w:eastAsia="zh-CN"/>
        </w:rPr>
        <w:t>.1</w:t>
      </w:r>
      <w:r>
        <w:rPr>
          <w:rFonts w:hint="eastAsia"/>
          <w:color w:val="auto"/>
        </w:rPr>
        <w:t>-4  氧气理化特性表</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2"/>
        <w:gridCol w:w="7466"/>
      </w:tblGrid>
      <w:tr w14:paraId="2D2E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22338E01">
            <w:pPr>
              <w:pStyle w:val="24"/>
              <w:bidi w:val="0"/>
              <w:rPr>
                <w:color w:val="auto"/>
              </w:rPr>
            </w:pPr>
            <w:r>
              <w:rPr>
                <w:color w:val="auto"/>
              </w:rPr>
              <w:t>中文名称：</w:t>
            </w:r>
          </w:p>
        </w:tc>
        <w:tc>
          <w:tcPr>
            <w:tcW w:w="3971" w:type="pct"/>
            <w:noWrap w:val="0"/>
            <w:vAlign w:val="center"/>
          </w:tcPr>
          <w:p w14:paraId="2DFF1851">
            <w:pPr>
              <w:pStyle w:val="24"/>
              <w:bidi w:val="0"/>
              <w:jc w:val="both"/>
              <w:rPr>
                <w:color w:val="auto"/>
              </w:rPr>
            </w:pPr>
            <w:r>
              <w:rPr>
                <w:color w:val="auto"/>
              </w:rPr>
              <w:t>氧；氧气</w:t>
            </w:r>
          </w:p>
        </w:tc>
      </w:tr>
      <w:tr w14:paraId="31CF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11D8775C">
            <w:pPr>
              <w:pStyle w:val="24"/>
              <w:bidi w:val="0"/>
              <w:rPr>
                <w:color w:val="auto"/>
              </w:rPr>
            </w:pPr>
            <w:r>
              <w:rPr>
                <w:color w:val="auto"/>
              </w:rPr>
              <w:t>英文名称：</w:t>
            </w:r>
          </w:p>
        </w:tc>
        <w:tc>
          <w:tcPr>
            <w:tcW w:w="3971" w:type="pct"/>
            <w:noWrap w:val="0"/>
            <w:vAlign w:val="center"/>
          </w:tcPr>
          <w:p w14:paraId="00DE08AF">
            <w:pPr>
              <w:pStyle w:val="24"/>
              <w:bidi w:val="0"/>
              <w:jc w:val="both"/>
              <w:rPr>
                <w:color w:val="auto"/>
              </w:rPr>
            </w:pPr>
            <w:r>
              <w:rPr>
                <w:color w:val="auto"/>
              </w:rPr>
              <w:t>oxygen</w:t>
            </w:r>
          </w:p>
        </w:tc>
      </w:tr>
      <w:tr w14:paraId="4027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76CF2BF5">
            <w:pPr>
              <w:pStyle w:val="24"/>
              <w:bidi w:val="0"/>
              <w:rPr>
                <w:color w:val="auto"/>
              </w:rPr>
            </w:pPr>
            <w:r>
              <w:rPr>
                <w:color w:val="auto"/>
              </w:rPr>
              <w:t>分子式：</w:t>
            </w:r>
          </w:p>
        </w:tc>
        <w:tc>
          <w:tcPr>
            <w:tcW w:w="3971" w:type="pct"/>
            <w:noWrap w:val="0"/>
            <w:vAlign w:val="center"/>
          </w:tcPr>
          <w:p w14:paraId="09D44721">
            <w:pPr>
              <w:pStyle w:val="24"/>
              <w:bidi w:val="0"/>
              <w:jc w:val="both"/>
              <w:rPr>
                <w:color w:val="auto"/>
              </w:rPr>
            </w:pPr>
            <w:r>
              <w:rPr>
                <w:color w:val="auto"/>
              </w:rPr>
              <w:t>O</w:t>
            </w:r>
            <w:r>
              <w:rPr>
                <w:color w:val="auto"/>
                <w:vertAlign w:val="subscript"/>
              </w:rPr>
              <w:t>2</w:t>
            </w:r>
          </w:p>
        </w:tc>
      </w:tr>
      <w:tr w14:paraId="3C57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34D48F9B">
            <w:pPr>
              <w:pStyle w:val="24"/>
              <w:bidi w:val="0"/>
              <w:rPr>
                <w:color w:val="auto"/>
              </w:rPr>
            </w:pPr>
            <w:r>
              <w:rPr>
                <w:color w:val="auto"/>
              </w:rPr>
              <w:t>相对分子质量：</w:t>
            </w:r>
          </w:p>
        </w:tc>
        <w:tc>
          <w:tcPr>
            <w:tcW w:w="3971" w:type="pct"/>
            <w:noWrap w:val="0"/>
            <w:vAlign w:val="center"/>
          </w:tcPr>
          <w:p w14:paraId="1F902624">
            <w:pPr>
              <w:pStyle w:val="24"/>
              <w:bidi w:val="0"/>
              <w:jc w:val="both"/>
              <w:rPr>
                <w:color w:val="auto"/>
              </w:rPr>
            </w:pPr>
            <w:r>
              <w:rPr>
                <w:color w:val="auto"/>
              </w:rPr>
              <w:t>32.00</w:t>
            </w:r>
          </w:p>
        </w:tc>
      </w:tr>
      <w:tr w14:paraId="0132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13B32EB5">
            <w:pPr>
              <w:pStyle w:val="24"/>
              <w:bidi w:val="0"/>
              <w:rPr>
                <w:color w:val="auto"/>
              </w:rPr>
            </w:pPr>
            <w:r>
              <w:rPr>
                <w:color w:val="auto"/>
              </w:rPr>
              <w:t>CAS号：</w:t>
            </w:r>
          </w:p>
        </w:tc>
        <w:tc>
          <w:tcPr>
            <w:tcW w:w="3971" w:type="pct"/>
            <w:noWrap w:val="0"/>
            <w:vAlign w:val="center"/>
          </w:tcPr>
          <w:p w14:paraId="5C38673B">
            <w:pPr>
              <w:pStyle w:val="24"/>
              <w:bidi w:val="0"/>
              <w:jc w:val="both"/>
              <w:rPr>
                <w:color w:val="auto"/>
              </w:rPr>
            </w:pPr>
            <w:r>
              <w:rPr>
                <w:color w:val="auto"/>
              </w:rPr>
              <w:t>7782-44-7</w:t>
            </w:r>
          </w:p>
        </w:tc>
      </w:tr>
      <w:tr w14:paraId="3188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749AB782">
            <w:pPr>
              <w:pStyle w:val="24"/>
              <w:bidi w:val="0"/>
              <w:rPr>
                <w:color w:val="auto"/>
              </w:rPr>
            </w:pPr>
            <w:r>
              <w:rPr>
                <w:color w:val="auto"/>
              </w:rPr>
              <w:t>危规号：</w:t>
            </w:r>
          </w:p>
        </w:tc>
        <w:tc>
          <w:tcPr>
            <w:tcW w:w="3971" w:type="pct"/>
            <w:noWrap w:val="0"/>
            <w:vAlign w:val="center"/>
          </w:tcPr>
          <w:p w14:paraId="74A27E97">
            <w:pPr>
              <w:pStyle w:val="24"/>
              <w:bidi w:val="0"/>
              <w:jc w:val="both"/>
              <w:rPr>
                <w:color w:val="auto"/>
              </w:rPr>
            </w:pPr>
            <w:r>
              <w:rPr>
                <w:color w:val="auto"/>
              </w:rPr>
              <w:t>22001</w:t>
            </w:r>
          </w:p>
        </w:tc>
      </w:tr>
      <w:tr w14:paraId="69B0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426E4AA1">
            <w:pPr>
              <w:pStyle w:val="24"/>
              <w:bidi w:val="0"/>
              <w:rPr>
                <w:color w:val="auto"/>
              </w:rPr>
            </w:pPr>
            <w:r>
              <w:rPr>
                <w:color w:val="auto"/>
              </w:rPr>
              <w:t>UN编号：</w:t>
            </w:r>
          </w:p>
        </w:tc>
        <w:tc>
          <w:tcPr>
            <w:tcW w:w="3971" w:type="pct"/>
            <w:noWrap w:val="0"/>
            <w:vAlign w:val="center"/>
          </w:tcPr>
          <w:p w14:paraId="0DEE5ADF">
            <w:pPr>
              <w:pStyle w:val="24"/>
              <w:bidi w:val="0"/>
              <w:jc w:val="both"/>
              <w:rPr>
                <w:color w:val="auto"/>
              </w:rPr>
            </w:pPr>
            <w:r>
              <w:rPr>
                <w:color w:val="auto"/>
              </w:rPr>
              <w:t>1072</w:t>
            </w:r>
          </w:p>
        </w:tc>
      </w:tr>
      <w:tr w14:paraId="3A7B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2E990F58">
            <w:pPr>
              <w:pStyle w:val="24"/>
              <w:bidi w:val="0"/>
              <w:rPr>
                <w:color w:val="auto"/>
              </w:rPr>
            </w:pPr>
            <w:r>
              <w:rPr>
                <w:color w:val="auto"/>
              </w:rPr>
              <w:t>主要成分：</w:t>
            </w:r>
          </w:p>
        </w:tc>
        <w:tc>
          <w:tcPr>
            <w:tcW w:w="3971" w:type="pct"/>
            <w:noWrap w:val="0"/>
            <w:vAlign w:val="center"/>
          </w:tcPr>
          <w:p w14:paraId="5FE753F7">
            <w:pPr>
              <w:pStyle w:val="24"/>
              <w:bidi w:val="0"/>
              <w:jc w:val="both"/>
              <w:rPr>
                <w:color w:val="auto"/>
              </w:rPr>
            </w:pPr>
            <w:r>
              <w:rPr>
                <w:color w:val="auto"/>
              </w:rPr>
              <w:t>含量：高纯氧(体积)≥99.99％。</w:t>
            </w:r>
          </w:p>
        </w:tc>
      </w:tr>
      <w:tr w14:paraId="71C5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1F764387">
            <w:pPr>
              <w:pStyle w:val="24"/>
              <w:bidi w:val="0"/>
              <w:rPr>
                <w:color w:val="auto"/>
              </w:rPr>
            </w:pPr>
            <w:r>
              <w:rPr>
                <w:color w:val="auto"/>
              </w:rPr>
              <w:t>外观与性状：</w:t>
            </w:r>
          </w:p>
        </w:tc>
        <w:tc>
          <w:tcPr>
            <w:tcW w:w="3971" w:type="pct"/>
            <w:noWrap w:val="0"/>
            <w:vAlign w:val="center"/>
          </w:tcPr>
          <w:p w14:paraId="1916C3B6">
            <w:pPr>
              <w:pStyle w:val="24"/>
              <w:bidi w:val="0"/>
              <w:jc w:val="both"/>
              <w:rPr>
                <w:color w:val="auto"/>
              </w:rPr>
            </w:pPr>
            <w:r>
              <w:rPr>
                <w:color w:val="auto"/>
              </w:rPr>
              <w:t>无色无臭气体。</w:t>
            </w:r>
          </w:p>
        </w:tc>
      </w:tr>
      <w:tr w14:paraId="374B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549C53BE">
            <w:pPr>
              <w:pStyle w:val="24"/>
              <w:bidi w:val="0"/>
              <w:rPr>
                <w:color w:val="auto"/>
              </w:rPr>
            </w:pPr>
            <w:r>
              <w:rPr>
                <w:color w:val="auto"/>
              </w:rPr>
              <w:t>主要用途：</w:t>
            </w:r>
          </w:p>
        </w:tc>
        <w:tc>
          <w:tcPr>
            <w:tcW w:w="3971" w:type="pct"/>
            <w:noWrap w:val="0"/>
            <w:vAlign w:val="center"/>
          </w:tcPr>
          <w:p w14:paraId="234E2D28">
            <w:pPr>
              <w:pStyle w:val="24"/>
              <w:bidi w:val="0"/>
              <w:jc w:val="both"/>
              <w:rPr>
                <w:color w:val="auto"/>
              </w:rPr>
            </w:pPr>
            <w:r>
              <w:rPr>
                <w:color w:val="auto"/>
              </w:rPr>
              <w:t>用于切割、焊接金属，制造医药、染料、炸药等。</w:t>
            </w:r>
          </w:p>
        </w:tc>
      </w:tr>
      <w:tr w14:paraId="02B7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
            <w:noWrap w:val="0"/>
            <w:vAlign w:val="center"/>
          </w:tcPr>
          <w:p w14:paraId="54A0BEA0">
            <w:pPr>
              <w:pStyle w:val="24"/>
              <w:bidi w:val="0"/>
              <w:rPr>
                <w:color w:val="auto"/>
              </w:rPr>
            </w:pPr>
            <w:r>
              <w:rPr>
                <w:color w:val="auto"/>
              </w:rPr>
              <w:t>健 康 危 害</w:t>
            </w:r>
          </w:p>
        </w:tc>
      </w:tr>
      <w:tr w14:paraId="074F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678163D5">
            <w:pPr>
              <w:pStyle w:val="24"/>
              <w:bidi w:val="0"/>
              <w:rPr>
                <w:color w:val="auto"/>
              </w:rPr>
            </w:pPr>
            <w:r>
              <w:rPr>
                <w:color w:val="auto"/>
              </w:rPr>
              <w:t>侵入途径：</w:t>
            </w:r>
          </w:p>
        </w:tc>
        <w:tc>
          <w:tcPr>
            <w:tcW w:w="3971" w:type="pct"/>
            <w:noWrap w:val="0"/>
            <w:vAlign w:val="center"/>
          </w:tcPr>
          <w:p w14:paraId="2A98C4D1">
            <w:pPr>
              <w:pStyle w:val="24"/>
              <w:bidi w:val="0"/>
              <w:rPr>
                <w:color w:val="auto"/>
              </w:rPr>
            </w:pPr>
            <w:r>
              <w:rPr>
                <w:color w:val="auto"/>
              </w:rPr>
              <w:t>吸入。</w:t>
            </w:r>
          </w:p>
        </w:tc>
      </w:tr>
      <w:tr w14:paraId="1319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37550DCF">
            <w:pPr>
              <w:pStyle w:val="24"/>
              <w:bidi w:val="0"/>
              <w:rPr>
                <w:color w:val="auto"/>
              </w:rPr>
            </w:pPr>
            <w:r>
              <w:rPr>
                <w:color w:val="auto"/>
              </w:rPr>
              <w:t>健康危害：</w:t>
            </w:r>
          </w:p>
        </w:tc>
        <w:tc>
          <w:tcPr>
            <w:tcW w:w="3971" w:type="pct"/>
            <w:noWrap w:val="0"/>
            <w:vAlign w:val="center"/>
          </w:tcPr>
          <w:p w14:paraId="58A66D8B">
            <w:pPr>
              <w:pStyle w:val="24"/>
              <w:bidi w:val="0"/>
              <w:jc w:val="both"/>
              <w:rPr>
                <w:color w:val="auto"/>
              </w:rPr>
            </w:pPr>
            <w:r>
              <w:rPr>
                <w:color w:val="auto"/>
              </w:rPr>
              <w:t>常压下，当氧的浓度超过40％时，有可能发生氧中毒。吸入40％～60％的氧时，出现胸骨后不适感、轻咳，进而胸闷、胸骨后烧灼感和呼吸困难，咳嗽加剧；严重时可发生肺水肿，甚至出现呼吸窘迫综合征。吸入氧浓度在80％以上时，出现面部肌肉抽动、面色苍白、眩晕、心动过速、虚脱，继而全身强直性抽搐、昏迷、呼吸衰竭而死亡。长期处于氧分压为60～100kPa(相当于吸入氧浓度40％左右)的条件下可发生眼损害，严重者可失明。</w:t>
            </w:r>
          </w:p>
        </w:tc>
      </w:tr>
      <w:tr w14:paraId="4E08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2187ACF2">
            <w:pPr>
              <w:pStyle w:val="24"/>
              <w:bidi w:val="0"/>
              <w:rPr>
                <w:color w:val="auto"/>
              </w:rPr>
            </w:pPr>
            <w:r>
              <w:rPr>
                <w:color w:val="auto"/>
              </w:rPr>
              <w:t>吸入：</w:t>
            </w:r>
          </w:p>
        </w:tc>
        <w:tc>
          <w:tcPr>
            <w:tcW w:w="3971" w:type="pct"/>
            <w:noWrap w:val="0"/>
            <w:vAlign w:val="center"/>
          </w:tcPr>
          <w:p w14:paraId="6BAA5C0F">
            <w:pPr>
              <w:pStyle w:val="24"/>
              <w:bidi w:val="0"/>
              <w:jc w:val="both"/>
              <w:rPr>
                <w:color w:val="auto"/>
              </w:rPr>
            </w:pPr>
            <w:r>
              <w:rPr>
                <w:color w:val="auto"/>
              </w:rPr>
              <w:t>迅速脱离现场至空气新鲜处。保持呼吸道通畅。如呼吸停止，立即进行人工呼吸。就医。</w:t>
            </w:r>
          </w:p>
        </w:tc>
      </w:tr>
      <w:tr w14:paraId="65C5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
            <w:noWrap w:val="0"/>
            <w:vAlign w:val="center"/>
          </w:tcPr>
          <w:p w14:paraId="4C1AC933">
            <w:pPr>
              <w:pStyle w:val="24"/>
              <w:bidi w:val="0"/>
              <w:rPr>
                <w:color w:val="auto"/>
              </w:rPr>
            </w:pPr>
            <w:r>
              <w:rPr>
                <w:color w:val="auto"/>
              </w:rPr>
              <w:t>理 化 特 性</w:t>
            </w:r>
          </w:p>
        </w:tc>
      </w:tr>
      <w:tr w14:paraId="5095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49CDE8D8">
            <w:pPr>
              <w:pStyle w:val="24"/>
              <w:bidi w:val="0"/>
              <w:rPr>
                <w:color w:val="auto"/>
              </w:rPr>
            </w:pPr>
            <w:r>
              <w:rPr>
                <w:color w:val="auto"/>
              </w:rPr>
              <w:t>燃烧性：</w:t>
            </w:r>
          </w:p>
        </w:tc>
        <w:tc>
          <w:tcPr>
            <w:tcW w:w="3971" w:type="pct"/>
            <w:noWrap w:val="0"/>
            <w:vAlign w:val="center"/>
          </w:tcPr>
          <w:p w14:paraId="40E744D6">
            <w:pPr>
              <w:pStyle w:val="24"/>
              <w:bidi w:val="0"/>
              <w:jc w:val="both"/>
              <w:rPr>
                <w:color w:val="auto"/>
              </w:rPr>
            </w:pPr>
            <w:r>
              <w:rPr>
                <w:color w:val="auto"/>
              </w:rPr>
              <w:t>本品助燃。</w:t>
            </w:r>
          </w:p>
        </w:tc>
      </w:tr>
      <w:tr w14:paraId="58F5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1CFCBB4B">
            <w:pPr>
              <w:pStyle w:val="24"/>
              <w:bidi w:val="0"/>
              <w:rPr>
                <w:color w:val="auto"/>
              </w:rPr>
            </w:pPr>
            <w:r>
              <w:rPr>
                <w:color w:val="auto"/>
              </w:rPr>
              <w:t>闪点：</w:t>
            </w:r>
          </w:p>
        </w:tc>
        <w:tc>
          <w:tcPr>
            <w:tcW w:w="3971" w:type="pct"/>
            <w:noWrap w:val="0"/>
            <w:vAlign w:val="center"/>
          </w:tcPr>
          <w:p w14:paraId="0697F084">
            <w:pPr>
              <w:pStyle w:val="24"/>
              <w:bidi w:val="0"/>
              <w:jc w:val="both"/>
              <w:rPr>
                <w:color w:val="auto"/>
              </w:rPr>
            </w:pPr>
            <w:r>
              <w:rPr>
                <w:color w:val="auto"/>
              </w:rPr>
              <w:t>（</w:t>
            </w:r>
            <w:r>
              <w:rPr>
                <w:rFonts w:hint="eastAsia"/>
                <w:color w:val="auto"/>
              </w:rPr>
              <w:t>℃</w:t>
            </w:r>
            <w:r>
              <w:rPr>
                <w:color w:val="auto"/>
              </w:rPr>
              <w:t>）无意义</w:t>
            </w:r>
          </w:p>
        </w:tc>
      </w:tr>
      <w:tr w14:paraId="34CC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2627EC3E">
            <w:pPr>
              <w:pStyle w:val="24"/>
              <w:bidi w:val="0"/>
              <w:rPr>
                <w:color w:val="auto"/>
              </w:rPr>
            </w:pPr>
            <w:r>
              <w:rPr>
                <w:color w:val="auto"/>
              </w:rPr>
              <w:t>爆炸下限：</w:t>
            </w:r>
          </w:p>
        </w:tc>
        <w:tc>
          <w:tcPr>
            <w:tcW w:w="3971" w:type="pct"/>
            <w:noWrap w:val="0"/>
            <w:vAlign w:val="center"/>
          </w:tcPr>
          <w:p w14:paraId="56E2D775">
            <w:pPr>
              <w:pStyle w:val="24"/>
              <w:bidi w:val="0"/>
              <w:jc w:val="both"/>
              <w:rPr>
                <w:color w:val="auto"/>
              </w:rPr>
            </w:pPr>
            <w:r>
              <w:rPr>
                <w:color w:val="auto"/>
              </w:rPr>
              <w:t>（％）无意义</w:t>
            </w:r>
          </w:p>
        </w:tc>
      </w:tr>
      <w:tr w14:paraId="6105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6C1ACD55">
            <w:pPr>
              <w:pStyle w:val="24"/>
              <w:bidi w:val="0"/>
              <w:rPr>
                <w:color w:val="auto"/>
              </w:rPr>
            </w:pPr>
            <w:r>
              <w:rPr>
                <w:color w:val="auto"/>
              </w:rPr>
              <w:t>引燃温度：</w:t>
            </w:r>
          </w:p>
        </w:tc>
        <w:tc>
          <w:tcPr>
            <w:tcW w:w="3971" w:type="pct"/>
            <w:noWrap w:val="0"/>
            <w:vAlign w:val="center"/>
          </w:tcPr>
          <w:p w14:paraId="6EF9AB1D">
            <w:pPr>
              <w:pStyle w:val="24"/>
              <w:bidi w:val="0"/>
              <w:jc w:val="both"/>
              <w:rPr>
                <w:color w:val="auto"/>
              </w:rPr>
            </w:pPr>
            <w:r>
              <w:rPr>
                <w:color w:val="auto"/>
              </w:rPr>
              <w:t>（</w:t>
            </w:r>
            <w:r>
              <w:rPr>
                <w:rFonts w:hint="eastAsia"/>
                <w:color w:val="auto"/>
              </w:rPr>
              <w:t>℃</w:t>
            </w:r>
            <w:r>
              <w:rPr>
                <w:color w:val="auto"/>
              </w:rPr>
              <w:t>）无意义</w:t>
            </w:r>
          </w:p>
        </w:tc>
      </w:tr>
      <w:tr w14:paraId="7C6B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6C7DF439">
            <w:pPr>
              <w:pStyle w:val="24"/>
              <w:bidi w:val="0"/>
              <w:rPr>
                <w:color w:val="auto"/>
              </w:rPr>
            </w:pPr>
            <w:r>
              <w:rPr>
                <w:color w:val="auto"/>
              </w:rPr>
              <w:t>爆炸上限：</w:t>
            </w:r>
          </w:p>
        </w:tc>
        <w:tc>
          <w:tcPr>
            <w:tcW w:w="3971" w:type="pct"/>
            <w:noWrap w:val="0"/>
            <w:vAlign w:val="center"/>
          </w:tcPr>
          <w:p w14:paraId="616482C2">
            <w:pPr>
              <w:pStyle w:val="24"/>
              <w:bidi w:val="0"/>
              <w:jc w:val="both"/>
              <w:rPr>
                <w:color w:val="auto"/>
              </w:rPr>
            </w:pPr>
            <w:r>
              <w:rPr>
                <w:color w:val="auto"/>
              </w:rPr>
              <w:t>（％）无意义</w:t>
            </w:r>
          </w:p>
        </w:tc>
      </w:tr>
      <w:tr w14:paraId="30F0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3E30D3BF">
            <w:pPr>
              <w:pStyle w:val="24"/>
              <w:bidi w:val="0"/>
              <w:rPr>
                <w:color w:val="auto"/>
              </w:rPr>
            </w:pPr>
            <w:r>
              <w:rPr>
                <w:color w:val="auto"/>
              </w:rPr>
              <w:t>危险特性：</w:t>
            </w:r>
          </w:p>
        </w:tc>
        <w:tc>
          <w:tcPr>
            <w:tcW w:w="3971" w:type="pct"/>
            <w:noWrap w:val="0"/>
            <w:vAlign w:val="center"/>
          </w:tcPr>
          <w:p w14:paraId="630C4CD3">
            <w:pPr>
              <w:pStyle w:val="24"/>
              <w:bidi w:val="0"/>
              <w:jc w:val="both"/>
              <w:rPr>
                <w:color w:val="auto"/>
              </w:rPr>
            </w:pPr>
            <w:r>
              <w:rPr>
                <w:color w:val="auto"/>
              </w:rPr>
              <w:t>是易燃物、可燃物燃烧爆炸的基本要素之一, 能氧化大多数活性物质。与易燃物（如乙炔、甲烷等）形成有爆炸性的混合物。</w:t>
            </w:r>
          </w:p>
        </w:tc>
      </w:tr>
      <w:tr w14:paraId="36DD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12A53B42">
            <w:pPr>
              <w:pStyle w:val="24"/>
              <w:bidi w:val="0"/>
              <w:rPr>
                <w:color w:val="auto"/>
              </w:rPr>
            </w:pPr>
            <w:r>
              <w:rPr>
                <w:color w:val="auto"/>
              </w:rPr>
              <w:t>灭火方法：</w:t>
            </w:r>
          </w:p>
        </w:tc>
        <w:tc>
          <w:tcPr>
            <w:tcW w:w="3971" w:type="pct"/>
            <w:noWrap w:val="0"/>
            <w:vAlign w:val="center"/>
          </w:tcPr>
          <w:p w14:paraId="4E022B1F">
            <w:pPr>
              <w:pStyle w:val="24"/>
              <w:bidi w:val="0"/>
              <w:jc w:val="both"/>
              <w:rPr>
                <w:color w:val="auto"/>
              </w:rPr>
            </w:pPr>
            <w:r>
              <w:rPr>
                <w:color w:val="auto"/>
              </w:rPr>
              <w:t>用水保持容器冷却，以防受热爆炸，急剧助长火势。迅速切断气源，用水喷淋保护切断气源的人员，然后根据着火原因选择适当灭火剂灭火。</w:t>
            </w:r>
          </w:p>
        </w:tc>
      </w:tr>
      <w:tr w14:paraId="6FDC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0576DA4D">
            <w:pPr>
              <w:pStyle w:val="24"/>
              <w:bidi w:val="0"/>
              <w:rPr>
                <w:color w:val="auto"/>
              </w:rPr>
            </w:pPr>
            <w:r>
              <w:rPr>
                <w:color w:val="auto"/>
              </w:rPr>
              <w:t>泄漏应急处理：</w:t>
            </w:r>
          </w:p>
        </w:tc>
        <w:tc>
          <w:tcPr>
            <w:tcW w:w="3971" w:type="pct"/>
            <w:noWrap w:val="0"/>
            <w:vAlign w:val="center"/>
          </w:tcPr>
          <w:p w14:paraId="2F696473">
            <w:pPr>
              <w:pStyle w:val="24"/>
              <w:bidi w:val="0"/>
              <w:jc w:val="both"/>
              <w:rPr>
                <w:color w:val="auto"/>
              </w:rPr>
            </w:pPr>
            <w:r>
              <w:rPr>
                <w:color w:val="auto"/>
              </w:rPr>
              <w:t>迅速撤离泄漏污染区人员至上风处，并进行隔离，严格限制出入。切断火源。建议应急处理人员戴自给正压式呼吸器，穿一般作业工作服。避免与可燃物或易燃物接触。尽可能切断泄漏源。合理通风，加速扩散。漏气容器要妥善处理，修复、检验后再用。</w:t>
            </w:r>
          </w:p>
        </w:tc>
      </w:tr>
      <w:tr w14:paraId="184F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6EE6C3A9">
            <w:pPr>
              <w:pStyle w:val="24"/>
              <w:bidi w:val="0"/>
              <w:rPr>
                <w:color w:val="auto"/>
              </w:rPr>
            </w:pPr>
            <w:r>
              <w:rPr>
                <w:color w:val="auto"/>
              </w:rPr>
              <w:t>操作注意事项：</w:t>
            </w:r>
          </w:p>
        </w:tc>
        <w:tc>
          <w:tcPr>
            <w:tcW w:w="3971" w:type="pct"/>
            <w:noWrap w:val="0"/>
            <w:vAlign w:val="center"/>
          </w:tcPr>
          <w:p w14:paraId="07D3B891">
            <w:pPr>
              <w:pStyle w:val="24"/>
              <w:bidi w:val="0"/>
              <w:jc w:val="both"/>
              <w:rPr>
                <w:color w:val="auto"/>
              </w:rPr>
            </w:pPr>
            <w:r>
              <w:rPr>
                <w:color w:val="auto"/>
              </w:rPr>
              <w:t>密闭操作。密闭操作，提供良好的自然通风条件。操作人员必须经过专门培训，严格遵守操作规程。远离火种、热源，工作场所严禁吸烟。远离易燃、可燃物。防止气体泄漏到工作场所空气中。避免与活性金属粉末接触。搬运时轻装轻卸，防止钢瓶及附件破损。配备相应品种和数量的消防器材及泄漏应急处理设备。</w:t>
            </w:r>
          </w:p>
        </w:tc>
      </w:tr>
      <w:tr w14:paraId="1297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50B313E3">
            <w:pPr>
              <w:pStyle w:val="24"/>
              <w:bidi w:val="0"/>
              <w:rPr>
                <w:color w:val="auto"/>
              </w:rPr>
            </w:pPr>
            <w:r>
              <w:rPr>
                <w:color w:val="auto"/>
              </w:rPr>
              <w:t>贮运注意事项：</w:t>
            </w:r>
          </w:p>
        </w:tc>
        <w:tc>
          <w:tcPr>
            <w:tcW w:w="3971" w:type="pct"/>
            <w:noWrap w:val="0"/>
            <w:vAlign w:val="center"/>
          </w:tcPr>
          <w:p w14:paraId="1999CB4C">
            <w:pPr>
              <w:pStyle w:val="24"/>
              <w:bidi w:val="0"/>
              <w:jc w:val="both"/>
              <w:rPr>
                <w:color w:val="auto"/>
              </w:rPr>
            </w:pPr>
            <w:r>
              <w:rPr>
                <w:color w:val="auto"/>
              </w:rPr>
              <w:t>储存于阴凉、通风的库房。远离火种、热源。库温不宜超过30</w:t>
            </w:r>
            <w:r>
              <w:rPr>
                <w:rFonts w:hint="eastAsia"/>
                <w:color w:val="auto"/>
              </w:rPr>
              <w:t>℃</w:t>
            </w:r>
            <w:r>
              <w:rPr>
                <w:color w:val="auto"/>
              </w:rPr>
              <w:t>。应与易（可）燃物、活性金属粉末等分开存放，切忌混储。储区应备有泄漏应急处理设备。氧气钢瓶不得沾污油脂。采用钢瓶运输时必须戴好钢瓶上的安全帽。钢瓶一般平放，并应将瓶口朝同一方向，不可交叉；高度不得超过车辆的防护栏板，并用三角木垫卡牢，防止滚动。严禁与易燃物或可燃物、活性金属粉末等混装混运。夏季应早晚运输，防止日光曝晒。铁路运输时要禁止溜放。</w:t>
            </w:r>
          </w:p>
        </w:tc>
      </w:tr>
      <w:tr w14:paraId="20F4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258A1B5E">
            <w:pPr>
              <w:pStyle w:val="24"/>
              <w:bidi w:val="0"/>
              <w:rPr>
                <w:color w:val="auto"/>
              </w:rPr>
            </w:pPr>
            <w:r>
              <w:rPr>
                <w:color w:val="auto"/>
              </w:rPr>
              <w:t>防护措施：</w:t>
            </w:r>
          </w:p>
        </w:tc>
        <w:tc>
          <w:tcPr>
            <w:tcW w:w="3971" w:type="pct"/>
            <w:noWrap w:val="0"/>
            <w:vAlign w:val="top"/>
          </w:tcPr>
          <w:p w14:paraId="46605114">
            <w:pPr>
              <w:pStyle w:val="24"/>
              <w:bidi w:val="0"/>
              <w:jc w:val="both"/>
              <w:rPr>
                <w:color w:val="auto"/>
              </w:rPr>
            </w:pPr>
            <w:r>
              <w:rPr>
                <w:color w:val="auto"/>
              </w:rPr>
              <w:t>职业接触限值</w:t>
            </w:r>
          </w:p>
          <w:p w14:paraId="6BD61EE2">
            <w:pPr>
              <w:pStyle w:val="24"/>
              <w:bidi w:val="0"/>
              <w:jc w:val="both"/>
              <w:rPr>
                <w:color w:val="auto"/>
              </w:rPr>
            </w:pPr>
            <w:r>
              <w:rPr>
                <w:color w:val="auto"/>
              </w:rPr>
              <w:t>中国MAC(mg/m</w:t>
            </w:r>
            <w:r>
              <w:rPr>
                <w:color w:val="auto"/>
                <w:vertAlign w:val="superscript"/>
              </w:rPr>
              <w:t>3</w:t>
            </w:r>
            <w:r>
              <w:rPr>
                <w:color w:val="auto"/>
              </w:rPr>
              <w:t>)：未制定标准</w:t>
            </w:r>
          </w:p>
          <w:p w14:paraId="5C459277">
            <w:pPr>
              <w:pStyle w:val="24"/>
              <w:bidi w:val="0"/>
              <w:jc w:val="both"/>
              <w:rPr>
                <w:color w:val="auto"/>
              </w:rPr>
            </w:pPr>
            <w:r>
              <w:rPr>
                <w:color w:val="auto"/>
              </w:rPr>
              <w:t>前苏联MAC(mg/m</w:t>
            </w:r>
            <w:r>
              <w:rPr>
                <w:color w:val="auto"/>
                <w:vertAlign w:val="superscript"/>
              </w:rPr>
              <w:t>3</w:t>
            </w:r>
            <w:r>
              <w:rPr>
                <w:color w:val="auto"/>
              </w:rPr>
              <w:t>)：未制定标准</w:t>
            </w:r>
          </w:p>
          <w:p w14:paraId="1D4CA1FB">
            <w:pPr>
              <w:pStyle w:val="24"/>
              <w:bidi w:val="0"/>
              <w:jc w:val="both"/>
              <w:rPr>
                <w:color w:val="auto"/>
              </w:rPr>
            </w:pPr>
            <w:r>
              <w:rPr>
                <w:color w:val="auto"/>
              </w:rPr>
              <w:t>TLVTN：未制定标准</w:t>
            </w:r>
          </w:p>
          <w:p w14:paraId="5673F0D6">
            <w:pPr>
              <w:pStyle w:val="24"/>
              <w:bidi w:val="0"/>
              <w:jc w:val="both"/>
              <w:rPr>
                <w:color w:val="auto"/>
              </w:rPr>
            </w:pPr>
            <w:r>
              <w:rPr>
                <w:color w:val="auto"/>
              </w:rPr>
              <w:t>TLVWN：未制定标准</w:t>
            </w:r>
          </w:p>
          <w:p w14:paraId="60953C44">
            <w:pPr>
              <w:pStyle w:val="24"/>
              <w:bidi w:val="0"/>
              <w:jc w:val="both"/>
              <w:rPr>
                <w:color w:val="auto"/>
              </w:rPr>
            </w:pPr>
            <w:r>
              <w:rPr>
                <w:color w:val="auto"/>
              </w:rPr>
              <w:t>工程控制：密闭操作。提供良好的自然通风条件。</w:t>
            </w:r>
          </w:p>
          <w:p w14:paraId="4DCAA1B0">
            <w:pPr>
              <w:pStyle w:val="24"/>
              <w:bidi w:val="0"/>
              <w:jc w:val="both"/>
              <w:rPr>
                <w:color w:val="auto"/>
              </w:rPr>
            </w:pPr>
            <w:r>
              <w:rPr>
                <w:color w:val="auto"/>
              </w:rPr>
              <w:t>呼吸系统防护：一般不需特殊防护。</w:t>
            </w:r>
          </w:p>
          <w:p w14:paraId="01078497">
            <w:pPr>
              <w:pStyle w:val="24"/>
              <w:bidi w:val="0"/>
              <w:jc w:val="both"/>
              <w:rPr>
                <w:color w:val="auto"/>
              </w:rPr>
            </w:pPr>
            <w:r>
              <w:rPr>
                <w:color w:val="auto"/>
              </w:rPr>
              <w:t>眼睛防护：一般不需特殊防护。</w:t>
            </w:r>
          </w:p>
          <w:p w14:paraId="1159A409">
            <w:pPr>
              <w:pStyle w:val="24"/>
              <w:bidi w:val="0"/>
              <w:jc w:val="both"/>
              <w:rPr>
                <w:color w:val="auto"/>
              </w:rPr>
            </w:pPr>
            <w:r>
              <w:rPr>
                <w:color w:val="auto"/>
              </w:rPr>
              <w:t>身体防护：穿一般作业工作服。</w:t>
            </w:r>
          </w:p>
          <w:p w14:paraId="5ECA0CF6">
            <w:pPr>
              <w:pStyle w:val="24"/>
              <w:bidi w:val="0"/>
              <w:jc w:val="both"/>
              <w:rPr>
                <w:color w:val="auto"/>
              </w:rPr>
            </w:pPr>
            <w:r>
              <w:rPr>
                <w:color w:val="auto"/>
              </w:rPr>
              <w:t>手防护：戴一般作业防护手套。</w:t>
            </w:r>
          </w:p>
          <w:p w14:paraId="28252C4A">
            <w:pPr>
              <w:pStyle w:val="24"/>
              <w:bidi w:val="0"/>
              <w:jc w:val="both"/>
              <w:rPr>
                <w:color w:val="auto"/>
              </w:rPr>
            </w:pPr>
            <w:r>
              <w:rPr>
                <w:color w:val="auto"/>
              </w:rPr>
              <w:t>其他防护：避免高浓度吸入。 </w:t>
            </w:r>
          </w:p>
        </w:tc>
      </w:tr>
      <w:tr w14:paraId="201E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1115424F">
            <w:pPr>
              <w:pStyle w:val="24"/>
              <w:bidi w:val="0"/>
              <w:rPr>
                <w:color w:val="auto"/>
              </w:rPr>
            </w:pPr>
            <w:r>
              <w:rPr>
                <w:color w:val="auto"/>
              </w:rPr>
              <w:t>理化性质：</w:t>
            </w:r>
          </w:p>
        </w:tc>
        <w:tc>
          <w:tcPr>
            <w:tcW w:w="3971" w:type="pct"/>
            <w:noWrap w:val="0"/>
            <w:vAlign w:val="center"/>
          </w:tcPr>
          <w:p w14:paraId="13C46EAB">
            <w:pPr>
              <w:pStyle w:val="24"/>
              <w:bidi w:val="0"/>
              <w:jc w:val="both"/>
              <w:rPr>
                <w:color w:val="auto"/>
              </w:rPr>
            </w:pPr>
            <w:r>
              <w:rPr>
                <w:color w:val="auto"/>
              </w:rPr>
              <w:t>熔点(</w:t>
            </w:r>
            <w:r>
              <w:rPr>
                <w:rFonts w:hint="eastAsia"/>
                <w:color w:val="auto"/>
              </w:rPr>
              <w:t>℃</w:t>
            </w:r>
            <w:r>
              <w:rPr>
                <w:color w:val="auto"/>
              </w:rPr>
              <w:t>)：-218.8</w:t>
            </w:r>
          </w:p>
          <w:p w14:paraId="756F3A6D">
            <w:pPr>
              <w:pStyle w:val="24"/>
              <w:bidi w:val="0"/>
              <w:jc w:val="both"/>
              <w:rPr>
                <w:color w:val="auto"/>
              </w:rPr>
            </w:pPr>
            <w:r>
              <w:rPr>
                <w:color w:val="auto"/>
              </w:rPr>
              <w:t>沸点(</w:t>
            </w:r>
            <w:r>
              <w:rPr>
                <w:rFonts w:hint="eastAsia"/>
                <w:color w:val="auto"/>
              </w:rPr>
              <w:t>℃</w:t>
            </w:r>
            <w:r>
              <w:rPr>
                <w:color w:val="auto"/>
              </w:rPr>
              <w:t>)：-183.1</w:t>
            </w:r>
          </w:p>
          <w:p w14:paraId="26E06CF6">
            <w:pPr>
              <w:pStyle w:val="24"/>
              <w:bidi w:val="0"/>
              <w:jc w:val="both"/>
              <w:rPr>
                <w:color w:val="auto"/>
              </w:rPr>
            </w:pPr>
            <w:r>
              <w:rPr>
                <w:color w:val="auto"/>
              </w:rPr>
              <w:t>相对密度(水=1)：1.14(-183</w:t>
            </w:r>
            <w:r>
              <w:rPr>
                <w:rFonts w:hint="eastAsia"/>
                <w:color w:val="auto"/>
              </w:rPr>
              <w:t>℃</w:t>
            </w:r>
            <w:r>
              <w:rPr>
                <w:color w:val="auto"/>
              </w:rPr>
              <w:t>)</w:t>
            </w:r>
          </w:p>
          <w:p w14:paraId="7D23BDB7">
            <w:pPr>
              <w:pStyle w:val="24"/>
              <w:bidi w:val="0"/>
              <w:jc w:val="both"/>
              <w:rPr>
                <w:color w:val="auto"/>
              </w:rPr>
            </w:pPr>
            <w:r>
              <w:rPr>
                <w:color w:val="auto"/>
              </w:rPr>
              <w:t>相对蒸气密度(空气=1)：1.43</w:t>
            </w:r>
          </w:p>
          <w:p w14:paraId="1F43E0AC">
            <w:pPr>
              <w:pStyle w:val="24"/>
              <w:bidi w:val="0"/>
              <w:jc w:val="both"/>
              <w:rPr>
                <w:color w:val="auto"/>
              </w:rPr>
            </w:pPr>
            <w:r>
              <w:rPr>
                <w:color w:val="auto"/>
              </w:rPr>
              <w:t>饱和蒸气压(kPa)：506.62(-164</w:t>
            </w:r>
            <w:r>
              <w:rPr>
                <w:rFonts w:hint="eastAsia"/>
                <w:color w:val="auto"/>
              </w:rPr>
              <w:t>℃</w:t>
            </w:r>
            <w:r>
              <w:rPr>
                <w:color w:val="auto"/>
              </w:rPr>
              <w:t>)</w:t>
            </w:r>
          </w:p>
          <w:p w14:paraId="0D1E21CC">
            <w:pPr>
              <w:pStyle w:val="24"/>
              <w:bidi w:val="0"/>
              <w:jc w:val="both"/>
              <w:rPr>
                <w:color w:val="auto"/>
              </w:rPr>
            </w:pPr>
            <w:r>
              <w:rPr>
                <w:color w:val="auto"/>
              </w:rPr>
              <w:t>燃烧热(kJ/mol)：无意义</w:t>
            </w:r>
          </w:p>
          <w:p w14:paraId="47CAA1D3">
            <w:pPr>
              <w:pStyle w:val="24"/>
              <w:bidi w:val="0"/>
              <w:jc w:val="both"/>
              <w:rPr>
                <w:color w:val="auto"/>
              </w:rPr>
            </w:pPr>
            <w:r>
              <w:rPr>
                <w:color w:val="auto"/>
              </w:rPr>
              <w:t>临界温度(</w:t>
            </w:r>
            <w:r>
              <w:rPr>
                <w:rFonts w:hint="eastAsia"/>
                <w:color w:val="auto"/>
              </w:rPr>
              <w:t>℃</w:t>
            </w:r>
            <w:r>
              <w:rPr>
                <w:color w:val="auto"/>
              </w:rPr>
              <w:t>)：-118.4</w:t>
            </w:r>
          </w:p>
          <w:p w14:paraId="3291B1B7">
            <w:pPr>
              <w:pStyle w:val="24"/>
              <w:bidi w:val="0"/>
              <w:jc w:val="both"/>
              <w:rPr>
                <w:color w:val="auto"/>
              </w:rPr>
            </w:pPr>
            <w:r>
              <w:rPr>
                <w:color w:val="auto"/>
              </w:rPr>
              <w:t>临界压力(MPa)：5.08</w:t>
            </w:r>
          </w:p>
          <w:p w14:paraId="7C3EED76">
            <w:pPr>
              <w:pStyle w:val="24"/>
              <w:bidi w:val="0"/>
              <w:jc w:val="both"/>
              <w:rPr>
                <w:color w:val="auto"/>
              </w:rPr>
            </w:pPr>
            <w:r>
              <w:rPr>
                <w:color w:val="auto"/>
              </w:rPr>
              <w:t>辛醇/水分配系数的对数值：无资料</w:t>
            </w:r>
          </w:p>
          <w:p w14:paraId="49D5B081">
            <w:pPr>
              <w:pStyle w:val="24"/>
              <w:bidi w:val="0"/>
              <w:jc w:val="both"/>
              <w:rPr>
                <w:color w:val="auto"/>
              </w:rPr>
            </w:pPr>
            <w:r>
              <w:rPr>
                <w:color w:val="auto"/>
              </w:rPr>
              <w:t>溶解性：溶于水、乙醇。</w:t>
            </w:r>
          </w:p>
        </w:tc>
      </w:tr>
      <w:tr w14:paraId="72F2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1D3D45CE">
            <w:pPr>
              <w:pStyle w:val="24"/>
              <w:bidi w:val="0"/>
              <w:rPr>
                <w:color w:val="auto"/>
              </w:rPr>
            </w:pPr>
            <w:r>
              <w:rPr>
                <w:color w:val="auto"/>
              </w:rPr>
              <w:t>稳定性和反应活性：</w:t>
            </w:r>
          </w:p>
        </w:tc>
        <w:tc>
          <w:tcPr>
            <w:tcW w:w="3971" w:type="pct"/>
            <w:noWrap w:val="0"/>
            <w:vAlign w:val="center"/>
          </w:tcPr>
          <w:p w14:paraId="7A9C4EC5">
            <w:pPr>
              <w:pStyle w:val="24"/>
              <w:bidi w:val="0"/>
              <w:jc w:val="both"/>
              <w:rPr>
                <w:color w:val="auto"/>
              </w:rPr>
            </w:pPr>
            <w:r>
              <w:rPr>
                <w:color w:val="auto"/>
              </w:rPr>
              <w:t>禁忌物：易燃或可燃物、活性金属粉末、乙炔。</w:t>
            </w:r>
          </w:p>
        </w:tc>
      </w:tr>
      <w:tr w14:paraId="5F4B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70FCF210">
            <w:pPr>
              <w:pStyle w:val="24"/>
              <w:bidi w:val="0"/>
              <w:rPr>
                <w:color w:val="auto"/>
              </w:rPr>
            </w:pPr>
            <w:r>
              <w:rPr>
                <w:color w:val="auto"/>
              </w:rPr>
              <w:t>毒理学资料：</w:t>
            </w:r>
          </w:p>
        </w:tc>
        <w:tc>
          <w:tcPr>
            <w:tcW w:w="3971" w:type="pct"/>
            <w:noWrap w:val="0"/>
            <w:vAlign w:val="center"/>
          </w:tcPr>
          <w:p w14:paraId="105A757C">
            <w:pPr>
              <w:pStyle w:val="24"/>
              <w:bidi w:val="0"/>
              <w:jc w:val="both"/>
              <w:rPr>
                <w:color w:val="auto"/>
              </w:rPr>
            </w:pPr>
            <w:r>
              <w:rPr>
                <w:color w:val="auto"/>
              </w:rPr>
              <w:t>急性毒性</w:t>
            </w:r>
            <w:r>
              <w:rPr>
                <w:color w:val="auto"/>
              </w:rPr>
              <w:br w:type="textWrapping"/>
            </w:r>
            <w:r>
              <w:rPr>
                <w:color w:val="auto"/>
              </w:rPr>
              <w:t>LD50：无资料</w:t>
            </w:r>
            <w:r>
              <w:rPr>
                <w:color w:val="auto"/>
              </w:rPr>
              <w:br w:type="textWrapping"/>
            </w:r>
            <w:r>
              <w:rPr>
                <w:color w:val="auto"/>
              </w:rPr>
              <w:t>LC50：无资料</w:t>
            </w:r>
          </w:p>
        </w:tc>
      </w:tr>
      <w:tr w14:paraId="055D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3D117437">
            <w:pPr>
              <w:pStyle w:val="24"/>
              <w:bidi w:val="0"/>
              <w:rPr>
                <w:color w:val="auto"/>
              </w:rPr>
            </w:pPr>
            <w:r>
              <w:rPr>
                <w:color w:val="auto"/>
              </w:rPr>
              <w:t>环境影响：</w:t>
            </w:r>
          </w:p>
        </w:tc>
        <w:tc>
          <w:tcPr>
            <w:tcW w:w="3971" w:type="pct"/>
            <w:noWrap w:val="0"/>
            <w:vAlign w:val="center"/>
          </w:tcPr>
          <w:p w14:paraId="216C1837">
            <w:pPr>
              <w:pStyle w:val="24"/>
              <w:bidi w:val="0"/>
              <w:jc w:val="both"/>
              <w:rPr>
                <w:color w:val="auto"/>
              </w:rPr>
            </w:pPr>
            <w:r>
              <w:rPr>
                <w:color w:val="auto"/>
              </w:rPr>
              <w:t>对环境无害。</w:t>
            </w:r>
          </w:p>
        </w:tc>
      </w:tr>
      <w:tr w14:paraId="1CB8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1A8B7137">
            <w:pPr>
              <w:pStyle w:val="24"/>
              <w:bidi w:val="0"/>
              <w:rPr>
                <w:color w:val="auto"/>
              </w:rPr>
            </w:pPr>
            <w:r>
              <w:rPr>
                <w:color w:val="auto"/>
              </w:rPr>
              <w:t>废弃：</w:t>
            </w:r>
          </w:p>
        </w:tc>
        <w:tc>
          <w:tcPr>
            <w:tcW w:w="3971" w:type="pct"/>
            <w:noWrap w:val="0"/>
            <w:vAlign w:val="center"/>
          </w:tcPr>
          <w:p w14:paraId="1E75A532">
            <w:pPr>
              <w:pStyle w:val="24"/>
              <w:bidi w:val="0"/>
              <w:jc w:val="both"/>
              <w:rPr>
                <w:color w:val="auto"/>
              </w:rPr>
            </w:pPr>
            <w:r>
              <w:rPr>
                <w:color w:val="auto"/>
              </w:rPr>
              <w:t>处置前应参阅国家和地方有关法规。废气直接排入大气。</w:t>
            </w:r>
          </w:p>
        </w:tc>
      </w:tr>
      <w:tr w14:paraId="5E86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
            <w:noWrap w:val="0"/>
            <w:vAlign w:val="center"/>
          </w:tcPr>
          <w:p w14:paraId="0EE922BD">
            <w:pPr>
              <w:pStyle w:val="24"/>
              <w:bidi w:val="0"/>
              <w:rPr>
                <w:color w:val="auto"/>
              </w:rPr>
            </w:pPr>
            <w:r>
              <w:rPr>
                <w:color w:val="auto"/>
              </w:rPr>
              <w:t>其 他 信 息</w:t>
            </w:r>
          </w:p>
        </w:tc>
      </w:tr>
      <w:tr w14:paraId="50B2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667CE857">
            <w:pPr>
              <w:pStyle w:val="24"/>
              <w:bidi w:val="0"/>
              <w:rPr>
                <w:color w:val="auto"/>
              </w:rPr>
            </w:pPr>
            <w:r>
              <w:rPr>
                <w:color w:val="auto"/>
              </w:rPr>
              <w:t>包装分类：</w:t>
            </w:r>
          </w:p>
        </w:tc>
        <w:tc>
          <w:tcPr>
            <w:tcW w:w="3971" w:type="pct"/>
            <w:noWrap w:val="0"/>
            <w:vAlign w:val="center"/>
          </w:tcPr>
          <w:p w14:paraId="04BF2F7E">
            <w:pPr>
              <w:pStyle w:val="24"/>
              <w:bidi w:val="0"/>
              <w:jc w:val="both"/>
              <w:rPr>
                <w:color w:val="auto"/>
              </w:rPr>
            </w:pPr>
            <w:r>
              <w:rPr>
                <w:color w:val="auto"/>
              </w:rPr>
              <w:t>053</w:t>
            </w:r>
          </w:p>
        </w:tc>
      </w:tr>
      <w:tr w14:paraId="5874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pct"/>
            <w:noWrap w:val="0"/>
            <w:vAlign w:val="center"/>
          </w:tcPr>
          <w:p w14:paraId="631CB2C4">
            <w:pPr>
              <w:pStyle w:val="24"/>
              <w:bidi w:val="0"/>
              <w:rPr>
                <w:color w:val="auto"/>
              </w:rPr>
            </w:pPr>
            <w:r>
              <w:rPr>
                <w:color w:val="auto"/>
              </w:rPr>
              <w:t>包装方法：</w:t>
            </w:r>
          </w:p>
        </w:tc>
        <w:tc>
          <w:tcPr>
            <w:tcW w:w="3971" w:type="pct"/>
            <w:noWrap w:val="0"/>
            <w:vAlign w:val="center"/>
          </w:tcPr>
          <w:p w14:paraId="5282D3EF">
            <w:pPr>
              <w:pStyle w:val="24"/>
              <w:bidi w:val="0"/>
              <w:jc w:val="both"/>
              <w:rPr>
                <w:color w:val="auto"/>
              </w:rPr>
            </w:pPr>
            <w:r>
              <w:rPr>
                <w:color w:val="auto"/>
              </w:rPr>
              <w:t>钢质气瓶。</w:t>
            </w:r>
          </w:p>
        </w:tc>
      </w:tr>
    </w:tbl>
    <w:p w14:paraId="7B9D7B1E">
      <w:pPr>
        <w:pStyle w:val="3"/>
        <w:bidi w:val="0"/>
        <w:rPr>
          <w:rFonts w:hint="eastAsia"/>
          <w:color w:val="auto"/>
        </w:rPr>
      </w:pPr>
      <w:bookmarkStart w:id="110" w:name="_Toc19613"/>
      <w:r>
        <w:rPr>
          <w:rFonts w:hint="eastAsia"/>
          <w:color w:val="auto"/>
        </w:rPr>
        <w:t>3.2</w:t>
      </w:r>
      <w:r>
        <w:rPr>
          <w:rFonts w:hint="eastAsia"/>
          <w:color w:val="auto"/>
          <w:lang w:val="en-US" w:eastAsia="zh-CN"/>
        </w:rPr>
        <w:t xml:space="preserve"> </w:t>
      </w:r>
      <w:r>
        <w:rPr>
          <w:rFonts w:hint="eastAsia"/>
          <w:color w:val="auto"/>
        </w:rPr>
        <w:t>场区布置、自然环境及周边环境安全影响分析</w:t>
      </w:r>
      <w:bookmarkEnd w:id="110"/>
    </w:p>
    <w:p w14:paraId="08442FA7">
      <w:pPr>
        <w:pStyle w:val="4"/>
        <w:bidi w:val="0"/>
        <w:rPr>
          <w:rFonts w:hint="eastAsia"/>
          <w:color w:val="auto"/>
        </w:rPr>
      </w:pPr>
      <w:bookmarkStart w:id="111" w:name="_Toc7860"/>
      <w:r>
        <w:rPr>
          <w:rFonts w:hint="eastAsia"/>
          <w:color w:val="auto"/>
        </w:rPr>
        <w:t>3.2.1</w:t>
      </w:r>
      <w:r>
        <w:rPr>
          <w:rFonts w:hint="eastAsia"/>
          <w:color w:val="auto"/>
          <w:lang w:val="en-US" w:eastAsia="zh-CN"/>
        </w:rPr>
        <w:t xml:space="preserve"> </w:t>
      </w:r>
      <w:r>
        <w:rPr>
          <w:rFonts w:hint="eastAsia"/>
          <w:color w:val="auto"/>
        </w:rPr>
        <w:t>建筑及场地危险有害因素及程度分析</w:t>
      </w:r>
      <w:bookmarkEnd w:id="111"/>
    </w:p>
    <w:p w14:paraId="05A36C57">
      <w:pPr>
        <w:bidi w:val="0"/>
        <w:rPr>
          <w:rFonts w:hint="eastAsia"/>
          <w:color w:val="auto"/>
        </w:rPr>
      </w:pPr>
      <w:r>
        <w:rPr>
          <w:rFonts w:hint="eastAsia"/>
          <w:color w:val="auto"/>
        </w:rPr>
        <w:t>1、总平面布置危险因素及程度分析</w:t>
      </w:r>
    </w:p>
    <w:p w14:paraId="447D9ACE">
      <w:pPr>
        <w:bidi w:val="0"/>
        <w:rPr>
          <w:rFonts w:hint="eastAsia"/>
          <w:color w:val="auto"/>
        </w:rPr>
      </w:pPr>
      <w:r>
        <w:rPr>
          <w:rFonts w:hint="eastAsia"/>
          <w:color w:val="auto"/>
        </w:rPr>
        <w:t>当总平面布置不够合理时，生产线相互频繁交叉，操作人员没有足够的工作场所进行日常操作和维修，可能导致机械事故、起重伤害事故、物体打击事故、坠物伤害事故的发生。</w:t>
      </w:r>
    </w:p>
    <w:p w14:paraId="56F0733B">
      <w:pPr>
        <w:bidi w:val="0"/>
        <w:rPr>
          <w:rFonts w:hint="eastAsia"/>
          <w:color w:val="auto"/>
        </w:rPr>
      </w:pPr>
      <w:r>
        <w:rPr>
          <w:rFonts w:hint="eastAsia"/>
          <w:color w:val="auto"/>
        </w:rPr>
        <w:t>2、厂内运输危险因素及程度分析</w:t>
      </w:r>
    </w:p>
    <w:p w14:paraId="17918EA9">
      <w:pPr>
        <w:bidi w:val="0"/>
        <w:rPr>
          <w:rFonts w:hint="eastAsia"/>
          <w:color w:val="auto"/>
        </w:rPr>
      </w:pPr>
      <w:r>
        <w:rPr>
          <w:rFonts w:hint="eastAsia"/>
          <w:color w:val="auto"/>
        </w:rPr>
        <w:t>运输道路的宽度、坡度、转弯半径、路面质量及汇车点等设计不合理时可能导致车辆相互剐蹭、碰撞或在运行中碰撞建筑物、构筑物引起建筑物倒塌、物体飞溅下落和撞击地面而产生物体飞溅等造成人身伤害。</w:t>
      </w:r>
    </w:p>
    <w:p w14:paraId="0EA0C4D5">
      <w:pPr>
        <w:bidi w:val="0"/>
        <w:rPr>
          <w:rFonts w:hint="eastAsia"/>
          <w:color w:val="auto"/>
        </w:rPr>
      </w:pPr>
      <w:r>
        <w:rPr>
          <w:rFonts w:hint="eastAsia"/>
          <w:color w:val="auto"/>
        </w:rPr>
        <w:t>3、建（构）筑物危险因素及程度分析</w:t>
      </w:r>
    </w:p>
    <w:p w14:paraId="59383C70">
      <w:pPr>
        <w:bidi w:val="0"/>
        <w:rPr>
          <w:rFonts w:hint="eastAsia"/>
          <w:color w:val="auto"/>
        </w:rPr>
      </w:pPr>
      <w:r>
        <w:rPr>
          <w:rFonts w:hint="eastAsia"/>
          <w:color w:val="auto"/>
        </w:rPr>
        <w:t>建（构）筑物安全等级达不到抗震设防烈度，容易造成建筑物倒塌、伤人事故。</w:t>
      </w:r>
    </w:p>
    <w:p w14:paraId="6DF11523">
      <w:pPr>
        <w:bidi w:val="0"/>
        <w:rPr>
          <w:rFonts w:hint="eastAsia"/>
          <w:color w:val="auto"/>
        </w:rPr>
      </w:pPr>
      <w:r>
        <w:rPr>
          <w:rFonts w:hint="eastAsia"/>
          <w:color w:val="auto"/>
        </w:rPr>
        <w:t>夏季雷雨天气，在防雷措施不完善的情况下，建（构）筑物有遭受雷击的危险。</w:t>
      </w:r>
    </w:p>
    <w:p w14:paraId="47D1A0C1">
      <w:pPr>
        <w:bidi w:val="0"/>
        <w:rPr>
          <w:rFonts w:hint="eastAsia"/>
          <w:color w:val="auto"/>
        </w:rPr>
      </w:pPr>
      <w:r>
        <w:rPr>
          <w:rFonts w:hint="eastAsia"/>
          <w:color w:val="auto"/>
        </w:rPr>
        <w:t>建（构）筑物耐火等级达不到要求，发生火灾时容易造成火灾的蔓延扩大。</w:t>
      </w:r>
    </w:p>
    <w:p w14:paraId="323602ED">
      <w:pPr>
        <w:bidi w:val="0"/>
        <w:rPr>
          <w:rFonts w:hint="eastAsia"/>
          <w:color w:val="auto"/>
        </w:rPr>
      </w:pPr>
      <w:r>
        <w:rPr>
          <w:rFonts w:hint="eastAsia"/>
          <w:color w:val="auto"/>
        </w:rPr>
        <w:t>建（构）筑物基础施工时未采取防腐处理，由于受场地土腐蚀作用，造成坍塌。</w:t>
      </w:r>
    </w:p>
    <w:p w14:paraId="3D90E14F">
      <w:pPr>
        <w:bidi w:val="0"/>
        <w:rPr>
          <w:rFonts w:hint="eastAsia"/>
          <w:color w:val="auto"/>
        </w:rPr>
      </w:pPr>
      <w:r>
        <w:rPr>
          <w:rFonts w:hint="eastAsia"/>
          <w:color w:val="auto"/>
        </w:rPr>
        <w:t>建（构）筑物设计时未考虑当地风压等因数，因结构强度不够，造成坍塌事故。</w:t>
      </w:r>
    </w:p>
    <w:p w14:paraId="03AC452A">
      <w:pPr>
        <w:bidi w:val="0"/>
        <w:rPr>
          <w:rFonts w:hint="eastAsia"/>
          <w:color w:val="auto"/>
        </w:rPr>
      </w:pPr>
      <w:r>
        <w:rPr>
          <w:rFonts w:hint="eastAsia"/>
          <w:color w:val="auto"/>
        </w:rPr>
        <w:t>楼梯角度和宽度、廊道内人行通道净宽不合适，容易造成滑跌坠落等事故。</w:t>
      </w:r>
    </w:p>
    <w:p w14:paraId="1D8A6E92">
      <w:pPr>
        <w:bidi w:val="0"/>
        <w:rPr>
          <w:rFonts w:hint="eastAsia"/>
          <w:color w:val="auto"/>
        </w:rPr>
      </w:pPr>
      <w:r>
        <w:rPr>
          <w:rFonts w:hint="eastAsia"/>
          <w:color w:val="auto"/>
        </w:rPr>
        <w:t>建（构）筑物屋面、地坑、廊道、地沟电缆沟等未采取防水措施，容易因雨水渗漏造成各类事故。</w:t>
      </w:r>
    </w:p>
    <w:p w14:paraId="000A7AD0">
      <w:pPr>
        <w:pStyle w:val="4"/>
        <w:bidi w:val="0"/>
        <w:rPr>
          <w:rFonts w:hint="eastAsia"/>
          <w:color w:val="auto"/>
        </w:rPr>
      </w:pPr>
      <w:bookmarkStart w:id="112" w:name="_Toc9085"/>
      <w:r>
        <w:rPr>
          <w:rFonts w:hint="eastAsia"/>
          <w:color w:val="auto"/>
        </w:rPr>
        <w:t>3.2.2</w:t>
      </w:r>
      <w:r>
        <w:rPr>
          <w:rFonts w:hint="eastAsia"/>
          <w:color w:val="auto"/>
          <w:lang w:val="en-US" w:eastAsia="zh-CN"/>
        </w:rPr>
        <w:t xml:space="preserve"> </w:t>
      </w:r>
      <w:r>
        <w:rPr>
          <w:rFonts w:hint="eastAsia"/>
          <w:color w:val="auto"/>
        </w:rPr>
        <w:t>自然环境安全影响分析</w:t>
      </w:r>
      <w:bookmarkEnd w:id="112"/>
    </w:p>
    <w:p w14:paraId="59BBA7DF">
      <w:pPr>
        <w:bidi w:val="0"/>
        <w:rPr>
          <w:rFonts w:hint="eastAsia"/>
          <w:color w:val="auto"/>
        </w:rPr>
      </w:pPr>
      <w:r>
        <w:rPr>
          <w:rFonts w:hint="eastAsia"/>
          <w:color w:val="auto"/>
        </w:rPr>
        <w:t>寻甸金林钛矿有限公司尾矿处理技改升级建设项目位于乐朗村与猴街村之间属于寻甸县柯渡镇，属于半山区，工程场区属北亚热带季风气候区，年平均气温15.6℃，最热月平均气温21.1℃，最冷月平均气温7.8℃，活动积温4844.7℃。日照时数2317.6h，日照率52%。年平均降水量964.9mm，5—10月为雨季，降水量占全年的90.7%。全年蒸发量为1333.35mm（D80cm），无霜期234天，多西南风。</w:t>
      </w:r>
    </w:p>
    <w:p w14:paraId="410B49B6">
      <w:pPr>
        <w:bidi w:val="0"/>
        <w:rPr>
          <w:rFonts w:hint="eastAsia"/>
          <w:color w:val="auto"/>
        </w:rPr>
      </w:pPr>
      <w:r>
        <w:rPr>
          <w:rFonts w:hint="eastAsia"/>
          <w:color w:val="auto"/>
        </w:rPr>
        <w:t>1、地震</w:t>
      </w:r>
    </w:p>
    <w:p w14:paraId="5F06342C">
      <w:pPr>
        <w:bidi w:val="0"/>
        <w:rPr>
          <w:rFonts w:hint="eastAsia"/>
          <w:color w:val="auto"/>
        </w:rPr>
      </w:pPr>
      <w:r>
        <w:rPr>
          <w:rFonts w:hint="eastAsia"/>
          <w:color w:val="auto"/>
        </w:rPr>
        <w:t>项目所在区域抗震设防烈度为8度，设计基本地震加速度值得为0.20g。地震可引起设备设施、建（构）筑物损坏和人员伤亡，影响正常生产。</w:t>
      </w:r>
    </w:p>
    <w:p w14:paraId="64C570FF">
      <w:pPr>
        <w:bidi w:val="0"/>
        <w:rPr>
          <w:rFonts w:hint="eastAsia"/>
          <w:color w:val="auto"/>
        </w:rPr>
      </w:pPr>
      <w:r>
        <w:rPr>
          <w:rFonts w:hint="eastAsia"/>
          <w:color w:val="auto"/>
        </w:rPr>
        <w:t>2、雷击</w:t>
      </w:r>
    </w:p>
    <w:p w14:paraId="3F1084EA">
      <w:pPr>
        <w:bidi w:val="0"/>
        <w:rPr>
          <w:rFonts w:hint="eastAsia"/>
          <w:color w:val="auto"/>
        </w:rPr>
      </w:pPr>
      <w:r>
        <w:rPr>
          <w:rFonts w:hint="eastAsia"/>
          <w:color w:val="auto"/>
        </w:rPr>
        <w:t>雷电事故有可能造成对高耸的建筑物和电气设备造成破坏；但应在平缓开阔地带，雷击伤害不大。</w:t>
      </w:r>
    </w:p>
    <w:p w14:paraId="4E9992EA">
      <w:pPr>
        <w:bidi w:val="0"/>
        <w:rPr>
          <w:rFonts w:hint="eastAsia"/>
          <w:color w:val="auto"/>
        </w:rPr>
      </w:pPr>
      <w:r>
        <w:rPr>
          <w:rFonts w:hint="eastAsia"/>
          <w:color w:val="auto"/>
        </w:rPr>
        <w:t>3、太阳辐射</w:t>
      </w:r>
    </w:p>
    <w:p w14:paraId="7DB199D5">
      <w:pPr>
        <w:bidi w:val="0"/>
        <w:rPr>
          <w:rFonts w:hint="eastAsia"/>
          <w:color w:val="auto"/>
        </w:rPr>
      </w:pPr>
      <w:r>
        <w:rPr>
          <w:rFonts w:hint="eastAsia"/>
          <w:color w:val="auto"/>
        </w:rPr>
        <w:t>项目所在地处北回归线以南，常年光照充足。太阳辐射强，白天增温剧烈，夜间降温快，长时间暴露在日光下，如果不采取适当的防护措施，对皮肤和眼睛会造成伤害。</w:t>
      </w:r>
    </w:p>
    <w:p w14:paraId="42087F92">
      <w:pPr>
        <w:bidi w:val="0"/>
        <w:rPr>
          <w:rFonts w:hint="eastAsia"/>
          <w:color w:val="auto"/>
        </w:rPr>
      </w:pPr>
      <w:r>
        <w:rPr>
          <w:rFonts w:hint="eastAsia"/>
          <w:color w:val="auto"/>
        </w:rPr>
        <w:t>4、高温</w:t>
      </w:r>
    </w:p>
    <w:p w14:paraId="34733FD6">
      <w:pPr>
        <w:bidi w:val="0"/>
        <w:rPr>
          <w:rFonts w:hint="eastAsia"/>
          <w:color w:val="auto"/>
        </w:rPr>
      </w:pPr>
      <w:r>
        <w:rPr>
          <w:rFonts w:hint="eastAsia"/>
          <w:color w:val="auto"/>
        </w:rPr>
        <w:t>寻甸县极端最高气温为32℃，夏季若遇极端高温天气，容易引起人员中暑等疾病。项目区属亚热带气候，存在高温危害。</w:t>
      </w:r>
    </w:p>
    <w:p w14:paraId="7DF5C227">
      <w:pPr>
        <w:bidi w:val="0"/>
        <w:rPr>
          <w:rFonts w:hint="eastAsia"/>
          <w:color w:val="auto"/>
        </w:rPr>
      </w:pPr>
      <w:r>
        <w:rPr>
          <w:rFonts w:hint="eastAsia"/>
          <w:color w:val="auto"/>
        </w:rPr>
        <w:t>5、大风</w:t>
      </w:r>
    </w:p>
    <w:p w14:paraId="29A36B0F">
      <w:pPr>
        <w:bidi w:val="0"/>
        <w:rPr>
          <w:rFonts w:hint="eastAsia"/>
          <w:color w:val="auto"/>
        </w:rPr>
      </w:pPr>
      <w:r>
        <w:rPr>
          <w:rFonts w:hint="eastAsia"/>
          <w:color w:val="auto"/>
        </w:rPr>
        <w:t>大风可能会造成高处未佩戴安全防护用品的人员发生高处坠落事故，固接不牢的彩钢板掉落或导致高处堆放的零散物件坠落，对地面的人员造成物体打击伤害；大风还可能导致扬尘，造成现场灰尘弥漫，视线不清，从而引发机械伤害、车辆伤害等事故的发生；选厂存在大风所造成的危险，应采取相应的措施防止大风造成事故伤害。</w:t>
      </w:r>
    </w:p>
    <w:p w14:paraId="28613067">
      <w:pPr>
        <w:bidi w:val="0"/>
        <w:rPr>
          <w:rFonts w:hint="eastAsia"/>
          <w:color w:val="auto"/>
        </w:rPr>
      </w:pPr>
      <w:r>
        <w:rPr>
          <w:rFonts w:hint="eastAsia"/>
          <w:color w:val="auto"/>
        </w:rPr>
        <w:t>6、暴雨</w:t>
      </w:r>
    </w:p>
    <w:p w14:paraId="5EB550F1">
      <w:pPr>
        <w:bidi w:val="0"/>
        <w:rPr>
          <w:rFonts w:hint="eastAsia"/>
          <w:color w:val="auto"/>
        </w:rPr>
      </w:pPr>
      <w:r>
        <w:rPr>
          <w:rFonts w:hint="eastAsia"/>
          <w:color w:val="auto"/>
        </w:rPr>
        <w:t>年平均降水量964.9mm，5—10月为雨季，降水量占全年的90.7%。一次短时的或连续的强降水过程，在地势低洼、地形闭塞的地区，雨水不能迅速宣泄造成积水、土壤水分过度饱和，造成车辆运输受限，甚至于引起山洪暴发等危害。应采取相应的措施防止暴雨造成事故伤害。</w:t>
      </w:r>
    </w:p>
    <w:p w14:paraId="3341BD2D">
      <w:pPr>
        <w:pStyle w:val="4"/>
        <w:bidi w:val="0"/>
        <w:rPr>
          <w:rFonts w:hint="eastAsia"/>
          <w:color w:val="auto"/>
        </w:rPr>
      </w:pPr>
      <w:bookmarkStart w:id="113" w:name="_Toc5481"/>
      <w:r>
        <w:rPr>
          <w:rFonts w:hint="eastAsia"/>
          <w:color w:val="auto"/>
        </w:rPr>
        <w:t>3.2.3</w:t>
      </w:r>
      <w:r>
        <w:rPr>
          <w:rFonts w:hint="eastAsia"/>
          <w:color w:val="auto"/>
          <w:lang w:val="en-US" w:eastAsia="zh-CN"/>
        </w:rPr>
        <w:t xml:space="preserve"> </w:t>
      </w:r>
      <w:r>
        <w:rPr>
          <w:rFonts w:hint="eastAsia"/>
          <w:color w:val="auto"/>
        </w:rPr>
        <w:t>周边环境危险因素分析</w:t>
      </w:r>
      <w:bookmarkEnd w:id="113"/>
    </w:p>
    <w:p w14:paraId="642BAA83">
      <w:pPr>
        <w:bidi w:val="0"/>
        <w:rPr>
          <w:rFonts w:hint="eastAsia"/>
          <w:color w:val="auto"/>
        </w:rPr>
      </w:pPr>
      <w:r>
        <w:rPr>
          <w:rFonts w:hint="eastAsia"/>
          <w:color w:val="auto"/>
        </w:rPr>
        <w:t>尾矿处理系统废水不外排，噪声、粉尘通过采取有效的环保措施，对周边环境的影响在合理范围内。</w:t>
      </w:r>
    </w:p>
    <w:p w14:paraId="6CC18449">
      <w:pPr>
        <w:pStyle w:val="3"/>
        <w:bidi w:val="0"/>
        <w:rPr>
          <w:rFonts w:hint="eastAsia"/>
          <w:color w:val="auto"/>
        </w:rPr>
      </w:pPr>
      <w:bookmarkStart w:id="114" w:name="_Toc10880"/>
      <w:r>
        <w:rPr>
          <w:rFonts w:hint="eastAsia"/>
          <w:color w:val="auto"/>
        </w:rPr>
        <w:t>3.3</w:t>
      </w:r>
      <w:r>
        <w:rPr>
          <w:rFonts w:hint="eastAsia"/>
          <w:color w:val="auto"/>
          <w:lang w:val="en-US" w:eastAsia="zh-CN"/>
        </w:rPr>
        <w:t xml:space="preserve"> </w:t>
      </w:r>
      <w:r>
        <w:rPr>
          <w:rFonts w:hint="eastAsia"/>
          <w:color w:val="auto"/>
        </w:rPr>
        <w:t>生产过程中的危险性分析</w:t>
      </w:r>
      <w:bookmarkEnd w:id="114"/>
    </w:p>
    <w:p w14:paraId="720DA627">
      <w:pPr>
        <w:pStyle w:val="4"/>
        <w:bidi w:val="0"/>
        <w:rPr>
          <w:rFonts w:hint="eastAsia"/>
          <w:color w:val="auto"/>
        </w:rPr>
      </w:pPr>
      <w:bookmarkStart w:id="115" w:name="_Toc10138"/>
      <w:r>
        <w:rPr>
          <w:rFonts w:hint="eastAsia"/>
          <w:color w:val="auto"/>
        </w:rPr>
        <w:t>3.3.1</w:t>
      </w:r>
      <w:r>
        <w:rPr>
          <w:rFonts w:hint="eastAsia"/>
          <w:color w:val="auto"/>
          <w:lang w:val="en-US" w:eastAsia="zh-CN"/>
        </w:rPr>
        <w:t xml:space="preserve"> </w:t>
      </w:r>
      <w:r>
        <w:rPr>
          <w:rFonts w:hint="eastAsia"/>
          <w:color w:val="auto"/>
        </w:rPr>
        <w:t>机械伤害</w:t>
      </w:r>
      <w:bookmarkEnd w:id="115"/>
    </w:p>
    <w:p w14:paraId="64E2AD1A">
      <w:pPr>
        <w:bidi w:val="0"/>
        <w:rPr>
          <w:rFonts w:hint="eastAsia"/>
          <w:color w:val="auto"/>
        </w:rPr>
      </w:pPr>
      <w:r>
        <w:rPr>
          <w:rFonts w:hint="eastAsia"/>
          <w:color w:val="auto"/>
        </w:rPr>
        <w:t>生产过程中的主要设备有浓缩机、泵、压滤机、皮带等。所有这些机械设备在使用过程中，由于机械设备运动（静止）部件、工具、加工件直接与人体接触引起夹击、碰撞、剪切、卷入、绞、碾、割、刺等伤害。常见的因素有：</w:t>
      </w:r>
    </w:p>
    <w:p w14:paraId="2176A086">
      <w:pPr>
        <w:bidi w:val="0"/>
        <w:rPr>
          <w:rFonts w:hint="eastAsia"/>
          <w:color w:val="auto"/>
        </w:rPr>
      </w:pPr>
      <w:r>
        <w:rPr>
          <w:rFonts w:hint="eastAsia"/>
          <w:color w:val="auto"/>
        </w:rPr>
        <w:t>1、所选用设备在设计上存在先天不足（如强度不够、刚度不够、稳定性差、操纵器缺陷、制动器缺陷等）；</w:t>
      </w:r>
    </w:p>
    <w:p w14:paraId="3A4CE15B">
      <w:pPr>
        <w:bidi w:val="0"/>
        <w:rPr>
          <w:rFonts w:hint="eastAsia"/>
          <w:color w:val="auto"/>
        </w:rPr>
      </w:pPr>
      <w:r>
        <w:rPr>
          <w:rFonts w:hint="eastAsia"/>
          <w:color w:val="auto"/>
        </w:rPr>
        <w:t>2、作业人员在操作设备时，由于设备传动部位无防护罩或防护罩可靠性、有效性低而导致伤人事故发生；</w:t>
      </w:r>
    </w:p>
    <w:p w14:paraId="1DBFF8B7">
      <w:pPr>
        <w:bidi w:val="0"/>
        <w:rPr>
          <w:rFonts w:hint="eastAsia"/>
          <w:color w:val="auto"/>
        </w:rPr>
      </w:pPr>
      <w:r>
        <w:rPr>
          <w:rFonts w:hint="eastAsia"/>
          <w:color w:val="auto"/>
        </w:rPr>
        <w:t>3、各设备布置不合理，安全间距不足；</w:t>
      </w:r>
    </w:p>
    <w:p w14:paraId="3033057A">
      <w:pPr>
        <w:bidi w:val="0"/>
        <w:rPr>
          <w:rFonts w:hint="eastAsia"/>
          <w:color w:val="auto"/>
        </w:rPr>
      </w:pPr>
      <w:r>
        <w:rPr>
          <w:rFonts w:hint="eastAsia"/>
          <w:color w:val="auto"/>
        </w:rPr>
        <w:t>4、机械设备安全防护缺陷（无防护、防护装置和设施缺陷、防护不当等）或损坏或被拆除等，导致事故发生；</w:t>
      </w:r>
    </w:p>
    <w:p w14:paraId="04435FA5">
      <w:pPr>
        <w:bidi w:val="0"/>
        <w:rPr>
          <w:rFonts w:hint="eastAsia"/>
          <w:color w:val="auto"/>
        </w:rPr>
      </w:pPr>
      <w:r>
        <w:rPr>
          <w:rFonts w:hint="eastAsia"/>
          <w:color w:val="auto"/>
        </w:rPr>
        <w:t>5、在设备的检修和正常工作时，机器突然意外启动，导致事故发生；</w:t>
      </w:r>
    </w:p>
    <w:p w14:paraId="0C154FBD">
      <w:pPr>
        <w:bidi w:val="0"/>
        <w:rPr>
          <w:rFonts w:hint="eastAsia"/>
          <w:color w:val="auto"/>
        </w:rPr>
      </w:pPr>
      <w:r>
        <w:rPr>
          <w:rFonts w:hint="eastAsia"/>
          <w:color w:val="auto"/>
        </w:rPr>
        <w:t>6、带式输送机未停电进行检修、未停机打扫和注油等作业和未在侧面设置急停拉绳开关，首轮、尾轮未安装防护罩；</w:t>
      </w:r>
    </w:p>
    <w:p w14:paraId="382C603C">
      <w:pPr>
        <w:bidi w:val="0"/>
        <w:rPr>
          <w:rFonts w:hint="eastAsia"/>
          <w:color w:val="auto"/>
        </w:rPr>
      </w:pPr>
      <w:r>
        <w:rPr>
          <w:rFonts w:hint="eastAsia"/>
          <w:color w:val="auto"/>
        </w:rPr>
        <w:t>7、联锁局部操作的带式输送机长度超过40m时，未设置启动预示信号；</w:t>
      </w:r>
    </w:p>
    <w:p w14:paraId="51D0DC6E">
      <w:pPr>
        <w:bidi w:val="0"/>
        <w:rPr>
          <w:rFonts w:hint="eastAsia"/>
          <w:color w:val="auto"/>
        </w:rPr>
      </w:pPr>
      <w:r>
        <w:rPr>
          <w:rFonts w:hint="eastAsia"/>
          <w:color w:val="auto"/>
        </w:rPr>
        <w:t>8、操作人员疏忽大意，身体进入机械危险部位；</w:t>
      </w:r>
    </w:p>
    <w:p w14:paraId="38E8D0BF">
      <w:pPr>
        <w:bidi w:val="0"/>
        <w:rPr>
          <w:rFonts w:hint="eastAsia"/>
          <w:color w:val="auto"/>
        </w:rPr>
      </w:pPr>
      <w:r>
        <w:rPr>
          <w:rFonts w:hint="eastAsia"/>
          <w:color w:val="auto"/>
        </w:rPr>
        <w:t>9、在不安全的机械上停留、休息，导致事故发生；</w:t>
      </w:r>
    </w:p>
    <w:p w14:paraId="4CB15620">
      <w:pPr>
        <w:bidi w:val="0"/>
        <w:rPr>
          <w:rFonts w:hint="eastAsia"/>
          <w:color w:val="auto"/>
        </w:rPr>
      </w:pPr>
      <w:r>
        <w:rPr>
          <w:rFonts w:hint="eastAsia"/>
          <w:color w:val="auto"/>
        </w:rPr>
        <w:t>10、作业人员违章操作及穿戴不符合安全规定的劳动防护用品进行操作；</w:t>
      </w:r>
    </w:p>
    <w:p w14:paraId="754A4AD6">
      <w:pPr>
        <w:bidi w:val="0"/>
        <w:rPr>
          <w:rFonts w:hint="eastAsia"/>
          <w:color w:val="auto"/>
        </w:rPr>
      </w:pPr>
      <w:r>
        <w:rPr>
          <w:rFonts w:hint="eastAsia"/>
          <w:color w:val="auto"/>
        </w:rPr>
        <w:t>11、安全管理存在疏漏（如：信号缺陷、标志缺陷等）；</w:t>
      </w:r>
    </w:p>
    <w:p w14:paraId="0392347F">
      <w:pPr>
        <w:bidi w:val="0"/>
        <w:rPr>
          <w:rFonts w:hint="eastAsia"/>
          <w:color w:val="auto"/>
        </w:rPr>
      </w:pPr>
      <w:r>
        <w:rPr>
          <w:rFonts w:hint="eastAsia"/>
          <w:color w:val="auto"/>
        </w:rPr>
        <w:t>12、作业场地较狭窄，通道堆放杂物，场地较凌乱，易发生作业人员碰伤伤害事故；</w:t>
      </w:r>
    </w:p>
    <w:p w14:paraId="67095EE8">
      <w:pPr>
        <w:bidi w:val="0"/>
        <w:rPr>
          <w:rFonts w:hint="eastAsia"/>
          <w:color w:val="auto"/>
        </w:rPr>
      </w:pPr>
      <w:r>
        <w:rPr>
          <w:rFonts w:hint="eastAsia"/>
          <w:color w:val="auto"/>
        </w:rPr>
        <w:t>13、作业环境不良（基础下沉、安全过道缺陷、采光照明不良、有害光照等）；</w:t>
      </w:r>
    </w:p>
    <w:p w14:paraId="01A86393">
      <w:pPr>
        <w:bidi w:val="0"/>
        <w:rPr>
          <w:rFonts w:hint="eastAsia"/>
          <w:color w:val="auto"/>
        </w:rPr>
      </w:pPr>
      <w:r>
        <w:rPr>
          <w:rFonts w:hint="eastAsia"/>
          <w:color w:val="auto"/>
        </w:rPr>
        <w:t>14、其他危险、有害因素（如：指挥错误、操作错误、监护错误、工具不合适等）。</w:t>
      </w:r>
    </w:p>
    <w:p w14:paraId="4094859D">
      <w:pPr>
        <w:bidi w:val="0"/>
        <w:rPr>
          <w:rFonts w:hint="eastAsia"/>
          <w:color w:val="auto"/>
        </w:rPr>
      </w:pPr>
      <w:r>
        <w:rPr>
          <w:rFonts w:hint="eastAsia"/>
          <w:color w:val="auto"/>
        </w:rPr>
        <w:t>可能存在的部位：机械设备传动部位。</w:t>
      </w:r>
    </w:p>
    <w:p w14:paraId="76D8DC54">
      <w:pPr>
        <w:pStyle w:val="4"/>
        <w:bidi w:val="0"/>
        <w:rPr>
          <w:rFonts w:hint="eastAsia"/>
          <w:color w:val="auto"/>
        </w:rPr>
      </w:pPr>
      <w:bookmarkStart w:id="116" w:name="_Toc17499"/>
      <w:r>
        <w:rPr>
          <w:rFonts w:hint="eastAsia"/>
          <w:color w:val="auto"/>
        </w:rPr>
        <w:t>3.3.2</w:t>
      </w:r>
      <w:r>
        <w:rPr>
          <w:rFonts w:hint="eastAsia"/>
          <w:color w:val="auto"/>
          <w:lang w:val="en-US" w:eastAsia="zh-CN"/>
        </w:rPr>
        <w:t xml:space="preserve"> </w:t>
      </w:r>
      <w:r>
        <w:rPr>
          <w:rFonts w:hint="eastAsia"/>
          <w:color w:val="auto"/>
        </w:rPr>
        <w:t>物体打击</w:t>
      </w:r>
      <w:bookmarkEnd w:id="116"/>
    </w:p>
    <w:p w14:paraId="15E9CA38">
      <w:pPr>
        <w:bidi w:val="0"/>
        <w:rPr>
          <w:rFonts w:hint="eastAsia"/>
          <w:color w:val="auto"/>
        </w:rPr>
      </w:pPr>
      <w:r>
        <w:rPr>
          <w:rFonts w:hint="eastAsia"/>
          <w:color w:val="auto"/>
        </w:rPr>
        <w:t>1、交叉作业或检修的过程中工具坠落；</w:t>
      </w:r>
    </w:p>
    <w:p w14:paraId="4265ACFA">
      <w:pPr>
        <w:bidi w:val="0"/>
        <w:rPr>
          <w:rFonts w:hint="eastAsia"/>
          <w:color w:val="auto"/>
        </w:rPr>
      </w:pPr>
      <w:r>
        <w:rPr>
          <w:rFonts w:hint="eastAsia"/>
          <w:color w:val="auto"/>
        </w:rPr>
        <w:t>2、检修平台防护栏杆未设置踢脚板，造成物体打击；</w:t>
      </w:r>
    </w:p>
    <w:p w14:paraId="6473D962">
      <w:pPr>
        <w:bidi w:val="0"/>
        <w:rPr>
          <w:rFonts w:hint="eastAsia"/>
          <w:color w:val="auto"/>
        </w:rPr>
      </w:pPr>
      <w:r>
        <w:rPr>
          <w:rFonts w:hint="eastAsia"/>
          <w:color w:val="auto"/>
        </w:rPr>
        <w:t>3、过滤操作平台防护栏杆未设置踢脚板，工器具从高空下落，造成物体打击。</w:t>
      </w:r>
    </w:p>
    <w:p w14:paraId="3999664F">
      <w:pPr>
        <w:bidi w:val="0"/>
        <w:rPr>
          <w:rFonts w:hint="eastAsia"/>
          <w:color w:val="auto"/>
        </w:rPr>
      </w:pPr>
      <w:r>
        <w:rPr>
          <w:rFonts w:hint="eastAsia"/>
          <w:color w:val="auto"/>
        </w:rPr>
        <w:t>可能存在的部位：各检修、操作平台，传动部位零部件及带式输送机等部位。</w:t>
      </w:r>
    </w:p>
    <w:p w14:paraId="4A0BC434">
      <w:pPr>
        <w:pStyle w:val="4"/>
        <w:bidi w:val="0"/>
        <w:rPr>
          <w:rFonts w:hint="eastAsia"/>
          <w:color w:val="auto"/>
        </w:rPr>
      </w:pPr>
      <w:bookmarkStart w:id="117" w:name="_Toc5724"/>
      <w:r>
        <w:rPr>
          <w:rFonts w:hint="eastAsia"/>
          <w:color w:val="auto"/>
        </w:rPr>
        <w:t>3.3.3</w:t>
      </w:r>
      <w:r>
        <w:rPr>
          <w:rFonts w:hint="eastAsia"/>
          <w:color w:val="auto"/>
          <w:lang w:val="en-US" w:eastAsia="zh-CN"/>
        </w:rPr>
        <w:t xml:space="preserve"> </w:t>
      </w:r>
      <w:r>
        <w:rPr>
          <w:rFonts w:hint="eastAsia"/>
          <w:color w:val="auto"/>
        </w:rPr>
        <w:t>高处坠落</w:t>
      </w:r>
      <w:bookmarkEnd w:id="117"/>
    </w:p>
    <w:p w14:paraId="4ADADD96">
      <w:pPr>
        <w:bidi w:val="0"/>
        <w:rPr>
          <w:rFonts w:hint="eastAsia"/>
          <w:color w:val="auto"/>
        </w:rPr>
      </w:pPr>
      <w:r>
        <w:rPr>
          <w:rFonts w:hint="eastAsia"/>
          <w:color w:val="auto"/>
        </w:rPr>
        <w:t>在距坠落高度基准面2m或2m以上，有可能坠落的高处进行的作业均称为高处作业。作业高度分为2～5m；5～15m；15～30m；＞30m四个区域。相应高处作业分级为Ⅰ、Ⅱ、Ⅲ、Ⅳ四级。</w:t>
      </w:r>
    </w:p>
    <w:p w14:paraId="567DC2DF">
      <w:pPr>
        <w:bidi w:val="0"/>
        <w:rPr>
          <w:rFonts w:hint="eastAsia"/>
          <w:color w:val="auto"/>
        </w:rPr>
      </w:pPr>
      <w:r>
        <w:rPr>
          <w:rFonts w:hint="eastAsia"/>
          <w:color w:val="auto"/>
        </w:rPr>
        <w:t>直接引起坠落的客观危险因素分为：</w:t>
      </w:r>
    </w:p>
    <w:p w14:paraId="43FE6534">
      <w:pPr>
        <w:bidi w:val="0"/>
        <w:rPr>
          <w:rFonts w:hint="eastAsia"/>
          <w:color w:val="auto"/>
        </w:rPr>
      </w:pPr>
      <w:r>
        <w:rPr>
          <w:rFonts w:hint="eastAsia"/>
          <w:color w:val="auto"/>
        </w:rPr>
        <w:t>1、阵风风力六级(风速10.8m/s)以上；</w:t>
      </w:r>
    </w:p>
    <w:p w14:paraId="7BE94819">
      <w:pPr>
        <w:bidi w:val="0"/>
        <w:rPr>
          <w:rFonts w:hint="eastAsia"/>
          <w:color w:val="auto"/>
        </w:rPr>
      </w:pPr>
      <w:r>
        <w:rPr>
          <w:rFonts w:hint="eastAsia"/>
          <w:color w:val="auto"/>
        </w:rPr>
        <w:t>2、《工作场所职业病危害作业分级 第3部分:高温》</w:t>
      </w:r>
      <w:r>
        <w:rPr>
          <w:rFonts w:hint="eastAsia"/>
          <w:color w:val="auto"/>
          <w:lang w:val="en-US" w:eastAsia="zh-CN"/>
        </w:rPr>
        <w:t>（</w:t>
      </w:r>
      <w:r>
        <w:rPr>
          <w:rFonts w:hint="eastAsia"/>
          <w:color w:val="auto"/>
        </w:rPr>
        <w:t>GBZ/T 229.3-2010</w:t>
      </w:r>
      <w:r>
        <w:rPr>
          <w:rFonts w:hint="eastAsia"/>
          <w:color w:val="auto"/>
          <w:lang w:eastAsia="zh-CN"/>
        </w:rPr>
        <w:t>）</w:t>
      </w:r>
      <w:r>
        <w:rPr>
          <w:rFonts w:hint="eastAsia"/>
          <w:color w:val="auto"/>
        </w:rPr>
        <w:t>规定的Ⅱ级以上的高温条件；</w:t>
      </w:r>
    </w:p>
    <w:p w14:paraId="14FED71D">
      <w:pPr>
        <w:bidi w:val="0"/>
        <w:rPr>
          <w:rFonts w:hint="eastAsia"/>
          <w:color w:val="auto"/>
        </w:rPr>
      </w:pPr>
      <w:r>
        <w:rPr>
          <w:rFonts w:hint="eastAsia"/>
          <w:color w:val="auto"/>
        </w:rPr>
        <w:t>3、气温低于10℃的室外环境；</w:t>
      </w:r>
    </w:p>
    <w:p w14:paraId="549035C5">
      <w:pPr>
        <w:bidi w:val="0"/>
        <w:rPr>
          <w:rFonts w:hint="eastAsia"/>
          <w:color w:val="auto"/>
        </w:rPr>
      </w:pPr>
      <w:r>
        <w:rPr>
          <w:rFonts w:hint="eastAsia"/>
          <w:color w:val="auto"/>
        </w:rPr>
        <w:t>4、场地有冰、雪、霜、水、油等易滑物；</w:t>
      </w:r>
    </w:p>
    <w:p w14:paraId="22B97B56">
      <w:pPr>
        <w:bidi w:val="0"/>
        <w:rPr>
          <w:rFonts w:hint="eastAsia"/>
          <w:color w:val="auto"/>
        </w:rPr>
      </w:pPr>
      <w:r>
        <w:rPr>
          <w:rFonts w:hint="eastAsia"/>
          <w:color w:val="auto"/>
        </w:rPr>
        <w:t>5、自然光线不足，能见度差；</w:t>
      </w:r>
    </w:p>
    <w:p w14:paraId="082EDA0D">
      <w:pPr>
        <w:bidi w:val="0"/>
        <w:rPr>
          <w:rFonts w:hint="eastAsia"/>
          <w:color w:val="auto"/>
        </w:rPr>
      </w:pPr>
      <w:r>
        <w:rPr>
          <w:rFonts w:hint="eastAsia"/>
          <w:color w:val="auto"/>
        </w:rPr>
        <w:t>6、接近或接触危险电压带电体；</w:t>
      </w:r>
    </w:p>
    <w:p w14:paraId="63F3FBFF">
      <w:pPr>
        <w:bidi w:val="0"/>
        <w:rPr>
          <w:rFonts w:hint="eastAsia"/>
          <w:color w:val="auto"/>
        </w:rPr>
      </w:pPr>
      <w:r>
        <w:rPr>
          <w:rFonts w:hint="eastAsia"/>
          <w:color w:val="auto"/>
        </w:rPr>
        <w:t>7、摆动，立足处不是平面或只有很小的平面，致使作业者无法维持正常姿势；</w:t>
      </w:r>
    </w:p>
    <w:p w14:paraId="6DE199B2">
      <w:pPr>
        <w:bidi w:val="0"/>
        <w:rPr>
          <w:rFonts w:hint="eastAsia"/>
          <w:color w:val="auto"/>
        </w:rPr>
      </w:pPr>
      <w:r>
        <w:rPr>
          <w:rFonts w:hint="eastAsia"/>
          <w:color w:val="auto"/>
        </w:rPr>
        <w:t>8、抢救突然发生的各种灾害事故。</w:t>
      </w:r>
    </w:p>
    <w:p w14:paraId="3461A894">
      <w:pPr>
        <w:bidi w:val="0"/>
        <w:rPr>
          <w:rFonts w:hint="eastAsia"/>
          <w:color w:val="auto"/>
        </w:rPr>
      </w:pPr>
      <w:r>
        <w:rPr>
          <w:rFonts w:hint="eastAsia"/>
          <w:color w:val="auto"/>
        </w:rPr>
        <w:t>厂内各个工序的高处平台比较多，可能发生高处坠落的位置也就较多。在这些平台、高空通道及斜梯上应安装牢固的防护栏杆。如果防护栏杆、挡板、踏板等设施质量不好、焊接不牢固，可能会造成人员高处坠落。这种事故的原因主要是：</w:t>
      </w:r>
    </w:p>
    <w:p w14:paraId="6D91F357">
      <w:pPr>
        <w:bidi w:val="0"/>
        <w:rPr>
          <w:rFonts w:hint="eastAsia"/>
          <w:color w:val="auto"/>
        </w:rPr>
      </w:pPr>
      <w:r>
        <w:rPr>
          <w:rFonts w:hint="eastAsia"/>
          <w:color w:val="auto"/>
        </w:rPr>
        <w:t>1、不进行高处作业审批、不正规敷设跳板、不系安全带、防护用具失效；</w:t>
      </w:r>
    </w:p>
    <w:p w14:paraId="065707EB">
      <w:pPr>
        <w:bidi w:val="0"/>
        <w:rPr>
          <w:rFonts w:hint="eastAsia"/>
          <w:color w:val="auto"/>
        </w:rPr>
      </w:pPr>
      <w:r>
        <w:rPr>
          <w:rFonts w:hint="eastAsia"/>
          <w:color w:val="auto"/>
        </w:rPr>
        <w:t>2、生产现场存在隐患，主要是指建（构）筑物主要设备预留孔、吊装孔不设栏杆或不加盖板，钢平台、楼梯扶手等处严重腐蚀或开焊，以及未设防护围栏等。</w:t>
      </w:r>
    </w:p>
    <w:p w14:paraId="00DDCBAE">
      <w:pPr>
        <w:bidi w:val="0"/>
        <w:rPr>
          <w:rFonts w:hint="eastAsia"/>
          <w:color w:val="auto"/>
        </w:rPr>
      </w:pPr>
      <w:r>
        <w:rPr>
          <w:rFonts w:hint="eastAsia"/>
          <w:color w:val="auto"/>
        </w:rPr>
        <w:t>3、未设置操作平台或操作平台没有设置防护栏杆。</w:t>
      </w:r>
    </w:p>
    <w:p w14:paraId="0C44435D">
      <w:pPr>
        <w:bidi w:val="0"/>
        <w:rPr>
          <w:rFonts w:hint="eastAsia"/>
          <w:color w:val="auto"/>
        </w:rPr>
      </w:pPr>
      <w:r>
        <w:rPr>
          <w:rFonts w:hint="eastAsia"/>
          <w:color w:val="auto"/>
        </w:rPr>
        <w:t>本项目中，各生产工序、公用工程及辅助设施均有可能发生高处坠落，主要包括输送廊、高处平台、通道、斜梯、设备设施顶部、检维修现场、其他高处作业现场等。</w:t>
      </w:r>
    </w:p>
    <w:p w14:paraId="6A962545">
      <w:pPr>
        <w:bidi w:val="0"/>
        <w:rPr>
          <w:rFonts w:hint="eastAsia"/>
          <w:color w:val="auto"/>
        </w:rPr>
      </w:pPr>
      <w:r>
        <w:rPr>
          <w:rFonts w:hint="eastAsia"/>
          <w:color w:val="auto"/>
        </w:rPr>
        <w:t>可能存在的部位：运行过程中检修平台、厂房内的作业平台，设备设施检修地点等。</w:t>
      </w:r>
    </w:p>
    <w:p w14:paraId="70DE0B49">
      <w:pPr>
        <w:pStyle w:val="4"/>
        <w:bidi w:val="0"/>
        <w:rPr>
          <w:rFonts w:hint="eastAsia"/>
          <w:color w:val="auto"/>
        </w:rPr>
      </w:pPr>
      <w:bookmarkStart w:id="118" w:name="_Toc14908"/>
      <w:r>
        <w:rPr>
          <w:rFonts w:hint="eastAsia"/>
          <w:color w:val="auto"/>
        </w:rPr>
        <w:t>3.3.4</w:t>
      </w:r>
      <w:r>
        <w:rPr>
          <w:rFonts w:hint="eastAsia"/>
          <w:color w:val="auto"/>
          <w:lang w:val="en-US" w:eastAsia="zh-CN"/>
        </w:rPr>
        <w:t xml:space="preserve"> </w:t>
      </w:r>
      <w:r>
        <w:rPr>
          <w:rFonts w:hint="eastAsia"/>
          <w:color w:val="auto"/>
        </w:rPr>
        <w:t>触电</w:t>
      </w:r>
      <w:bookmarkEnd w:id="118"/>
    </w:p>
    <w:p w14:paraId="18E4CF94">
      <w:pPr>
        <w:bidi w:val="0"/>
        <w:rPr>
          <w:rFonts w:hint="eastAsia"/>
          <w:color w:val="auto"/>
        </w:rPr>
      </w:pPr>
      <w:r>
        <w:rPr>
          <w:rFonts w:hint="eastAsia"/>
          <w:color w:val="auto"/>
        </w:rPr>
        <w:t>引起触电事故的主要原因，除了设备缺陷、设计缺陷等技术因素外，大部分是由于违章指挥、违章操作引起的。产生触电的原因分析如下：</w:t>
      </w:r>
    </w:p>
    <w:p w14:paraId="06EBB143">
      <w:pPr>
        <w:bidi w:val="0"/>
        <w:rPr>
          <w:rFonts w:hint="eastAsia"/>
          <w:color w:val="auto"/>
        </w:rPr>
      </w:pPr>
      <w:r>
        <w:rPr>
          <w:rFonts w:hint="eastAsia"/>
          <w:color w:val="auto"/>
        </w:rPr>
        <w:t>1、电气设施、电气线路或电气设备在设计、安装上存在缺陷，或在运行过程中，缺乏必要的检修维护，使设备或线路存在带电部位裸露漏电、过热、短路、接头松脱、断线碰壳、绝缘老化、绝缘击穿、绝缘损坏、断线等隐患；</w:t>
      </w:r>
    </w:p>
    <w:p w14:paraId="2456BA98">
      <w:pPr>
        <w:bidi w:val="0"/>
        <w:rPr>
          <w:rFonts w:hint="eastAsia"/>
          <w:color w:val="auto"/>
        </w:rPr>
      </w:pPr>
      <w:r>
        <w:rPr>
          <w:rFonts w:hint="eastAsia"/>
          <w:color w:val="auto"/>
        </w:rPr>
        <w:t>2、未采取必要的安全技术措施（如：电气设施的接零、接地；漏电保护；短路及欠压保护；错向闭锁、未上锁/挂牌等）或安全技术措施失效；</w:t>
      </w:r>
    </w:p>
    <w:p w14:paraId="6401A5F3">
      <w:pPr>
        <w:bidi w:val="0"/>
        <w:rPr>
          <w:rFonts w:hint="eastAsia"/>
          <w:color w:val="auto"/>
        </w:rPr>
      </w:pPr>
      <w:r>
        <w:rPr>
          <w:rFonts w:hint="eastAsia"/>
          <w:color w:val="auto"/>
        </w:rPr>
        <w:t>3、电气设备运行管理不当，电气安全管理制度不完善；</w:t>
      </w:r>
    </w:p>
    <w:p w14:paraId="1B4C44AC">
      <w:pPr>
        <w:bidi w:val="0"/>
        <w:rPr>
          <w:rFonts w:hint="eastAsia"/>
          <w:color w:val="auto"/>
        </w:rPr>
      </w:pPr>
      <w:r>
        <w:rPr>
          <w:rFonts w:hint="eastAsia"/>
          <w:color w:val="auto"/>
        </w:rPr>
        <w:t>4、电工、机电设备操作人员操作失误，或违章作业等；</w:t>
      </w:r>
    </w:p>
    <w:p w14:paraId="02628882">
      <w:pPr>
        <w:bidi w:val="0"/>
        <w:rPr>
          <w:rFonts w:hint="eastAsia"/>
          <w:color w:val="auto"/>
        </w:rPr>
      </w:pPr>
      <w:r>
        <w:rPr>
          <w:rFonts w:hint="eastAsia"/>
          <w:color w:val="auto"/>
        </w:rPr>
        <w:t>5、施工、检修过程中临时用电，未采取相应的漏电保护措施；</w:t>
      </w:r>
    </w:p>
    <w:p w14:paraId="2E589B0A">
      <w:pPr>
        <w:bidi w:val="0"/>
        <w:rPr>
          <w:rFonts w:hint="eastAsia"/>
          <w:color w:val="auto"/>
        </w:rPr>
      </w:pPr>
      <w:r>
        <w:rPr>
          <w:rFonts w:hint="eastAsia"/>
          <w:color w:val="auto"/>
        </w:rPr>
        <w:t>6、配电站、车间低压电气线路、电缆敷设不规范，用电设备无漏电保护、短路保护、过载保护措施、电气开关设施安全距离不符合标准规范、电气设备外露部位无屏护等因素，存在触电危险。</w:t>
      </w:r>
    </w:p>
    <w:p w14:paraId="226A0E0F">
      <w:pPr>
        <w:bidi w:val="0"/>
        <w:rPr>
          <w:rFonts w:hint="eastAsia"/>
          <w:color w:val="auto"/>
        </w:rPr>
      </w:pPr>
      <w:r>
        <w:rPr>
          <w:rFonts w:hint="eastAsia"/>
          <w:color w:val="auto"/>
        </w:rPr>
        <w:t>7、高低压供配电设施安全距离不符合标准规定，无“五防”功能或功能不全等，作业人员工作时易发生触电事故。</w:t>
      </w:r>
    </w:p>
    <w:p w14:paraId="69037CE5">
      <w:pPr>
        <w:bidi w:val="0"/>
        <w:rPr>
          <w:rFonts w:hint="eastAsia"/>
          <w:color w:val="auto"/>
        </w:rPr>
      </w:pPr>
      <w:r>
        <w:rPr>
          <w:rFonts w:hint="eastAsia"/>
          <w:color w:val="auto"/>
        </w:rPr>
        <w:t>8、作业人员违反电气作业安全规程违章作业、或缺乏安全用电常识或电气设备本身出现故障等原因，可能造成触电伤害。</w:t>
      </w:r>
    </w:p>
    <w:p w14:paraId="245F27A4">
      <w:pPr>
        <w:bidi w:val="0"/>
        <w:rPr>
          <w:rFonts w:hint="eastAsia"/>
          <w:color w:val="auto"/>
        </w:rPr>
      </w:pPr>
      <w:r>
        <w:rPr>
          <w:rFonts w:hint="eastAsia"/>
          <w:color w:val="auto"/>
        </w:rPr>
        <w:t>针对生产过程中，以下因素均可能导致触电事故的发生。</w:t>
      </w:r>
    </w:p>
    <w:p w14:paraId="08CEDBD6">
      <w:pPr>
        <w:bidi w:val="0"/>
        <w:rPr>
          <w:rFonts w:hint="eastAsia"/>
          <w:color w:val="auto"/>
        </w:rPr>
      </w:pPr>
      <w:r>
        <w:rPr>
          <w:rFonts w:hint="eastAsia"/>
          <w:color w:val="auto"/>
        </w:rPr>
        <w:t>1、带式输送机、浓缩机、压滤机、泵等机电设备在运行过程中，因故障而造成设备内部绝缘击穿或外部绝缘破损；</w:t>
      </w:r>
    </w:p>
    <w:p w14:paraId="0F2A829B">
      <w:pPr>
        <w:bidi w:val="0"/>
        <w:rPr>
          <w:rFonts w:hint="eastAsia"/>
          <w:color w:val="auto"/>
        </w:rPr>
      </w:pPr>
      <w:r>
        <w:rPr>
          <w:rFonts w:hint="eastAsia"/>
          <w:color w:val="auto"/>
        </w:rPr>
        <w:t>2、设备无接地装置或接地失效；</w:t>
      </w:r>
    </w:p>
    <w:p w14:paraId="720A1D83">
      <w:pPr>
        <w:bidi w:val="0"/>
        <w:rPr>
          <w:rFonts w:hint="eastAsia"/>
          <w:color w:val="auto"/>
        </w:rPr>
      </w:pPr>
      <w:r>
        <w:rPr>
          <w:rFonts w:hint="eastAsia"/>
          <w:color w:val="auto"/>
        </w:rPr>
        <w:t>3、无漏电保护器；</w:t>
      </w:r>
    </w:p>
    <w:p w14:paraId="79E625BE">
      <w:pPr>
        <w:bidi w:val="0"/>
        <w:rPr>
          <w:rFonts w:hint="eastAsia"/>
          <w:color w:val="auto"/>
        </w:rPr>
      </w:pPr>
      <w:r>
        <w:rPr>
          <w:rFonts w:hint="eastAsia"/>
          <w:color w:val="auto"/>
        </w:rPr>
        <w:t>4、断电检修设备时，未严格执行停送电制度，误合闸；</w:t>
      </w:r>
    </w:p>
    <w:p w14:paraId="5EB123C9">
      <w:pPr>
        <w:bidi w:val="0"/>
        <w:rPr>
          <w:rFonts w:hint="eastAsia"/>
          <w:color w:val="auto"/>
        </w:rPr>
      </w:pPr>
      <w:r>
        <w:rPr>
          <w:rFonts w:hint="eastAsia"/>
          <w:color w:val="auto"/>
        </w:rPr>
        <w:t>5、作业人员在带电检修高压设备时因三绝（绝缘手套、绝缘靴、绝缘工具）破损；</w:t>
      </w:r>
    </w:p>
    <w:p w14:paraId="3F990313">
      <w:pPr>
        <w:bidi w:val="0"/>
        <w:rPr>
          <w:rFonts w:hint="eastAsia"/>
          <w:color w:val="auto"/>
        </w:rPr>
      </w:pPr>
      <w:r>
        <w:rPr>
          <w:rFonts w:hint="eastAsia"/>
          <w:color w:val="auto"/>
        </w:rPr>
        <w:t>6、人员在维护和检修高低压配电所内的高低压设备时违章操作；</w:t>
      </w:r>
    </w:p>
    <w:p w14:paraId="32EFC538">
      <w:pPr>
        <w:bidi w:val="0"/>
        <w:rPr>
          <w:rFonts w:hint="eastAsia"/>
          <w:color w:val="auto"/>
        </w:rPr>
      </w:pPr>
      <w:r>
        <w:rPr>
          <w:rFonts w:hint="eastAsia"/>
          <w:color w:val="auto"/>
        </w:rPr>
        <w:t>7、电缆架设高度不符合设计要求，电缆铺设不规范，有裸露接头等；</w:t>
      </w:r>
    </w:p>
    <w:p w14:paraId="78949947">
      <w:pPr>
        <w:bidi w:val="0"/>
        <w:rPr>
          <w:rFonts w:hint="eastAsia"/>
          <w:color w:val="auto"/>
        </w:rPr>
      </w:pPr>
      <w:r>
        <w:rPr>
          <w:rFonts w:hint="eastAsia"/>
          <w:color w:val="auto"/>
        </w:rPr>
        <w:t>8、检修作业不填写操作票或不执行监护制度，使用不合格绝缘工具和电气工具；</w:t>
      </w:r>
    </w:p>
    <w:p w14:paraId="4EC41ADF">
      <w:pPr>
        <w:bidi w:val="0"/>
        <w:rPr>
          <w:rFonts w:hint="eastAsia"/>
          <w:color w:val="auto"/>
        </w:rPr>
      </w:pPr>
      <w:r>
        <w:rPr>
          <w:rFonts w:hint="eastAsia"/>
          <w:color w:val="auto"/>
        </w:rPr>
        <w:t>9、线路或电气设备工作完毕，未办理工作票终结手续，就对停电设备恢复送电；</w:t>
      </w:r>
    </w:p>
    <w:p w14:paraId="68A88706">
      <w:pPr>
        <w:bidi w:val="0"/>
        <w:rPr>
          <w:rFonts w:hint="eastAsia"/>
          <w:color w:val="auto"/>
        </w:rPr>
      </w:pPr>
      <w:r>
        <w:rPr>
          <w:rFonts w:hint="eastAsia"/>
          <w:color w:val="auto"/>
        </w:rPr>
        <w:t>10、在带电设备附近进行作业，未制定安全措施，未设立监护人员，安全距离不符合规定；</w:t>
      </w:r>
    </w:p>
    <w:p w14:paraId="3BB7D795">
      <w:pPr>
        <w:bidi w:val="0"/>
        <w:rPr>
          <w:rFonts w:hint="eastAsia"/>
          <w:color w:val="auto"/>
        </w:rPr>
      </w:pPr>
      <w:r>
        <w:rPr>
          <w:rFonts w:hint="eastAsia"/>
          <w:color w:val="auto"/>
        </w:rPr>
        <w:t>11、跨越安全围栏或在警戒区内误碰带电设备，在带电设备附近使用导电工具或携带超高金属物体在带电设备下行走；</w:t>
      </w:r>
    </w:p>
    <w:p w14:paraId="1150C0E1">
      <w:pPr>
        <w:bidi w:val="0"/>
        <w:rPr>
          <w:rFonts w:hint="eastAsia"/>
          <w:color w:val="auto"/>
        </w:rPr>
      </w:pPr>
      <w:r>
        <w:rPr>
          <w:rFonts w:hint="eastAsia"/>
          <w:color w:val="auto"/>
        </w:rPr>
        <w:t>12、绝缘胶鞋破损透水，作业者身体或使用工具碰到带电设备或电气线路上；</w:t>
      </w:r>
    </w:p>
    <w:p w14:paraId="13A953C7">
      <w:pPr>
        <w:bidi w:val="0"/>
        <w:rPr>
          <w:rFonts w:hint="eastAsia"/>
          <w:color w:val="auto"/>
        </w:rPr>
      </w:pPr>
      <w:r>
        <w:rPr>
          <w:rFonts w:hint="eastAsia"/>
          <w:color w:val="auto"/>
        </w:rPr>
        <w:t>13、悬挂标志不醒目或未悬挂标志；</w:t>
      </w:r>
    </w:p>
    <w:p w14:paraId="30DAB015">
      <w:pPr>
        <w:bidi w:val="0"/>
        <w:rPr>
          <w:rFonts w:hint="eastAsia"/>
          <w:color w:val="auto"/>
        </w:rPr>
      </w:pPr>
      <w:r>
        <w:rPr>
          <w:rFonts w:hint="eastAsia"/>
          <w:color w:val="auto"/>
        </w:rPr>
        <w:t>14、工作人员擅自扩大工作范围；</w:t>
      </w:r>
    </w:p>
    <w:p w14:paraId="27F37F5F">
      <w:pPr>
        <w:bidi w:val="0"/>
        <w:rPr>
          <w:rFonts w:hint="eastAsia"/>
          <w:color w:val="auto"/>
        </w:rPr>
      </w:pPr>
      <w:r>
        <w:rPr>
          <w:rFonts w:hint="eastAsia"/>
          <w:color w:val="auto"/>
        </w:rPr>
        <w:t>15、使用电动工具不戴绝缘手套；</w:t>
      </w:r>
    </w:p>
    <w:p w14:paraId="65A10E4B">
      <w:pPr>
        <w:bidi w:val="0"/>
        <w:rPr>
          <w:rFonts w:hint="eastAsia"/>
          <w:color w:val="auto"/>
        </w:rPr>
      </w:pPr>
      <w:r>
        <w:rPr>
          <w:rFonts w:hint="eastAsia"/>
          <w:color w:val="auto"/>
        </w:rPr>
        <w:t>16、在有限空间作业检修，未使用安全电压。</w:t>
      </w:r>
    </w:p>
    <w:p w14:paraId="33F65515">
      <w:pPr>
        <w:bidi w:val="0"/>
        <w:rPr>
          <w:rFonts w:hint="eastAsia"/>
          <w:color w:val="auto"/>
        </w:rPr>
      </w:pPr>
      <w:r>
        <w:rPr>
          <w:rFonts w:hint="eastAsia"/>
          <w:color w:val="auto"/>
        </w:rPr>
        <w:t>17、安全管理工作存在疏漏。</w:t>
      </w:r>
    </w:p>
    <w:p w14:paraId="54E8C48F">
      <w:pPr>
        <w:bidi w:val="0"/>
        <w:rPr>
          <w:rFonts w:hint="eastAsia"/>
          <w:color w:val="auto"/>
        </w:rPr>
      </w:pPr>
      <w:r>
        <w:rPr>
          <w:rFonts w:hint="eastAsia"/>
          <w:color w:val="auto"/>
        </w:rPr>
        <w:t>18、厂房潮湿漏电导致触电。</w:t>
      </w:r>
    </w:p>
    <w:p w14:paraId="236CF00E">
      <w:pPr>
        <w:bidi w:val="0"/>
        <w:rPr>
          <w:rFonts w:hint="eastAsia"/>
          <w:color w:val="auto"/>
        </w:rPr>
      </w:pPr>
      <w:r>
        <w:rPr>
          <w:rFonts w:hint="eastAsia"/>
          <w:color w:val="auto"/>
        </w:rPr>
        <w:t>本项目高、低压电气设备均可能导致触电事故发生，发生触电的主要原因有：</w:t>
      </w:r>
    </w:p>
    <w:p w14:paraId="2F5B4AEE">
      <w:pPr>
        <w:bidi w:val="0"/>
        <w:rPr>
          <w:rFonts w:hint="eastAsia"/>
          <w:color w:val="auto"/>
        </w:rPr>
      </w:pPr>
      <w:r>
        <w:rPr>
          <w:rFonts w:hint="eastAsia"/>
          <w:color w:val="auto"/>
        </w:rPr>
        <w:t>1、配电设施布置不合理或屏护设施不符合要求导致人和带电体接触。</w:t>
      </w:r>
    </w:p>
    <w:p w14:paraId="064227EC">
      <w:pPr>
        <w:bidi w:val="0"/>
        <w:rPr>
          <w:rFonts w:hint="eastAsia"/>
          <w:color w:val="auto"/>
        </w:rPr>
      </w:pPr>
      <w:r>
        <w:rPr>
          <w:rFonts w:hint="eastAsia"/>
          <w:color w:val="auto"/>
        </w:rPr>
        <w:t>2、接地装置故障或者接地埋设不当、接地电阻不达标致使设备带电。</w:t>
      </w:r>
    </w:p>
    <w:p w14:paraId="25E358D2">
      <w:pPr>
        <w:bidi w:val="0"/>
        <w:rPr>
          <w:rFonts w:hint="eastAsia"/>
          <w:color w:val="auto"/>
        </w:rPr>
      </w:pPr>
      <w:r>
        <w:rPr>
          <w:rFonts w:hint="eastAsia"/>
          <w:color w:val="auto"/>
        </w:rPr>
        <w:t>3、进行维修电路故障作业时三相短路保护未设、带电体处于人能触摸的范围，检修时检修电源未安装触电保护器。</w:t>
      </w:r>
    </w:p>
    <w:p w14:paraId="76F671AD">
      <w:pPr>
        <w:bidi w:val="0"/>
        <w:rPr>
          <w:rFonts w:hint="eastAsia"/>
          <w:color w:val="auto"/>
        </w:rPr>
      </w:pPr>
      <w:r>
        <w:rPr>
          <w:rFonts w:hint="eastAsia"/>
          <w:color w:val="auto"/>
        </w:rPr>
        <w:t>4、电网接地系统缺陷，没有电网接地系统对地电阻的定期检测，导致接地系统功能失效，从而导致触电事故发生。</w:t>
      </w:r>
    </w:p>
    <w:p w14:paraId="40152CE6">
      <w:pPr>
        <w:bidi w:val="0"/>
        <w:rPr>
          <w:rFonts w:hint="eastAsia"/>
          <w:color w:val="auto"/>
        </w:rPr>
      </w:pPr>
      <w:r>
        <w:rPr>
          <w:rFonts w:hint="eastAsia"/>
          <w:color w:val="auto"/>
        </w:rPr>
        <w:t>5、安全标志不清晰、危险区域监护不严等都可能导致人员触电事故。</w:t>
      </w:r>
    </w:p>
    <w:p w14:paraId="09FCDCC3">
      <w:pPr>
        <w:bidi w:val="0"/>
        <w:rPr>
          <w:rFonts w:hint="eastAsia"/>
          <w:color w:val="auto"/>
        </w:rPr>
      </w:pPr>
      <w:r>
        <w:rPr>
          <w:rFonts w:hint="eastAsia"/>
          <w:color w:val="auto"/>
        </w:rPr>
        <w:t>6、临时接线不合理，接头电阻大，无任何标志，易引发人员触电。</w:t>
      </w:r>
    </w:p>
    <w:p w14:paraId="43FB3462">
      <w:pPr>
        <w:bidi w:val="0"/>
        <w:rPr>
          <w:rFonts w:hint="eastAsia"/>
          <w:color w:val="auto"/>
        </w:rPr>
      </w:pPr>
      <w:r>
        <w:rPr>
          <w:rFonts w:hint="eastAsia"/>
          <w:color w:val="auto"/>
        </w:rPr>
        <w:t>7、没有严格执行调度命令，未执行操作票制度、无票操作或随意改变操作顺序。</w:t>
      </w:r>
    </w:p>
    <w:p w14:paraId="0FBF178C">
      <w:pPr>
        <w:bidi w:val="0"/>
        <w:rPr>
          <w:rFonts w:hint="eastAsia"/>
          <w:color w:val="auto"/>
        </w:rPr>
      </w:pPr>
      <w:r>
        <w:rPr>
          <w:rFonts w:hint="eastAsia"/>
          <w:color w:val="auto"/>
        </w:rPr>
        <w:t>8、高压绝缘用具的检测、移动电气设备及手持电动工具未定期检验检测，作业时未使用或使用不合格的安全工器具。</w:t>
      </w:r>
    </w:p>
    <w:p w14:paraId="0FBFCBC3">
      <w:pPr>
        <w:bidi w:val="0"/>
        <w:rPr>
          <w:rFonts w:hint="eastAsia"/>
          <w:color w:val="auto"/>
        </w:rPr>
      </w:pPr>
      <w:r>
        <w:rPr>
          <w:rFonts w:hint="eastAsia"/>
          <w:color w:val="auto"/>
        </w:rPr>
        <w:t>9、运行人员不熟悉防误装置的管理办法和实施细则，未做到“四懂三会。</w:t>
      </w:r>
    </w:p>
    <w:p w14:paraId="0C2BA4A3">
      <w:pPr>
        <w:bidi w:val="0"/>
        <w:rPr>
          <w:rFonts w:hint="eastAsia"/>
          <w:color w:val="auto"/>
        </w:rPr>
      </w:pPr>
      <w:r>
        <w:rPr>
          <w:rFonts w:hint="eastAsia"/>
          <w:color w:val="auto"/>
        </w:rPr>
        <w:t>10、变配电站的两票四制执行不力、高压绝缘用具性能不良或使用不当、配电柜的二次护缺失、PE线与PN线的布置不当、移动电气设备与手持电动工具的管理不到位、电气临时电源线路的管理、电气维修挂牌作业等操作不当都可能导致触电。</w:t>
      </w:r>
    </w:p>
    <w:p w14:paraId="449A66BA">
      <w:pPr>
        <w:bidi w:val="0"/>
        <w:rPr>
          <w:rFonts w:hint="eastAsia"/>
          <w:color w:val="auto"/>
        </w:rPr>
      </w:pPr>
      <w:r>
        <w:rPr>
          <w:rFonts w:hint="eastAsia"/>
          <w:color w:val="auto"/>
        </w:rPr>
        <w:t>存在的部位：各设备电机、照明线路、变配电所（室）、手持电动工具、检修现场等。</w:t>
      </w:r>
    </w:p>
    <w:p w14:paraId="6FB58900">
      <w:pPr>
        <w:pStyle w:val="4"/>
        <w:bidi w:val="0"/>
        <w:rPr>
          <w:rFonts w:hint="eastAsia"/>
          <w:color w:val="auto"/>
        </w:rPr>
      </w:pPr>
      <w:bookmarkStart w:id="119" w:name="_Toc2278"/>
      <w:r>
        <w:rPr>
          <w:rFonts w:hint="eastAsia"/>
          <w:color w:val="auto"/>
        </w:rPr>
        <w:t>3.3.5</w:t>
      </w:r>
      <w:r>
        <w:rPr>
          <w:rFonts w:hint="eastAsia"/>
          <w:color w:val="auto"/>
          <w:lang w:val="en-US" w:eastAsia="zh-CN"/>
        </w:rPr>
        <w:t xml:space="preserve"> </w:t>
      </w:r>
      <w:r>
        <w:rPr>
          <w:rFonts w:hint="eastAsia"/>
          <w:color w:val="auto"/>
        </w:rPr>
        <w:t>起重伤害</w:t>
      </w:r>
      <w:bookmarkEnd w:id="119"/>
    </w:p>
    <w:p w14:paraId="41CC2237">
      <w:pPr>
        <w:bidi w:val="0"/>
        <w:rPr>
          <w:rFonts w:hint="eastAsia"/>
          <w:color w:val="auto"/>
        </w:rPr>
      </w:pPr>
      <w:r>
        <w:rPr>
          <w:rFonts w:hint="eastAsia"/>
          <w:color w:val="auto"/>
        </w:rPr>
        <w:t>起重伤害指各种起重作业（包括安装、检修、试验）中发生的压挤、坠落、（吊具、吊重）物体打击和触电。本项目使用的为电葫芦用于检修，可能会发生起重伤害。发生起重伤害的主要原因如下：</w:t>
      </w:r>
    </w:p>
    <w:p w14:paraId="20A5BE93">
      <w:pPr>
        <w:bidi w:val="0"/>
        <w:rPr>
          <w:rFonts w:hint="eastAsia"/>
          <w:color w:val="auto"/>
        </w:rPr>
      </w:pPr>
      <w:r>
        <w:rPr>
          <w:rFonts w:hint="eastAsia"/>
          <w:color w:val="auto"/>
        </w:rPr>
        <w:t>1、脱钩</w:t>
      </w:r>
    </w:p>
    <w:p w14:paraId="5402DCC1">
      <w:pPr>
        <w:bidi w:val="0"/>
        <w:rPr>
          <w:rFonts w:hint="eastAsia"/>
          <w:color w:val="auto"/>
        </w:rPr>
      </w:pPr>
      <w:r>
        <w:rPr>
          <w:rFonts w:hint="eastAsia"/>
          <w:color w:val="auto"/>
        </w:rPr>
        <w:t>起重工在吊运物体时，因现场无人指挥，吊物下降过快造成脱钩；有时在吊运中因起吊物体不稳，使吊钩在空中悠荡，在悠荡过程中钩头由于离心惯性力甩出而引起脱钩事故。</w:t>
      </w:r>
    </w:p>
    <w:p w14:paraId="544C4207">
      <w:pPr>
        <w:bidi w:val="0"/>
        <w:rPr>
          <w:rFonts w:hint="eastAsia"/>
          <w:color w:val="auto"/>
        </w:rPr>
      </w:pPr>
      <w:r>
        <w:rPr>
          <w:rFonts w:hint="eastAsia"/>
          <w:color w:val="auto"/>
        </w:rPr>
        <w:t>2、钢丝绳折断</w:t>
      </w:r>
    </w:p>
    <w:p w14:paraId="7FFEFB44">
      <w:pPr>
        <w:bidi w:val="0"/>
        <w:rPr>
          <w:rFonts w:hint="eastAsia"/>
          <w:color w:val="auto"/>
        </w:rPr>
      </w:pPr>
      <w:r>
        <w:rPr>
          <w:rFonts w:hint="eastAsia"/>
          <w:color w:val="auto"/>
        </w:rPr>
        <w:t>钢丝绳发生折断的原因很多，其主要和常见的原因是：操作前没有对钢丝绳进行安全技术检验或认真检查，对已断丝的钢丝绳没有按钢丝绳报废标准处理或降低负荷使用，吊运时严重超负荷等。</w:t>
      </w:r>
    </w:p>
    <w:p w14:paraId="04BFBAB2">
      <w:pPr>
        <w:bidi w:val="0"/>
        <w:rPr>
          <w:rFonts w:hint="eastAsia"/>
          <w:color w:val="auto"/>
        </w:rPr>
      </w:pPr>
      <w:r>
        <w:rPr>
          <w:rFonts w:hint="eastAsia"/>
          <w:color w:val="auto"/>
        </w:rPr>
        <w:t>3、安全防护装置缺乏或失灵</w:t>
      </w:r>
    </w:p>
    <w:p w14:paraId="690C9062">
      <w:pPr>
        <w:bidi w:val="0"/>
        <w:rPr>
          <w:rFonts w:hint="eastAsia"/>
          <w:color w:val="auto"/>
        </w:rPr>
      </w:pPr>
      <w:r>
        <w:rPr>
          <w:rFonts w:hint="eastAsia"/>
          <w:color w:val="auto"/>
        </w:rPr>
        <w:t>因操作不慎和超负荷等原因，将发生翻车、碰撞、钢丝绳折断等事故，电葫芦上的齿轮和传动轴，没有设置安全罩或其它安全设施，会卷进人的衣服。</w:t>
      </w:r>
    </w:p>
    <w:p w14:paraId="11F393B9">
      <w:pPr>
        <w:bidi w:val="0"/>
        <w:rPr>
          <w:rFonts w:hint="eastAsia"/>
          <w:color w:val="auto"/>
        </w:rPr>
      </w:pPr>
      <w:r>
        <w:rPr>
          <w:rFonts w:hint="eastAsia"/>
          <w:color w:val="auto"/>
        </w:rPr>
        <w:t>4、吊物坠落</w:t>
      </w:r>
    </w:p>
    <w:p w14:paraId="5F87EEFD">
      <w:pPr>
        <w:bidi w:val="0"/>
        <w:rPr>
          <w:rFonts w:hint="eastAsia"/>
          <w:color w:val="auto"/>
        </w:rPr>
      </w:pPr>
      <w:r>
        <w:rPr>
          <w:rFonts w:hint="eastAsia"/>
          <w:color w:val="auto"/>
        </w:rPr>
        <w:t>电葫芦吊运物体时，由于某种原因，物体突然坠落，将地面的人员砸伤或砸死，这种事故一般是惨痛的，因为坠落的重物一般都是击中人的头部（立姿）或腰部（蹲姿）。</w:t>
      </w:r>
    </w:p>
    <w:p w14:paraId="0DBAC572">
      <w:pPr>
        <w:bidi w:val="0"/>
        <w:rPr>
          <w:rFonts w:hint="eastAsia"/>
          <w:color w:val="auto"/>
        </w:rPr>
      </w:pPr>
      <w:r>
        <w:rPr>
          <w:rFonts w:hint="eastAsia"/>
          <w:color w:val="auto"/>
        </w:rPr>
        <w:t>5、碰撞致伤</w:t>
      </w:r>
    </w:p>
    <w:p w14:paraId="3CE89871">
      <w:pPr>
        <w:bidi w:val="0"/>
        <w:rPr>
          <w:rFonts w:hint="eastAsia"/>
          <w:color w:val="auto"/>
        </w:rPr>
      </w:pPr>
      <w:r>
        <w:rPr>
          <w:rFonts w:hint="eastAsia"/>
          <w:color w:val="auto"/>
        </w:rPr>
        <w:t>物体在吊运中，因碰撞或刹车等原因，使吊件在空中悠荡，吊件撞倒设备或积物而引起事故，撞击力大，故后果比较严重。</w:t>
      </w:r>
    </w:p>
    <w:p w14:paraId="599EC9F5">
      <w:pPr>
        <w:bidi w:val="0"/>
        <w:rPr>
          <w:rFonts w:hint="eastAsia"/>
          <w:color w:val="auto"/>
        </w:rPr>
      </w:pPr>
      <w:r>
        <w:rPr>
          <w:rFonts w:hint="eastAsia"/>
          <w:color w:val="auto"/>
        </w:rPr>
        <w:t>6、指挥信号不明或乱指挥</w:t>
      </w:r>
    </w:p>
    <w:p w14:paraId="7DC6B404">
      <w:pPr>
        <w:bidi w:val="0"/>
        <w:rPr>
          <w:rFonts w:hint="eastAsia"/>
          <w:color w:val="auto"/>
        </w:rPr>
      </w:pPr>
      <w:r>
        <w:rPr>
          <w:rFonts w:hint="eastAsia"/>
          <w:color w:val="auto"/>
        </w:rPr>
        <w:t>现场起吊时，指挥者乱指挥或指挥信号不明时，易使现场起重人员产生错误判断或错误操作，尤其当两个单位在同一场地操作时，因各自的指挥信号不同引起的错误操作往往会产生严重后果。</w:t>
      </w:r>
    </w:p>
    <w:p w14:paraId="5432CC56">
      <w:pPr>
        <w:bidi w:val="0"/>
        <w:rPr>
          <w:rFonts w:hint="eastAsia"/>
          <w:color w:val="auto"/>
        </w:rPr>
      </w:pPr>
      <w:r>
        <w:rPr>
          <w:rFonts w:hint="eastAsia"/>
          <w:color w:val="auto"/>
        </w:rPr>
        <w:t>7、吊物上面站人</w:t>
      </w:r>
    </w:p>
    <w:p w14:paraId="006DC299">
      <w:pPr>
        <w:bidi w:val="0"/>
        <w:rPr>
          <w:rFonts w:hint="eastAsia"/>
          <w:color w:val="auto"/>
        </w:rPr>
      </w:pPr>
      <w:r>
        <w:rPr>
          <w:rFonts w:hint="eastAsia"/>
          <w:color w:val="auto"/>
        </w:rPr>
        <w:t>在物体吊起后失去平衡，将重物放下重新起吊时，有少数起重工特别是青年人怕麻烦，图省事，违章站在重物上以求平衡，当电葫芦一旦发生紧急制动剧烈振动时，站在起吊物上的人随之跌下或被物体碰倒以及被压入。</w:t>
      </w:r>
    </w:p>
    <w:p w14:paraId="52A1D514">
      <w:pPr>
        <w:bidi w:val="0"/>
        <w:rPr>
          <w:rFonts w:hint="eastAsia"/>
          <w:color w:val="auto"/>
        </w:rPr>
      </w:pPr>
      <w:r>
        <w:rPr>
          <w:rFonts w:hint="eastAsia"/>
          <w:color w:val="auto"/>
        </w:rPr>
        <w:t>8、工件紧固不牢</w:t>
      </w:r>
    </w:p>
    <w:p w14:paraId="1DCBFB68">
      <w:pPr>
        <w:bidi w:val="0"/>
        <w:rPr>
          <w:rFonts w:hint="eastAsia"/>
          <w:color w:val="auto"/>
        </w:rPr>
      </w:pPr>
      <w:r>
        <w:rPr>
          <w:rFonts w:hint="eastAsia"/>
          <w:color w:val="auto"/>
        </w:rPr>
        <w:t>当起吊散装金属物体或工件时，若没有捆扎牢固，吊运或搬运过程中零星小件会脱落坠下，极易碰伤自己或别人。</w:t>
      </w:r>
    </w:p>
    <w:p w14:paraId="06525287">
      <w:pPr>
        <w:bidi w:val="0"/>
        <w:rPr>
          <w:rFonts w:hint="eastAsia"/>
          <w:color w:val="auto"/>
        </w:rPr>
      </w:pPr>
      <w:r>
        <w:rPr>
          <w:rFonts w:hint="eastAsia"/>
          <w:color w:val="auto"/>
        </w:rPr>
        <w:t>9、光线阴暗看不清物体</w:t>
      </w:r>
    </w:p>
    <w:p w14:paraId="24B19B89">
      <w:pPr>
        <w:bidi w:val="0"/>
        <w:rPr>
          <w:rFonts w:hint="eastAsia"/>
          <w:color w:val="auto"/>
        </w:rPr>
      </w:pPr>
      <w:r>
        <w:rPr>
          <w:rFonts w:hint="eastAsia"/>
          <w:color w:val="auto"/>
        </w:rPr>
        <w:t>如起重现场雾大、粉尘大，能见度差，晚间光线太暗或眩目刺眼，看不清物体和周围障碍物，这是发生事故的隐患之一。</w:t>
      </w:r>
    </w:p>
    <w:p w14:paraId="760BC39B">
      <w:pPr>
        <w:bidi w:val="0"/>
        <w:rPr>
          <w:rFonts w:hint="eastAsia"/>
          <w:color w:val="auto"/>
        </w:rPr>
      </w:pPr>
      <w:r>
        <w:rPr>
          <w:rFonts w:hint="eastAsia"/>
          <w:color w:val="auto"/>
        </w:rPr>
        <w:t>10、起重设备带病运转</w:t>
      </w:r>
    </w:p>
    <w:p w14:paraId="1EF42095">
      <w:pPr>
        <w:bidi w:val="0"/>
        <w:rPr>
          <w:rFonts w:hint="eastAsia"/>
          <w:color w:val="auto"/>
        </w:rPr>
      </w:pPr>
      <w:r>
        <w:rPr>
          <w:rFonts w:hint="eastAsia"/>
          <w:color w:val="auto"/>
        </w:rPr>
        <w:t>设备带病运转，不仅缩短了起重设备的使用寿命或修理周期，更为严重的是设备在带病运转过程中，可以导致发生许多设备和人身事故。</w:t>
      </w:r>
    </w:p>
    <w:p w14:paraId="39440647">
      <w:pPr>
        <w:bidi w:val="0"/>
        <w:rPr>
          <w:rFonts w:hint="eastAsia"/>
          <w:color w:val="auto"/>
        </w:rPr>
      </w:pPr>
      <w:r>
        <w:rPr>
          <w:rFonts w:hint="eastAsia"/>
          <w:color w:val="auto"/>
        </w:rPr>
        <w:t>11、人为事故因素</w:t>
      </w:r>
    </w:p>
    <w:p w14:paraId="76DB2877">
      <w:pPr>
        <w:bidi w:val="0"/>
        <w:rPr>
          <w:rFonts w:hint="eastAsia"/>
          <w:color w:val="auto"/>
        </w:rPr>
      </w:pPr>
      <w:r>
        <w:rPr>
          <w:rFonts w:hint="eastAsia"/>
          <w:color w:val="auto"/>
        </w:rPr>
        <w:t>操作员在驾驶时违规操作或操作起重机械的人员未经专业技术培训持证上岗也是导致事故发生的一个主要原因。</w:t>
      </w:r>
    </w:p>
    <w:p w14:paraId="0D963E06">
      <w:pPr>
        <w:bidi w:val="0"/>
        <w:rPr>
          <w:rFonts w:hint="eastAsia"/>
          <w:color w:val="auto"/>
        </w:rPr>
      </w:pPr>
      <w:r>
        <w:rPr>
          <w:rFonts w:hint="eastAsia"/>
          <w:color w:val="auto"/>
        </w:rPr>
        <w:t>可能存在的部位：设备安装、检修过程中、机修车间有可能发生起重伤害事故。</w:t>
      </w:r>
    </w:p>
    <w:p w14:paraId="4C99560E">
      <w:pPr>
        <w:pStyle w:val="4"/>
        <w:bidi w:val="0"/>
        <w:rPr>
          <w:rFonts w:hint="eastAsia"/>
          <w:color w:val="auto"/>
        </w:rPr>
      </w:pPr>
      <w:bookmarkStart w:id="120" w:name="_Toc5683"/>
      <w:r>
        <w:rPr>
          <w:rFonts w:hint="eastAsia"/>
          <w:color w:val="auto"/>
        </w:rPr>
        <w:t>3.3.6</w:t>
      </w:r>
      <w:r>
        <w:rPr>
          <w:rFonts w:hint="eastAsia"/>
          <w:color w:val="auto"/>
          <w:lang w:val="en-US" w:eastAsia="zh-CN"/>
        </w:rPr>
        <w:t xml:space="preserve"> </w:t>
      </w:r>
      <w:r>
        <w:rPr>
          <w:rFonts w:hint="eastAsia"/>
          <w:color w:val="auto"/>
        </w:rPr>
        <w:t>淹溺</w:t>
      </w:r>
      <w:bookmarkEnd w:id="120"/>
    </w:p>
    <w:p w14:paraId="341531D5">
      <w:pPr>
        <w:bidi w:val="0"/>
        <w:rPr>
          <w:rFonts w:hint="eastAsia"/>
          <w:color w:val="auto"/>
        </w:rPr>
      </w:pPr>
      <w:r>
        <w:rPr>
          <w:rFonts w:hint="eastAsia"/>
          <w:color w:val="auto"/>
        </w:rPr>
        <w:t>选矿厂新水池、回水池、事故池、浓缩机等投入使用及检修过程中，由于无安全防护设施或设施损坏及管理措施不到位等，易发生人员不慎掉入池中导致淹溺事故。</w:t>
      </w:r>
    </w:p>
    <w:p w14:paraId="431D221E">
      <w:pPr>
        <w:bidi w:val="0"/>
        <w:rPr>
          <w:rFonts w:hint="eastAsia"/>
          <w:color w:val="auto"/>
        </w:rPr>
      </w:pPr>
      <w:r>
        <w:rPr>
          <w:rFonts w:hint="eastAsia"/>
          <w:color w:val="auto"/>
        </w:rPr>
        <w:t>可能存在的部位：新水池、回水池、事故池、浓缩机等。</w:t>
      </w:r>
    </w:p>
    <w:p w14:paraId="2D2D329E">
      <w:pPr>
        <w:pStyle w:val="4"/>
        <w:bidi w:val="0"/>
        <w:rPr>
          <w:rFonts w:hint="eastAsia"/>
          <w:color w:val="auto"/>
        </w:rPr>
      </w:pPr>
      <w:bookmarkStart w:id="121" w:name="_Toc18908"/>
      <w:r>
        <w:rPr>
          <w:rFonts w:hint="eastAsia"/>
          <w:color w:val="auto"/>
        </w:rPr>
        <w:t>3.3.7</w:t>
      </w:r>
      <w:r>
        <w:rPr>
          <w:rFonts w:hint="eastAsia"/>
          <w:color w:val="auto"/>
          <w:lang w:val="en-US" w:eastAsia="zh-CN"/>
        </w:rPr>
        <w:t xml:space="preserve"> </w:t>
      </w:r>
      <w:r>
        <w:rPr>
          <w:rFonts w:hint="eastAsia"/>
          <w:color w:val="auto"/>
        </w:rPr>
        <w:t>火灾</w:t>
      </w:r>
      <w:bookmarkEnd w:id="121"/>
    </w:p>
    <w:p w14:paraId="5255BC38">
      <w:pPr>
        <w:bidi w:val="0"/>
        <w:rPr>
          <w:rFonts w:hint="eastAsia"/>
          <w:color w:val="auto"/>
        </w:rPr>
      </w:pPr>
      <w:r>
        <w:rPr>
          <w:rFonts w:hint="eastAsia"/>
          <w:color w:val="auto"/>
        </w:rPr>
        <w:t>1、变压器火灾</w:t>
      </w:r>
    </w:p>
    <w:p w14:paraId="6DA6501B">
      <w:pPr>
        <w:bidi w:val="0"/>
        <w:rPr>
          <w:rFonts w:hint="eastAsia"/>
          <w:color w:val="auto"/>
        </w:rPr>
      </w:pPr>
      <w:r>
        <w:rPr>
          <w:rFonts w:hint="eastAsia"/>
          <w:color w:val="auto"/>
        </w:rPr>
        <w:t>变压器的绝缘材料，如电缆线、漆布、木材、黄漆布带、棉布、棉纱、浸渍纸等属可燃物质，在变压器长时间过载发热、短路或其它异常情况下，均易燃烧着火。</w:t>
      </w:r>
    </w:p>
    <w:p w14:paraId="5BC39C16">
      <w:pPr>
        <w:bidi w:val="0"/>
        <w:rPr>
          <w:rFonts w:hint="eastAsia"/>
          <w:color w:val="auto"/>
        </w:rPr>
      </w:pPr>
      <w:r>
        <w:rPr>
          <w:rFonts w:hint="eastAsia"/>
          <w:color w:val="auto"/>
        </w:rPr>
        <w:t>造成变压器绝缘损伤短路，产生电弧的主要原因有：</w:t>
      </w:r>
    </w:p>
    <w:p w14:paraId="1BA14E2B">
      <w:pPr>
        <w:bidi w:val="0"/>
        <w:rPr>
          <w:rFonts w:hint="eastAsia"/>
          <w:color w:val="auto"/>
        </w:rPr>
      </w:pPr>
      <w:r>
        <w:rPr>
          <w:rFonts w:hint="eastAsia"/>
          <w:color w:val="auto"/>
        </w:rPr>
        <w:t>（1）变压器里的绝缘材料如电缆纸、棉纱、布料、木块等长期在较高温度作用下逐步老化，使绝缘强度降低、脱落，引起线圈匝间短路。</w:t>
      </w:r>
    </w:p>
    <w:p w14:paraId="5E26D6B4">
      <w:pPr>
        <w:bidi w:val="0"/>
        <w:rPr>
          <w:rFonts w:hint="eastAsia"/>
          <w:color w:val="auto"/>
        </w:rPr>
      </w:pPr>
      <w:r>
        <w:rPr>
          <w:rFonts w:hint="eastAsia"/>
          <w:color w:val="auto"/>
        </w:rPr>
        <w:t>（2）在过电压冲击下，变压器发生穿越性故障。</w:t>
      </w:r>
    </w:p>
    <w:p w14:paraId="6EDC04F3">
      <w:pPr>
        <w:bidi w:val="0"/>
        <w:rPr>
          <w:rFonts w:hint="eastAsia"/>
          <w:color w:val="auto"/>
        </w:rPr>
      </w:pPr>
      <w:r>
        <w:rPr>
          <w:rFonts w:hint="eastAsia"/>
          <w:color w:val="auto"/>
        </w:rPr>
        <w:t>（3）检修质量不良使局部绝缘损伤。</w:t>
      </w:r>
    </w:p>
    <w:p w14:paraId="454B9DD7">
      <w:pPr>
        <w:bidi w:val="0"/>
        <w:rPr>
          <w:rFonts w:hint="eastAsia"/>
          <w:color w:val="auto"/>
        </w:rPr>
      </w:pPr>
      <w:r>
        <w:rPr>
          <w:rFonts w:hint="eastAsia"/>
          <w:color w:val="auto"/>
        </w:rPr>
        <w:t>（4）变压器油质劣化或变压器进水受潮。</w:t>
      </w:r>
    </w:p>
    <w:p w14:paraId="4075C7D6">
      <w:pPr>
        <w:bidi w:val="0"/>
        <w:rPr>
          <w:rFonts w:hint="eastAsia"/>
          <w:color w:val="auto"/>
        </w:rPr>
      </w:pPr>
      <w:r>
        <w:rPr>
          <w:rFonts w:hint="eastAsia"/>
          <w:color w:val="auto"/>
        </w:rPr>
        <w:t>（5）变压器长期过载发热。</w:t>
      </w:r>
    </w:p>
    <w:p w14:paraId="61727929">
      <w:pPr>
        <w:bidi w:val="0"/>
        <w:rPr>
          <w:rFonts w:hint="eastAsia"/>
          <w:color w:val="auto"/>
        </w:rPr>
      </w:pPr>
      <w:r>
        <w:rPr>
          <w:rFonts w:hint="eastAsia"/>
          <w:color w:val="auto"/>
        </w:rPr>
        <w:t>2、电缆火灾</w:t>
      </w:r>
    </w:p>
    <w:p w14:paraId="200D3659">
      <w:pPr>
        <w:bidi w:val="0"/>
        <w:rPr>
          <w:rFonts w:hint="eastAsia"/>
          <w:color w:val="auto"/>
        </w:rPr>
      </w:pPr>
      <w:r>
        <w:rPr>
          <w:rFonts w:hint="eastAsia"/>
          <w:color w:val="auto"/>
        </w:rPr>
        <w:t>电缆的绝缘材料、填充物和保护层如浸渍纸、漆布、橡胶、塑料等均属可燃物质，具有火灾危险性。</w:t>
      </w:r>
    </w:p>
    <w:p w14:paraId="7908DD23">
      <w:pPr>
        <w:bidi w:val="0"/>
        <w:rPr>
          <w:rFonts w:hint="eastAsia"/>
          <w:color w:val="auto"/>
        </w:rPr>
      </w:pPr>
      <w:r>
        <w:rPr>
          <w:rFonts w:hint="eastAsia"/>
          <w:color w:val="auto"/>
        </w:rPr>
        <w:t>引起电缆火灾的原因有外部起火引起的着火、有电缆本身缺陷引起的着火。</w:t>
      </w:r>
    </w:p>
    <w:p w14:paraId="2016133B">
      <w:pPr>
        <w:bidi w:val="0"/>
        <w:rPr>
          <w:rFonts w:hint="eastAsia"/>
          <w:color w:val="auto"/>
        </w:rPr>
      </w:pPr>
      <w:r>
        <w:rPr>
          <w:rFonts w:hint="eastAsia"/>
          <w:color w:val="auto"/>
        </w:rPr>
        <w:t>（1）外部起火引起电缆着火的原因主要有：</w:t>
      </w:r>
    </w:p>
    <w:p w14:paraId="1ED67D98">
      <w:pPr>
        <w:bidi w:val="0"/>
        <w:rPr>
          <w:rFonts w:hint="eastAsia"/>
          <w:color w:val="auto"/>
        </w:rPr>
      </w:pPr>
      <w:r>
        <w:rPr>
          <w:rFonts w:hint="eastAsia"/>
          <w:color w:val="auto"/>
        </w:rPr>
        <w:t>1）开关设备、其他电气设备短路或接触电阻过大产生高温起火将附近电缆引燃。</w:t>
      </w:r>
    </w:p>
    <w:p w14:paraId="070444D6">
      <w:pPr>
        <w:bidi w:val="0"/>
        <w:rPr>
          <w:rFonts w:hint="eastAsia"/>
          <w:color w:val="auto"/>
        </w:rPr>
      </w:pPr>
      <w:r>
        <w:rPr>
          <w:rFonts w:hint="eastAsia"/>
          <w:color w:val="auto"/>
        </w:rPr>
        <w:t>2）安装施工和检修时高温焊渣等掉到电缆上引起着火。</w:t>
      </w:r>
    </w:p>
    <w:p w14:paraId="73DEE556">
      <w:pPr>
        <w:bidi w:val="0"/>
        <w:rPr>
          <w:rFonts w:hint="eastAsia"/>
          <w:color w:val="auto"/>
        </w:rPr>
      </w:pPr>
      <w:r>
        <w:rPr>
          <w:rFonts w:hint="eastAsia"/>
          <w:color w:val="auto"/>
        </w:rPr>
        <w:t>3）其他可燃、易燃物质着火后将附近电缆引燃。</w:t>
      </w:r>
    </w:p>
    <w:p w14:paraId="57964CB0">
      <w:pPr>
        <w:bidi w:val="0"/>
        <w:rPr>
          <w:rFonts w:hint="eastAsia"/>
          <w:color w:val="auto"/>
        </w:rPr>
      </w:pPr>
      <w:r>
        <w:rPr>
          <w:rFonts w:hint="eastAsia"/>
          <w:color w:val="auto"/>
        </w:rPr>
        <w:t>（2）电缆本身缺陷引起电缆着火的原因：</w:t>
      </w:r>
    </w:p>
    <w:p w14:paraId="7EC84E87">
      <w:pPr>
        <w:bidi w:val="0"/>
        <w:rPr>
          <w:rFonts w:hint="eastAsia"/>
          <w:color w:val="auto"/>
        </w:rPr>
      </w:pPr>
      <w:r>
        <w:rPr>
          <w:rFonts w:hint="eastAsia"/>
          <w:color w:val="auto"/>
        </w:rPr>
        <w:t>1）电缆本身在制造时有缺陷，在敷设时保护铅皮损坏或在运行中电缆绝缘受到机械损伤，引起电缆相间或相与铅皮之间的绝缘击穿而发生电弧。电弧高温能引燃电缆内的绝缘材料和电缆外层的麻布等。</w:t>
      </w:r>
    </w:p>
    <w:p w14:paraId="53278734">
      <w:pPr>
        <w:bidi w:val="0"/>
        <w:rPr>
          <w:rFonts w:hint="eastAsia"/>
          <w:color w:val="auto"/>
        </w:rPr>
      </w:pPr>
      <w:r>
        <w:rPr>
          <w:rFonts w:hint="eastAsia"/>
          <w:color w:val="auto"/>
        </w:rPr>
        <w:t>2）电缆长期受水、酸、碱和其他腐蚀性气体或液体腐蚀，使保护层破坏，绝缘强度降低，引起电缆短路起火。</w:t>
      </w:r>
    </w:p>
    <w:p w14:paraId="3D60FD6A">
      <w:pPr>
        <w:bidi w:val="0"/>
        <w:rPr>
          <w:rFonts w:hint="eastAsia"/>
          <w:color w:val="auto"/>
        </w:rPr>
      </w:pPr>
      <w:r>
        <w:rPr>
          <w:rFonts w:hint="eastAsia"/>
          <w:color w:val="auto"/>
        </w:rPr>
        <w:t>3）在长时间运行中，由于过负荷、过热等原因使电缆绝缘加速老化、干枯，绝缘强度降低，引起电缆相间或对地击穿短路起火。</w:t>
      </w:r>
    </w:p>
    <w:p w14:paraId="5B22C241">
      <w:pPr>
        <w:bidi w:val="0"/>
        <w:rPr>
          <w:rFonts w:hint="eastAsia"/>
          <w:color w:val="auto"/>
        </w:rPr>
      </w:pPr>
      <w:r>
        <w:rPr>
          <w:rFonts w:hint="eastAsia"/>
          <w:color w:val="auto"/>
        </w:rPr>
        <w:t>4）电缆外护套破损或密封不良，使电缆发生水渗浸受潮，导致绝缘击穿短路。</w:t>
      </w:r>
    </w:p>
    <w:p w14:paraId="51C139B7">
      <w:pPr>
        <w:bidi w:val="0"/>
        <w:rPr>
          <w:rFonts w:hint="eastAsia"/>
          <w:color w:val="auto"/>
        </w:rPr>
      </w:pPr>
      <w:r>
        <w:rPr>
          <w:rFonts w:hint="eastAsia"/>
          <w:color w:val="auto"/>
        </w:rPr>
        <w:t>5）过电压使电缆绝缘击穿发生短路起火。</w:t>
      </w:r>
    </w:p>
    <w:p w14:paraId="49CD3805">
      <w:pPr>
        <w:bidi w:val="0"/>
        <w:rPr>
          <w:rFonts w:hint="eastAsia"/>
          <w:color w:val="auto"/>
        </w:rPr>
      </w:pPr>
      <w:r>
        <w:rPr>
          <w:rFonts w:hint="eastAsia"/>
          <w:color w:val="auto"/>
        </w:rPr>
        <w:t>6）安装时电缆的曲率半径过小，致使绝缘折断受损发生短路。</w:t>
      </w:r>
    </w:p>
    <w:p w14:paraId="41922CFB">
      <w:pPr>
        <w:bidi w:val="0"/>
        <w:rPr>
          <w:rFonts w:hint="eastAsia"/>
          <w:color w:val="auto"/>
        </w:rPr>
      </w:pPr>
      <w:r>
        <w:rPr>
          <w:rFonts w:hint="eastAsia"/>
          <w:color w:val="auto"/>
        </w:rPr>
        <w:t>7）电缆终端接头和中间接头接触不良发生爆炸短路事故，引起电缆着火。</w:t>
      </w:r>
    </w:p>
    <w:p w14:paraId="492ADD63">
      <w:pPr>
        <w:bidi w:val="0"/>
        <w:rPr>
          <w:rFonts w:hint="eastAsia"/>
          <w:color w:val="auto"/>
        </w:rPr>
      </w:pPr>
      <w:r>
        <w:rPr>
          <w:rFonts w:hint="eastAsia"/>
          <w:color w:val="auto"/>
        </w:rPr>
        <w:t>（3）其它火灾</w:t>
      </w:r>
    </w:p>
    <w:p w14:paraId="4FA08E74">
      <w:pPr>
        <w:bidi w:val="0"/>
        <w:rPr>
          <w:rFonts w:hint="eastAsia"/>
          <w:color w:val="auto"/>
        </w:rPr>
      </w:pPr>
      <w:r>
        <w:rPr>
          <w:rFonts w:hint="eastAsia"/>
          <w:color w:val="auto"/>
        </w:rPr>
        <w:t>常用电气包括电动机、照明灯具等火灾危险性较大的电气设备。这些电气设备在发生故障时，可能会引燃绝缘材料或其它可燃物质，造成火灾事故的发生。</w:t>
      </w:r>
    </w:p>
    <w:p w14:paraId="27E35BBF">
      <w:pPr>
        <w:bidi w:val="0"/>
        <w:rPr>
          <w:rFonts w:hint="eastAsia"/>
          <w:color w:val="auto"/>
        </w:rPr>
      </w:pPr>
      <w:r>
        <w:rPr>
          <w:rFonts w:hint="eastAsia"/>
          <w:color w:val="auto"/>
        </w:rPr>
        <w:t>电、气焊（割）作业过程中高温焊渣或熔融的金属火星飞溅到可燃物质上，会引起火灾。</w:t>
      </w:r>
    </w:p>
    <w:p w14:paraId="137BCB36">
      <w:pPr>
        <w:bidi w:val="0"/>
        <w:rPr>
          <w:rFonts w:hint="eastAsia"/>
          <w:color w:val="auto"/>
        </w:rPr>
      </w:pPr>
      <w:r>
        <w:rPr>
          <w:rFonts w:hint="eastAsia"/>
          <w:color w:val="auto"/>
        </w:rPr>
        <w:t>设备上使用的润滑油具有可燃性，如遇明火或强氧化剂，也有发生火灾的可能。</w:t>
      </w:r>
    </w:p>
    <w:p w14:paraId="3FB967B9">
      <w:pPr>
        <w:bidi w:val="0"/>
        <w:rPr>
          <w:rFonts w:hint="eastAsia"/>
          <w:color w:val="auto"/>
        </w:rPr>
      </w:pPr>
      <w:r>
        <w:rPr>
          <w:rFonts w:hint="eastAsia"/>
          <w:color w:val="auto"/>
        </w:rPr>
        <w:t>本项目中，各生产工序、公用工程及辅助设施均有可能发生电气火灾，主要包括变配电所（室）、电气室、控制室、主电缆通道等。</w:t>
      </w:r>
    </w:p>
    <w:p w14:paraId="43318479">
      <w:pPr>
        <w:bidi w:val="0"/>
        <w:rPr>
          <w:rFonts w:hint="eastAsia"/>
          <w:color w:val="auto"/>
        </w:rPr>
      </w:pPr>
      <w:r>
        <w:rPr>
          <w:rFonts w:hint="eastAsia"/>
          <w:color w:val="auto"/>
        </w:rPr>
        <w:t>可能存在的部位：各电气室、控制室、变配电柜及厂房等部位。</w:t>
      </w:r>
    </w:p>
    <w:p w14:paraId="7BF08EFD">
      <w:pPr>
        <w:pStyle w:val="4"/>
        <w:bidi w:val="0"/>
        <w:rPr>
          <w:rFonts w:hint="eastAsia"/>
          <w:color w:val="auto"/>
        </w:rPr>
      </w:pPr>
      <w:bookmarkStart w:id="122" w:name="_Toc1508"/>
      <w:r>
        <w:rPr>
          <w:rFonts w:hint="eastAsia"/>
          <w:color w:val="auto"/>
        </w:rPr>
        <w:t>3.3.8</w:t>
      </w:r>
      <w:r>
        <w:rPr>
          <w:rFonts w:hint="eastAsia"/>
          <w:color w:val="auto"/>
          <w:lang w:val="en-US" w:eastAsia="zh-CN"/>
        </w:rPr>
        <w:t xml:space="preserve"> </w:t>
      </w:r>
      <w:r>
        <w:rPr>
          <w:rFonts w:hint="eastAsia"/>
          <w:color w:val="auto"/>
        </w:rPr>
        <w:t>车辆伤害</w:t>
      </w:r>
      <w:bookmarkEnd w:id="122"/>
    </w:p>
    <w:p w14:paraId="4C3F1A6A">
      <w:pPr>
        <w:bidi w:val="0"/>
        <w:rPr>
          <w:rFonts w:hint="eastAsia"/>
          <w:color w:val="auto"/>
        </w:rPr>
      </w:pPr>
      <w:r>
        <w:rPr>
          <w:rFonts w:hint="eastAsia"/>
          <w:color w:val="auto"/>
        </w:rPr>
        <w:t>尾矿及辅料采用汽车运输。在运输行驶过程中，由于违章载人、违章作业或作业场地狭窄而导致人员坠落和物体倒塌、下落、挤压伤亡事故；车辆在行驶过程中，由于道路坡陡弯急、行车速度快、车辆故障、违章驾驶、制动失灵、信号标志缺失等，易发生翻车、撞坏设备和撞伤人员等车辆伤害事故。</w:t>
      </w:r>
    </w:p>
    <w:p w14:paraId="2D6B9595">
      <w:pPr>
        <w:bidi w:val="0"/>
        <w:rPr>
          <w:rFonts w:hint="eastAsia"/>
          <w:color w:val="auto"/>
        </w:rPr>
      </w:pPr>
      <w:r>
        <w:rPr>
          <w:rFonts w:hint="eastAsia"/>
          <w:color w:val="auto"/>
        </w:rPr>
        <w:t>可能存在的部位：尾矿堆场、辅料运输等。</w:t>
      </w:r>
    </w:p>
    <w:p w14:paraId="0C7025D2">
      <w:pPr>
        <w:pStyle w:val="4"/>
        <w:bidi w:val="0"/>
        <w:rPr>
          <w:rFonts w:hint="eastAsia"/>
          <w:color w:val="auto"/>
        </w:rPr>
      </w:pPr>
      <w:bookmarkStart w:id="123" w:name="_Toc20402"/>
      <w:r>
        <w:rPr>
          <w:rFonts w:hint="eastAsia"/>
          <w:color w:val="auto"/>
        </w:rPr>
        <w:t>3.3.9</w:t>
      </w:r>
      <w:r>
        <w:rPr>
          <w:rFonts w:hint="eastAsia"/>
          <w:color w:val="auto"/>
          <w:lang w:val="en-US" w:eastAsia="zh-CN"/>
        </w:rPr>
        <w:t xml:space="preserve"> </w:t>
      </w:r>
      <w:r>
        <w:rPr>
          <w:rFonts w:hint="eastAsia"/>
          <w:color w:val="auto"/>
        </w:rPr>
        <w:t>窒息</w:t>
      </w:r>
      <w:bookmarkEnd w:id="123"/>
    </w:p>
    <w:p w14:paraId="23FB9114">
      <w:pPr>
        <w:bidi w:val="0"/>
        <w:rPr>
          <w:rFonts w:hint="eastAsia"/>
          <w:color w:val="auto"/>
        </w:rPr>
      </w:pPr>
      <w:r>
        <w:rPr>
          <w:rFonts w:hint="eastAsia"/>
          <w:color w:val="auto"/>
        </w:rPr>
        <w:t>1、进入</w:t>
      </w:r>
      <w:r>
        <w:rPr>
          <w:rFonts w:hint="eastAsia"/>
          <w:color w:val="auto"/>
          <w:lang w:val="en-US" w:eastAsia="zh-CN"/>
        </w:rPr>
        <w:t>水池、浓缩机等</w:t>
      </w:r>
      <w:r>
        <w:rPr>
          <w:rFonts w:hint="eastAsia"/>
          <w:color w:val="auto"/>
        </w:rPr>
        <w:t>有限空间作业，未进行通风置换或无监护人，造成窒息；</w:t>
      </w:r>
    </w:p>
    <w:p w14:paraId="5A17574A">
      <w:pPr>
        <w:bidi w:val="0"/>
        <w:rPr>
          <w:rFonts w:hint="eastAsia"/>
          <w:color w:val="auto"/>
        </w:rPr>
      </w:pPr>
      <w:r>
        <w:rPr>
          <w:rFonts w:hint="eastAsia"/>
          <w:color w:val="auto"/>
        </w:rPr>
        <w:t>2、进入设置排污泵的低洼水池检修，由于未进行通风置换，造成中毒窒息。</w:t>
      </w:r>
    </w:p>
    <w:p w14:paraId="14876952">
      <w:pPr>
        <w:bidi w:val="0"/>
        <w:rPr>
          <w:rFonts w:hint="eastAsia"/>
          <w:color w:val="auto"/>
        </w:rPr>
      </w:pPr>
      <w:r>
        <w:rPr>
          <w:rFonts w:hint="eastAsia"/>
          <w:color w:val="auto"/>
        </w:rPr>
        <w:t>3、浓缩、压滤车间没有配备相应的通风装置或应急设施。</w:t>
      </w:r>
    </w:p>
    <w:p w14:paraId="31BA9797">
      <w:pPr>
        <w:bidi w:val="0"/>
        <w:rPr>
          <w:rFonts w:hint="eastAsia"/>
          <w:color w:val="auto"/>
        </w:rPr>
      </w:pPr>
      <w:r>
        <w:rPr>
          <w:rFonts w:hint="eastAsia"/>
          <w:color w:val="auto"/>
        </w:rPr>
        <w:t>4、配备的通风装置或应急设施没有定期检查其效能，易导致人员中毒后不能及时处理，从而造成人员伤亡。</w:t>
      </w:r>
    </w:p>
    <w:p w14:paraId="7D29378F">
      <w:pPr>
        <w:bidi w:val="0"/>
        <w:rPr>
          <w:rFonts w:hint="eastAsia"/>
          <w:color w:val="auto"/>
        </w:rPr>
      </w:pPr>
      <w:r>
        <w:rPr>
          <w:rFonts w:hint="eastAsia"/>
          <w:color w:val="auto"/>
        </w:rPr>
        <w:t>5、没有对员工进行急救措施的培训，易导致人员中毒后不能及时处理，从而造成人员伤亡。</w:t>
      </w:r>
    </w:p>
    <w:p w14:paraId="0CE4E4F1">
      <w:pPr>
        <w:bidi w:val="0"/>
        <w:rPr>
          <w:rFonts w:hint="eastAsia"/>
          <w:color w:val="auto"/>
        </w:rPr>
      </w:pPr>
      <w:r>
        <w:rPr>
          <w:rFonts w:hint="eastAsia"/>
          <w:color w:val="auto"/>
        </w:rPr>
        <w:t>6、空气置换不彻底，作业人员没有穿戴防护用品和防毒面具，没有填报危险作业票（或未审批），未安排专人监护就进入有毒容器进行检修，易导致中毒事故的发生。</w:t>
      </w:r>
    </w:p>
    <w:p w14:paraId="3380A9FA">
      <w:pPr>
        <w:bidi w:val="0"/>
        <w:rPr>
          <w:rFonts w:hint="eastAsia"/>
          <w:color w:val="auto"/>
        </w:rPr>
      </w:pPr>
      <w:r>
        <w:rPr>
          <w:rFonts w:hint="eastAsia"/>
          <w:color w:val="auto"/>
        </w:rPr>
        <w:t>8、未配置冲淋设施。</w:t>
      </w:r>
    </w:p>
    <w:p w14:paraId="5CC6B16A">
      <w:pPr>
        <w:bidi w:val="0"/>
        <w:rPr>
          <w:rFonts w:hint="eastAsia"/>
          <w:color w:val="auto"/>
        </w:rPr>
      </w:pPr>
      <w:r>
        <w:rPr>
          <w:rFonts w:hint="eastAsia"/>
          <w:color w:val="auto"/>
        </w:rPr>
        <w:t>可能存在的部位：车间等部位。</w:t>
      </w:r>
    </w:p>
    <w:p w14:paraId="3A3F3499">
      <w:pPr>
        <w:pStyle w:val="4"/>
        <w:bidi w:val="0"/>
        <w:rPr>
          <w:rFonts w:hint="eastAsia"/>
          <w:color w:val="auto"/>
        </w:rPr>
      </w:pPr>
      <w:bookmarkStart w:id="124" w:name="_Toc12235"/>
      <w:r>
        <w:rPr>
          <w:rFonts w:hint="eastAsia"/>
          <w:color w:val="auto"/>
        </w:rPr>
        <w:t>3.3.10</w:t>
      </w:r>
      <w:r>
        <w:rPr>
          <w:rFonts w:hint="eastAsia"/>
          <w:color w:val="auto"/>
          <w:lang w:val="en-US" w:eastAsia="zh-CN"/>
        </w:rPr>
        <w:t xml:space="preserve"> </w:t>
      </w:r>
      <w:r>
        <w:rPr>
          <w:rFonts w:hint="eastAsia"/>
          <w:color w:val="auto"/>
        </w:rPr>
        <w:t>容器爆炸</w:t>
      </w:r>
      <w:bookmarkEnd w:id="124"/>
    </w:p>
    <w:p w14:paraId="4955F7FE">
      <w:pPr>
        <w:bidi w:val="0"/>
        <w:rPr>
          <w:rFonts w:hint="eastAsia"/>
          <w:color w:val="auto"/>
        </w:rPr>
      </w:pPr>
      <w:r>
        <w:rPr>
          <w:rFonts w:hint="eastAsia"/>
          <w:color w:val="auto"/>
        </w:rPr>
        <w:t>在进行气焊（割）作业时，使用的乙炔是易燃易爆气体，使用的氧气具有强烈的助燃性，如果控制不好，很容易发生燃烧或引起爆炸。在外部温度环境变化较大情况下（高温），也由于气瓶、空压机储气罐内气体膨胀，发生物理爆炸，从而引起火灾、爆炸事故。</w:t>
      </w:r>
    </w:p>
    <w:p w14:paraId="3F206B9F">
      <w:pPr>
        <w:bidi w:val="0"/>
        <w:rPr>
          <w:rFonts w:hint="eastAsia"/>
          <w:color w:val="auto"/>
        </w:rPr>
      </w:pPr>
      <w:r>
        <w:rPr>
          <w:rFonts w:hint="eastAsia"/>
          <w:color w:val="auto"/>
        </w:rPr>
        <w:t>1、空压机</w:t>
      </w:r>
    </w:p>
    <w:p w14:paraId="7D1CEAE1">
      <w:pPr>
        <w:bidi w:val="0"/>
        <w:rPr>
          <w:rFonts w:hint="eastAsia"/>
          <w:color w:val="auto"/>
        </w:rPr>
      </w:pPr>
      <w:r>
        <w:rPr>
          <w:rFonts w:hint="eastAsia"/>
          <w:color w:val="auto"/>
        </w:rPr>
        <w:t>（1）空压机若安全阀、压力表等安全附件缺失或失效，若超压运行，可能会发生物理爆炸；</w:t>
      </w:r>
    </w:p>
    <w:p w14:paraId="6576B832">
      <w:pPr>
        <w:bidi w:val="0"/>
        <w:rPr>
          <w:rFonts w:hint="eastAsia"/>
          <w:color w:val="auto"/>
        </w:rPr>
      </w:pPr>
      <w:r>
        <w:rPr>
          <w:rFonts w:hint="eastAsia"/>
          <w:color w:val="auto"/>
        </w:rPr>
        <w:t>（2）雾化的润滑油或其分解物与压缩空气混合可能会引起爆炸；</w:t>
      </w:r>
    </w:p>
    <w:p w14:paraId="7F6398ED">
      <w:pPr>
        <w:bidi w:val="0"/>
        <w:rPr>
          <w:rFonts w:hint="eastAsia"/>
          <w:color w:val="auto"/>
        </w:rPr>
      </w:pPr>
      <w:r>
        <w:rPr>
          <w:rFonts w:hint="eastAsia"/>
          <w:color w:val="auto"/>
        </w:rPr>
        <w:t>（3）压缩机油封和润滑系统或空气入口气体不符合要求，使大量油类、烃类等进入，沉积于系统低洼处，例如法兰、阀门、波纹管、变径处等，在高压气体作用下，逐渐被雾化、氧化、结焦、炭化、分解，会成为爆炸的潜在条件；</w:t>
      </w:r>
    </w:p>
    <w:p w14:paraId="3FFBACAD">
      <w:pPr>
        <w:bidi w:val="0"/>
        <w:rPr>
          <w:rFonts w:hint="eastAsia"/>
          <w:color w:val="auto"/>
        </w:rPr>
      </w:pPr>
      <w:r>
        <w:rPr>
          <w:rFonts w:hint="eastAsia"/>
          <w:color w:val="auto"/>
        </w:rPr>
        <w:t>（4）空气压缩过程中的不稳定和喘振状态可以导致介质温度突然升高，从而引起爆炸等事故发生；</w:t>
      </w:r>
    </w:p>
    <w:p w14:paraId="4C6D5609">
      <w:pPr>
        <w:bidi w:val="0"/>
        <w:rPr>
          <w:rFonts w:hint="eastAsia"/>
          <w:color w:val="auto"/>
        </w:rPr>
      </w:pPr>
      <w:r>
        <w:rPr>
          <w:rFonts w:hint="eastAsia"/>
          <w:color w:val="auto"/>
        </w:rPr>
        <w:t>（5）人员误触及空压机转动部位会造成机械伤害；</w:t>
      </w:r>
    </w:p>
    <w:p w14:paraId="3125B1A0">
      <w:pPr>
        <w:bidi w:val="0"/>
        <w:rPr>
          <w:rFonts w:hint="eastAsia"/>
          <w:color w:val="auto"/>
        </w:rPr>
      </w:pPr>
      <w:r>
        <w:rPr>
          <w:rFonts w:hint="eastAsia"/>
          <w:color w:val="auto"/>
        </w:rPr>
        <w:t>（6）空压机运行噪声较大，降噪措施不良、防噪劳动防护用品使用不规范容易造成职业性耳聋。</w:t>
      </w:r>
    </w:p>
    <w:p w14:paraId="2FEEC000">
      <w:pPr>
        <w:bidi w:val="0"/>
        <w:rPr>
          <w:rFonts w:hint="eastAsia"/>
          <w:color w:val="auto"/>
        </w:rPr>
      </w:pPr>
      <w:r>
        <w:rPr>
          <w:rFonts w:hint="eastAsia"/>
          <w:color w:val="auto"/>
        </w:rPr>
        <w:t>可能存在的部位：主要包括</w:t>
      </w:r>
      <w:r>
        <w:rPr>
          <w:rFonts w:hint="eastAsia"/>
          <w:color w:val="auto"/>
          <w:lang w:val="en-US" w:eastAsia="zh-CN"/>
        </w:rPr>
        <w:t>压滤车间、</w:t>
      </w:r>
      <w:r>
        <w:rPr>
          <w:rFonts w:hint="eastAsia"/>
          <w:color w:val="auto"/>
        </w:rPr>
        <w:t>检维修现场、仓库、其他存放易燃易爆物品的场所等。</w:t>
      </w:r>
    </w:p>
    <w:p w14:paraId="14626CE1">
      <w:pPr>
        <w:pStyle w:val="4"/>
        <w:bidi w:val="0"/>
        <w:rPr>
          <w:rFonts w:hint="eastAsia"/>
          <w:color w:val="auto"/>
        </w:rPr>
      </w:pPr>
      <w:bookmarkStart w:id="125" w:name="_Toc29030"/>
      <w:r>
        <w:rPr>
          <w:rFonts w:hint="eastAsia"/>
          <w:color w:val="auto"/>
        </w:rPr>
        <w:t>3.3.11</w:t>
      </w:r>
      <w:r>
        <w:rPr>
          <w:rFonts w:hint="eastAsia"/>
          <w:color w:val="auto"/>
          <w:lang w:val="en-US" w:eastAsia="zh-CN"/>
        </w:rPr>
        <w:t xml:space="preserve"> </w:t>
      </w:r>
      <w:r>
        <w:rPr>
          <w:rFonts w:hint="eastAsia"/>
          <w:color w:val="auto"/>
        </w:rPr>
        <w:t>化学腐蚀及化学灼伤</w:t>
      </w:r>
      <w:bookmarkEnd w:id="125"/>
    </w:p>
    <w:p w14:paraId="7D34219E">
      <w:pPr>
        <w:bidi w:val="0"/>
        <w:rPr>
          <w:rFonts w:hint="eastAsia"/>
          <w:color w:val="auto"/>
        </w:rPr>
      </w:pPr>
      <w:r>
        <w:rPr>
          <w:rFonts w:hint="eastAsia"/>
          <w:color w:val="auto"/>
        </w:rPr>
        <w:t>能造成腐蚀危害的物质主要是柴油等物质，具有很强的腐蚀性，因此，腐蚀危害也是使用必须重点防范的危险、有害因素之一。</w:t>
      </w:r>
    </w:p>
    <w:p w14:paraId="27694A16">
      <w:pPr>
        <w:bidi w:val="0"/>
        <w:rPr>
          <w:rFonts w:hint="eastAsia"/>
          <w:color w:val="auto"/>
        </w:rPr>
      </w:pPr>
      <w:r>
        <w:rPr>
          <w:rFonts w:hint="eastAsia"/>
          <w:color w:val="auto"/>
        </w:rPr>
        <w:t>可能存在的部位：备品备料库等。</w:t>
      </w:r>
    </w:p>
    <w:p w14:paraId="57B80AED">
      <w:pPr>
        <w:pStyle w:val="4"/>
        <w:bidi w:val="0"/>
        <w:rPr>
          <w:rFonts w:hint="eastAsia"/>
          <w:color w:val="auto"/>
        </w:rPr>
      </w:pPr>
      <w:bookmarkStart w:id="126" w:name="_Toc30615"/>
      <w:r>
        <w:rPr>
          <w:rFonts w:hint="eastAsia"/>
          <w:color w:val="auto"/>
        </w:rPr>
        <w:t>3.3.12</w:t>
      </w:r>
      <w:r>
        <w:rPr>
          <w:rFonts w:hint="eastAsia"/>
          <w:color w:val="auto"/>
          <w:lang w:val="en-US" w:eastAsia="zh-CN"/>
        </w:rPr>
        <w:t xml:space="preserve"> </w:t>
      </w:r>
      <w:r>
        <w:rPr>
          <w:rFonts w:hint="eastAsia"/>
          <w:color w:val="auto"/>
        </w:rPr>
        <w:t>坍塌、滑坡</w:t>
      </w:r>
      <w:bookmarkEnd w:id="126"/>
    </w:p>
    <w:p w14:paraId="2A593830">
      <w:pPr>
        <w:bidi w:val="0"/>
        <w:rPr>
          <w:rFonts w:hint="eastAsia"/>
          <w:color w:val="auto"/>
        </w:rPr>
      </w:pPr>
      <w:r>
        <w:rPr>
          <w:rFonts w:hint="eastAsia"/>
          <w:color w:val="auto"/>
        </w:rPr>
        <w:t>（1）厂房布置台阶设置过高、坡面角过陡、排洪设施损坏、未设置防滚石设施或设施损坏、未设置挡墙或挡墙损坏、边坡未采取加固措施或加固措施不当、边坡管理不当等，都易造成边坡滚石、滑坡（坍塌）的危险，危及选厂作业人员和设备的安全。</w:t>
      </w:r>
    </w:p>
    <w:p w14:paraId="72D5C55E">
      <w:pPr>
        <w:bidi w:val="0"/>
        <w:rPr>
          <w:rFonts w:hint="eastAsia"/>
          <w:color w:val="auto"/>
        </w:rPr>
      </w:pPr>
      <w:r>
        <w:rPr>
          <w:rFonts w:hint="eastAsia"/>
          <w:color w:val="auto"/>
        </w:rPr>
        <w:t>（2）建（构）筑物设计不合理，或施工质量不合格、年久失修，可能造成建构筑物坍塌等危险；</w:t>
      </w:r>
    </w:p>
    <w:p w14:paraId="73BC6E24">
      <w:pPr>
        <w:bidi w:val="0"/>
        <w:rPr>
          <w:rFonts w:hint="eastAsia"/>
          <w:color w:val="auto"/>
        </w:rPr>
      </w:pPr>
      <w:r>
        <w:rPr>
          <w:rFonts w:hint="eastAsia"/>
          <w:color w:val="auto"/>
        </w:rPr>
        <w:t>（3）选厂一般建构筑物地基土的承载力标准值，应大于150kPa（1.5kgf/cm</w:t>
      </w:r>
      <w:r>
        <w:rPr>
          <w:rFonts w:hint="eastAsia"/>
          <w:color w:val="auto"/>
          <w:vertAlign w:val="superscript"/>
        </w:rPr>
        <w:t>2</w:t>
      </w:r>
      <w:r>
        <w:rPr>
          <w:rFonts w:hint="eastAsia"/>
          <w:color w:val="auto"/>
        </w:rPr>
        <w:t>），主要建构筑物地基土的承载力标准值，应大于250kPa（2.5kgf/cm</w:t>
      </w:r>
      <w:r>
        <w:rPr>
          <w:rFonts w:hint="eastAsia"/>
          <w:color w:val="auto"/>
          <w:vertAlign w:val="superscript"/>
        </w:rPr>
        <w:t>2</w:t>
      </w:r>
      <w:r>
        <w:rPr>
          <w:rFonts w:hint="eastAsia"/>
          <w:color w:val="auto"/>
        </w:rPr>
        <w:t>），如地基土承载力不满足要求，应对地基进行妥善处理。</w:t>
      </w:r>
    </w:p>
    <w:p w14:paraId="3D4D7F1D">
      <w:pPr>
        <w:bidi w:val="0"/>
        <w:rPr>
          <w:rFonts w:hint="eastAsia"/>
          <w:color w:val="auto"/>
        </w:rPr>
      </w:pPr>
      <w:r>
        <w:rPr>
          <w:rFonts w:hint="eastAsia"/>
          <w:color w:val="auto"/>
        </w:rPr>
        <w:t>（4）本项目在建设时，在施工过程中应采取相应措施防止脚手架、建构物坍塌。</w:t>
      </w:r>
    </w:p>
    <w:p w14:paraId="09A79823">
      <w:pPr>
        <w:pStyle w:val="4"/>
        <w:bidi w:val="0"/>
        <w:rPr>
          <w:rFonts w:hint="eastAsia"/>
          <w:color w:val="auto"/>
        </w:rPr>
      </w:pPr>
      <w:bookmarkStart w:id="127" w:name="_Toc29162"/>
      <w:r>
        <w:rPr>
          <w:rFonts w:hint="eastAsia"/>
          <w:color w:val="auto"/>
        </w:rPr>
        <w:t>3.3.13</w:t>
      </w:r>
      <w:r>
        <w:rPr>
          <w:rFonts w:hint="eastAsia"/>
          <w:color w:val="auto"/>
          <w:lang w:val="en-US" w:eastAsia="zh-CN"/>
        </w:rPr>
        <w:t xml:space="preserve"> </w:t>
      </w:r>
      <w:r>
        <w:rPr>
          <w:rFonts w:hint="eastAsia"/>
          <w:color w:val="auto"/>
        </w:rPr>
        <w:t>设备、设施、工具、附件缺陷</w:t>
      </w:r>
      <w:bookmarkEnd w:id="127"/>
    </w:p>
    <w:p w14:paraId="672605D7">
      <w:pPr>
        <w:bidi w:val="0"/>
        <w:rPr>
          <w:rFonts w:hint="eastAsia"/>
          <w:color w:val="auto"/>
        </w:rPr>
      </w:pPr>
      <w:r>
        <w:rPr>
          <w:rFonts w:hint="eastAsia"/>
          <w:color w:val="auto"/>
        </w:rPr>
        <w:t>生产过程中可能存在设备、设施、工具、附件缺陷，主要表现在强度不够、刚度不够、稳定性差、耐腐蚀性差、应力集中、外形缺陷，其中管道腐蚀包括全面腐蚀、局部腐蚀、应力腐蚀，将影响管道运行的期限及使用寿命，增加工程成本。设备、设施、工具、附件缺陷可能造成设施损坏、矿浆渗漏或者造成对周边环境污染。</w:t>
      </w:r>
    </w:p>
    <w:p w14:paraId="44F5287D">
      <w:pPr>
        <w:pStyle w:val="4"/>
        <w:bidi w:val="0"/>
        <w:rPr>
          <w:rFonts w:hint="eastAsia"/>
          <w:color w:val="auto"/>
        </w:rPr>
      </w:pPr>
      <w:bookmarkStart w:id="128" w:name="_Toc21098"/>
      <w:r>
        <w:rPr>
          <w:rFonts w:hint="eastAsia"/>
          <w:color w:val="auto"/>
        </w:rPr>
        <w:t>3.3.14</w:t>
      </w:r>
      <w:r>
        <w:rPr>
          <w:rFonts w:hint="eastAsia"/>
          <w:color w:val="auto"/>
          <w:lang w:val="en-US" w:eastAsia="zh-CN"/>
        </w:rPr>
        <w:t xml:space="preserve"> </w:t>
      </w:r>
      <w:r>
        <w:rPr>
          <w:rFonts w:hint="eastAsia"/>
          <w:color w:val="auto"/>
        </w:rPr>
        <w:t>其他危害</w:t>
      </w:r>
      <w:bookmarkEnd w:id="128"/>
    </w:p>
    <w:p w14:paraId="049C6586">
      <w:pPr>
        <w:bidi w:val="0"/>
        <w:rPr>
          <w:rFonts w:hint="eastAsia"/>
          <w:color w:val="auto"/>
        </w:rPr>
      </w:pPr>
      <w:r>
        <w:rPr>
          <w:rFonts w:hint="eastAsia"/>
          <w:color w:val="auto"/>
          <w:lang w:val="en-US" w:eastAsia="zh-CN"/>
        </w:rPr>
        <w:t>1</w:t>
      </w:r>
      <w:r>
        <w:rPr>
          <w:rFonts w:hint="eastAsia"/>
          <w:color w:val="auto"/>
        </w:rPr>
        <w:t>、粉尘</w:t>
      </w:r>
    </w:p>
    <w:p w14:paraId="6B391B64">
      <w:pPr>
        <w:bidi w:val="0"/>
        <w:rPr>
          <w:rFonts w:hint="eastAsia"/>
          <w:color w:val="auto"/>
        </w:rPr>
      </w:pPr>
      <w:r>
        <w:rPr>
          <w:rFonts w:hint="eastAsia"/>
          <w:color w:val="auto"/>
        </w:rPr>
        <w:t>选矿厂带式输送机下料口有大量粉尘产生。若通风排风能力不够，达不到换气要求，空气中粉尘和有害气体含量超标；若作业未装设除尘（降尘）设备；或除尘（降尘）设备损坏未及时修理，作业人员接触粉尘污染，易患职业病。</w:t>
      </w:r>
    </w:p>
    <w:p w14:paraId="6AAE0EEE">
      <w:pPr>
        <w:bidi w:val="0"/>
        <w:rPr>
          <w:rFonts w:hint="eastAsia"/>
          <w:color w:val="auto"/>
        </w:rPr>
      </w:pPr>
      <w:r>
        <w:rPr>
          <w:rFonts w:hint="eastAsia"/>
          <w:color w:val="auto"/>
          <w:lang w:val="en-US" w:eastAsia="zh-CN"/>
        </w:rPr>
        <w:t>2</w:t>
      </w:r>
      <w:r>
        <w:rPr>
          <w:rFonts w:hint="eastAsia"/>
          <w:color w:val="auto"/>
        </w:rPr>
        <w:t>、噪声危害</w:t>
      </w:r>
    </w:p>
    <w:p w14:paraId="799631B1">
      <w:pPr>
        <w:bidi w:val="0"/>
        <w:rPr>
          <w:rFonts w:hint="eastAsia"/>
          <w:color w:val="auto"/>
        </w:rPr>
      </w:pPr>
      <w:r>
        <w:rPr>
          <w:rFonts w:hint="eastAsia"/>
          <w:color w:val="auto"/>
        </w:rPr>
        <w:t>噪声主要来源于各种设备在运转过程中由振动、摩擦、碰撞产生的机械动力噪声。主要噪声源有泵等设备及各种电动机等，操作人员长期接触噪声超标岗位，可能产生职业病。</w:t>
      </w:r>
    </w:p>
    <w:p w14:paraId="0602ADB8">
      <w:pPr>
        <w:bidi w:val="0"/>
        <w:rPr>
          <w:rFonts w:hint="eastAsia"/>
          <w:color w:val="auto"/>
        </w:rPr>
      </w:pPr>
      <w:r>
        <w:rPr>
          <w:rFonts w:hint="eastAsia"/>
          <w:color w:val="auto"/>
          <w:lang w:val="en-US" w:eastAsia="zh-CN"/>
        </w:rPr>
        <w:t>3</w:t>
      </w:r>
      <w:r>
        <w:rPr>
          <w:rFonts w:hint="eastAsia"/>
          <w:color w:val="auto"/>
        </w:rPr>
        <w:t>、振动</w:t>
      </w:r>
    </w:p>
    <w:p w14:paraId="143929A3">
      <w:pPr>
        <w:bidi w:val="0"/>
        <w:rPr>
          <w:rFonts w:hint="eastAsia"/>
          <w:color w:val="auto"/>
        </w:rPr>
      </w:pPr>
      <w:r>
        <w:rPr>
          <w:rFonts w:hint="eastAsia"/>
          <w:color w:val="auto"/>
        </w:rPr>
        <w:t>振动可对人体，建、构筑物和设备、仪器造成危害。</w:t>
      </w:r>
    </w:p>
    <w:p w14:paraId="51A2651E">
      <w:pPr>
        <w:bidi w:val="0"/>
        <w:rPr>
          <w:rFonts w:hint="eastAsia"/>
          <w:color w:val="auto"/>
        </w:rPr>
      </w:pPr>
      <w:r>
        <w:rPr>
          <w:rFonts w:hint="eastAsia"/>
          <w:color w:val="auto"/>
        </w:rPr>
        <w:t>振动对人的危害主要是引起辨别能力和短时记忆能力降低，视力恶化和视野改变，可能引起血压升高，脊柱病变，影响女性生殖功能。局部振动可导致外周循环机能障碍，引起中枢神经系统功能紊乱。</w:t>
      </w:r>
    </w:p>
    <w:p w14:paraId="28D3FD56">
      <w:pPr>
        <w:bidi w:val="0"/>
        <w:rPr>
          <w:rFonts w:hint="eastAsia"/>
          <w:color w:val="auto"/>
        </w:rPr>
      </w:pPr>
      <w:r>
        <w:rPr>
          <w:rFonts w:hint="eastAsia"/>
          <w:color w:val="auto"/>
        </w:rPr>
        <w:t>振动对建筑的影响主要表现在两个方面：振动施于建筑物，即机械能施于建筑物结构，将造成建筑物结构变形。振动不断地施于建筑物，建筑结构变形将不断增大，就会造成结构受到损坏。可能造成建、构筑物基础和墙皮龟裂，墙皮剥落，地基下沉等。重者可使建筑物倒塌。尤其是当振动频率和建筑物等结构的频率相近或一致时，损坏将更加严重。</w:t>
      </w:r>
    </w:p>
    <w:p w14:paraId="5DD2059C">
      <w:pPr>
        <w:bidi w:val="0"/>
        <w:rPr>
          <w:rFonts w:hint="eastAsia"/>
          <w:color w:val="auto"/>
        </w:rPr>
      </w:pPr>
      <w:r>
        <w:rPr>
          <w:rFonts w:hint="eastAsia"/>
          <w:color w:val="auto"/>
        </w:rPr>
        <w:t xml:space="preserve">当振动过大时，会直接损害设备、仪器、仪表以及机器上面与温度、压力、过电流、过电压等保护有关的部件，造成设备、仪表读数失常，误操作甚至失控，带来设备控制的不安全因素。 </w:t>
      </w:r>
    </w:p>
    <w:p w14:paraId="1DDD78DF">
      <w:pPr>
        <w:bidi w:val="0"/>
        <w:rPr>
          <w:rFonts w:hint="eastAsia"/>
          <w:color w:val="auto"/>
        </w:rPr>
      </w:pPr>
      <w:r>
        <w:rPr>
          <w:rFonts w:hint="eastAsia"/>
          <w:color w:val="auto"/>
        </w:rPr>
        <w:t>本项目机械振动是主要振动源，表现在泵等部位，可能导致人员，建、构筑物及设备、仪表受到振动的危害。</w:t>
      </w:r>
    </w:p>
    <w:p w14:paraId="6CE35DEB">
      <w:pPr>
        <w:bidi w:val="0"/>
        <w:rPr>
          <w:rFonts w:hint="eastAsia"/>
          <w:color w:val="auto"/>
        </w:rPr>
      </w:pPr>
      <w:r>
        <w:rPr>
          <w:rFonts w:hint="eastAsia"/>
          <w:color w:val="auto"/>
          <w:lang w:val="en-US" w:eastAsia="zh-CN"/>
        </w:rPr>
        <w:t>4</w:t>
      </w:r>
      <w:r>
        <w:rPr>
          <w:rFonts w:hint="eastAsia"/>
          <w:color w:val="auto"/>
        </w:rPr>
        <w:t>、雷电伤害</w:t>
      </w:r>
    </w:p>
    <w:p w14:paraId="00EAEA10">
      <w:pPr>
        <w:bidi w:val="0"/>
        <w:rPr>
          <w:rFonts w:hint="eastAsia"/>
          <w:color w:val="auto"/>
        </w:rPr>
      </w:pPr>
      <w:r>
        <w:rPr>
          <w:rFonts w:hint="eastAsia"/>
          <w:color w:val="auto"/>
        </w:rPr>
        <w:t>（1）接地线将各个电气设备的接地线串联接地而不是采用并联方式。</w:t>
      </w:r>
    </w:p>
    <w:p w14:paraId="5CB1348E">
      <w:pPr>
        <w:bidi w:val="0"/>
        <w:rPr>
          <w:rFonts w:hint="eastAsia"/>
          <w:color w:val="auto"/>
        </w:rPr>
      </w:pPr>
      <w:r>
        <w:rPr>
          <w:rFonts w:hint="eastAsia"/>
          <w:color w:val="auto"/>
        </w:rPr>
        <w:t>（2）设有变压器的低压配电室电缆受电处的零线、建筑物的动力配电箱电缆受电处的零线、架空专用线终端进户处的零线未重复接地。</w:t>
      </w:r>
    </w:p>
    <w:p w14:paraId="41193C0B">
      <w:pPr>
        <w:bidi w:val="0"/>
        <w:rPr>
          <w:rFonts w:hint="eastAsia"/>
          <w:color w:val="auto"/>
        </w:rPr>
      </w:pPr>
      <w:r>
        <w:rPr>
          <w:rFonts w:hint="eastAsia"/>
          <w:color w:val="auto"/>
        </w:rPr>
        <w:t>（3）因无防雷措施或防雷措施不完善、防雷措施损坏易导致雷电伤害。</w:t>
      </w:r>
    </w:p>
    <w:p w14:paraId="0687DF05">
      <w:pPr>
        <w:bidi w:val="0"/>
        <w:rPr>
          <w:rFonts w:hint="eastAsia"/>
          <w:color w:val="auto"/>
        </w:rPr>
      </w:pPr>
      <w:r>
        <w:rPr>
          <w:rFonts w:hint="eastAsia"/>
          <w:color w:val="auto"/>
          <w:lang w:val="en-US" w:eastAsia="zh-CN"/>
        </w:rPr>
        <w:t>5</w:t>
      </w:r>
      <w:r>
        <w:rPr>
          <w:rFonts w:hint="eastAsia"/>
          <w:color w:val="auto"/>
        </w:rPr>
        <w:t>、电磁辐射</w:t>
      </w:r>
    </w:p>
    <w:p w14:paraId="4F0EA495">
      <w:pPr>
        <w:bidi w:val="0"/>
        <w:rPr>
          <w:rFonts w:hint="eastAsia"/>
          <w:color w:val="auto"/>
        </w:rPr>
      </w:pPr>
      <w:r>
        <w:rPr>
          <w:rFonts w:hint="eastAsia"/>
          <w:color w:val="auto"/>
        </w:rPr>
        <w:t>电磁辐射：对人体的危害主要表现在对神经系统、血液循环系统、生殖系统、血液微量元素及生化代谢等功能的影响。对环境则造成电磁污染和电磁干扰作用，在一定的时空范围内人体受到非正常和超值照射时，可使人产生失眠、头痛、心悸、脱发、记忆力减退等症状。</w:t>
      </w:r>
    </w:p>
    <w:p w14:paraId="39430513">
      <w:pPr>
        <w:bidi w:val="0"/>
        <w:rPr>
          <w:rFonts w:hint="eastAsia"/>
          <w:color w:val="auto"/>
        </w:rPr>
      </w:pPr>
      <w:r>
        <w:rPr>
          <w:rFonts w:hint="eastAsia"/>
          <w:color w:val="auto"/>
        </w:rPr>
        <w:t>可能存在的部位：</w:t>
      </w:r>
      <w:r>
        <w:rPr>
          <w:rFonts w:hint="eastAsia"/>
          <w:color w:val="auto"/>
          <w:lang w:val="en-US" w:eastAsia="zh-CN"/>
        </w:rPr>
        <w:t>配电室</w:t>
      </w:r>
      <w:r>
        <w:rPr>
          <w:rFonts w:hint="eastAsia"/>
          <w:color w:val="auto"/>
        </w:rPr>
        <w:t>等。</w:t>
      </w:r>
    </w:p>
    <w:p w14:paraId="46A615F0">
      <w:pPr>
        <w:bidi w:val="0"/>
        <w:rPr>
          <w:rFonts w:hint="eastAsia"/>
          <w:color w:val="auto"/>
        </w:rPr>
      </w:pPr>
      <w:r>
        <w:rPr>
          <w:rFonts w:hint="eastAsia"/>
          <w:color w:val="auto"/>
        </w:rPr>
        <w:t>6、高温危害</w:t>
      </w:r>
    </w:p>
    <w:p w14:paraId="43A25185">
      <w:pPr>
        <w:bidi w:val="0"/>
        <w:rPr>
          <w:rFonts w:hint="eastAsia"/>
          <w:color w:val="auto"/>
        </w:rPr>
      </w:pPr>
      <w:r>
        <w:rPr>
          <w:rFonts w:hint="eastAsia"/>
          <w:color w:val="auto"/>
        </w:rPr>
        <w:t>寻甸县极端最高气温为32℃，夏季若遇极端高温天气，容易引起人员中暑等疾病。项目区属亚热带气候，存在高温危害。</w:t>
      </w:r>
    </w:p>
    <w:p w14:paraId="61D4B924">
      <w:pPr>
        <w:pStyle w:val="4"/>
        <w:bidi w:val="0"/>
        <w:rPr>
          <w:rFonts w:hint="eastAsia"/>
          <w:color w:val="auto"/>
        </w:rPr>
      </w:pPr>
      <w:bookmarkStart w:id="129" w:name="_Toc8177"/>
      <w:r>
        <w:rPr>
          <w:rFonts w:hint="eastAsia"/>
          <w:color w:val="auto"/>
        </w:rPr>
        <w:t>3.3.15</w:t>
      </w:r>
      <w:r>
        <w:rPr>
          <w:rFonts w:hint="eastAsia"/>
          <w:color w:val="auto"/>
          <w:lang w:val="en-US" w:eastAsia="zh-CN"/>
        </w:rPr>
        <w:t xml:space="preserve"> </w:t>
      </w:r>
      <w:r>
        <w:rPr>
          <w:rFonts w:hint="eastAsia"/>
          <w:color w:val="auto"/>
        </w:rPr>
        <w:t>放射源及危险特性</w:t>
      </w:r>
      <w:bookmarkEnd w:id="129"/>
    </w:p>
    <w:p w14:paraId="455F1F10">
      <w:pPr>
        <w:bidi w:val="0"/>
        <w:rPr>
          <w:rFonts w:hint="eastAsia"/>
          <w:color w:val="auto"/>
        </w:rPr>
      </w:pPr>
      <w:r>
        <w:rPr>
          <w:rFonts w:hint="eastAsia"/>
          <w:color w:val="auto"/>
        </w:rPr>
        <w:t>本次项目不涉及到放射源。</w:t>
      </w:r>
    </w:p>
    <w:p w14:paraId="7F104DAE">
      <w:pPr>
        <w:pStyle w:val="3"/>
        <w:bidi w:val="0"/>
        <w:rPr>
          <w:rFonts w:hint="eastAsia"/>
          <w:color w:val="auto"/>
        </w:rPr>
      </w:pPr>
      <w:bookmarkStart w:id="130" w:name="_Toc4602"/>
      <w:r>
        <w:rPr>
          <w:rFonts w:hint="eastAsia"/>
          <w:color w:val="auto"/>
        </w:rPr>
        <w:t>3.4安全管理危险有害因素辨识与分析</w:t>
      </w:r>
      <w:bookmarkEnd w:id="130"/>
    </w:p>
    <w:p w14:paraId="10E127E1">
      <w:pPr>
        <w:bidi w:val="0"/>
        <w:rPr>
          <w:rFonts w:hint="eastAsia"/>
          <w:color w:val="auto"/>
        </w:rPr>
      </w:pPr>
      <w:r>
        <w:rPr>
          <w:rFonts w:hint="eastAsia"/>
          <w:color w:val="auto"/>
        </w:rPr>
        <w:t>1、安全组织结构不健全：结构、人员组成不当或不适应生产系统，造成安全管理工作中存在衔接不当、管理空白、专业不全等，从而造成安全管理上的漏洞。</w:t>
      </w:r>
    </w:p>
    <w:p w14:paraId="38BB746B">
      <w:pPr>
        <w:bidi w:val="0"/>
        <w:rPr>
          <w:rFonts w:hint="eastAsia"/>
          <w:color w:val="auto"/>
        </w:rPr>
      </w:pPr>
      <w:r>
        <w:rPr>
          <w:rFonts w:hint="eastAsia"/>
          <w:color w:val="auto"/>
        </w:rPr>
        <w:t>2、安全责任制未落实、安全管理规章制度不完善：未根据生产系统特点补充、完善和落实安全生产责任制、安全生产管理制度、安全操作规程，容易造成生产过程中责任未落实，任务不明确，工作中无章可循，造成生产秩序混乱，诱发各类安全生产事故。</w:t>
      </w:r>
    </w:p>
    <w:p w14:paraId="0B9262A0">
      <w:pPr>
        <w:bidi w:val="0"/>
        <w:rPr>
          <w:rFonts w:hint="eastAsia"/>
          <w:color w:val="auto"/>
        </w:rPr>
      </w:pPr>
      <w:r>
        <w:rPr>
          <w:rFonts w:hint="eastAsia"/>
          <w:color w:val="auto"/>
        </w:rPr>
        <w:t>3、安全管理不完善：</w:t>
      </w:r>
    </w:p>
    <w:p w14:paraId="10ACF430">
      <w:pPr>
        <w:bidi w:val="0"/>
        <w:rPr>
          <w:rFonts w:hint="eastAsia"/>
          <w:color w:val="auto"/>
        </w:rPr>
      </w:pPr>
      <w:r>
        <w:rPr>
          <w:rFonts w:hint="eastAsia"/>
          <w:color w:val="auto"/>
        </w:rPr>
        <w:t>（1）未建立或未根据生产系统特点补充、完善安全生产记录档案，不利于及时、全面系统的掌握企业安全生产情况，及时反应安全生产动态；不利于分析安全生产中的危险因素和作出安全管理决策；</w:t>
      </w:r>
    </w:p>
    <w:p w14:paraId="4DF3A320">
      <w:pPr>
        <w:bidi w:val="0"/>
        <w:rPr>
          <w:rFonts w:hint="eastAsia"/>
          <w:color w:val="auto"/>
        </w:rPr>
      </w:pPr>
      <w:r>
        <w:rPr>
          <w:rFonts w:hint="eastAsia"/>
          <w:color w:val="auto"/>
        </w:rPr>
        <w:t>（2）未建立或未根据系统特点补充、完善应急救援预案或未进行应急演练，对突发事故无预见性，事故发生后无法及时组织救援，导致事故扩大，造成重大损失。</w:t>
      </w:r>
    </w:p>
    <w:p w14:paraId="03E34AF7">
      <w:pPr>
        <w:bidi w:val="0"/>
        <w:rPr>
          <w:rFonts w:hint="eastAsia"/>
          <w:color w:val="auto"/>
        </w:rPr>
      </w:pPr>
      <w:r>
        <w:rPr>
          <w:rFonts w:hint="eastAsia"/>
          <w:color w:val="auto"/>
        </w:rPr>
        <w:t>（3）职业安全健康投入不足：安全资金投入不足、安全教育培训不够、个人防护不到位等而导致安全事故的发生。</w:t>
      </w:r>
    </w:p>
    <w:p w14:paraId="0184C0E6">
      <w:pPr>
        <w:bidi w:val="0"/>
        <w:rPr>
          <w:rFonts w:hint="eastAsia"/>
          <w:color w:val="auto"/>
        </w:rPr>
      </w:pPr>
      <w:r>
        <w:rPr>
          <w:rFonts w:hint="eastAsia"/>
          <w:color w:val="auto"/>
        </w:rPr>
        <w:t>（4）其他管理因素缺陷：</w:t>
      </w:r>
    </w:p>
    <w:p w14:paraId="194F40C5">
      <w:pPr>
        <w:bidi w:val="0"/>
        <w:rPr>
          <w:rFonts w:hint="eastAsia"/>
          <w:color w:val="auto"/>
        </w:rPr>
      </w:pPr>
      <w:r>
        <w:rPr>
          <w:rFonts w:hint="eastAsia"/>
          <w:color w:val="auto"/>
        </w:rPr>
        <w:t>1）管理过程中违章指挥、发现违章作业而不制止等，使安全隐患得不到及时消除，最终导致安全事故；</w:t>
      </w:r>
    </w:p>
    <w:p w14:paraId="50D2AB17">
      <w:pPr>
        <w:bidi w:val="0"/>
        <w:rPr>
          <w:rFonts w:hint="eastAsia"/>
          <w:color w:val="auto"/>
        </w:rPr>
      </w:pPr>
      <w:r>
        <w:rPr>
          <w:rFonts w:hint="eastAsia"/>
          <w:color w:val="auto"/>
        </w:rPr>
        <w:t>2）特种作业人员未经培训，无证上岗。</w:t>
      </w:r>
    </w:p>
    <w:p w14:paraId="0EDFB0FC">
      <w:pPr>
        <w:bidi w:val="0"/>
        <w:rPr>
          <w:rFonts w:hint="eastAsia"/>
          <w:color w:val="auto"/>
        </w:rPr>
      </w:pPr>
      <w:r>
        <w:rPr>
          <w:rFonts w:hint="eastAsia"/>
          <w:color w:val="auto"/>
        </w:rPr>
        <w:t>3）承包商未履行相应责任等：①不具备合法资格，不具备承包工程（项目）的相应资质；②未签订《安全生产管理协议》，未能明确各自的安全生产管理职责和应当采取的安全措施；③在承包工程中，将工程转包和分包给不具备安全生产资质的单位或个人。</w:t>
      </w:r>
    </w:p>
    <w:p w14:paraId="3E5BA976">
      <w:pPr>
        <w:pStyle w:val="3"/>
        <w:bidi w:val="0"/>
        <w:rPr>
          <w:rFonts w:hint="eastAsia"/>
          <w:color w:val="auto"/>
        </w:rPr>
      </w:pPr>
      <w:bookmarkStart w:id="131" w:name="_Toc29941"/>
      <w:r>
        <w:rPr>
          <w:rFonts w:hint="eastAsia"/>
          <w:color w:val="auto"/>
        </w:rPr>
        <w:t>3.5</w:t>
      </w:r>
      <w:r>
        <w:rPr>
          <w:rFonts w:hint="eastAsia"/>
          <w:color w:val="auto"/>
          <w:lang w:val="en-US" w:eastAsia="zh-CN"/>
        </w:rPr>
        <w:t xml:space="preserve"> </w:t>
      </w:r>
      <w:r>
        <w:rPr>
          <w:rFonts w:hint="eastAsia"/>
          <w:color w:val="auto"/>
        </w:rPr>
        <w:t>重大危险源辨识</w:t>
      </w:r>
      <w:bookmarkEnd w:id="131"/>
    </w:p>
    <w:p w14:paraId="67DB6A6E">
      <w:pPr>
        <w:bidi w:val="0"/>
        <w:rPr>
          <w:rFonts w:hint="eastAsia"/>
          <w:color w:val="auto"/>
        </w:rPr>
      </w:pPr>
      <w:r>
        <w:rPr>
          <w:rFonts w:hint="eastAsia"/>
          <w:color w:val="auto"/>
        </w:rPr>
        <w:t>重大危险源辨识的主要要求：</w:t>
      </w:r>
    </w:p>
    <w:p w14:paraId="7CD845D7">
      <w:pPr>
        <w:bidi w:val="0"/>
        <w:rPr>
          <w:rFonts w:hint="eastAsia"/>
          <w:color w:val="auto"/>
        </w:rPr>
      </w:pPr>
      <w:r>
        <w:rPr>
          <w:rFonts w:hint="eastAsia"/>
          <w:color w:val="auto"/>
        </w:rPr>
        <w:t>危险化学品重大危险源的认定，严格按照《危险化学品重大危险源辨识》（GB18218-2018）的具体要求执行。其思路是以某物品的实际量除以规定临界量的结果为计算元素，若所有危险化学品计算元素之和大于或等于1，即构成重大危险源。</w:t>
      </w:r>
    </w:p>
    <w:p w14:paraId="3E48547B">
      <w:pPr>
        <w:pStyle w:val="4"/>
        <w:bidi w:val="0"/>
        <w:rPr>
          <w:rFonts w:hint="eastAsia"/>
          <w:color w:val="auto"/>
        </w:rPr>
      </w:pPr>
      <w:bookmarkStart w:id="132" w:name="_Toc1517"/>
      <w:r>
        <w:rPr>
          <w:rFonts w:hint="eastAsia"/>
          <w:color w:val="auto"/>
        </w:rPr>
        <w:t>3.5.1</w:t>
      </w:r>
      <w:r>
        <w:rPr>
          <w:rFonts w:hint="eastAsia"/>
          <w:color w:val="auto"/>
          <w:lang w:val="en-US" w:eastAsia="zh-CN"/>
        </w:rPr>
        <w:t xml:space="preserve"> </w:t>
      </w:r>
      <w:r>
        <w:rPr>
          <w:rFonts w:hint="eastAsia"/>
          <w:color w:val="auto"/>
        </w:rPr>
        <w:t>重大危险源辨识方法介绍</w:t>
      </w:r>
      <w:bookmarkEnd w:id="132"/>
    </w:p>
    <w:p w14:paraId="53DA5064">
      <w:pPr>
        <w:bidi w:val="0"/>
        <w:rPr>
          <w:rFonts w:hint="eastAsia"/>
          <w:color w:val="auto"/>
        </w:rPr>
      </w:pPr>
      <w:r>
        <w:rPr>
          <w:rFonts w:hint="eastAsia"/>
          <w:color w:val="auto"/>
        </w:rPr>
        <w:t>长期或临时生产、加工、使用或储存危险化学品，且危险化学品的数量等于或超过临界量的单元均为重大危险源。</w:t>
      </w:r>
    </w:p>
    <w:p w14:paraId="3B2C09A2">
      <w:pPr>
        <w:bidi w:val="0"/>
        <w:rPr>
          <w:rFonts w:hint="eastAsia"/>
          <w:color w:val="auto"/>
        </w:rPr>
      </w:pPr>
      <w:r>
        <w:rPr>
          <w:rFonts w:hint="eastAsia"/>
          <w:color w:val="auto"/>
        </w:rPr>
        <w:t>危险化学品重大危险源的辨识依据是危险化学品的危险特性及其数量。</w:t>
      </w:r>
    </w:p>
    <w:p w14:paraId="5D5C9024">
      <w:pPr>
        <w:bidi w:val="0"/>
        <w:rPr>
          <w:rFonts w:hint="eastAsia"/>
          <w:color w:val="auto"/>
        </w:rPr>
      </w:pPr>
      <w:r>
        <w:rPr>
          <w:rFonts w:hint="eastAsia"/>
          <w:color w:val="auto"/>
        </w:rPr>
        <w:t>单元内存在危险化学品的数量等于或超过规定的临界量，即被定为重大危险源。单元内存在危险物质的数量根据处理物质种类的多少区分为以下两种情况：</w:t>
      </w:r>
    </w:p>
    <w:p w14:paraId="716FE0AA">
      <w:pPr>
        <w:bidi w:val="0"/>
        <w:rPr>
          <w:rFonts w:hint="eastAsia"/>
          <w:color w:val="auto"/>
        </w:rPr>
      </w:pPr>
      <w:r>
        <w:rPr>
          <w:rFonts w:hint="eastAsia"/>
          <w:color w:val="auto"/>
        </w:rPr>
        <w:t>①单元内存在的危险化学品为单一品种，则该危险化学品的数量即为单元内危险化学品的总量，若等于或超过相应的临界量，则定为重大危险源。</w:t>
      </w:r>
    </w:p>
    <w:p w14:paraId="5D2FF832">
      <w:pPr>
        <w:bidi w:val="0"/>
        <w:rPr>
          <w:color w:val="auto"/>
        </w:rPr>
      </w:pPr>
      <w:r>
        <w:rPr>
          <w:rFonts w:hint="eastAsia"/>
          <w:color w:val="auto"/>
        </w:rPr>
        <w:t>②单元内存在的危险化学品为多品种时，则按下式计算，若满足下面公式，则定为重大危险源：</w:t>
      </w:r>
    </w:p>
    <w:p w14:paraId="73E05D95">
      <w:pPr>
        <w:bidi w:val="0"/>
        <w:rPr>
          <w:color w:val="auto"/>
        </w:rPr>
      </w:pPr>
      <w:r>
        <w:rPr>
          <w:rFonts w:hint="default" w:ascii="Times New Roman" w:hAnsi="Times New Roman" w:cs="Times New Roman"/>
          <w:color w:val="auto"/>
        </w:rPr>
        <w:drawing>
          <wp:inline distT="0" distB="0" distL="114300" distR="114300">
            <wp:extent cx="1924050" cy="581025"/>
            <wp:effectExtent l="0" t="0" r="0" b="9525"/>
            <wp:docPr id="75" name="图片 38" descr="说明: QQ截图2016030309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8" descr="说明: QQ截图20160303091436"/>
                    <pic:cNvPicPr>
                      <a:picLocks noChangeAspect="1"/>
                    </pic:cNvPicPr>
                  </pic:nvPicPr>
                  <pic:blipFill>
                    <a:blip r:embed="rId13"/>
                    <a:stretch>
                      <a:fillRect/>
                    </a:stretch>
                  </pic:blipFill>
                  <pic:spPr>
                    <a:xfrm>
                      <a:off x="0" y="0"/>
                      <a:ext cx="1924050" cy="581025"/>
                    </a:xfrm>
                    <a:prstGeom prst="rect">
                      <a:avLst/>
                    </a:prstGeom>
                    <a:noFill/>
                    <a:ln>
                      <a:noFill/>
                    </a:ln>
                  </pic:spPr>
                </pic:pic>
              </a:graphicData>
            </a:graphic>
          </wp:inline>
        </w:drawing>
      </w:r>
    </w:p>
    <w:p w14:paraId="1CB19E7A">
      <w:pPr>
        <w:bidi w:val="0"/>
        <w:rPr>
          <w:rFonts w:hint="eastAsia"/>
          <w:color w:val="auto"/>
        </w:rPr>
      </w:pPr>
      <w:r>
        <w:rPr>
          <w:rFonts w:hint="eastAsia"/>
          <w:color w:val="auto"/>
        </w:rPr>
        <w:t>式中：q</w:t>
      </w:r>
      <w:r>
        <w:rPr>
          <w:rFonts w:hint="eastAsia"/>
          <w:color w:val="auto"/>
          <w:vertAlign w:val="subscript"/>
        </w:rPr>
        <w:t>1</w:t>
      </w:r>
      <w:r>
        <w:rPr>
          <w:rFonts w:hint="eastAsia"/>
          <w:color w:val="auto"/>
        </w:rPr>
        <w:t>，q</w:t>
      </w:r>
      <w:r>
        <w:rPr>
          <w:rFonts w:hint="eastAsia"/>
          <w:color w:val="auto"/>
          <w:vertAlign w:val="subscript"/>
        </w:rPr>
        <w:t>2</w:t>
      </w:r>
      <w:r>
        <w:rPr>
          <w:rFonts w:hint="eastAsia"/>
          <w:color w:val="auto"/>
        </w:rPr>
        <w:t>，…，q</w:t>
      </w:r>
      <w:r>
        <w:rPr>
          <w:rFonts w:hint="eastAsia"/>
          <w:color w:val="auto"/>
          <w:vertAlign w:val="subscript"/>
        </w:rPr>
        <w:t>n</w:t>
      </w:r>
      <w:r>
        <w:rPr>
          <w:rFonts w:hint="eastAsia"/>
          <w:color w:val="auto"/>
        </w:rPr>
        <w:t>——每种危险化学品实际存在量，t。</w:t>
      </w:r>
    </w:p>
    <w:p w14:paraId="3E0A0837">
      <w:pPr>
        <w:bidi w:val="0"/>
        <w:rPr>
          <w:rFonts w:hint="eastAsia"/>
          <w:color w:val="auto"/>
        </w:rPr>
      </w:pPr>
      <w:r>
        <w:rPr>
          <w:rFonts w:hint="eastAsia"/>
          <w:color w:val="auto"/>
        </w:rPr>
        <w:t>Q</w:t>
      </w:r>
      <w:r>
        <w:rPr>
          <w:rFonts w:hint="eastAsia"/>
          <w:color w:val="auto"/>
          <w:vertAlign w:val="subscript"/>
        </w:rPr>
        <w:t>1</w:t>
      </w:r>
      <w:r>
        <w:rPr>
          <w:rFonts w:hint="eastAsia"/>
          <w:color w:val="auto"/>
        </w:rPr>
        <w:t>，Q</w:t>
      </w:r>
      <w:r>
        <w:rPr>
          <w:rFonts w:hint="eastAsia"/>
          <w:color w:val="auto"/>
          <w:vertAlign w:val="subscript"/>
        </w:rPr>
        <w:t>2</w:t>
      </w:r>
      <w:r>
        <w:rPr>
          <w:rFonts w:hint="eastAsia"/>
          <w:color w:val="auto"/>
        </w:rPr>
        <w:t>，…，Q</w:t>
      </w:r>
      <w:r>
        <w:rPr>
          <w:rFonts w:hint="eastAsia"/>
          <w:color w:val="auto"/>
          <w:vertAlign w:val="subscript"/>
        </w:rPr>
        <w:t>n</w:t>
      </w:r>
      <w:r>
        <w:rPr>
          <w:rFonts w:hint="eastAsia"/>
          <w:color w:val="auto"/>
        </w:rPr>
        <w:t>——与各危险化学品相对应的临界量，t。</w:t>
      </w:r>
    </w:p>
    <w:p w14:paraId="4E98169F">
      <w:pPr>
        <w:pStyle w:val="4"/>
        <w:bidi w:val="0"/>
        <w:rPr>
          <w:rFonts w:hint="eastAsia"/>
          <w:color w:val="auto"/>
        </w:rPr>
      </w:pPr>
      <w:bookmarkStart w:id="133" w:name="_Toc13755"/>
      <w:r>
        <w:rPr>
          <w:rFonts w:hint="eastAsia"/>
          <w:color w:val="auto"/>
        </w:rPr>
        <w:t>3.5.2</w:t>
      </w:r>
      <w:r>
        <w:rPr>
          <w:rFonts w:hint="eastAsia"/>
          <w:color w:val="auto"/>
          <w:lang w:val="en-US" w:eastAsia="zh-CN"/>
        </w:rPr>
        <w:t xml:space="preserve"> </w:t>
      </w:r>
      <w:r>
        <w:rPr>
          <w:rFonts w:hint="eastAsia"/>
          <w:color w:val="auto"/>
        </w:rPr>
        <w:t>重大危险源辨识</w:t>
      </w:r>
      <w:bookmarkEnd w:id="133"/>
    </w:p>
    <w:p w14:paraId="3268AD13">
      <w:pPr>
        <w:bidi w:val="0"/>
        <w:rPr>
          <w:rFonts w:hint="eastAsia"/>
          <w:color w:val="auto"/>
        </w:rPr>
      </w:pPr>
      <w:r>
        <w:rPr>
          <w:rFonts w:hint="eastAsia"/>
          <w:color w:val="auto"/>
        </w:rPr>
        <w:t>根据《危险货物品名表》（GB12268-20</w:t>
      </w:r>
      <w:r>
        <w:rPr>
          <w:rFonts w:hint="eastAsia"/>
          <w:color w:val="auto"/>
          <w:lang w:val="en-US" w:eastAsia="zh-CN"/>
        </w:rPr>
        <w:t>12</w:t>
      </w:r>
      <w:r>
        <w:rPr>
          <w:rFonts w:hint="eastAsia"/>
          <w:color w:val="auto"/>
        </w:rPr>
        <w:t>）、《危险化学品重大危险源辨识》（GB18218-2018）进行重大危险源辩识。</w:t>
      </w:r>
    </w:p>
    <w:p w14:paraId="1AEA71BB">
      <w:pPr>
        <w:pStyle w:val="23"/>
        <w:bidi w:val="0"/>
        <w:rPr>
          <w:color w:val="auto"/>
        </w:rPr>
      </w:pPr>
      <w:r>
        <w:rPr>
          <w:rFonts w:hint="eastAsia"/>
          <w:color w:val="auto"/>
        </w:rPr>
        <w:t>表3</w:t>
      </w:r>
      <w:r>
        <w:rPr>
          <w:rFonts w:hint="eastAsia"/>
          <w:color w:val="auto"/>
          <w:lang w:val="en-US" w:eastAsia="zh-CN"/>
        </w:rPr>
        <w:t>.</w:t>
      </w:r>
      <w:r>
        <w:rPr>
          <w:rFonts w:hint="eastAsia"/>
          <w:color w:val="auto"/>
        </w:rPr>
        <w:t>5</w:t>
      </w:r>
      <w:r>
        <w:rPr>
          <w:rFonts w:hint="eastAsia"/>
          <w:color w:val="auto"/>
          <w:lang w:val="en-US" w:eastAsia="zh-CN"/>
        </w:rPr>
        <w:t>-1</w:t>
      </w:r>
      <w:r>
        <w:rPr>
          <w:rFonts w:hint="eastAsia"/>
          <w:color w:val="auto"/>
        </w:rPr>
        <w:t xml:space="preserve">  危险化学品重大危险源辨识表</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079"/>
        <w:gridCol w:w="1214"/>
        <w:gridCol w:w="6246"/>
      </w:tblGrid>
      <w:tr w14:paraId="57E0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455" w:type="pct"/>
            <w:noWrap w:val="0"/>
            <w:vAlign w:val="center"/>
          </w:tcPr>
          <w:p w14:paraId="10FE0679">
            <w:pPr>
              <w:pStyle w:val="24"/>
              <w:bidi w:val="0"/>
              <w:rPr>
                <w:b/>
                <w:bCs/>
                <w:color w:val="auto"/>
              </w:rPr>
            </w:pPr>
            <w:r>
              <w:rPr>
                <w:b/>
                <w:bCs/>
                <w:color w:val="auto"/>
              </w:rPr>
              <w:t>序号</w:t>
            </w:r>
          </w:p>
        </w:tc>
        <w:tc>
          <w:tcPr>
            <w:tcW w:w="574" w:type="pct"/>
            <w:noWrap w:val="0"/>
            <w:vAlign w:val="center"/>
          </w:tcPr>
          <w:p w14:paraId="1C1C1870">
            <w:pPr>
              <w:pStyle w:val="24"/>
              <w:bidi w:val="0"/>
              <w:rPr>
                <w:b/>
                <w:bCs/>
                <w:color w:val="auto"/>
              </w:rPr>
            </w:pPr>
            <w:r>
              <w:rPr>
                <w:b/>
                <w:bCs/>
                <w:color w:val="auto"/>
              </w:rPr>
              <w:t>名称</w:t>
            </w:r>
          </w:p>
        </w:tc>
        <w:tc>
          <w:tcPr>
            <w:tcW w:w="646" w:type="pct"/>
            <w:noWrap w:val="0"/>
            <w:vAlign w:val="center"/>
          </w:tcPr>
          <w:p w14:paraId="129FA06E">
            <w:pPr>
              <w:pStyle w:val="24"/>
              <w:bidi w:val="0"/>
              <w:rPr>
                <w:b/>
                <w:bCs/>
                <w:color w:val="auto"/>
              </w:rPr>
            </w:pPr>
            <w:r>
              <w:rPr>
                <w:b/>
                <w:bCs/>
                <w:color w:val="auto"/>
              </w:rPr>
              <w:t>临界量（t）</w:t>
            </w:r>
          </w:p>
        </w:tc>
        <w:tc>
          <w:tcPr>
            <w:tcW w:w="3324" w:type="pct"/>
            <w:noWrap w:val="0"/>
            <w:vAlign w:val="center"/>
          </w:tcPr>
          <w:p w14:paraId="1D887AA1">
            <w:pPr>
              <w:pStyle w:val="24"/>
              <w:bidi w:val="0"/>
              <w:rPr>
                <w:b/>
                <w:bCs/>
                <w:color w:val="auto"/>
              </w:rPr>
            </w:pPr>
            <w:r>
              <w:rPr>
                <w:b/>
                <w:bCs/>
                <w:color w:val="auto"/>
              </w:rPr>
              <w:t>存在量描述</w:t>
            </w:r>
          </w:p>
        </w:tc>
      </w:tr>
      <w:tr w14:paraId="4EA7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5" w:type="pct"/>
            <w:noWrap w:val="0"/>
            <w:vAlign w:val="center"/>
          </w:tcPr>
          <w:p w14:paraId="374EB2E0">
            <w:pPr>
              <w:pStyle w:val="24"/>
              <w:bidi w:val="0"/>
              <w:rPr>
                <w:color w:val="auto"/>
              </w:rPr>
            </w:pPr>
            <w:r>
              <w:rPr>
                <w:color w:val="auto"/>
              </w:rPr>
              <w:t>1</w:t>
            </w:r>
          </w:p>
        </w:tc>
        <w:tc>
          <w:tcPr>
            <w:tcW w:w="574" w:type="pct"/>
            <w:noWrap w:val="0"/>
            <w:vAlign w:val="center"/>
          </w:tcPr>
          <w:p w14:paraId="4B3B1746">
            <w:pPr>
              <w:pStyle w:val="24"/>
              <w:bidi w:val="0"/>
              <w:rPr>
                <w:color w:val="auto"/>
              </w:rPr>
            </w:pPr>
            <w:r>
              <w:rPr>
                <w:color w:val="auto"/>
              </w:rPr>
              <w:t>柴油</w:t>
            </w:r>
          </w:p>
        </w:tc>
        <w:tc>
          <w:tcPr>
            <w:tcW w:w="646" w:type="pct"/>
            <w:noWrap w:val="0"/>
            <w:vAlign w:val="center"/>
          </w:tcPr>
          <w:p w14:paraId="33C9166C">
            <w:pPr>
              <w:pStyle w:val="24"/>
              <w:bidi w:val="0"/>
              <w:rPr>
                <w:color w:val="auto"/>
              </w:rPr>
            </w:pPr>
            <w:r>
              <w:rPr>
                <w:rFonts w:hint="eastAsia"/>
                <w:color w:val="auto"/>
              </w:rPr>
              <w:t>5</w:t>
            </w:r>
            <w:r>
              <w:rPr>
                <w:color w:val="auto"/>
              </w:rPr>
              <w:t>00</w:t>
            </w:r>
          </w:p>
        </w:tc>
        <w:tc>
          <w:tcPr>
            <w:tcW w:w="3324" w:type="pct"/>
            <w:noWrap w:val="0"/>
            <w:vAlign w:val="center"/>
          </w:tcPr>
          <w:p w14:paraId="32C301B1">
            <w:pPr>
              <w:pStyle w:val="24"/>
              <w:bidi w:val="0"/>
              <w:rPr>
                <w:color w:val="auto"/>
              </w:rPr>
            </w:pPr>
            <w:r>
              <w:rPr>
                <w:color w:val="auto"/>
              </w:rPr>
              <w:t>装载机等设备均会用到柴油，</w:t>
            </w:r>
            <w:r>
              <w:rPr>
                <w:rFonts w:hint="eastAsia"/>
                <w:color w:val="auto"/>
                <w:lang w:val="en-US" w:eastAsia="zh-CN"/>
              </w:rPr>
              <w:t>柴油外运，不储存</w:t>
            </w:r>
            <w:r>
              <w:rPr>
                <w:color w:val="auto"/>
              </w:rPr>
              <w:t>，不构成重大危险源。</w:t>
            </w:r>
          </w:p>
        </w:tc>
      </w:tr>
      <w:tr w14:paraId="7E96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5" w:type="pct"/>
            <w:noWrap w:val="0"/>
            <w:vAlign w:val="center"/>
          </w:tcPr>
          <w:p w14:paraId="562B662F">
            <w:pPr>
              <w:pStyle w:val="24"/>
              <w:bidi w:val="0"/>
              <w:rPr>
                <w:color w:val="auto"/>
              </w:rPr>
            </w:pPr>
            <w:r>
              <w:rPr>
                <w:color w:val="auto"/>
              </w:rPr>
              <w:t>2</w:t>
            </w:r>
          </w:p>
        </w:tc>
        <w:tc>
          <w:tcPr>
            <w:tcW w:w="574" w:type="pct"/>
            <w:noWrap w:val="0"/>
            <w:vAlign w:val="center"/>
          </w:tcPr>
          <w:p w14:paraId="6337E22E">
            <w:pPr>
              <w:pStyle w:val="24"/>
              <w:bidi w:val="0"/>
              <w:rPr>
                <w:color w:val="auto"/>
              </w:rPr>
            </w:pPr>
            <w:r>
              <w:rPr>
                <w:color w:val="auto"/>
              </w:rPr>
              <w:t>乙炔</w:t>
            </w:r>
          </w:p>
        </w:tc>
        <w:tc>
          <w:tcPr>
            <w:tcW w:w="646" w:type="pct"/>
            <w:noWrap w:val="0"/>
            <w:vAlign w:val="center"/>
          </w:tcPr>
          <w:p w14:paraId="4398D2D7">
            <w:pPr>
              <w:pStyle w:val="24"/>
              <w:bidi w:val="0"/>
              <w:rPr>
                <w:rFonts w:hint="eastAsia"/>
                <w:color w:val="auto"/>
              </w:rPr>
            </w:pPr>
            <w:r>
              <w:rPr>
                <w:rFonts w:hint="eastAsia"/>
                <w:color w:val="auto"/>
              </w:rPr>
              <w:t>0.5</w:t>
            </w:r>
          </w:p>
        </w:tc>
        <w:tc>
          <w:tcPr>
            <w:tcW w:w="3324" w:type="pct"/>
            <w:noWrap w:val="0"/>
            <w:vAlign w:val="center"/>
          </w:tcPr>
          <w:p w14:paraId="7EE0D4FC">
            <w:pPr>
              <w:pStyle w:val="24"/>
              <w:bidi w:val="0"/>
              <w:rPr>
                <w:color w:val="auto"/>
              </w:rPr>
            </w:pPr>
            <w:r>
              <w:rPr>
                <w:color w:val="auto"/>
              </w:rPr>
              <w:t>乙炔用于设备检修，由于该项目为</w:t>
            </w:r>
            <w:r>
              <w:rPr>
                <w:rFonts w:hint="eastAsia"/>
                <w:color w:val="auto"/>
              </w:rPr>
              <w:t>技改</w:t>
            </w:r>
            <w:r>
              <w:rPr>
                <w:color w:val="auto"/>
              </w:rPr>
              <w:t>。类比同类项目，检修用乙炔的储存量远低于临界量，不构成重大危险源。</w:t>
            </w:r>
          </w:p>
        </w:tc>
      </w:tr>
      <w:tr w14:paraId="519A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5" w:type="dxa"/>
            <w:noWrap w:val="0"/>
            <w:vAlign w:val="center"/>
          </w:tcPr>
          <w:p w14:paraId="116C6BB9">
            <w:pPr>
              <w:pStyle w:val="24"/>
              <w:bidi w:val="0"/>
              <w:ind w:firstLine="0" w:firstLineChars="0"/>
              <w:rPr>
                <w:rFonts w:hint="eastAsia" w:eastAsia="宋体"/>
                <w:color w:val="auto"/>
                <w:lang w:eastAsia="zh-CN"/>
              </w:rPr>
            </w:pPr>
            <w:r>
              <w:rPr>
                <w:rFonts w:hint="eastAsia"/>
                <w:color w:val="auto"/>
                <w:lang w:val="en-US" w:eastAsia="zh-CN"/>
              </w:rPr>
              <w:t>3</w:t>
            </w:r>
          </w:p>
        </w:tc>
        <w:tc>
          <w:tcPr>
            <w:tcW w:w="1079" w:type="dxa"/>
            <w:noWrap w:val="0"/>
            <w:vAlign w:val="center"/>
          </w:tcPr>
          <w:p w14:paraId="7FC71E89">
            <w:pPr>
              <w:pStyle w:val="24"/>
              <w:bidi w:val="0"/>
              <w:ind w:firstLine="0" w:firstLineChars="0"/>
              <w:rPr>
                <w:rFonts w:hint="eastAsia" w:eastAsia="宋体"/>
                <w:color w:val="auto"/>
                <w:lang w:eastAsia="zh-CN"/>
              </w:rPr>
            </w:pPr>
            <w:r>
              <w:rPr>
                <w:rFonts w:hint="eastAsia" w:eastAsia="宋体"/>
                <w:color w:val="auto"/>
                <w:lang w:eastAsia="zh-CN"/>
              </w:rPr>
              <w:t>压缩氧气</w:t>
            </w:r>
          </w:p>
        </w:tc>
        <w:tc>
          <w:tcPr>
            <w:tcW w:w="1214" w:type="dxa"/>
            <w:noWrap w:val="0"/>
            <w:vAlign w:val="center"/>
          </w:tcPr>
          <w:p w14:paraId="09022297">
            <w:pPr>
              <w:pStyle w:val="24"/>
              <w:bidi w:val="0"/>
              <w:ind w:firstLine="0" w:firstLineChars="0"/>
              <w:rPr>
                <w:rFonts w:hint="default" w:eastAsia="宋体"/>
                <w:color w:val="auto"/>
                <w:lang w:val="en-US" w:eastAsia="zh-CN"/>
              </w:rPr>
            </w:pPr>
            <w:r>
              <w:rPr>
                <w:rFonts w:hint="eastAsia"/>
                <w:color w:val="auto"/>
                <w:lang w:val="en-US" w:eastAsia="zh-CN"/>
              </w:rPr>
              <w:t>200</w:t>
            </w:r>
          </w:p>
        </w:tc>
        <w:tc>
          <w:tcPr>
            <w:tcW w:w="6246" w:type="dxa"/>
            <w:noWrap w:val="0"/>
            <w:vAlign w:val="center"/>
          </w:tcPr>
          <w:p w14:paraId="576A1BCA">
            <w:pPr>
              <w:pStyle w:val="24"/>
              <w:bidi w:val="0"/>
              <w:ind w:firstLine="0" w:firstLineChars="0"/>
              <w:rPr>
                <w:color w:val="auto"/>
              </w:rPr>
            </w:pPr>
            <w:r>
              <w:rPr>
                <w:rFonts w:hint="eastAsia"/>
                <w:color w:val="auto"/>
                <w:lang w:val="en-US" w:eastAsia="zh-CN"/>
              </w:rPr>
              <w:t>氧气</w:t>
            </w:r>
            <w:r>
              <w:rPr>
                <w:color w:val="auto"/>
              </w:rPr>
              <w:t>用于设备检修，由于该项目为</w:t>
            </w:r>
            <w:r>
              <w:rPr>
                <w:rFonts w:hint="eastAsia"/>
                <w:color w:val="auto"/>
              </w:rPr>
              <w:t>技改</w:t>
            </w:r>
            <w:r>
              <w:rPr>
                <w:color w:val="auto"/>
              </w:rPr>
              <w:t>。类比同类项目，检修用</w:t>
            </w:r>
            <w:r>
              <w:rPr>
                <w:rFonts w:hint="eastAsia"/>
                <w:color w:val="auto"/>
                <w:lang w:val="en-US" w:eastAsia="zh-CN"/>
              </w:rPr>
              <w:t>氧气</w:t>
            </w:r>
            <w:r>
              <w:rPr>
                <w:color w:val="auto"/>
              </w:rPr>
              <w:t>的储存量远低于临界量，不构成重大危险源。</w:t>
            </w:r>
          </w:p>
        </w:tc>
      </w:tr>
    </w:tbl>
    <w:p w14:paraId="4FC38E7D">
      <w:pPr>
        <w:bidi w:val="0"/>
        <w:rPr>
          <w:color w:val="auto"/>
        </w:rPr>
      </w:pPr>
      <w:r>
        <w:rPr>
          <w:rFonts w:hint="eastAsia"/>
          <w:color w:val="auto"/>
        </w:rPr>
        <w:t>按照《危险化学品重大危险源辨识》（GB18218-2018）的规定，项目在生产、检修环节中用到的乙炔和柴油，其用量较少，远小于其临界量；综上，该项目危险化学品使用和存储未构成重大危险源。</w:t>
      </w:r>
    </w:p>
    <w:p w14:paraId="2850E52C">
      <w:pPr>
        <w:rPr>
          <w:color w:val="auto"/>
        </w:rPr>
      </w:pPr>
      <w:r>
        <w:rPr>
          <w:color w:val="auto"/>
        </w:rPr>
        <w:br w:type="page"/>
      </w:r>
    </w:p>
    <w:p w14:paraId="22CFBAC1">
      <w:pPr>
        <w:pStyle w:val="2"/>
        <w:bidi w:val="0"/>
        <w:rPr>
          <w:rFonts w:hint="eastAsia"/>
          <w:color w:val="auto"/>
        </w:rPr>
      </w:pPr>
      <w:bookmarkStart w:id="134" w:name="_Toc3301"/>
      <w:r>
        <w:rPr>
          <w:rFonts w:hint="eastAsia"/>
          <w:color w:val="auto"/>
        </w:rPr>
        <w:t>4 评价单元划分及评价方法选择</w:t>
      </w:r>
      <w:bookmarkEnd w:id="134"/>
    </w:p>
    <w:p w14:paraId="33128743">
      <w:pPr>
        <w:pStyle w:val="3"/>
        <w:bidi w:val="0"/>
        <w:rPr>
          <w:rFonts w:hint="eastAsia"/>
          <w:color w:val="auto"/>
        </w:rPr>
      </w:pPr>
      <w:bookmarkStart w:id="135" w:name="_Toc26520"/>
      <w:r>
        <w:rPr>
          <w:rFonts w:hint="eastAsia"/>
          <w:color w:val="auto"/>
        </w:rPr>
        <w:t>4.1 评价单元划分</w:t>
      </w:r>
      <w:bookmarkEnd w:id="135"/>
    </w:p>
    <w:p w14:paraId="38C1A454">
      <w:pPr>
        <w:pStyle w:val="4"/>
        <w:bidi w:val="0"/>
        <w:rPr>
          <w:rFonts w:hint="eastAsia"/>
          <w:color w:val="auto"/>
        </w:rPr>
      </w:pPr>
      <w:bookmarkStart w:id="136" w:name="_Toc15127"/>
      <w:r>
        <w:rPr>
          <w:rFonts w:hint="eastAsia"/>
          <w:color w:val="auto"/>
        </w:rPr>
        <w:t>4.1.1 评价单元划分原则</w:t>
      </w:r>
      <w:bookmarkEnd w:id="136"/>
    </w:p>
    <w:p w14:paraId="57911FCF">
      <w:pPr>
        <w:bidi w:val="0"/>
        <w:rPr>
          <w:rFonts w:hint="eastAsia"/>
          <w:color w:val="auto"/>
        </w:rPr>
      </w:pPr>
      <w:r>
        <w:rPr>
          <w:rFonts w:hint="eastAsia"/>
          <w:color w:val="auto"/>
        </w:rPr>
        <w:t>划分评价单元是为评价目标和选用评价方法服务的，为便于评价工作的进行，有利于提高评价工作的准确性。评价单元一般以工艺流程、工艺装置、物料的特点和特性与危险和有害因素的类别、分布有机结合进行划分，还可以按评价的需要将一个评价单元再划分为若干子评价单元或更细致的单元。</w:t>
      </w:r>
    </w:p>
    <w:p w14:paraId="69D03AB1">
      <w:pPr>
        <w:bidi w:val="0"/>
        <w:rPr>
          <w:rFonts w:hint="eastAsia"/>
          <w:color w:val="auto"/>
        </w:rPr>
      </w:pPr>
      <w:r>
        <w:rPr>
          <w:rFonts w:hint="eastAsia"/>
          <w:color w:val="auto"/>
        </w:rPr>
        <w:t>评价单元划分的原则和方法为：</w:t>
      </w:r>
    </w:p>
    <w:p w14:paraId="68865AE2">
      <w:pPr>
        <w:bidi w:val="0"/>
        <w:rPr>
          <w:rFonts w:hint="eastAsia"/>
          <w:color w:val="auto"/>
        </w:rPr>
      </w:pPr>
      <w:r>
        <w:rPr>
          <w:rFonts w:hint="eastAsia"/>
          <w:color w:val="auto"/>
        </w:rPr>
        <w:t>1、以危险、有害因素的类别为主划分</w:t>
      </w:r>
    </w:p>
    <w:p w14:paraId="3BE78583">
      <w:pPr>
        <w:bidi w:val="0"/>
        <w:rPr>
          <w:rFonts w:hint="eastAsia"/>
          <w:color w:val="auto"/>
        </w:rPr>
      </w:pPr>
      <w:r>
        <w:rPr>
          <w:rFonts w:hint="eastAsia"/>
          <w:color w:val="auto"/>
        </w:rPr>
        <w:t>（1）按工艺方案、总体布置和自然条件、社会环境对企业的影响等综合方面的危险、有害因素分析和评价，宜将整个企业作为一个评价单元；</w:t>
      </w:r>
    </w:p>
    <w:p w14:paraId="3D13F6E4">
      <w:pPr>
        <w:bidi w:val="0"/>
        <w:rPr>
          <w:rFonts w:hint="eastAsia"/>
          <w:color w:val="auto"/>
        </w:rPr>
      </w:pPr>
      <w:r>
        <w:rPr>
          <w:rFonts w:hint="eastAsia"/>
          <w:color w:val="auto"/>
        </w:rPr>
        <w:t>（2）将具有共性危险因素、有害因素的场所和装置划为一个单元。</w:t>
      </w:r>
    </w:p>
    <w:p w14:paraId="16D9D8B2">
      <w:pPr>
        <w:bidi w:val="0"/>
        <w:rPr>
          <w:rFonts w:hint="eastAsia"/>
          <w:color w:val="auto"/>
        </w:rPr>
      </w:pPr>
      <w:r>
        <w:rPr>
          <w:rFonts w:hint="eastAsia"/>
          <w:color w:val="auto"/>
        </w:rPr>
        <w:t>1）按危险因素类别各划归一个单元，再按工艺、物料、作业特点（即其潜在危险因素不同）划分成子单元分别评价；</w:t>
      </w:r>
    </w:p>
    <w:p w14:paraId="048EEAEC">
      <w:pPr>
        <w:bidi w:val="0"/>
        <w:rPr>
          <w:rFonts w:hint="eastAsia"/>
          <w:color w:val="auto"/>
        </w:rPr>
      </w:pPr>
      <w:r>
        <w:rPr>
          <w:rFonts w:hint="eastAsia"/>
          <w:color w:val="auto"/>
        </w:rPr>
        <w:t>2）进行有害因素评价时，宜按有害因素（有害作业）的类别划分评价单元。例如，将噪声、毒物、粉尘、高温危害的场所各划归一个评价单元。</w:t>
      </w:r>
    </w:p>
    <w:p w14:paraId="69DA7A49">
      <w:pPr>
        <w:bidi w:val="0"/>
        <w:rPr>
          <w:rFonts w:hint="eastAsia"/>
          <w:color w:val="auto"/>
        </w:rPr>
      </w:pPr>
      <w:r>
        <w:rPr>
          <w:rFonts w:hint="eastAsia"/>
          <w:color w:val="auto"/>
        </w:rPr>
        <w:t>2、按装置和物质特征划分</w:t>
      </w:r>
    </w:p>
    <w:p w14:paraId="700E018F">
      <w:pPr>
        <w:bidi w:val="0"/>
        <w:rPr>
          <w:rFonts w:hint="eastAsia"/>
          <w:color w:val="auto"/>
        </w:rPr>
      </w:pPr>
      <w:r>
        <w:rPr>
          <w:rFonts w:hint="eastAsia"/>
          <w:color w:val="auto"/>
        </w:rPr>
        <w:t>（1）按装置工艺功能划分；</w:t>
      </w:r>
    </w:p>
    <w:p w14:paraId="5E56B335">
      <w:pPr>
        <w:bidi w:val="0"/>
        <w:rPr>
          <w:rFonts w:hint="eastAsia"/>
          <w:color w:val="auto"/>
        </w:rPr>
      </w:pPr>
      <w:r>
        <w:rPr>
          <w:rFonts w:hint="eastAsia"/>
          <w:color w:val="auto"/>
        </w:rPr>
        <w:t>（2）按布置的相对独立性划分；</w:t>
      </w:r>
    </w:p>
    <w:p w14:paraId="1B3AD2B1">
      <w:pPr>
        <w:bidi w:val="0"/>
        <w:rPr>
          <w:rFonts w:hint="eastAsia"/>
          <w:color w:val="auto"/>
        </w:rPr>
      </w:pPr>
      <w:r>
        <w:rPr>
          <w:rFonts w:hint="eastAsia"/>
          <w:color w:val="auto"/>
        </w:rPr>
        <w:t>（3）按工艺条件划分；</w:t>
      </w:r>
    </w:p>
    <w:p w14:paraId="68CA251E">
      <w:pPr>
        <w:bidi w:val="0"/>
        <w:rPr>
          <w:rFonts w:hint="eastAsia"/>
          <w:color w:val="auto"/>
        </w:rPr>
      </w:pPr>
      <w:r>
        <w:rPr>
          <w:rFonts w:hint="eastAsia"/>
          <w:color w:val="auto"/>
        </w:rPr>
        <w:t>（4）按贮存、处理危险物质的潜在化学能、毒性和危险物质的数量划分；</w:t>
      </w:r>
    </w:p>
    <w:p w14:paraId="1E238A6B">
      <w:pPr>
        <w:bidi w:val="0"/>
        <w:rPr>
          <w:rFonts w:hint="eastAsia"/>
          <w:color w:val="auto"/>
        </w:rPr>
      </w:pPr>
      <w:r>
        <w:rPr>
          <w:rFonts w:hint="eastAsia"/>
          <w:color w:val="auto"/>
        </w:rPr>
        <w:t>（5）按事故损失程度或危险性划分。</w:t>
      </w:r>
    </w:p>
    <w:p w14:paraId="43AD90F3">
      <w:pPr>
        <w:pStyle w:val="4"/>
        <w:bidi w:val="0"/>
        <w:rPr>
          <w:rFonts w:hint="eastAsia"/>
          <w:color w:val="auto"/>
        </w:rPr>
      </w:pPr>
      <w:bookmarkStart w:id="137" w:name="_Toc18759"/>
      <w:r>
        <w:rPr>
          <w:rFonts w:hint="eastAsia"/>
          <w:color w:val="auto"/>
        </w:rPr>
        <w:t>4.1.2 评价单元的划分</w:t>
      </w:r>
      <w:bookmarkEnd w:id="137"/>
    </w:p>
    <w:p w14:paraId="257043F1">
      <w:pPr>
        <w:bidi w:val="0"/>
        <w:rPr>
          <w:rFonts w:hint="eastAsia"/>
          <w:color w:val="auto"/>
        </w:rPr>
      </w:pPr>
      <w:r>
        <w:rPr>
          <w:rFonts w:hint="eastAsia"/>
          <w:color w:val="auto"/>
        </w:rPr>
        <w:t>根据该项目的总图布置和生产工艺特点，为达到对该项目系统、科学、全面的评价目的，将该项目评价单元做如下划分：</w:t>
      </w:r>
    </w:p>
    <w:p w14:paraId="1FA03FFA">
      <w:pPr>
        <w:pStyle w:val="23"/>
        <w:bidi w:val="0"/>
        <w:rPr>
          <w:color w:val="auto"/>
        </w:rPr>
      </w:pPr>
      <w:r>
        <w:rPr>
          <w:rFonts w:hint="eastAsia"/>
          <w:color w:val="auto"/>
        </w:rPr>
        <w:t>表4.1-1  评价单元与评价方法对照表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3506"/>
        <w:gridCol w:w="5050"/>
      </w:tblGrid>
      <w:tr w14:paraId="71AF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47" w:type="dxa"/>
            <w:noWrap w:val="0"/>
            <w:vAlign w:val="center"/>
          </w:tcPr>
          <w:p w14:paraId="47C557CA">
            <w:pPr>
              <w:pStyle w:val="24"/>
              <w:bidi w:val="0"/>
              <w:rPr>
                <w:rFonts w:hint="default"/>
                <w:b/>
                <w:bCs/>
                <w:color w:val="auto"/>
              </w:rPr>
            </w:pPr>
            <w:r>
              <w:rPr>
                <w:rFonts w:hint="default"/>
                <w:b/>
                <w:bCs/>
                <w:color w:val="auto"/>
              </w:rPr>
              <w:t>序号</w:t>
            </w:r>
          </w:p>
        </w:tc>
        <w:tc>
          <w:tcPr>
            <w:tcW w:w="3506" w:type="dxa"/>
            <w:noWrap w:val="0"/>
            <w:vAlign w:val="center"/>
          </w:tcPr>
          <w:p w14:paraId="7BE7F190">
            <w:pPr>
              <w:pStyle w:val="24"/>
              <w:bidi w:val="0"/>
              <w:rPr>
                <w:rFonts w:hint="default"/>
                <w:b/>
                <w:bCs/>
                <w:color w:val="auto"/>
              </w:rPr>
            </w:pPr>
            <w:r>
              <w:rPr>
                <w:rFonts w:hint="default"/>
                <w:b/>
                <w:bCs/>
                <w:color w:val="auto"/>
              </w:rPr>
              <w:t>评价单元</w:t>
            </w:r>
          </w:p>
        </w:tc>
        <w:tc>
          <w:tcPr>
            <w:tcW w:w="5050" w:type="dxa"/>
            <w:noWrap w:val="0"/>
            <w:vAlign w:val="center"/>
          </w:tcPr>
          <w:p w14:paraId="5B447337">
            <w:pPr>
              <w:pStyle w:val="24"/>
              <w:bidi w:val="0"/>
              <w:rPr>
                <w:rFonts w:hint="default"/>
                <w:b/>
                <w:bCs/>
                <w:color w:val="auto"/>
              </w:rPr>
            </w:pPr>
            <w:r>
              <w:rPr>
                <w:rFonts w:hint="default"/>
                <w:b/>
                <w:bCs/>
                <w:color w:val="auto"/>
              </w:rPr>
              <w:t>评价方法选择</w:t>
            </w:r>
          </w:p>
        </w:tc>
      </w:tr>
      <w:tr w14:paraId="5F57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63162247">
            <w:pPr>
              <w:pStyle w:val="24"/>
              <w:bidi w:val="0"/>
              <w:rPr>
                <w:rFonts w:hint="default"/>
                <w:color w:val="auto"/>
              </w:rPr>
            </w:pPr>
            <w:r>
              <w:rPr>
                <w:rFonts w:hint="default"/>
                <w:color w:val="auto"/>
              </w:rPr>
              <w:t>1</w:t>
            </w:r>
          </w:p>
        </w:tc>
        <w:tc>
          <w:tcPr>
            <w:tcW w:w="3506" w:type="dxa"/>
            <w:noWrap w:val="0"/>
            <w:vAlign w:val="center"/>
          </w:tcPr>
          <w:p w14:paraId="5CE00368">
            <w:pPr>
              <w:pStyle w:val="24"/>
              <w:bidi w:val="0"/>
              <w:rPr>
                <w:rFonts w:hint="default"/>
                <w:color w:val="auto"/>
              </w:rPr>
            </w:pPr>
            <w:r>
              <w:rPr>
                <w:rFonts w:hint="default"/>
                <w:color w:val="auto"/>
              </w:rPr>
              <w:t>建设程序单元</w:t>
            </w:r>
          </w:p>
        </w:tc>
        <w:tc>
          <w:tcPr>
            <w:tcW w:w="5050" w:type="dxa"/>
            <w:noWrap w:val="0"/>
            <w:vAlign w:val="center"/>
          </w:tcPr>
          <w:p w14:paraId="1D78C47C">
            <w:pPr>
              <w:pStyle w:val="24"/>
              <w:bidi w:val="0"/>
              <w:rPr>
                <w:rFonts w:hint="default"/>
                <w:color w:val="auto"/>
              </w:rPr>
            </w:pPr>
            <w:r>
              <w:rPr>
                <w:rFonts w:hint="default"/>
                <w:color w:val="auto"/>
              </w:rPr>
              <w:t>安全检查表法</w:t>
            </w:r>
          </w:p>
        </w:tc>
      </w:tr>
      <w:tr w14:paraId="2262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06546D56">
            <w:pPr>
              <w:pStyle w:val="24"/>
              <w:bidi w:val="0"/>
              <w:rPr>
                <w:rFonts w:hint="default"/>
                <w:color w:val="auto"/>
              </w:rPr>
            </w:pPr>
            <w:r>
              <w:rPr>
                <w:rFonts w:hint="default"/>
                <w:color w:val="auto"/>
              </w:rPr>
              <w:t>2</w:t>
            </w:r>
          </w:p>
        </w:tc>
        <w:tc>
          <w:tcPr>
            <w:tcW w:w="3506" w:type="dxa"/>
            <w:noWrap w:val="0"/>
            <w:vAlign w:val="center"/>
          </w:tcPr>
          <w:p w14:paraId="312C54EF">
            <w:pPr>
              <w:pStyle w:val="24"/>
              <w:bidi w:val="0"/>
              <w:rPr>
                <w:rFonts w:hint="default"/>
                <w:color w:val="auto"/>
              </w:rPr>
            </w:pPr>
            <w:r>
              <w:rPr>
                <w:rFonts w:hint="default"/>
                <w:color w:val="auto"/>
              </w:rPr>
              <w:t>厂址及总平面布置单元</w:t>
            </w:r>
          </w:p>
        </w:tc>
        <w:tc>
          <w:tcPr>
            <w:tcW w:w="5050" w:type="dxa"/>
            <w:noWrap w:val="0"/>
            <w:vAlign w:val="center"/>
          </w:tcPr>
          <w:p w14:paraId="2F853560">
            <w:pPr>
              <w:pStyle w:val="24"/>
              <w:bidi w:val="0"/>
              <w:rPr>
                <w:rFonts w:hint="default"/>
                <w:color w:val="auto"/>
              </w:rPr>
            </w:pPr>
            <w:r>
              <w:rPr>
                <w:rFonts w:hint="default"/>
                <w:color w:val="auto"/>
              </w:rPr>
              <w:t>安全检查表法</w:t>
            </w:r>
          </w:p>
        </w:tc>
      </w:tr>
      <w:tr w14:paraId="1C26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0931CAE4">
            <w:pPr>
              <w:pStyle w:val="24"/>
              <w:bidi w:val="0"/>
              <w:rPr>
                <w:rFonts w:hint="default"/>
                <w:color w:val="auto"/>
              </w:rPr>
            </w:pPr>
            <w:r>
              <w:rPr>
                <w:rFonts w:hint="default"/>
                <w:color w:val="auto"/>
              </w:rPr>
              <w:t>3</w:t>
            </w:r>
          </w:p>
        </w:tc>
        <w:tc>
          <w:tcPr>
            <w:tcW w:w="3506" w:type="dxa"/>
            <w:noWrap w:val="0"/>
            <w:vAlign w:val="center"/>
          </w:tcPr>
          <w:p w14:paraId="2B34E055">
            <w:pPr>
              <w:pStyle w:val="24"/>
              <w:bidi w:val="0"/>
              <w:rPr>
                <w:rFonts w:hint="default"/>
                <w:color w:val="auto"/>
              </w:rPr>
            </w:pPr>
            <w:r>
              <w:rPr>
                <w:rFonts w:hint="default"/>
                <w:color w:val="auto"/>
              </w:rPr>
              <w:t>生产工艺及设备单元</w:t>
            </w:r>
          </w:p>
        </w:tc>
        <w:tc>
          <w:tcPr>
            <w:tcW w:w="5050" w:type="dxa"/>
            <w:noWrap w:val="0"/>
            <w:vAlign w:val="center"/>
          </w:tcPr>
          <w:p w14:paraId="6A66F8F7">
            <w:pPr>
              <w:pStyle w:val="24"/>
              <w:bidi w:val="0"/>
              <w:rPr>
                <w:rFonts w:hint="default"/>
                <w:color w:val="auto"/>
              </w:rPr>
            </w:pPr>
            <w:r>
              <w:rPr>
                <w:rFonts w:hint="default"/>
                <w:color w:val="auto"/>
              </w:rPr>
              <w:t>安全检查表法</w:t>
            </w:r>
          </w:p>
        </w:tc>
      </w:tr>
      <w:tr w14:paraId="3F13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2216F197">
            <w:pPr>
              <w:pStyle w:val="24"/>
              <w:bidi w:val="0"/>
              <w:rPr>
                <w:rFonts w:hint="default"/>
                <w:color w:val="auto"/>
              </w:rPr>
            </w:pPr>
            <w:r>
              <w:rPr>
                <w:rFonts w:hint="default"/>
                <w:color w:val="auto"/>
              </w:rPr>
              <w:t>4</w:t>
            </w:r>
          </w:p>
        </w:tc>
        <w:tc>
          <w:tcPr>
            <w:tcW w:w="3506" w:type="dxa"/>
            <w:noWrap w:val="0"/>
            <w:vAlign w:val="center"/>
          </w:tcPr>
          <w:p w14:paraId="315E5107">
            <w:pPr>
              <w:pStyle w:val="24"/>
              <w:bidi w:val="0"/>
              <w:rPr>
                <w:rFonts w:hint="default"/>
                <w:color w:val="auto"/>
              </w:rPr>
            </w:pPr>
            <w:r>
              <w:rPr>
                <w:rFonts w:hint="default"/>
                <w:color w:val="auto"/>
              </w:rPr>
              <w:t>公用工程及辅助设施单元</w:t>
            </w:r>
          </w:p>
        </w:tc>
        <w:tc>
          <w:tcPr>
            <w:tcW w:w="5050" w:type="dxa"/>
            <w:noWrap w:val="0"/>
            <w:vAlign w:val="center"/>
          </w:tcPr>
          <w:p w14:paraId="3D739D7C">
            <w:pPr>
              <w:pStyle w:val="24"/>
              <w:bidi w:val="0"/>
              <w:rPr>
                <w:rFonts w:hint="default"/>
                <w:color w:val="auto"/>
              </w:rPr>
            </w:pPr>
            <w:r>
              <w:rPr>
                <w:rFonts w:hint="default"/>
                <w:color w:val="auto"/>
              </w:rPr>
              <w:t>安全检查表法</w:t>
            </w:r>
          </w:p>
        </w:tc>
      </w:tr>
      <w:tr w14:paraId="5D7B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525F41F7">
            <w:pPr>
              <w:pStyle w:val="24"/>
              <w:bidi w:val="0"/>
              <w:rPr>
                <w:rFonts w:hint="default"/>
                <w:color w:val="auto"/>
              </w:rPr>
            </w:pPr>
            <w:r>
              <w:rPr>
                <w:rFonts w:hint="default"/>
                <w:color w:val="auto"/>
              </w:rPr>
              <w:t>5</w:t>
            </w:r>
          </w:p>
        </w:tc>
        <w:tc>
          <w:tcPr>
            <w:tcW w:w="3506" w:type="dxa"/>
            <w:noWrap w:val="0"/>
            <w:vAlign w:val="center"/>
          </w:tcPr>
          <w:p w14:paraId="0FCC6E7D">
            <w:pPr>
              <w:pStyle w:val="24"/>
              <w:bidi w:val="0"/>
              <w:rPr>
                <w:rFonts w:hint="default"/>
                <w:color w:val="auto"/>
              </w:rPr>
            </w:pPr>
            <w:r>
              <w:rPr>
                <w:rFonts w:hint="default"/>
                <w:color w:val="auto"/>
              </w:rPr>
              <w:t>安全设施单元</w:t>
            </w:r>
          </w:p>
        </w:tc>
        <w:tc>
          <w:tcPr>
            <w:tcW w:w="5050" w:type="dxa"/>
            <w:noWrap w:val="0"/>
            <w:vAlign w:val="center"/>
          </w:tcPr>
          <w:p w14:paraId="530EBF8E">
            <w:pPr>
              <w:pStyle w:val="24"/>
              <w:bidi w:val="0"/>
              <w:rPr>
                <w:rFonts w:hint="default"/>
                <w:color w:val="auto"/>
              </w:rPr>
            </w:pPr>
            <w:r>
              <w:rPr>
                <w:rFonts w:hint="default"/>
                <w:color w:val="auto"/>
              </w:rPr>
              <w:t>安全检查法</w:t>
            </w:r>
            <w:r>
              <w:rPr>
                <w:rFonts w:hint="eastAsia"/>
                <w:color w:val="auto"/>
                <w:lang w:eastAsia="zh-CN"/>
              </w:rPr>
              <w:t>、</w:t>
            </w:r>
            <w:r>
              <w:rPr>
                <w:rFonts w:hint="default"/>
                <w:color w:val="auto"/>
              </w:rPr>
              <w:t>安全检查</w:t>
            </w:r>
            <w:r>
              <w:rPr>
                <w:rFonts w:hint="eastAsia"/>
                <w:color w:val="auto"/>
                <w:lang w:val="en-US" w:eastAsia="zh-CN"/>
              </w:rPr>
              <w:t>表</w:t>
            </w:r>
            <w:r>
              <w:rPr>
                <w:rFonts w:hint="default"/>
                <w:color w:val="auto"/>
              </w:rPr>
              <w:t>法</w:t>
            </w:r>
          </w:p>
        </w:tc>
      </w:tr>
      <w:tr w14:paraId="14CF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3AF3E05B">
            <w:pPr>
              <w:pStyle w:val="24"/>
              <w:bidi w:val="0"/>
              <w:rPr>
                <w:rFonts w:hint="default"/>
                <w:color w:val="auto"/>
              </w:rPr>
            </w:pPr>
            <w:r>
              <w:rPr>
                <w:rFonts w:hint="default"/>
                <w:color w:val="auto"/>
              </w:rPr>
              <w:t>6</w:t>
            </w:r>
          </w:p>
        </w:tc>
        <w:tc>
          <w:tcPr>
            <w:tcW w:w="3506" w:type="dxa"/>
            <w:noWrap w:val="0"/>
            <w:vAlign w:val="center"/>
          </w:tcPr>
          <w:p w14:paraId="79016DC0">
            <w:pPr>
              <w:pStyle w:val="24"/>
              <w:bidi w:val="0"/>
              <w:rPr>
                <w:rFonts w:hint="default"/>
                <w:color w:val="auto"/>
              </w:rPr>
            </w:pPr>
            <w:r>
              <w:rPr>
                <w:rFonts w:hint="default"/>
                <w:color w:val="auto"/>
              </w:rPr>
              <w:t>安全管理单元</w:t>
            </w:r>
          </w:p>
        </w:tc>
        <w:tc>
          <w:tcPr>
            <w:tcW w:w="5050" w:type="dxa"/>
            <w:noWrap w:val="0"/>
            <w:vAlign w:val="center"/>
          </w:tcPr>
          <w:p w14:paraId="30981CA3">
            <w:pPr>
              <w:pStyle w:val="24"/>
              <w:bidi w:val="0"/>
              <w:rPr>
                <w:rFonts w:hint="default"/>
                <w:color w:val="auto"/>
              </w:rPr>
            </w:pPr>
            <w:r>
              <w:rPr>
                <w:rFonts w:hint="default"/>
                <w:color w:val="auto"/>
              </w:rPr>
              <w:t>安全检查表法</w:t>
            </w:r>
          </w:p>
        </w:tc>
      </w:tr>
      <w:tr w14:paraId="3F18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7B89A186">
            <w:pPr>
              <w:pStyle w:val="24"/>
              <w:bidi w:val="0"/>
              <w:rPr>
                <w:rFonts w:hint="default"/>
                <w:color w:val="auto"/>
                <w:lang w:val="en-US" w:eastAsia="zh-CN"/>
              </w:rPr>
            </w:pPr>
            <w:r>
              <w:rPr>
                <w:rFonts w:hint="default"/>
                <w:color w:val="auto"/>
                <w:lang w:val="en-US" w:eastAsia="zh-CN"/>
              </w:rPr>
              <w:t>7</w:t>
            </w:r>
          </w:p>
        </w:tc>
        <w:tc>
          <w:tcPr>
            <w:tcW w:w="3506" w:type="dxa"/>
            <w:noWrap w:val="0"/>
            <w:vAlign w:val="center"/>
          </w:tcPr>
          <w:p w14:paraId="0D1F139C">
            <w:pPr>
              <w:pStyle w:val="24"/>
              <w:bidi w:val="0"/>
              <w:rPr>
                <w:rFonts w:hint="default"/>
                <w:color w:val="auto"/>
              </w:rPr>
            </w:pPr>
            <w:r>
              <w:rPr>
                <w:rFonts w:hint="default"/>
                <w:color w:val="auto"/>
              </w:rPr>
              <w:t>危险危害程度评价单元</w:t>
            </w:r>
          </w:p>
        </w:tc>
        <w:tc>
          <w:tcPr>
            <w:tcW w:w="5050" w:type="dxa"/>
            <w:noWrap w:val="0"/>
            <w:vAlign w:val="center"/>
          </w:tcPr>
          <w:p w14:paraId="408005D2">
            <w:pPr>
              <w:pStyle w:val="24"/>
              <w:bidi w:val="0"/>
              <w:rPr>
                <w:rFonts w:hint="default"/>
                <w:color w:val="auto"/>
              </w:rPr>
            </w:pPr>
            <w:r>
              <w:rPr>
                <w:rFonts w:hint="default"/>
                <w:color w:val="auto"/>
              </w:rPr>
              <w:t>作业条件危险性评价法</w:t>
            </w:r>
          </w:p>
        </w:tc>
      </w:tr>
      <w:tr w14:paraId="41F2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53859308">
            <w:pPr>
              <w:pStyle w:val="24"/>
              <w:bidi w:val="0"/>
              <w:rPr>
                <w:rFonts w:hint="default"/>
                <w:color w:val="auto"/>
                <w:lang w:val="en-US" w:eastAsia="zh-CN"/>
              </w:rPr>
            </w:pPr>
            <w:r>
              <w:rPr>
                <w:rFonts w:hint="eastAsia"/>
                <w:color w:val="auto"/>
                <w:lang w:val="en-US" w:eastAsia="zh-CN"/>
              </w:rPr>
              <w:t>8</w:t>
            </w:r>
          </w:p>
        </w:tc>
        <w:tc>
          <w:tcPr>
            <w:tcW w:w="3506" w:type="dxa"/>
            <w:noWrap w:val="0"/>
            <w:vAlign w:val="center"/>
          </w:tcPr>
          <w:p w14:paraId="24E05AD3">
            <w:pPr>
              <w:pStyle w:val="24"/>
              <w:bidi w:val="0"/>
              <w:rPr>
                <w:rFonts w:hint="default"/>
                <w:color w:val="auto"/>
              </w:rPr>
            </w:pPr>
            <w:r>
              <w:rPr>
                <w:rFonts w:hint="default"/>
                <w:color w:val="auto"/>
              </w:rPr>
              <w:t>重大生产安全事故隐患判定单元</w:t>
            </w:r>
          </w:p>
        </w:tc>
        <w:tc>
          <w:tcPr>
            <w:tcW w:w="5050" w:type="dxa"/>
            <w:noWrap w:val="0"/>
            <w:vAlign w:val="center"/>
          </w:tcPr>
          <w:p w14:paraId="6EA93AF8">
            <w:pPr>
              <w:pStyle w:val="24"/>
              <w:bidi w:val="0"/>
              <w:rPr>
                <w:rFonts w:hint="default"/>
                <w:color w:val="auto"/>
              </w:rPr>
            </w:pPr>
            <w:r>
              <w:rPr>
                <w:rFonts w:hint="default"/>
                <w:color w:val="auto"/>
              </w:rPr>
              <w:t>安全检查表法</w:t>
            </w:r>
          </w:p>
        </w:tc>
      </w:tr>
    </w:tbl>
    <w:p w14:paraId="7139562D">
      <w:pPr>
        <w:pStyle w:val="3"/>
        <w:bidi w:val="0"/>
        <w:rPr>
          <w:rFonts w:hint="eastAsia"/>
          <w:color w:val="auto"/>
        </w:rPr>
      </w:pPr>
      <w:bookmarkStart w:id="138" w:name="_Toc10845"/>
      <w:r>
        <w:rPr>
          <w:rFonts w:hint="eastAsia"/>
          <w:color w:val="auto"/>
        </w:rPr>
        <w:t>4.2 评价方法的选择</w:t>
      </w:r>
      <w:bookmarkEnd w:id="138"/>
    </w:p>
    <w:p w14:paraId="727BDC09">
      <w:pPr>
        <w:pStyle w:val="4"/>
        <w:bidi w:val="0"/>
        <w:rPr>
          <w:rFonts w:hint="eastAsia"/>
          <w:color w:val="auto"/>
        </w:rPr>
      </w:pPr>
      <w:bookmarkStart w:id="139" w:name="_Toc13079"/>
      <w:r>
        <w:rPr>
          <w:rFonts w:hint="eastAsia"/>
          <w:color w:val="auto"/>
        </w:rPr>
        <w:t>4.2.1 评价方法选择</w:t>
      </w:r>
      <w:bookmarkEnd w:id="139"/>
    </w:p>
    <w:p w14:paraId="1CA00D63">
      <w:pPr>
        <w:bidi w:val="0"/>
        <w:rPr>
          <w:rFonts w:hint="eastAsia"/>
          <w:color w:val="auto"/>
        </w:rPr>
      </w:pPr>
      <w:r>
        <w:rPr>
          <w:rFonts w:hint="eastAsia"/>
          <w:color w:val="auto"/>
        </w:rPr>
        <w:t>安全评价方法是对系统的危险和有害因素及其危险危害程度进行分析、评价的方法，是进行定性、定量安全评价的工具。选择安全评价方法应遵循充分性、适应性、系统性、针对性和合理性等原则。</w:t>
      </w:r>
    </w:p>
    <w:p w14:paraId="6FE4645E">
      <w:pPr>
        <w:bidi w:val="0"/>
        <w:rPr>
          <w:rFonts w:hint="eastAsia"/>
          <w:color w:val="auto"/>
        </w:rPr>
      </w:pPr>
      <w:r>
        <w:rPr>
          <w:rFonts w:hint="eastAsia"/>
          <w:color w:val="auto"/>
        </w:rPr>
        <w:t>根据《安全评价通则》（AQ 8001-2007）及《安全验收评价导则》（AQ 8003-2007）的要求，结合该项目的评价范围、存在的危险有害因素的特点和划分的评价单元，本报告主要采用下列评价方法：</w:t>
      </w:r>
    </w:p>
    <w:p w14:paraId="57DC8605">
      <w:pPr>
        <w:bidi w:val="0"/>
        <w:rPr>
          <w:rFonts w:hint="eastAsia"/>
          <w:color w:val="auto"/>
        </w:rPr>
      </w:pPr>
      <w:r>
        <w:rPr>
          <w:rFonts w:hint="eastAsia"/>
          <w:color w:val="auto"/>
        </w:rPr>
        <w:t>1、安全检查表法（SCA）；</w:t>
      </w:r>
    </w:p>
    <w:p w14:paraId="53D21000">
      <w:pPr>
        <w:bidi w:val="0"/>
        <w:rPr>
          <w:rFonts w:hint="eastAsia"/>
          <w:color w:val="auto"/>
        </w:rPr>
      </w:pPr>
      <w:r>
        <w:rPr>
          <w:rFonts w:hint="eastAsia"/>
          <w:color w:val="auto"/>
        </w:rPr>
        <w:t>2、安全检查法；</w:t>
      </w:r>
    </w:p>
    <w:p w14:paraId="764DE763">
      <w:pPr>
        <w:bidi w:val="0"/>
        <w:rPr>
          <w:rFonts w:hint="eastAsia"/>
          <w:color w:val="auto"/>
        </w:rPr>
      </w:pPr>
      <w:r>
        <w:rPr>
          <w:rFonts w:hint="eastAsia"/>
          <w:color w:val="auto"/>
        </w:rPr>
        <w:t>3、作业条件危险性评价法（LEC）。</w:t>
      </w:r>
    </w:p>
    <w:p w14:paraId="078AAF6D">
      <w:pPr>
        <w:pStyle w:val="4"/>
        <w:bidi w:val="0"/>
        <w:rPr>
          <w:rFonts w:hint="eastAsia"/>
          <w:color w:val="auto"/>
        </w:rPr>
      </w:pPr>
      <w:bookmarkStart w:id="140" w:name="_Toc26665"/>
      <w:r>
        <w:rPr>
          <w:rFonts w:hint="eastAsia"/>
          <w:color w:val="auto"/>
        </w:rPr>
        <w:t>4.2.2 评价方法简介</w:t>
      </w:r>
      <w:bookmarkEnd w:id="140"/>
    </w:p>
    <w:p w14:paraId="0E9290F0">
      <w:pPr>
        <w:bidi w:val="0"/>
        <w:rPr>
          <w:rFonts w:hint="eastAsia"/>
          <w:color w:val="auto"/>
        </w:rPr>
      </w:pPr>
      <w:r>
        <w:rPr>
          <w:rFonts w:hint="eastAsia"/>
          <w:color w:val="auto"/>
        </w:rPr>
        <w:t>1、安全检查表法</w:t>
      </w:r>
    </w:p>
    <w:p w14:paraId="164A9AB3">
      <w:pPr>
        <w:bidi w:val="0"/>
        <w:rPr>
          <w:rFonts w:hint="eastAsia"/>
          <w:color w:val="auto"/>
        </w:rPr>
      </w:pPr>
      <w:r>
        <w:rPr>
          <w:rFonts w:hint="eastAsia"/>
          <w:color w:val="auto"/>
        </w:rPr>
        <w:t>安全检查表评价方法简便灵活，是安全评价的常规方法，具有简便、实用、有效的特点。依据国家、地区、行业等相关的标准、法规编制检查表，判断是否、有无，找出缺陷、疏漏、隐患、问题。所以对工程总体和各装置单元的验收评价中均运用了这一方法。本评价中安全检查表的内容主要有四部分：</w:t>
      </w:r>
    </w:p>
    <w:p w14:paraId="1A5AA624">
      <w:pPr>
        <w:bidi w:val="0"/>
        <w:rPr>
          <w:rFonts w:hint="eastAsia"/>
          <w:color w:val="auto"/>
        </w:rPr>
      </w:pPr>
      <w:r>
        <w:rPr>
          <w:rFonts w:hint="eastAsia"/>
          <w:color w:val="auto"/>
        </w:rPr>
        <w:t>（1）“检查项目和要求”：针对该单元功能、工艺、设备等固有或潜在的主要危险危害因素，逐条列出检查的项目和国家有关劳动安全卫生方面的法律、法规、标准以及行业规定中对工程设计、施工、运行管理的各种具体要求。</w:t>
      </w:r>
    </w:p>
    <w:p w14:paraId="7ACBC7FE">
      <w:pPr>
        <w:bidi w:val="0"/>
        <w:rPr>
          <w:rFonts w:hint="eastAsia"/>
          <w:color w:val="auto"/>
        </w:rPr>
      </w:pPr>
      <w:r>
        <w:rPr>
          <w:rFonts w:hint="eastAsia"/>
          <w:color w:val="auto"/>
        </w:rPr>
        <w:t>（2）“检查依据”：与项目相关的国家或行业有关劳动安全卫生方面的法律、法规、标准。</w:t>
      </w:r>
    </w:p>
    <w:p w14:paraId="143C210D">
      <w:pPr>
        <w:bidi w:val="0"/>
        <w:rPr>
          <w:rFonts w:hint="eastAsia"/>
          <w:color w:val="auto"/>
        </w:rPr>
      </w:pPr>
      <w:r>
        <w:rPr>
          <w:rFonts w:hint="eastAsia"/>
          <w:color w:val="auto"/>
        </w:rPr>
        <w:t>（3）“检查情况”：对工程实际情况的描述。</w:t>
      </w:r>
    </w:p>
    <w:p w14:paraId="33F0DEFB">
      <w:pPr>
        <w:bidi w:val="0"/>
        <w:rPr>
          <w:rFonts w:hint="eastAsia"/>
          <w:color w:val="auto"/>
        </w:rPr>
      </w:pPr>
      <w:r>
        <w:rPr>
          <w:rFonts w:hint="eastAsia"/>
          <w:color w:val="auto"/>
        </w:rPr>
        <w:t>（4）“检查结果”：针对检查项目和要求，通过审查文件资料，勘察现场，项目是否符合国家或行业的法律、法规、标准。</w:t>
      </w:r>
    </w:p>
    <w:p w14:paraId="18667C9A">
      <w:pPr>
        <w:bidi w:val="0"/>
        <w:rPr>
          <w:rFonts w:hint="eastAsia"/>
          <w:color w:val="auto"/>
        </w:rPr>
      </w:pPr>
      <w:r>
        <w:rPr>
          <w:rFonts w:hint="eastAsia"/>
          <w:color w:val="auto"/>
        </w:rPr>
        <w:t>2、安全检查法</w:t>
      </w:r>
    </w:p>
    <w:p w14:paraId="050246F2">
      <w:pPr>
        <w:bidi w:val="0"/>
        <w:rPr>
          <w:rFonts w:hint="eastAsia"/>
          <w:color w:val="auto"/>
        </w:rPr>
      </w:pPr>
      <w:r>
        <w:rPr>
          <w:rFonts w:hint="eastAsia"/>
          <w:color w:val="auto"/>
        </w:rPr>
        <w:t>安全检查方法也称为工艺安全审查或“设计审查”及“损失预防审查”。它可以用于项目的任何阶段。对现有装置（在役装置）进行评价时，传统的安全检查主要包括巡视检查、正规日常检查或安全检查。即是对工程、系统的设计、装置条件、实际操作、维修等进行详细检查以识别所存的危险性。</w:t>
      </w:r>
    </w:p>
    <w:p w14:paraId="2D3269D0">
      <w:pPr>
        <w:bidi w:val="0"/>
        <w:rPr>
          <w:rFonts w:hint="eastAsia"/>
          <w:color w:val="auto"/>
        </w:rPr>
      </w:pPr>
      <w:r>
        <w:rPr>
          <w:rFonts w:hint="eastAsia"/>
          <w:color w:val="auto"/>
        </w:rPr>
        <w:t>安全检查的目的是：</w:t>
      </w:r>
    </w:p>
    <w:p w14:paraId="154478B0">
      <w:pPr>
        <w:bidi w:val="0"/>
        <w:rPr>
          <w:rFonts w:hint="eastAsia"/>
          <w:color w:val="auto"/>
        </w:rPr>
      </w:pPr>
      <w:r>
        <w:rPr>
          <w:rFonts w:hint="eastAsia"/>
          <w:color w:val="auto"/>
        </w:rPr>
        <w:t>（1）使操作人员保持对工艺危险的警觉性；</w:t>
      </w:r>
    </w:p>
    <w:p w14:paraId="5594F816">
      <w:pPr>
        <w:bidi w:val="0"/>
        <w:rPr>
          <w:rFonts w:hint="eastAsia"/>
          <w:color w:val="auto"/>
        </w:rPr>
      </w:pPr>
      <w:r>
        <w:rPr>
          <w:rFonts w:hint="eastAsia"/>
          <w:color w:val="auto"/>
        </w:rPr>
        <w:t>（2）对需要修订的操作规程进行审查；</w:t>
      </w:r>
    </w:p>
    <w:p w14:paraId="062DD51C">
      <w:pPr>
        <w:bidi w:val="0"/>
        <w:rPr>
          <w:rFonts w:hint="eastAsia"/>
          <w:color w:val="auto"/>
        </w:rPr>
      </w:pPr>
      <w:r>
        <w:rPr>
          <w:rFonts w:hint="eastAsia"/>
          <w:color w:val="auto"/>
        </w:rPr>
        <w:t>（3）对那些设备和工艺变化可能带来的任何危险性进行识别；</w:t>
      </w:r>
    </w:p>
    <w:p w14:paraId="383ED0A7">
      <w:pPr>
        <w:bidi w:val="0"/>
        <w:rPr>
          <w:rFonts w:hint="eastAsia"/>
          <w:color w:val="auto"/>
        </w:rPr>
      </w:pPr>
      <w:r>
        <w:rPr>
          <w:rFonts w:hint="eastAsia"/>
          <w:color w:val="auto"/>
        </w:rPr>
        <w:t>（4）评价安全系统和控制的设计依据；</w:t>
      </w:r>
    </w:p>
    <w:p w14:paraId="33B0FA5F">
      <w:pPr>
        <w:bidi w:val="0"/>
        <w:rPr>
          <w:rFonts w:hint="eastAsia"/>
          <w:color w:val="auto"/>
        </w:rPr>
      </w:pPr>
      <w:r>
        <w:rPr>
          <w:rFonts w:hint="eastAsia"/>
          <w:color w:val="auto"/>
        </w:rPr>
        <w:t>（5）对现有危险性的新技术应用进行审查；</w:t>
      </w:r>
    </w:p>
    <w:p w14:paraId="0498FB87">
      <w:pPr>
        <w:bidi w:val="0"/>
        <w:rPr>
          <w:rFonts w:hint="eastAsia"/>
          <w:color w:val="auto"/>
        </w:rPr>
      </w:pPr>
      <w:r>
        <w:rPr>
          <w:rFonts w:hint="eastAsia"/>
          <w:color w:val="auto"/>
        </w:rPr>
        <w:t>（6）审查维护和安全检查是否充分。</w:t>
      </w:r>
    </w:p>
    <w:p w14:paraId="3941F11C">
      <w:pPr>
        <w:bidi w:val="0"/>
        <w:rPr>
          <w:rFonts w:hint="eastAsia"/>
          <w:color w:val="auto"/>
        </w:rPr>
      </w:pPr>
      <w:r>
        <w:rPr>
          <w:rFonts w:hint="eastAsia"/>
          <w:color w:val="auto"/>
        </w:rPr>
        <w:t>3、作业条件危险性评价法</w:t>
      </w:r>
    </w:p>
    <w:p w14:paraId="26395F71">
      <w:pPr>
        <w:bidi w:val="0"/>
        <w:rPr>
          <w:rFonts w:hint="eastAsia"/>
          <w:color w:val="auto"/>
        </w:rPr>
      </w:pPr>
      <w:r>
        <w:rPr>
          <w:rFonts w:hint="eastAsia"/>
          <w:color w:val="auto"/>
        </w:rPr>
        <w:t>作业条件危险性评价法是一种简便易行的评价方法，用来评价人们在某种具有潜在危险环境中作业的危险性。该法以被评价的环境与某些作为参考的环境进行比较为基础，采用专家“评分”的办法确定各种自变量的分数值，最后根据总的危险分数值来评价其危险性。该法已用于工业企业危险性的评价，取得较好效果。格雷厄姆和金尼认为影响危险性的主要因素有三个：</w:t>
      </w:r>
    </w:p>
    <w:p w14:paraId="078DCD6D">
      <w:pPr>
        <w:bidi w:val="0"/>
        <w:rPr>
          <w:rFonts w:hint="eastAsia"/>
          <w:color w:val="auto"/>
        </w:rPr>
      </w:pPr>
      <w:r>
        <w:rPr>
          <w:rFonts w:hint="eastAsia"/>
          <w:color w:val="auto"/>
        </w:rPr>
        <w:t>（1）发生事故和危险事件的可能性；</w:t>
      </w:r>
    </w:p>
    <w:p w14:paraId="62EC1579">
      <w:pPr>
        <w:bidi w:val="0"/>
        <w:rPr>
          <w:rFonts w:hint="eastAsia"/>
          <w:color w:val="auto"/>
        </w:rPr>
      </w:pPr>
      <w:r>
        <w:rPr>
          <w:rFonts w:hint="eastAsia"/>
          <w:color w:val="auto"/>
        </w:rPr>
        <w:t>（2）暴露于这种危险环境的频率；</w:t>
      </w:r>
    </w:p>
    <w:p w14:paraId="4F1809D6">
      <w:pPr>
        <w:bidi w:val="0"/>
        <w:rPr>
          <w:rFonts w:hint="eastAsia"/>
          <w:color w:val="auto"/>
        </w:rPr>
      </w:pPr>
      <w:r>
        <w:rPr>
          <w:rFonts w:hint="eastAsia"/>
          <w:color w:val="auto"/>
        </w:rPr>
        <w:t>（3）事故一旦发生时可能产生的后果。</w:t>
      </w:r>
    </w:p>
    <w:p w14:paraId="1BEE6A62">
      <w:pPr>
        <w:bidi w:val="0"/>
        <w:rPr>
          <w:rFonts w:hint="eastAsia"/>
          <w:color w:val="auto"/>
        </w:rPr>
      </w:pPr>
      <w:r>
        <w:rPr>
          <w:rFonts w:hint="eastAsia"/>
          <w:color w:val="auto"/>
        </w:rPr>
        <w:t>前两者可以看作是危险概率，后者则相当于危险严重度。危险性可以下式来表达：</w:t>
      </w:r>
    </w:p>
    <w:p w14:paraId="6A1A067F">
      <w:pPr>
        <w:bidi w:val="0"/>
        <w:rPr>
          <w:rFonts w:hint="eastAsia"/>
          <w:color w:val="auto"/>
        </w:rPr>
      </w:pPr>
      <w:r>
        <w:rPr>
          <w:rFonts w:hint="eastAsia"/>
          <w:color w:val="auto"/>
        </w:rPr>
        <w:t>危险性（D）=L×E×C</w:t>
      </w:r>
    </w:p>
    <w:p w14:paraId="2DFF089A">
      <w:pPr>
        <w:bidi w:val="0"/>
        <w:rPr>
          <w:rFonts w:hint="eastAsia"/>
          <w:color w:val="auto"/>
        </w:rPr>
      </w:pPr>
      <w:r>
        <w:rPr>
          <w:rFonts w:hint="eastAsia"/>
          <w:color w:val="auto"/>
        </w:rPr>
        <w:t>式中：L—事故或危险事件发生的可能性；</w:t>
      </w:r>
    </w:p>
    <w:p w14:paraId="7DCE0607">
      <w:pPr>
        <w:bidi w:val="0"/>
        <w:rPr>
          <w:rFonts w:hint="eastAsia"/>
          <w:color w:val="auto"/>
        </w:rPr>
      </w:pPr>
      <w:r>
        <w:rPr>
          <w:rFonts w:hint="eastAsia"/>
          <w:color w:val="auto"/>
        </w:rPr>
        <w:t>E—暴露于危险环境的频率；</w:t>
      </w:r>
    </w:p>
    <w:p w14:paraId="6210FD19">
      <w:pPr>
        <w:bidi w:val="0"/>
        <w:rPr>
          <w:rFonts w:hint="eastAsia"/>
          <w:color w:val="auto"/>
        </w:rPr>
      </w:pPr>
      <w:r>
        <w:rPr>
          <w:rFonts w:hint="eastAsia"/>
          <w:color w:val="auto"/>
        </w:rPr>
        <w:t>C—危险严重度。</w:t>
      </w:r>
    </w:p>
    <w:p w14:paraId="4D189F7C">
      <w:pPr>
        <w:bidi w:val="0"/>
        <w:rPr>
          <w:rFonts w:hint="eastAsia"/>
          <w:color w:val="auto"/>
        </w:rPr>
      </w:pPr>
      <w:r>
        <w:rPr>
          <w:rFonts w:hint="eastAsia"/>
          <w:color w:val="auto"/>
        </w:rPr>
        <w:t>1）可能性因素L</w:t>
      </w:r>
    </w:p>
    <w:p w14:paraId="72FEDC89">
      <w:pPr>
        <w:bidi w:val="0"/>
        <w:rPr>
          <w:color w:val="auto"/>
        </w:rPr>
      </w:pPr>
      <w:r>
        <w:rPr>
          <w:rFonts w:hint="eastAsia"/>
          <w:color w:val="auto"/>
        </w:rPr>
        <w:t>事故或危险事件发生的可能性是与它们实际的数学概率相关联的。绝对不可能发生的事件的概率为0，而必然发生的事件的概率则为1，但在实际情况中，绝对不可能发生的事故是不存在的，只能说可能性很小，概率趋于0，所以，可能性因素L的分数取值范围为0.1~10具体见下表：</w:t>
      </w:r>
    </w:p>
    <w:p w14:paraId="2D4751AE">
      <w:pPr>
        <w:pStyle w:val="23"/>
        <w:bidi w:val="0"/>
        <w:rPr>
          <w:color w:val="auto"/>
        </w:rPr>
      </w:pPr>
      <w:r>
        <w:rPr>
          <w:rFonts w:hint="eastAsia"/>
          <w:color w:val="auto"/>
        </w:rPr>
        <w:t>表4.2-1  事故或危险事件发生的可能性L的分数值表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1"/>
        <w:gridCol w:w="4702"/>
      </w:tblGrid>
      <w:tr w14:paraId="6DF1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4701" w:type="dxa"/>
            <w:noWrap w:val="0"/>
            <w:vAlign w:val="center"/>
          </w:tcPr>
          <w:p w14:paraId="4CF08AB0">
            <w:pPr>
              <w:pStyle w:val="24"/>
              <w:bidi w:val="0"/>
              <w:rPr>
                <w:rFonts w:hint="default"/>
                <w:b/>
                <w:bCs/>
                <w:color w:val="auto"/>
              </w:rPr>
            </w:pPr>
            <w:r>
              <w:rPr>
                <w:rFonts w:hint="default"/>
                <w:b/>
                <w:bCs/>
                <w:color w:val="auto"/>
              </w:rPr>
              <w:t>分数值</w:t>
            </w:r>
          </w:p>
        </w:tc>
        <w:tc>
          <w:tcPr>
            <w:tcW w:w="4702" w:type="dxa"/>
            <w:noWrap w:val="0"/>
            <w:vAlign w:val="center"/>
          </w:tcPr>
          <w:p w14:paraId="1CE28787">
            <w:pPr>
              <w:pStyle w:val="24"/>
              <w:bidi w:val="0"/>
              <w:rPr>
                <w:rFonts w:hint="default"/>
                <w:b/>
                <w:bCs/>
                <w:color w:val="auto"/>
              </w:rPr>
            </w:pPr>
            <w:r>
              <w:rPr>
                <w:rFonts w:hint="default"/>
                <w:b/>
                <w:bCs/>
                <w:color w:val="auto"/>
              </w:rPr>
              <w:t>事故或危险事件发生的可能性</w:t>
            </w:r>
          </w:p>
        </w:tc>
      </w:tr>
      <w:tr w14:paraId="2E55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29102B8A">
            <w:pPr>
              <w:pStyle w:val="24"/>
              <w:bidi w:val="0"/>
              <w:rPr>
                <w:rFonts w:hint="default"/>
                <w:color w:val="auto"/>
              </w:rPr>
            </w:pPr>
            <w:r>
              <w:rPr>
                <w:rFonts w:hint="default"/>
                <w:color w:val="auto"/>
              </w:rPr>
              <w:t>10</w:t>
            </w:r>
          </w:p>
        </w:tc>
        <w:tc>
          <w:tcPr>
            <w:tcW w:w="4702" w:type="dxa"/>
            <w:noWrap w:val="0"/>
            <w:vAlign w:val="center"/>
          </w:tcPr>
          <w:p w14:paraId="0B880549">
            <w:pPr>
              <w:pStyle w:val="24"/>
              <w:bidi w:val="0"/>
              <w:rPr>
                <w:rFonts w:hint="default"/>
                <w:color w:val="auto"/>
              </w:rPr>
            </w:pPr>
            <w:r>
              <w:rPr>
                <w:rFonts w:hint="default"/>
                <w:color w:val="auto"/>
              </w:rPr>
              <w:t>完全会被预料到</w:t>
            </w:r>
          </w:p>
        </w:tc>
      </w:tr>
      <w:tr w14:paraId="1330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2402D221">
            <w:pPr>
              <w:pStyle w:val="24"/>
              <w:bidi w:val="0"/>
              <w:rPr>
                <w:rFonts w:hint="default"/>
                <w:color w:val="auto"/>
              </w:rPr>
            </w:pPr>
            <w:r>
              <w:rPr>
                <w:rFonts w:hint="default"/>
                <w:color w:val="auto"/>
              </w:rPr>
              <w:t>6</w:t>
            </w:r>
          </w:p>
        </w:tc>
        <w:tc>
          <w:tcPr>
            <w:tcW w:w="4702" w:type="dxa"/>
            <w:noWrap w:val="0"/>
            <w:vAlign w:val="center"/>
          </w:tcPr>
          <w:p w14:paraId="57983213">
            <w:pPr>
              <w:pStyle w:val="24"/>
              <w:bidi w:val="0"/>
              <w:rPr>
                <w:rFonts w:hint="default"/>
                <w:color w:val="auto"/>
              </w:rPr>
            </w:pPr>
            <w:r>
              <w:rPr>
                <w:rFonts w:hint="default"/>
                <w:color w:val="auto"/>
              </w:rPr>
              <w:t>相对可能</w:t>
            </w:r>
          </w:p>
        </w:tc>
      </w:tr>
      <w:tr w14:paraId="212E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64C6C32F">
            <w:pPr>
              <w:pStyle w:val="24"/>
              <w:bidi w:val="0"/>
              <w:rPr>
                <w:rFonts w:hint="default"/>
                <w:color w:val="auto"/>
              </w:rPr>
            </w:pPr>
            <w:r>
              <w:rPr>
                <w:rFonts w:hint="default"/>
                <w:color w:val="auto"/>
              </w:rPr>
              <w:t>3</w:t>
            </w:r>
          </w:p>
        </w:tc>
        <w:tc>
          <w:tcPr>
            <w:tcW w:w="4702" w:type="dxa"/>
            <w:noWrap w:val="0"/>
            <w:vAlign w:val="center"/>
          </w:tcPr>
          <w:p w14:paraId="01F160FD">
            <w:pPr>
              <w:pStyle w:val="24"/>
              <w:bidi w:val="0"/>
              <w:rPr>
                <w:rFonts w:hint="default"/>
                <w:color w:val="auto"/>
              </w:rPr>
            </w:pPr>
            <w:r>
              <w:rPr>
                <w:rFonts w:hint="default"/>
                <w:color w:val="auto"/>
              </w:rPr>
              <w:t>不经常，但可能</w:t>
            </w:r>
          </w:p>
        </w:tc>
      </w:tr>
      <w:tr w14:paraId="6BED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19C35F0B">
            <w:pPr>
              <w:pStyle w:val="24"/>
              <w:bidi w:val="0"/>
              <w:rPr>
                <w:rFonts w:hint="default"/>
                <w:color w:val="auto"/>
              </w:rPr>
            </w:pPr>
            <w:r>
              <w:rPr>
                <w:rFonts w:hint="default"/>
                <w:color w:val="auto"/>
              </w:rPr>
              <w:t>1</w:t>
            </w:r>
          </w:p>
        </w:tc>
        <w:tc>
          <w:tcPr>
            <w:tcW w:w="4702" w:type="dxa"/>
            <w:noWrap w:val="0"/>
            <w:vAlign w:val="center"/>
          </w:tcPr>
          <w:p w14:paraId="4562E0A2">
            <w:pPr>
              <w:pStyle w:val="24"/>
              <w:bidi w:val="0"/>
              <w:rPr>
                <w:rFonts w:hint="default"/>
                <w:color w:val="auto"/>
              </w:rPr>
            </w:pPr>
            <w:r>
              <w:rPr>
                <w:rFonts w:hint="default"/>
                <w:color w:val="auto"/>
              </w:rPr>
              <w:t>完全意外，极少可能</w:t>
            </w:r>
          </w:p>
        </w:tc>
      </w:tr>
      <w:tr w14:paraId="49A6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2AC55E55">
            <w:pPr>
              <w:pStyle w:val="24"/>
              <w:bidi w:val="0"/>
              <w:rPr>
                <w:rFonts w:hint="default"/>
                <w:color w:val="auto"/>
              </w:rPr>
            </w:pPr>
            <w:r>
              <w:rPr>
                <w:rFonts w:hint="default"/>
                <w:color w:val="auto"/>
              </w:rPr>
              <w:t>0.5</w:t>
            </w:r>
          </w:p>
        </w:tc>
        <w:tc>
          <w:tcPr>
            <w:tcW w:w="4702" w:type="dxa"/>
            <w:noWrap w:val="0"/>
            <w:vAlign w:val="center"/>
          </w:tcPr>
          <w:p w14:paraId="5800884E">
            <w:pPr>
              <w:pStyle w:val="24"/>
              <w:bidi w:val="0"/>
              <w:rPr>
                <w:rFonts w:hint="default"/>
                <w:color w:val="auto"/>
              </w:rPr>
            </w:pPr>
            <w:r>
              <w:rPr>
                <w:rFonts w:hint="default"/>
                <w:color w:val="auto"/>
              </w:rPr>
              <w:t>可以设想</w:t>
            </w:r>
          </w:p>
        </w:tc>
      </w:tr>
      <w:tr w14:paraId="32D4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5B366FEC">
            <w:pPr>
              <w:pStyle w:val="24"/>
              <w:bidi w:val="0"/>
              <w:rPr>
                <w:rFonts w:hint="default"/>
                <w:color w:val="auto"/>
              </w:rPr>
            </w:pPr>
            <w:r>
              <w:rPr>
                <w:rFonts w:hint="default"/>
                <w:color w:val="auto"/>
              </w:rPr>
              <w:t>0.2</w:t>
            </w:r>
          </w:p>
        </w:tc>
        <w:tc>
          <w:tcPr>
            <w:tcW w:w="4702" w:type="dxa"/>
            <w:noWrap w:val="0"/>
            <w:vAlign w:val="center"/>
          </w:tcPr>
          <w:p w14:paraId="70C1ACDA">
            <w:pPr>
              <w:pStyle w:val="24"/>
              <w:bidi w:val="0"/>
              <w:rPr>
                <w:rFonts w:hint="default"/>
                <w:color w:val="auto"/>
              </w:rPr>
            </w:pPr>
            <w:r>
              <w:rPr>
                <w:rFonts w:hint="default"/>
                <w:color w:val="auto"/>
              </w:rPr>
              <w:t>极不可能</w:t>
            </w:r>
          </w:p>
        </w:tc>
      </w:tr>
      <w:tr w14:paraId="12BF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59DC84D1">
            <w:pPr>
              <w:pStyle w:val="24"/>
              <w:bidi w:val="0"/>
              <w:rPr>
                <w:rFonts w:hint="default"/>
                <w:color w:val="auto"/>
              </w:rPr>
            </w:pPr>
            <w:r>
              <w:rPr>
                <w:rFonts w:hint="default"/>
                <w:color w:val="auto"/>
              </w:rPr>
              <w:t>0.1</w:t>
            </w:r>
          </w:p>
        </w:tc>
        <w:tc>
          <w:tcPr>
            <w:tcW w:w="4702" w:type="dxa"/>
            <w:noWrap w:val="0"/>
            <w:vAlign w:val="center"/>
          </w:tcPr>
          <w:p w14:paraId="3C2691D2">
            <w:pPr>
              <w:pStyle w:val="24"/>
              <w:bidi w:val="0"/>
              <w:rPr>
                <w:rFonts w:hint="default"/>
                <w:color w:val="auto"/>
              </w:rPr>
            </w:pPr>
            <w:r>
              <w:rPr>
                <w:rFonts w:hint="default"/>
                <w:color w:val="auto"/>
              </w:rPr>
              <w:t>实际上不可能</w:t>
            </w:r>
          </w:p>
        </w:tc>
      </w:tr>
    </w:tbl>
    <w:p w14:paraId="1E0638AB">
      <w:pPr>
        <w:bidi w:val="0"/>
        <w:rPr>
          <w:rFonts w:hint="default"/>
          <w:color w:val="auto"/>
        </w:rPr>
      </w:pPr>
      <w:r>
        <w:rPr>
          <w:rFonts w:hint="default"/>
          <w:color w:val="auto"/>
        </w:rPr>
        <w:t>2</w:t>
      </w:r>
      <w:r>
        <w:rPr>
          <w:rFonts w:hint="eastAsia"/>
          <w:color w:val="auto"/>
          <w:lang w:eastAsia="zh-CN"/>
        </w:rPr>
        <w:t>）</w:t>
      </w:r>
      <w:r>
        <w:rPr>
          <w:rFonts w:hint="default"/>
          <w:color w:val="auto"/>
        </w:rPr>
        <w:t>暴露于危险环境的频率E</w:t>
      </w:r>
    </w:p>
    <w:p w14:paraId="413E2317">
      <w:pPr>
        <w:bidi w:val="0"/>
        <w:rPr>
          <w:rFonts w:hint="default"/>
          <w:color w:val="auto"/>
        </w:rPr>
      </w:pPr>
      <w:r>
        <w:rPr>
          <w:rFonts w:hint="default"/>
          <w:color w:val="auto"/>
        </w:rPr>
        <w:t>操作人员出现在危险环境中的时间越多，收到伤害的可能性就越大，相应的危险性也越大。连续出现在危险环境的情况其频率为10，非常罕见地暴露于危险环境则为0.5.具体分数值见下表：</w:t>
      </w:r>
    </w:p>
    <w:p w14:paraId="125E2BDC">
      <w:pPr>
        <w:pStyle w:val="23"/>
        <w:bidi w:val="0"/>
        <w:rPr>
          <w:rFonts w:hint="default"/>
          <w:color w:val="auto"/>
        </w:rPr>
      </w:pPr>
      <w:r>
        <w:rPr>
          <w:rFonts w:hint="default"/>
          <w:color w:val="auto"/>
        </w:rPr>
        <w:t xml:space="preserve">表4.2-2 </w:t>
      </w:r>
      <w:r>
        <w:rPr>
          <w:rFonts w:hint="eastAsia"/>
          <w:color w:val="auto"/>
          <w:lang w:val="en-US" w:eastAsia="zh-CN"/>
        </w:rPr>
        <w:t xml:space="preserve"> </w:t>
      </w:r>
      <w:r>
        <w:rPr>
          <w:rFonts w:hint="default"/>
          <w:color w:val="auto"/>
        </w:rPr>
        <w:t>暴露于潜在危险环境频率E的分数值</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1"/>
        <w:gridCol w:w="4702"/>
      </w:tblGrid>
      <w:tr w14:paraId="76AD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4701" w:type="dxa"/>
            <w:noWrap w:val="0"/>
            <w:vAlign w:val="center"/>
          </w:tcPr>
          <w:p w14:paraId="66F7036A">
            <w:pPr>
              <w:pStyle w:val="24"/>
              <w:bidi w:val="0"/>
              <w:rPr>
                <w:rFonts w:hint="default"/>
                <w:b/>
                <w:bCs/>
                <w:color w:val="auto"/>
              </w:rPr>
            </w:pPr>
            <w:r>
              <w:rPr>
                <w:rFonts w:hint="default"/>
                <w:b/>
                <w:bCs/>
                <w:color w:val="auto"/>
              </w:rPr>
              <w:t>分数值</w:t>
            </w:r>
          </w:p>
        </w:tc>
        <w:tc>
          <w:tcPr>
            <w:tcW w:w="4702" w:type="dxa"/>
            <w:noWrap w:val="0"/>
            <w:vAlign w:val="center"/>
          </w:tcPr>
          <w:p w14:paraId="595FB36E">
            <w:pPr>
              <w:pStyle w:val="24"/>
              <w:bidi w:val="0"/>
              <w:rPr>
                <w:rFonts w:hint="default"/>
                <w:b/>
                <w:bCs/>
                <w:color w:val="auto"/>
              </w:rPr>
            </w:pPr>
            <w:r>
              <w:rPr>
                <w:rFonts w:hint="default"/>
                <w:b/>
                <w:bCs/>
                <w:color w:val="auto"/>
              </w:rPr>
              <w:t>暴露于危险环境的频率</w:t>
            </w:r>
          </w:p>
        </w:tc>
      </w:tr>
      <w:tr w14:paraId="52FD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72074AFA">
            <w:pPr>
              <w:pStyle w:val="24"/>
              <w:bidi w:val="0"/>
              <w:rPr>
                <w:rFonts w:hint="default"/>
                <w:color w:val="auto"/>
              </w:rPr>
            </w:pPr>
            <w:r>
              <w:rPr>
                <w:rFonts w:hint="default"/>
                <w:color w:val="auto"/>
              </w:rPr>
              <w:t>10</w:t>
            </w:r>
          </w:p>
        </w:tc>
        <w:tc>
          <w:tcPr>
            <w:tcW w:w="4702" w:type="dxa"/>
            <w:noWrap w:val="0"/>
            <w:vAlign w:val="center"/>
          </w:tcPr>
          <w:p w14:paraId="0DA8B0CE">
            <w:pPr>
              <w:pStyle w:val="24"/>
              <w:bidi w:val="0"/>
              <w:rPr>
                <w:rFonts w:hint="default"/>
                <w:color w:val="auto"/>
              </w:rPr>
            </w:pPr>
            <w:r>
              <w:rPr>
                <w:rFonts w:hint="default"/>
                <w:color w:val="auto"/>
              </w:rPr>
              <w:t>连续暴露</w:t>
            </w:r>
          </w:p>
        </w:tc>
      </w:tr>
      <w:tr w14:paraId="11DA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760C15A1">
            <w:pPr>
              <w:pStyle w:val="24"/>
              <w:bidi w:val="0"/>
              <w:rPr>
                <w:rFonts w:hint="default"/>
                <w:color w:val="auto"/>
              </w:rPr>
            </w:pPr>
            <w:r>
              <w:rPr>
                <w:rFonts w:hint="default"/>
                <w:color w:val="auto"/>
              </w:rPr>
              <w:t>6</w:t>
            </w:r>
          </w:p>
        </w:tc>
        <w:tc>
          <w:tcPr>
            <w:tcW w:w="4702" w:type="dxa"/>
            <w:noWrap w:val="0"/>
            <w:vAlign w:val="center"/>
          </w:tcPr>
          <w:p w14:paraId="61DCE653">
            <w:pPr>
              <w:pStyle w:val="24"/>
              <w:bidi w:val="0"/>
              <w:rPr>
                <w:rFonts w:hint="default"/>
                <w:color w:val="auto"/>
              </w:rPr>
            </w:pPr>
            <w:r>
              <w:rPr>
                <w:rFonts w:hint="default"/>
                <w:color w:val="auto"/>
              </w:rPr>
              <w:t>每天工作时间内暴露</w:t>
            </w:r>
          </w:p>
        </w:tc>
      </w:tr>
      <w:tr w14:paraId="213A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499B31E3">
            <w:pPr>
              <w:pStyle w:val="24"/>
              <w:bidi w:val="0"/>
              <w:rPr>
                <w:rFonts w:hint="default"/>
                <w:color w:val="auto"/>
              </w:rPr>
            </w:pPr>
            <w:r>
              <w:rPr>
                <w:rFonts w:hint="default"/>
                <w:color w:val="auto"/>
              </w:rPr>
              <w:t>3</w:t>
            </w:r>
          </w:p>
        </w:tc>
        <w:tc>
          <w:tcPr>
            <w:tcW w:w="4702" w:type="dxa"/>
            <w:noWrap w:val="0"/>
            <w:vAlign w:val="center"/>
          </w:tcPr>
          <w:p w14:paraId="21E34A07">
            <w:pPr>
              <w:pStyle w:val="24"/>
              <w:bidi w:val="0"/>
              <w:rPr>
                <w:rFonts w:hint="default"/>
                <w:color w:val="auto"/>
              </w:rPr>
            </w:pPr>
            <w:r>
              <w:rPr>
                <w:rFonts w:hint="default"/>
                <w:color w:val="auto"/>
              </w:rPr>
              <w:t>每周一次或偶然暴露</w:t>
            </w:r>
          </w:p>
        </w:tc>
      </w:tr>
      <w:tr w14:paraId="1A1E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488DEABC">
            <w:pPr>
              <w:pStyle w:val="24"/>
              <w:bidi w:val="0"/>
              <w:rPr>
                <w:rFonts w:hint="default"/>
                <w:color w:val="auto"/>
              </w:rPr>
            </w:pPr>
            <w:r>
              <w:rPr>
                <w:rFonts w:hint="default"/>
                <w:color w:val="auto"/>
              </w:rPr>
              <w:t>2</w:t>
            </w:r>
          </w:p>
        </w:tc>
        <w:tc>
          <w:tcPr>
            <w:tcW w:w="4702" w:type="dxa"/>
            <w:noWrap w:val="0"/>
            <w:vAlign w:val="center"/>
          </w:tcPr>
          <w:p w14:paraId="0AFFF52C">
            <w:pPr>
              <w:pStyle w:val="24"/>
              <w:bidi w:val="0"/>
              <w:rPr>
                <w:rFonts w:hint="default"/>
                <w:color w:val="auto"/>
              </w:rPr>
            </w:pPr>
            <w:r>
              <w:rPr>
                <w:rFonts w:hint="default"/>
                <w:color w:val="auto"/>
              </w:rPr>
              <w:t>每月一次暴露</w:t>
            </w:r>
          </w:p>
        </w:tc>
      </w:tr>
      <w:tr w14:paraId="3507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57D9FADF">
            <w:pPr>
              <w:pStyle w:val="24"/>
              <w:bidi w:val="0"/>
              <w:rPr>
                <w:rFonts w:hint="default"/>
                <w:color w:val="auto"/>
              </w:rPr>
            </w:pPr>
            <w:r>
              <w:rPr>
                <w:rFonts w:hint="default"/>
                <w:color w:val="auto"/>
              </w:rPr>
              <w:t>1</w:t>
            </w:r>
          </w:p>
        </w:tc>
        <w:tc>
          <w:tcPr>
            <w:tcW w:w="4702" w:type="dxa"/>
            <w:noWrap w:val="0"/>
            <w:vAlign w:val="center"/>
          </w:tcPr>
          <w:p w14:paraId="469C93D9">
            <w:pPr>
              <w:pStyle w:val="24"/>
              <w:bidi w:val="0"/>
              <w:rPr>
                <w:rFonts w:hint="default"/>
                <w:color w:val="auto"/>
              </w:rPr>
            </w:pPr>
            <w:r>
              <w:rPr>
                <w:rFonts w:hint="default"/>
                <w:color w:val="auto"/>
              </w:rPr>
              <w:t>每年几次暴露</w:t>
            </w:r>
          </w:p>
        </w:tc>
      </w:tr>
      <w:tr w14:paraId="0465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1" w:type="dxa"/>
            <w:noWrap w:val="0"/>
            <w:vAlign w:val="center"/>
          </w:tcPr>
          <w:p w14:paraId="4B6C3951">
            <w:pPr>
              <w:pStyle w:val="24"/>
              <w:bidi w:val="0"/>
              <w:rPr>
                <w:rFonts w:hint="default"/>
                <w:color w:val="auto"/>
              </w:rPr>
            </w:pPr>
            <w:r>
              <w:rPr>
                <w:rFonts w:hint="default"/>
                <w:color w:val="auto"/>
              </w:rPr>
              <w:t>0.5</w:t>
            </w:r>
          </w:p>
        </w:tc>
        <w:tc>
          <w:tcPr>
            <w:tcW w:w="4702" w:type="dxa"/>
            <w:noWrap w:val="0"/>
            <w:vAlign w:val="center"/>
          </w:tcPr>
          <w:p w14:paraId="26A39916">
            <w:pPr>
              <w:pStyle w:val="24"/>
              <w:bidi w:val="0"/>
              <w:rPr>
                <w:rFonts w:hint="default"/>
                <w:color w:val="auto"/>
              </w:rPr>
            </w:pPr>
            <w:r>
              <w:rPr>
                <w:rFonts w:hint="default"/>
                <w:color w:val="auto"/>
              </w:rPr>
              <w:t>非常罕见的暴露</w:t>
            </w:r>
          </w:p>
        </w:tc>
      </w:tr>
    </w:tbl>
    <w:p w14:paraId="5E88596D">
      <w:pPr>
        <w:bidi w:val="0"/>
        <w:rPr>
          <w:rFonts w:hint="default"/>
          <w:color w:val="auto"/>
        </w:rPr>
      </w:pPr>
      <w:r>
        <w:rPr>
          <w:rFonts w:hint="default"/>
          <w:color w:val="auto"/>
        </w:rPr>
        <w:t>3</w:t>
      </w:r>
      <w:r>
        <w:rPr>
          <w:rFonts w:hint="eastAsia"/>
          <w:color w:val="auto"/>
          <w:lang w:eastAsia="zh-CN"/>
        </w:rPr>
        <w:t>）</w:t>
      </w:r>
      <w:r>
        <w:rPr>
          <w:rFonts w:hint="default"/>
          <w:color w:val="auto"/>
        </w:rPr>
        <w:t>事故或危险事件的危险严重度C</w:t>
      </w:r>
    </w:p>
    <w:p w14:paraId="1C66AC8E">
      <w:pPr>
        <w:bidi w:val="0"/>
        <w:rPr>
          <w:rFonts w:hint="default"/>
          <w:color w:val="auto"/>
        </w:rPr>
      </w:pPr>
      <w:r>
        <w:rPr>
          <w:rFonts w:hint="default"/>
          <w:color w:val="auto"/>
        </w:rPr>
        <w:t>事故或危险事件对人身伤害的严重程度变化范围很大，可以从伤害直至死亡事故，规定分数值1~100。具体分数值见下表：</w:t>
      </w:r>
    </w:p>
    <w:p w14:paraId="2E45FDD0">
      <w:pPr>
        <w:pStyle w:val="23"/>
        <w:bidi w:val="0"/>
        <w:rPr>
          <w:rFonts w:hint="default"/>
          <w:color w:val="auto"/>
        </w:rPr>
      </w:pPr>
      <w:r>
        <w:rPr>
          <w:rFonts w:hint="default"/>
          <w:color w:val="auto"/>
        </w:rPr>
        <w:t>表4.2-3</w:t>
      </w:r>
      <w:r>
        <w:rPr>
          <w:rFonts w:hint="default"/>
          <w:color w:val="auto"/>
          <w:lang w:val="en-US" w:eastAsia="zh-CN"/>
        </w:rPr>
        <w:t xml:space="preserve"> </w:t>
      </w:r>
      <w:r>
        <w:rPr>
          <w:rFonts w:hint="default"/>
          <w:color w:val="auto"/>
        </w:rPr>
        <w:t xml:space="preserve"> 事故或危险事件的危险严重度C的分数值</w:t>
      </w:r>
    </w:p>
    <w:tbl>
      <w:tblPr>
        <w:tblStyle w:val="18"/>
        <w:tblW w:w="9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4"/>
        <w:gridCol w:w="5759"/>
      </w:tblGrid>
      <w:tr w14:paraId="47BF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3644" w:type="dxa"/>
            <w:noWrap w:val="0"/>
            <w:vAlign w:val="center"/>
          </w:tcPr>
          <w:p w14:paraId="5E5F37CB">
            <w:pPr>
              <w:pStyle w:val="24"/>
              <w:bidi w:val="0"/>
              <w:rPr>
                <w:rFonts w:hint="default"/>
                <w:b/>
                <w:bCs/>
                <w:color w:val="auto"/>
              </w:rPr>
            </w:pPr>
            <w:r>
              <w:rPr>
                <w:rFonts w:hint="default"/>
                <w:b/>
                <w:bCs/>
                <w:color w:val="auto"/>
              </w:rPr>
              <w:t>分数值</w:t>
            </w:r>
          </w:p>
        </w:tc>
        <w:tc>
          <w:tcPr>
            <w:tcW w:w="5759" w:type="dxa"/>
            <w:noWrap w:val="0"/>
            <w:vAlign w:val="center"/>
          </w:tcPr>
          <w:p w14:paraId="32A0A37F">
            <w:pPr>
              <w:pStyle w:val="24"/>
              <w:bidi w:val="0"/>
              <w:rPr>
                <w:rFonts w:hint="default"/>
                <w:b/>
                <w:bCs/>
                <w:color w:val="auto"/>
              </w:rPr>
            </w:pPr>
            <w:r>
              <w:rPr>
                <w:rFonts w:hint="default"/>
                <w:b/>
                <w:bCs/>
                <w:color w:val="auto"/>
              </w:rPr>
              <w:t>可能结果</w:t>
            </w:r>
          </w:p>
        </w:tc>
      </w:tr>
      <w:tr w14:paraId="6BFE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44" w:type="dxa"/>
            <w:noWrap w:val="0"/>
            <w:vAlign w:val="center"/>
          </w:tcPr>
          <w:p w14:paraId="290EB43D">
            <w:pPr>
              <w:pStyle w:val="24"/>
              <w:bidi w:val="0"/>
              <w:rPr>
                <w:rFonts w:hint="default"/>
                <w:color w:val="auto"/>
              </w:rPr>
            </w:pPr>
            <w:r>
              <w:rPr>
                <w:rFonts w:hint="default"/>
                <w:color w:val="auto"/>
              </w:rPr>
              <w:t>100</w:t>
            </w:r>
          </w:p>
        </w:tc>
        <w:tc>
          <w:tcPr>
            <w:tcW w:w="5759" w:type="dxa"/>
            <w:noWrap w:val="0"/>
            <w:vAlign w:val="center"/>
          </w:tcPr>
          <w:p w14:paraId="56C1AAC9">
            <w:pPr>
              <w:pStyle w:val="24"/>
              <w:bidi w:val="0"/>
              <w:rPr>
                <w:rFonts w:hint="default"/>
                <w:color w:val="auto"/>
              </w:rPr>
            </w:pPr>
            <w:r>
              <w:rPr>
                <w:rFonts w:hint="default"/>
                <w:color w:val="auto"/>
              </w:rPr>
              <w:t>大灾难，许多人死亡，或造成重大财产损失</w:t>
            </w:r>
          </w:p>
        </w:tc>
      </w:tr>
      <w:tr w14:paraId="1534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44" w:type="dxa"/>
            <w:noWrap w:val="0"/>
            <w:vAlign w:val="center"/>
          </w:tcPr>
          <w:p w14:paraId="766C2589">
            <w:pPr>
              <w:pStyle w:val="24"/>
              <w:bidi w:val="0"/>
              <w:rPr>
                <w:rFonts w:hint="default"/>
                <w:color w:val="auto"/>
              </w:rPr>
            </w:pPr>
            <w:r>
              <w:rPr>
                <w:rFonts w:hint="default"/>
                <w:color w:val="auto"/>
              </w:rPr>
              <w:t>40</w:t>
            </w:r>
          </w:p>
        </w:tc>
        <w:tc>
          <w:tcPr>
            <w:tcW w:w="5759" w:type="dxa"/>
            <w:noWrap w:val="0"/>
            <w:vAlign w:val="center"/>
          </w:tcPr>
          <w:p w14:paraId="54AB1270">
            <w:pPr>
              <w:pStyle w:val="24"/>
              <w:bidi w:val="0"/>
              <w:rPr>
                <w:rFonts w:hint="default"/>
                <w:color w:val="auto"/>
              </w:rPr>
            </w:pPr>
            <w:r>
              <w:rPr>
                <w:rFonts w:hint="default"/>
                <w:color w:val="auto"/>
              </w:rPr>
              <w:t>灾难，数人死亡，或造成很大财产损失</w:t>
            </w:r>
          </w:p>
        </w:tc>
      </w:tr>
      <w:tr w14:paraId="2DA5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44" w:type="dxa"/>
            <w:noWrap w:val="0"/>
            <w:vAlign w:val="center"/>
          </w:tcPr>
          <w:p w14:paraId="482D0361">
            <w:pPr>
              <w:pStyle w:val="24"/>
              <w:bidi w:val="0"/>
              <w:rPr>
                <w:rFonts w:hint="default"/>
                <w:color w:val="auto"/>
              </w:rPr>
            </w:pPr>
            <w:r>
              <w:rPr>
                <w:rFonts w:hint="default"/>
                <w:color w:val="auto"/>
              </w:rPr>
              <w:t>15</w:t>
            </w:r>
          </w:p>
        </w:tc>
        <w:tc>
          <w:tcPr>
            <w:tcW w:w="5759" w:type="dxa"/>
            <w:noWrap w:val="0"/>
            <w:vAlign w:val="center"/>
          </w:tcPr>
          <w:p w14:paraId="25BC7DEC">
            <w:pPr>
              <w:pStyle w:val="24"/>
              <w:bidi w:val="0"/>
              <w:rPr>
                <w:rFonts w:hint="default"/>
                <w:color w:val="auto"/>
              </w:rPr>
            </w:pPr>
            <w:r>
              <w:rPr>
                <w:rFonts w:hint="default"/>
                <w:color w:val="auto"/>
              </w:rPr>
              <w:t>非常严重，一人死亡，或造成一定的财产损失</w:t>
            </w:r>
          </w:p>
        </w:tc>
      </w:tr>
      <w:tr w14:paraId="5C19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44" w:type="dxa"/>
            <w:noWrap w:val="0"/>
            <w:vAlign w:val="center"/>
          </w:tcPr>
          <w:p w14:paraId="2B5EBCB3">
            <w:pPr>
              <w:pStyle w:val="24"/>
              <w:bidi w:val="0"/>
              <w:rPr>
                <w:rFonts w:hint="default"/>
                <w:color w:val="auto"/>
              </w:rPr>
            </w:pPr>
            <w:r>
              <w:rPr>
                <w:rFonts w:hint="default"/>
                <w:color w:val="auto"/>
              </w:rPr>
              <w:t>7</w:t>
            </w:r>
          </w:p>
        </w:tc>
        <w:tc>
          <w:tcPr>
            <w:tcW w:w="5759" w:type="dxa"/>
            <w:noWrap w:val="0"/>
            <w:vAlign w:val="center"/>
          </w:tcPr>
          <w:p w14:paraId="521701AE">
            <w:pPr>
              <w:pStyle w:val="24"/>
              <w:bidi w:val="0"/>
              <w:rPr>
                <w:rFonts w:hint="default"/>
                <w:color w:val="auto"/>
              </w:rPr>
            </w:pPr>
            <w:r>
              <w:rPr>
                <w:rFonts w:hint="default"/>
                <w:color w:val="auto"/>
              </w:rPr>
              <w:t>严重，重伤，或造成较小的财产损失</w:t>
            </w:r>
          </w:p>
        </w:tc>
      </w:tr>
      <w:tr w14:paraId="0EF1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44" w:type="dxa"/>
            <w:noWrap w:val="0"/>
            <w:vAlign w:val="center"/>
          </w:tcPr>
          <w:p w14:paraId="0AF8BFD3">
            <w:pPr>
              <w:pStyle w:val="24"/>
              <w:bidi w:val="0"/>
              <w:rPr>
                <w:rFonts w:hint="default"/>
                <w:color w:val="auto"/>
              </w:rPr>
            </w:pPr>
            <w:r>
              <w:rPr>
                <w:rFonts w:hint="default"/>
                <w:color w:val="auto"/>
              </w:rPr>
              <w:t>3</w:t>
            </w:r>
          </w:p>
        </w:tc>
        <w:tc>
          <w:tcPr>
            <w:tcW w:w="5759" w:type="dxa"/>
            <w:noWrap w:val="0"/>
            <w:vAlign w:val="center"/>
          </w:tcPr>
          <w:p w14:paraId="1F42743E">
            <w:pPr>
              <w:pStyle w:val="24"/>
              <w:bidi w:val="0"/>
              <w:rPr>
                <w:rFonts w:hint="default"/>
                <w:color w:val="auto"/>
              </w:rPr>
            </w:pPr>
            <w:r>
              <w:rPr>
                <w:rFonts w:hint="default"/>
                <w:color w:val="auto"/>
              </w:rPr>
              <w:t>重大，致残，或很小的财产损失</w:t>
            </w:r>
          </w:p>
        </w:tc>
      </w:tr>
      <w:tr w14:paraId="1C9B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44" w:type="dxa"/>
            <w:noWrap w:val="0"/>
            <w:vAlign w:val="center"/>
          </w:tcPr>
          <w:p w14:paraId="09A9ED81">
            <w:pPr>
              <w:pStyle w:val="24"/>
              <w:bidi w:val="0"/>
              <w:rPr>
                <w:rFonts w:hint="default"/>
                <w:color w:val="auto"/>
              </w:rPr>
            </w:pPr>
            <w:r>
              <w:rPr>
                <w:rFonts w:hint="default"/>
                <w:color w:val="auto"/>
              </w:rPr>
              <w:t>1</w:t>
            </w:r>
          </w:p>
        </w:tc>
        <w:tc>
          <w:tcPr>
            <w:tcW w:w="5759" w:type="dxa"/>
            <w:noWrap w:val="0"/>
            <w:vAlign w:val="center"/>
          </w:tcPr>
          <w:p w14:paraId="73E73C88">
            <w:pPr>
              <w:pStyle w:val="24"/>
              <w:bidi w:val="0"/>
              <w:rPr>
                <w:rFonts w:hint="default"/>
                <w:color w:val="auto"/>
              </w:rPr>
            </w:pPr>
            <w:r>
              <w:rPr>
                <w:rFonts w:hint="default"/>
                <w:color w:val="auto"/>
              </w:rPr>
              <w:t>引人注目，不利于基本的安全卫生要求</w:t>
            </w:r>
          </w:p>
        </w:tc>
      </w:tr>
    </w:tbl>
    <w:p w14:paraId="02C472C3">
      <w:pPr>
        <w:bidi w:val="0"/>
        <w:rPr>
          <w:rFonts w:hint="default"/>
          <w:color w:val="auto"/>
        </w:rPr>
      </w:pPr>
      <w:r>
        <w:rPr>
          <w:rFonts w:hint="default"/>
          <w:color w:val="auto"/>
        </w:rPr>
        <w:t>4</w:t>
      </w:r>
      <w:r>
        <w:rPr>
          <w:rFonts w:hint="eastAsia"/>
          <w:color w:val="auto"/>
          <w:lang w:eastAsia="zh-CN"/>
        </w:rPr>
        <w:t>）</w:t>
      </w:r>
      <w:r>
        <w:rPr>
          <w:rFonts w:hint="default"/>
          <w:color w:val="auto"/>
        </w:rPr>
        <w:t>危险性程度分级D</w:t>
      </w:r>
    </w:p>
    <w:p w14:paraId="330B7B27">
      <w:pPr>
        <w:bidi w:val="0"/>
        <w:rPr>
          <w:rFonts w:hint="default"/>
          <w:color w:val="auto"/>
        </w:rPr>
      </w:pPr>
      <w:r>
        <w:rPr>
          <w:rFonts w:hint="default"/>
          <w:color w:val="auto"/>
        </w:rPr>
        <w:t>在确定了上述三个因素的分数值后，其三者的乘积即为总的危险性分数值D。根据相关资料，将危险性程度分级的相应分数值列入下表：</w:t>
      </w:r>
    </w:p>
    <w:p w14:paraId="390FAC2B">
      <w:pPr>
        <w:pStyle w:val="23"/>
        <w:bidi w:val="0"/>
        <w:rPr>
          <w:rFonts w:hint="default"/>
          <w:color w:val="auto"/>
        </w:rPr>
      </w:pPr>
      <w:r>
        <w:rPr>
          <w:rFonts w:hint="default"/>
          <w:color w:val="auto"/>
        </w:rPr>
        <w:t xml:space="preserve">表4.2-4 </w:t>
      </w:r>
      <w:r>
        <w:rPr>
          <w:rFonts w:hint="default"/>
          <w:color w:val="auto"/>
          <w:lang w:val="en-US" w:eastAsia="zh-CN"/>
        </w:rPr>
        <w:t xml:space="preserve"> </w:t>
      </w:r>
      <w:r>
        <w:rPr>
          <w:rFonts w:hint="default"/>
          <w:color w:val="auto"/>
        </w:rPr>
        <w:t>危险性程度分级的分数值</w:t>
      </w:r>
    </w:p>
    <w:tbl>
      <w:tblPr>
        <w:tblStyle w:val="18"/>
        <w:tblW w:w="9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6809"/>
      </w:tblGrid>
      <w:tr w14:paraId="4853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2594" w:type="dxa"/>
            <w:noWrap w:val="0"/>
            <w:vAlign w:val="center"/>
          </w:tcPr>
          <w:p w14:paraId="61488606">
            <w:pPr>
              <w:pStyle w:val="24"/>
              <w:bidi w:val="0"/>
              <w:rPr>
                <w:rFonts w:hint="default"/>
                <w:b/>
                <w:bCs/>
                <w:color w:val="auto"/>
              </w:rPr>
            </w:pPr>
            <w:r>
              <w:rPr>
                <w:rFonts w:hint="default"/>
                <w:b/>
                <w:bCs/>
                <w:color w:val="auto"/>
              </w:rPr>
              <w:t>分数值</w:t>
            </w:r>
          </w:p>
        </w:tc>
        <w:tc>
          <w:tcPr>
            <w:tcW w:w="6809" w:type="dxa"/>
            <w:noWrap w:val="0"/>
            <w:vAlign w:val="center"/>
          </w:tcPr>
          <w:p w14:paraId="161C0F63">
            <w:pPr>
              <w:pStyle w:val="24"/>
              <w:bidi w:val="0"/>
              <w:rPr>
                <w:rFonts w:hint="default"/>
                <w:b/>
                <w:bCs/>
                <w:color w:val="auto"/>
              </w:rPr>
            </w:pPr>
            <w:r>
              <w:rPr>
                <w:rFonts w:hint="default"/>
                <w:b/>
                <w:bCs/>
                <w:color w:val="auto"/>
              </w:rPr>
              <w:t>危险性程度</w:t>
            </w:r>
          </w:p>
        </w:tc>
      </w:tr>
      <w:tr w14:paraId="0763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4" w:type="dxa"/>
            <w:noWrap w:val="0"/>
            <w:vAlign w:val="center"/>
          </w:tcPr>
          <w:p w14:paraId="35DD3C0F">
            <w:pPr>
              <w:pStyle w:val="24"/>
              <w:bidi w:val="0"/>
              <w:rPr>
                <w:rFonts w:hint="default"/>
                <w:color w:val="auto"/>
              </w:rPr>
            </w:pPr>
            <w:r>
              <w:rPr>
                <w:rFonts w:hint="default"/>
                <w:color w:val="auto"/>
              </w:rPr>
              <w:t>&gt;320</w:t>
            </w:r>
          </w:p>
        </w:tc>
        <w:tc>
          <w:tcPr>
            <w:tcW w:w="6809" w:type="dxa"/>
            <w:noWrap w:val="0"/>
            <w:vAlign w:val="center"/>
          </w:tcPr>
          <w:p w14:paraId="6A027065">
            <w:pPr>
              <w:pStyle w:val="24"/>
              <w:bidi w:val="0"/>
              <w:rPr>
                <w:rFonts w:hint="eastAsia"/>
                <w:color w:val="auto"/>
                <w:lang w:eastAsia="zh-CN"/>
              </w:rPr>
            </w:pPr>
            <w:r>
              <w:rPr>
                <w:rFonts w:hint="default"/>
                <w:color w:val="auto"/>
              </w:rPr>
              <w:t>极其危险，不能继续作业</w:t>
            </w:r>
            <w:r>
              <w:rPr>
                <w:rFonts w:hint="default"/>
                <w:color w:val="auto"/>
                <w:lang w:eastAsia="zh-CN"/>
              </w:rPr>
              <w:t>（</w:t>
            </w:r>
            <w:r>
              <w:rPr>
                <w:rFonts w:hint="default"/>
                <w:color w:val="auto"/>
              </w:rPr>
              <w:t>制定管理方案及应急预案</w:t>
            </w:r>
            <w:r>
              <w:rPr>
                <w:rFonts w:hint="eastAsia"/>
                <w:color w:val="auto"/>
                <w:lang w:eastAsia="zh-CN"/>
              </w:rPr>
              <w:t>）</w:t>
            </w:r>
          </w:p>
        </w:tc>
      </w:tr>
      <w:tr w14:paraId="6A45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4" w:type="dxa"/>
            <w:noWrap w:val="0"/>
            <w:vAlign w:val="center"/>
          </w:tcPr>
          <w:p w14:paraId="24B726E1">
            <w:pPr>
              <w:pStyle w:val="24"/>
              <w:bidi w:val="0"/>
              <w:rPr>
                <w:rFonts w:hint="default"/>
                <w:color w:val="auto"/>
              </w:rPr>
            </w:pPr>
            <w:r>
              <w:rPr>
                <w:rFonts w:hint="default"/>
                <w:color w:val="auto"/>
              </w:rPr>
              <w:t>160~320</w:t>
            </w:r>
          </w:p>
        </w:tc>
        <w:tc>
          <w:tcPr>
            <w:tcW w:w="6809" w:type="dxa"/>
            <w:noWrap w:val="0"/>
            <w:vAlign w:val="center"/>
          </w:tcPr>
          <w:p w14:paraId="1D773F2A">
            <w:pPr>
              <w:pStyle w:val="24"/>
              <w:bidi w:val="0"/>
              <w:rPr>
                <w:rFonts w:hint="eastAsia"/>
                <w:color w:val="auto"/>
                <w:lang w:eastAsia="zh-CN"/>
              </w:rPr>
            </w:pPr>
            <w:r>
              <w:rPr>
                <w:rFonts w:hint="default"/>
                <w:color w:val="auto"/>
              </w:rPr>
              <w:t>高度危险，要立即整改</w:t>
            </w:r>
            <w:r>
              <w:rPr>
                <w:rFonts w:hint="default"/>
                <w:color w:val="auto"/>
                <w:lang w:eastAsia="zh-CN"/>
              </w:rPr>
              <w:t>（</w:t>
            </w:r>
            <w:r>
              <w:rPr>
                <w:rFonts w:hint="default"/>
                <w:color w:val="auto"/>
              </w:rPr>
              <w:t>制定管理方案及应急预案</w:t>
            </w:r>
            <w:r>
              <w:rPr>
                <w:rFonts w:hint="eastAsia"/>
                <w:color w:val="auto"/>
                <w:lang w:eastAsia="zh-CN"/>
              </w:rPr>
              <w:t>）</w:t>
            </w:r>
          </w:p>
        </w:tc>
      </w:tr>
      <w:tr w14:paraId="2711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4" w:type="dxa"/>
            <w:noWrap w:val="0"/>
            <w:vAlign w:val="center"/>
          </w:tcPr>
          <w:p w14:paraId="1D76E203">
            <w:pPr>
              <w:pStyle w:val="24"/>
              <w:bidi w:val="0"/>
              <w:rPr>
                <w:rFonts w:hint="default"/>
                <w:color w:val="auto"/>
              </w:rPr>
            </w:pPr>
            <w:r>
              <w:rPr>
                <w:rFonts w:hint="default"/>
                <w:color w:val="auto"/>
              </w:rPr>
              <w:t>70~160</w:t>
            </w:r>
          </w:p>
        </w:tc>
        <w:tc>
          <w:tcPr>
            <w:tcW w:w="6809" w:type="dxa"/>
            <w:noWrap w:val="0"/>
            <w:vAlign w:val="center"/>
          </w:tcPr>
          <w:p w14:paraId="6211DA01">
            <w:pPr>
              <w:pStyle w:val="24"/>
              <w:bidi w:val="0"/>
              <w:rPr>
                <w:rFonts w:hint="eastAsia"/>
                <w:color w:val="auto"/>
                <w:lang w:eastAsia="zh-CN"/>
              </w:rPr>
            </w:pPr>
            <w:r>
              <w:rPr>
                <w:rFonts w:hint="default"/>
                <w:color w:val="auto"/>
              </w:rPr>
              <w:t>显著危险，需要整改</w:t>
            </w:r>
            <w:r>
              <w:rPr>
                <w:rFonts w:hint="default"/>
                <w:color w:val="auto"/>
                <w:lang w:eastAsia="zh-CN"/>
              </w:rPr>
              <w:t>（</w:t>
            </w:r>
            <w:r>
              <w:rPr>
                <w:rFonts w:hint="default"/>
                <w:color w:val="auto"/>
              </w:rPr>
              <w:t>编制管理方案</w:t>
            </w:r>
            <w:r>
              <w:rPr>
                <w:rFonts w:hint="eastAsia"/>
                <w:color w:val="auto"/>
                <w:lang w:eastAsia="zh-CN"/>
              </w:rPr>
              <w:t>）</w:t>
            </w:r>
          </w:p>
        </w:tc>
      </w:tr>
      <w:tr w14:paraId="33C7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4" w:type="dxa"/>
            <w:noWrap w:val="0"/>
            <w:vAlign w:val="center"/>
          </w:tcPr>
          <w:p w14:paraId="461E154F">
            <w:pPr>
              <w:pStyle w:val="24"/>
              <w:bidi w:val="0"/>
              <w:rPr>
                <w:rFonts w:hint="default"/>
                <w:color w:val="auto"/>
              </w:rPr>
            </w:pPr>
            <w:r>
              <w:rPr>
                <w:rFonts w:hint="default"/>
                <w:color w:val="auto"/>
              </w:rPr>
              <w:t>20~70</w:t>
            </w:r>
          </w:p>
        </w:tc>
        <w:tc>
          <w:tcPr>
            <w:tcW w:w="6809" w:type="dxa"/>
            <w:noWrap w:val="0"/>
            <w:vAlign w:val="center"/>
          </w:tcPr>
          <w:p w14:paraId="1A7BEA0D">
            <w:pPr>
              <w:pStyle w:val="24"/>
              <w:bidi w:val="0"/>
              <w:rPr>
                <w:rFonts w:hint="default"/>
                <w:color w:val="auto"/>
              </w:rPr>
            </w:pPr>
            <w:r>
              <w:rPr>
                <w:rFonts w:hint="default"/>
                <w:color w:val="auto"/>
              </w:rPr>
              <w:t>一般危险，需要注意</w:t>
            </w:r>
          </w:p>
        </w:tc>
      </w:tr>
      <w:tr w14:paraId="5996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4" w:type="dxa"/>
            <w:noWrap w:val="0"/>
            <w:vAlign w:val="center"/>
          </w:tcPr>
          <w:p w14:paraId="549A9130">
            <w:pPr>
              <w:pStyle w:val="24"/>
              <w:bidi w:val="0"/>
              <w:rPr>
                <w:rFonts w:hint="default"/>
                <w:color w:val="auto"/>
              </w:rPr>
            </w:pPr>
            <w:r>
              <w:rPr>
                <w:rFonts w:hint="default"/>
                <w:color w:val="auto"/>
              </w:rPr>
              <w:t>&lt;20</w:t>
            </w:r>
          </w:p>
        </w:tc>
        <w:tc>
          <w:tcPr>
            <w:tcW w:w="6809" w:type="dxa"/>
            <w:noWrap w:val="0"/>
            <w:vAlign w:val="center"/>
          </w:tcPr>
          <w:p w14:paraId="60CF919C">
            <w:pPr>
              <w:pStyle w:val="24"/>
              <w:bidi w:val="0"/>
              <w:rPr>
                <w:rFonts w:hint="default"/>
                <w:color w:val="auto"/>
              </w:rPr>
            </w:pPr>
            <w:r>
              <w:rPr>
                <w:rFonts w:hint="default"/>
                <w:color w:val="auto"/>
              </w:rPr>
              <w:t>稍有危险，可以接受</w:t>
            </w:r>
          </w:p>
        </w:tc>
      </w:tr>
    </w:tbl>
    <w:p w14:paraId="0A6C6D06">
      <w:pPr>
        <w:rPr>
          <w:color w:val="auto"/>
        </w:rPr>
      </w:pPr>
      <w:r>
        <w:rPr>
          <w:color w:val="auto"/>
        </w:rPr>
        <w:br w:type="page"/>
      </w:r>
    </w:p>
    <w:p w14:paraId="2B45D204">
      <w:pPr>
        <w:pStyle w:val="2"/>
        <w:bidi w:val="0"/>
        <w:rPr>
          <w:rFonts w:hint="eastAsia"/>
          <w:color w:val="auto"/>
        </w:rPr>
      </w:pPr>
      <w:bookmarkStart w:id="141" w:name="_Toc8614"/>
      <w:r>
        <w:rPr>
          <w:rFonts w:hint="eastAsia"/>
          <w:color w:val="auto"/>
        </w:rPr>
        <w:t>5 定性、定量分析评价</w:t>
      </w:r>
      <w:bookmarkEnd w:id="141"/>
    </w:p>
    <w:p w14:paraId="353213F2">
      <w:pPr>
        <w:pStyle w:val="3"/>
        <w:bidi w:val="0"/>
        <w:rPr>
          <w:rFonts w:hint="eastAsia"/>
          <w:color w:val="auto"/>
        </w:rPr>
      </w:pPr>
      <w:bookmarkStart w:id="142" w:name="_Toc22467"/>
      <w:r>
        <w:rPr>
          <w:rFonts w:hint="eastAsia"/>
          <w:color w:val="auto"/>
        </w:rPr>
        <w:t>5.1 建设程序单元分析评价</w:t>
      </w:r>
      <w:bookmarkEnd w:id="142"/>
    </w:p>
    <w:p w14:paraId="5119EB1A">
      <w:pPr>
        <w:pStyle w:val="4"/>
        <w:bidi w:val="0"/>
        <w:rPr>
          <w:rFonts w:hint="eastAsia"/>
          <w:color w:val="auto"/>
        </w:rPr>
      </w:pPr>
      <w:bookmarkStart w:id="143" w:name="_Toc1949"/>
      <w:r>
        <w:rPr>
          <w:rFonts w:hint="eastAsia"/>
          <w:color w:val="auto"/>
        </w:rPr>
        <w:t>5.1.1 建设程序安全检查表</w:t>
      </w:r>
      <w:bookmarkEnd w:id="143"/>
    </w:p>
    <w:p w14:paraId="616A1AF6">
      <w:pPr>
        <w:bidi w:val="0"/>
        <w:rPr>
          <w:rFonts w:hint="eastAsia"/>
          <w:color w:val="auto"/>
        </w:rPr>
      </w:pPr>
      <w:r>
        <w:rPr>
          <w:rFonts w:hint="eastAsia"/>
          <w:color w:val="auto"/>
        </w:rPr>
        <w:t>依据《建设项目安全设施“三同时”监督管理办法》（原国家安全生产监督管理总局令第36号，77号令修订）的相关要求对该项目建设程序进行检查，其检查情况如下表所示：</w:t>
      </w:r>
    </w:p>
    <w:p w14:paraId="6FF97443">
      <w:pPr>
        <w:pStyle w:val="23"/>
        <w:bidi w:val="0"/>
        <w:rPr>
          <w:color w:val="auto"/>
        </w:rPr>
      </w:pPr>
      <w:r>
        <w:rPr>
          <w:rFonts w:hint="eastAsia"/>
          <w:color w:val="auto"/>
        </w:rPr>
        <w:t>表5.1-1  建设程序的安全检查表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3398"/>
        <w:gridCol w:w="1731"/>
        <w:gridCol w:w="2846"/>
        <w:gridCol w:w="714"/>
      </w:tblGrid>
      <w:tr w14:paraId="2197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76" w:type="pct"/>
            <w:noWrap w:val="0"/>
            <w:vAlign w:val="center"/>
          </w:tcPr>
          <w:p w14:paraId="7525A84F">
            <w:pPr>
              <w:pStyle w:val="24"/>
              <w:bidi w:val="0"/>
              <w:rPr>
                <w:rFonts w:hint="default"/>
                <w:b/>
                <w:bCs/>
                <w:color w:val="auto"/>
              </w:rPr>
            </w:pPr>
            <w:r>
              <w:rPr>
                <w:rFonts w:hint="default"/>
                <w:b/>
                <w:bCs/>
                <w:color w:val="auto"/>
              </w:rPr>
              <w:t>序号</w:t>
            </w:r>
          </w:p>
        </w:tc>
        <w:tc>
          <w:tcPr>
            <w:tcW w:w="1808" w:type="pct"/>
            <w:noWrap w:val="0"/>
            <w:vAlign w:val="center"/>
          </w:tcPr>
          <w:p w14:paraId="73282EFB">
            <w:pPr>
              <w:pStyle w:val="24"/>
              <w:bidi w:val="0"/>
              <w:jc w:val="center"/>
              <w:rPr>
                <w:rFonts w:hint="default"/>
                <w:b/>
                <w:bCs/>
                <w:color w:val="auto"/>
              </w:rPr>
            </w:pPr>
            <w:r>
              <w:rPr>
                <w:rFonts w:hint="default"/>
                <w:b/>
                <w:bCs/>
                <w:color w:val="auto"/>
              </w:rPr>
              <w:t>检查内容</w:t>
            </w:r>
          </w:p>
        </w:tc>
        <w:tc>
          <w:tcPr>
            <w:tcW w:w="921" w:type="pct"/>
            <w:noWrap w:val="0"/>
            <w:vAlign w:val="center"/>
          </w:tcPr>
          <w:p w14:paraId="56B918FB">
            <w:pPr>
              <w:pStyle w:val="24"/>
              <w:bidi w:val="0"/>
              <w:rPr>
                <w:rFonts w:hint="default"/>
                <w:b/>
                <w:bCs/>
                <w:color w:val="auto"/>
              </w:rPr>
            </w:pPr>
            <w:r>
              <w:rPr>
                <w:rFonts w:hint="default"/>
                <w:b/>
                <w:bCs/>
                <w:color w:val="auto"/>
              </w:rPr>
              <w:t>检查依据</w:t>
            </w:r>
          </w:p>
        </w:tc>
        <w:tc>
          <w:tcPr>
            <w:tcW w:w="1514" w:type="pct"/>
            <w:noWrap w:val="0"/>
            <w:vAlign w:val="center"/>
          </w:tcPr>
          <w:p w14:paraId="611016F6">
            <w:pPr>
              <w:pStyle w:val="24"/>
              <w:bidi w:val="0"/>
              <w:rPr>
                <w:rFonts w:hint="default"/>
                <w:b/>
                <w:bCs/>
                <w:color w:val="auto"/>
              </w:rPr>
            </w:pPr>
            <w:r>
              <w:rPr>
                <w:rFonts w:hint="default"/>
                <w:b/>
                <w:bCs/>
                <w:color w:val="auto"/>
              </w:rPr>
              <w:t>检查情况</w:t>
            </w:r>
          </w:p>
        </w:tc>
        <w:tc>
          <w:tcPr>
            <w:tcW w:w="380" w:type="pct"/>
            <w:noWrap w:val="0"/>
            <w:vAlign w:val="center"/>
          </w:tcPr>
          <w:p w14:paraId="02BA659E">
            <w:pPr>
              <w:pStyle w:val="24"/>
              <w:bidi w:val="0"/>
              <w:rPr>
                <w:rFonts w:hint="default"/>
                <w:b/>
                <w:bCs/>
                <w:color w:val="auto"/>
              </w:rPr>
            </w:pPr>
            <w:r>
              <w:rPr>
                <w:rFonts w:hint="eastAsia"/>
                <w:b/>
                <w:bCs/>
                <w:color w:val="auto"/>
                <w:lang w:val="en-US" w:eastAsia="zh-CN"/>
              </w:rPr>
              <w:t>检查</w:t>
            </w:r>
            <w:r>
              <w:rPr>
                <w:rFonts w:hint="default"/>
                <w:b/>
                <w:bCs/>
                <w:color w:val="auto"/>
              </w:rPr>
              <w:t>结果</w:t>
            </w:r>
          </w:p>
        </w:tc>
      </w:tr>
      <w:tr w14:paraId="7565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14:paraId="65133F93">
            <w:pPr>
              <w:pStyle w:val="24"/>
              <w:bidi w:val="0"/>
              <w:rPr>
                <w:rFonts w:hint="default"/>
                <w:color w:val="auto"/>
              </w:rPr>
            </w:pPr>
            <w:r>
              <w:rPr>
                <w:rFonts w:hint="default"/>
                <w:color w:val="auto"/>
              </w:rPr>
              <w:t>1</w:t>
            </w:r>
          </w:p>
        </w:tc>
        <w:tc>
          <w:tcPr>
            <w:tcW w:w="1808" w:type="pct"/>
            <w:noWrap w:val="0"/>
            <w:vAlign w:val="center"/>
          </w:tcPr>
          <w:p w14:paraId="11809208">
            <w:pPr>
              <w:pStyle w:val="24"/>
              <w:bidi w:val="0"/>
              <w:jc w:val="both"/>
              <w:rPr>
                <w:rFonts w:hint="eastAsia" w:eastAsia="宋体"/>
                <w:color w:val="auto"/>
                <w:lang w:eastAsia="zh-CN"/>
              </w:rPr>
            </w:pPr>
            <w:r>
              <w:rPr>
                <w:rFonts w:hint="default"/>
                <w:color w:val="auto"/>
              </w:rPr>
              <w:t>第七条</w:t>
            </w:r>
            <w:r>
              <w:rPr>
                <w:rFonts w:hint="eastAsia"/>
                <w:color w:val="auto"/>
                <w:lang w:val="en-US" w:eastAsia="zh-CN"/>
              </w:rPr>
              <w:t xml:space="preserve"> </w:t>
            </w:r>
            <w:r>
              <w:rPr>
                <w:rFonts w:hint="default"/>
                <w:color w:val="auto"/>
              </w:rPr>
              <w:t>下列建设项目在进行可行性研究时，生产经营单位应当按照国家规定，进行安全预评价</w:t>
            </w:r>
            <w:r>
              <w:rPr>
                <w:rFonts w:hint="eastAsia"/>
                <w:color w:val="auto"/>
                <w:lang w:eastAsia="zh-CN"/>
              </w:rPr>
              <w:t>：</w:t>
            </w:r>
          </w:p>
          <w:p w14:paraId="022C2E01">
            <w:pPr>
              <w:pStyle w:val="24"/>
              <w:bidi w:val="0"/>
              <w:jc w:val="both"/>
              <w:rPr>
                <w:rFonts w:hint="eastAsia" w:eastAsia="宋体"/>
                <w:color w:val="auto"/>
                <w:lang w:eastAsia="zh-CN"/>
              </w:rPr>
            </w:pPr>
            <w:r>
              <w:rPr>
                <w:rFonts w:hint="eastAsia"/>
                <w:color w:val="auto"/>
                <w:lang w:eastAsia="zh-CN"/>
              </w:rPr>
              <w:t>（</w:t>
            </w:r>
            <w:r>
              <w:rPr>
                <w:rFonts w:hint="default"/>
                <w:color w:val="auto"/>
              </w:rPr>
              <w:t>一</w:t>
            </w:r>
            <w:r>
              <w:rPr>
                <w:rFonts w:hint="eastAsia"/>
                <w:color w:val="auto"/>
                <w:lang w:eastAsia="zh-CN"/>
              </w:rPr>
              <w:t>）</w:t>
            </w:r>
            <w:r>
              <w:rPr>
                <w:rFonts w:hint="default"/>
                <w:color w:val="auto"/>
              </w:rPr>
              <w:t>非煤矿矿山建设项目</w:t>
            </w:r>
            <w:r>
              <w:rPr>
                <w:rFonts w:hint="eastAsia"/>
                <w:color w:val="auto"/>
                <w:lang w:eastAsia="zh-CN"/>
              </w:rPr>
              <w:t>；</w:t>
            </w:r>
          </w:p>
          <w:p w14:paraId="186FB39C">
            <w:pPr>
              <w:pStyle w:val="24"/>
              <w:bidi w:val="0"/>
              <w:jc w:val="both"/>
              <w:rPr>
                <w:rFonts w:hint="eastAsia" w:eastAsia="宋体"/>
                <w:color w:val="auto"/>
                <w:lang w:val="en-US" w:eastAsia="zh-CN"/>
              </w:rPr>
            </w:pPr>
            <w:r>
              <w:rPr>
                <w:rFonts w:hint="eastAsia"/>
                <w:color w:val="auto"/>
                <w:lang w:eastAsia="zh-CN"/>
              </w:rPr>
              <w:t>（</w:t>
            </w:r>
            <w:r>
              <w:rPr>
                <w:rFonts w:hint="default"/>
                <w:color w:val="auto"/>
              </w:rPr>
              <w:t>二</w:t>
            </w:r>
            <w:r>
              <w:rPr>
                <w:rFonts w:hint="eastAsia"/>
                <w:color w:val="auto"/>
                <w:lang w:eastAsia="zh-CN"/>
              </w:rPr>
              <w:t>）</w:t>
            </w:r>
            <w:r>
              <w:rPr>
                <w:rFonts w:hint="default"/>
                <w:color w:val="auto"/>
              </w:rPr>
              <w:t>生产、储存危险化学品</w:t>
            </w:r>
            <w:r>
              <w:rPr>
                <w:rFonts w:hint="eastAsia"/>
                <w:color w:val="auto"/>
                <w:lang w:eastAsia="zh-CN"/>
              </w:rPr>
              <w:t>（</w:t>
            </w:r>
            <w:r>
              <w:rPr>
                <w:rFonts w:hint="default"/>
                <w:color w:val="auto"/>
              </w:rPr>
              <w:t>包括使用长输管道输送危险化学品，下同</w:t>
            </w:r>
            <w:r>
              <w:rPr>
                <w:rFonts w:hint="eastAsia"/>
                <w:color w:val="auto"/>
                <w:lang w:eastAsia="zh-CN"/>
              </w:rPr>
              <w:t>）</w:t>
            </w:r>
            <w:r>
              <w:rPr>
                <w:rFonts w:hint="default"/>
                <w:color w:val="auto"/>
              </w:rPr>
              <w:t>的建设项</w:t>
            </w:r>
            <w:r>
              <w:rPr>
                <w:rFonts w:hint="eastAsia"/>
                <w:color w:val="auto"/>
                <w:lang w:val="en-US" w:eastAsia="zh-CN"/>
              </w:rPr>
              <w:t>目；</w:t>
            </w:r>
          </w:p>
          <w:p w14:paraId="67902BDF">
            <w:pPr>
              <w:pStyle w:val="24"/>
              <w:bidi w:val="0"/>
              <w:jc w:val="both"/>
              <w:rPr>
                <w:rFonts w:hint="eastAsia" w:eastAsia="宋体"/>
                <w:color w:val="auto"/>
                <w:lang w:eastAsia="zh-CN"/>
              </w:rPr>
            </w:pPr>
            <w:r>
              <w:rPr>
                <w:rFonts w:hint="eastAsia"/>
                <w:color w:val="auto"/>
                <w:lang w:eastAsia="zh-CN"/>
              </w:rPr>
              <w:t>（</w:t>
            </w:r>
            <w:r>
              <w:rPr>
                <w:rFonts w:hint="eastAsia"/>
                <w:color w:val="auto"/>
                <w:lang w:val="en-US" w:eastAsia="zh-CN"/>
              </w:rPr>
              <w:t>三</w:t>
            </w:r>
            <w:r>
              <w:rPr>
                <w:rFonts w:hint="eastAsia"/>
                <w:color w:val="auto"/>
                <w:lang w:eastAsia="zh-CN"/>
              </w:rPr>
              <w:t>）</w:t>
            </w:r>
            <w:r>
              <w:rPr>
                <w:rFonts w:hint="default"/>
                <w:color w:val="auto"/>
              </w:rPr>
              <w:t>生产、储存烟花爆竹的建设项目</w:t>
            </w:r>
            <w:r>
              <w:rPr>
                <w:rFonts w:hint="eastAsia"/>
                <w:color w:val="auto"/>
                <w:lang w:eastAsia="zh-CN"/>
              </w:rPr>
              <w:t>；</w:t>
            </w:r>
          </w:p>
          <w:p w14:paraId="61FC790D">
            <w:pPr>
              <w:pStyle w:val="24"/>
              <w:bidi w:val="0"/>
              <w:jc w:val="both"/>
              <w:rPr>
                <w:rFonts w:hint="eastAsia" w:eastAsia="宋体"/>
                <w:color w:val="auto"/>
                <w:lang w:eastAsia="zh-CN"/>
              </w:rPr>
            </w:pPr>
            <w:r>
              <w:rPr>
                <w:rFonts w:hint="eastAsia"/>
                <w:color w:val="auto"/>
                <w:lang w:eastAsia="zh-CN"/>
              </w:rPr>
              <w:t>（</w:t>
            </w:r>
            <w:r>
              <w:rPr>
                <w:rFonts w:hint="default"/>
                <w:color w:val="auto"/>
              </w:rPr>
              <w:t>四</w:t>
            </w:r>
            <w:r>
              <w:rPr>
                <w:rFonts w:hint="eastAsia"/>
                <w:color w:val="auto"/>
                <w:lang w:eastAsia="zh-CN"/>
              </w:rPr>
              <w:t>）</w:t>
            </w:r>
            <w:r>
              <w:rPr>
                <w:rFonts w:hint="default"/>
                <w:color w:val="auto"/>
              </w:rPr>
              <w:t>金属冶炼建设项目</w:t>
            </w:r>
            <w:r>
              <w:rPr>
                <w:rFonts w:hint="eastAsia"/>
                <w:color w:val="auto"/>
                <w:lang w:eastAsia="zh-CN"/>
              </w:rPr>
              <w:t>；</w:t>
            </w:r>
          </w:p>
          <w:p w14:paraId="4BC6B9DF">
            <w:pPr>
              <w:pStyle w:val="24"/>
              <w:bidi w:val="0"/>
              <w:jc w:val="both"/>
              <w:rPr>
                <w:rFonts w:hint="eastAsia" w:eastAsia="宋体"/>
                <w:color w:val="auto"/>
                <w:lang w:eastAsia="zh-CN"/>
              </w:rPr>
            </w:pPr>
            <w:r>
              <w:rPr>
                <w:rFonts w:hint="eastAsia"/>
                <w:color w:val="auto"/>
                <w:lang w:eastAsia="zh-CN"/>
              </w:rPr>
              <w:t>（</w:t>
            </w:r>
            <w:r>
              <w:rPr>
                <w:rFonts w:hint="default"/>
                <w:color w:val="auto"/>
              </w:rPr>
              <w:t>五</w:t>
            </w:r>
            <w:r>
              <w:rPr>
                <w:rFonts w:hint="eastAsia"/>
                <w:color w:val="auto"/>
                <w:lang w:eastAsia="zh-CN"/>
              </w:rPr>
              <w:t>）</w:t>
            </w:r>
            <w:r>
              <w:rPr>
                <w:rFonts w:hint="default"/>
                <w:color w:val="auto"/>
              </w:rPr>
              <w:t>使用危险化学品从事生产并且使用量达到规定数量的化工建设项目</w:t>
            </w:r>
            <w:r>
              <w:rPr>
                <w:rFonts w:hint="eastAsia"/>
                <w:color w:val="auto"/>
                <w:lang w:eastAsia="zh-CN"/>
              </w:rPr>
              <w:t>（</w:t>
            </w:r>
            <w:r>
              <w:rPr>
                <w:rFonts w:hint="default"/>
                <w:color w:val="auto"/>
              </w:rPr>
              <w:t>属于危险化学品生产的除外，下同</w:t>
            </w:r>
            <w:r>
              <w:rPr>
                <w:rFonts w:hint="eastAsia"/>
                <w:color w:val="auto"/>
                <w:lang w:eastAsia="zh-CN"/>
              </w:rPr>
              <w:t>）；</w:t>
            </w:r>
          </w:p>
          <w:p w14:paraId="3393A63B">
            <w:pPr>
              <w:pStyle w:val="24"/>
              <w:bidi w:val="0"/>
              <w:jc w:val="both"/>
              <w:rPr>
                <w:rFonts w:hint="default"/>
                <w:color w:val="auto"/>
              </w:rPr>
            </w:pPr>
            <w:r>
              <w:rPr>
                <w:rFonts w:hint="eastAsia"/>
                <w:color w:val="auto"/>
                <w:lang w:eastAsia="zh-CN"/>
              </w:rPr>
              <w:t>（</w:t>
            </w:r>
            <w:r>
              <w:rPr>
                <w:rFonts w:hint="default"/>
                <w:color w:val="auto"/>
              </w:rPr>
              <w:t>六</w:t>
            </w:r>
            <w:r>
              <w:rPr>
                <w:rFonts w:hint="eastAsia"/>
                <w:color w:val="auto"/>
                <w:lang w:eastAsia="zh-CN"/>
              </w:rPr>
              <w:t>）</w:t>
            </w:r>
            <w:r>
              <w:rPr>
                <w:rFonts w:hint="default"/>
                <w:color w:val="auto"/>
              </w:rPr>
              <w:t>法律、行政法规和国务院规定的其他建设项目。</w:t>
            </w:r>
          </w:p>
        </w:tc>
        <w:tc>
          <w:tcPr>
            <w:tcW w:w="921" w:type="pct"/>
            <w:noWrap w:val="0"/>
            <w:vAlign w:val="center"/>
          </w:tcPr>
          <w:p w14:paraId="2B209743">
            <w:pPr>
              <w:pStyle w:val="24"/>
              <w:bidi w:val="0"/>
              <w:rPr>
                <w:rFonts w:hint="default"/>
                <w:color w:val="auto"/>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r>
              <w:rPr>
                <w:rFonts w:hint="default"/>
                <w:color w:val="auto"/>
              </w:rPr>
              <w:t>第七条</w:t>
            </w:r>
          </w:p>
        </w:tc>
        <w:tc>
          <w:tcPr>
            <w:tcW w:w="1514" w:type="pct"/>
            <w:noWrap w:val="0"/>
            <w:vAlign w:val="center"/>
          </w:tcPr>
          <w:p w14:paraId="0509AAF6">
            <w:pPr>
              <w:pStyle w:val="24"/>
              <w:bidi w:val="0"/>
              <w:rPr>
                <w:rFonts w:hint="default"/>
                <w:color w:val="auto"/>
              </w:rPr>
            </w:pPr>
            <w:r>
              <w:rPr>
                <w:rFonts w:hint="default"/>
                <w:color w:val="auto"/>
              </w:rPr>
              <w:t>该项目于2023年06月07日取得了寻甸回族彝族自治县发展和改革局批复的《投资项目备案证》，于2024年05月委托昆明赛特拉矿山工程设计有限公司编制了《寻甸金林钛矿有限公司尾矿处理技改升级建设项目初步设计（代可研）》，于2024年09月委托辽宁诺诚安全科技有限公司编制了《寻甸金林钛矿有限公司尾矿处理技改升级建设项目安全预评价报告》，于2025年01月委托昆明赛特拉矿山工程设计有限公司编制了《寻甸金林钛矿有限公司尾矿处理技改升级建设项目安全设施设计》，该安全设施设计于2025年01月15日通过评审，企业于2025年01月22日取得了安全设施设计审批书。</w:t>
            </w:r>
          </w:p>
        </w:tc>
        <w:tc>
          <w:tcPr>
            <w:tcW w:w="380" w:type="pct"/>
            <w:noWrap w:val="0"/>
            <w:vAlign w:val="center"/>
          </w:tcPr>
          <w:p w14:paraId="795F5153">
            <w:pPr>
              <w:pStyle w:val="24"/>
              <w:bidi w:val="0"/>
              <w:rPr>
                <w:rFonts w:hint="default"/>
                <w:color w:val="auto"/>
              </w:rPr>
            </w:pPr>
            <w:r>
              <w:rPr>
                <w:rFonts w:hint="default"/>
                <w:color w:val="auto"/>
              </w:rPr>
              <w:t>符合</w:t>
            </w:r>
          </w:p>
        </w:tc>
      </w:tr>
      <w:tr w14:paraId="3955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14:paraId="3684E47D">
            <w:pPr>
              <w:pStyle w:val="24"/>
              <w:bidi w:val="0"/>
              <w:rPr>
                <w:rFonts w:hint="default"/>
                <w:color w:val="auto"/>
              </w:rPr>
            </w:pPr>
            <w:r>
              <w:rPr>
                <w:rFonts w:hint="default"/>
                <w:color w:val="auto"/>
              </w:rPr>
              <w:t>2</w:t>
            </w:r>
          </w:p>
        </w:tc>
        <w:tc>
          <w:tcPr>
            <w:tcW w:w="1808" w:type="pct"/>
            <w:noWrap w:val="0"/>
            <w:vAlign w:val="center"/>
          </w:tcPr>
          <w:p w14:paraId="416493E2">
            <w:pPr>
              <w:pStyle w:val="24"/>
              <w:bidi w:val="0"/>
              <w:jc w:val="both"/>
              <w:rPr>
                <w:rFonts w:hint="default"/>
                <w:color w:val="auto"/>
              </w:rPr>
            </w:pPr>
            <w:r>
              <w:rPr>
                <w:rFonts w:hint="default"/>
                <w:color w:val="auto"/>
              </w:rPr>
              <w:t>生产经营单位应当委托具有相应资质的安全评价机构，对其建设项目进行安全预评价，并编制安全预评价报告。</w:t>
            </w:r>
          </w:p>
        </w:tc>
        <w:tc>
          <w:tcPr>
            <w:tcW w:w="921" w:type="pct"/>
            <w:noWrap w:val="0"/>
            <w:vAlign w:val="center"/>
          </w:tcPr>
          <w:p w14:paraId="4C200FD2">
            <w:pPr>
              <w:pStyle w:val="24"/>
              <w:bidi w:val="0"/>
              <w:rPr>
                <w:rFonts w:hint="default"/>
                <w:color w:val="auto"/>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r>
              <w:rPr>
                <w:rFonts w:hint="default"/>
                <w:color w:val="auto"/>
              </w:rPr>
              <w:t>第</w:t>
            </w:r>
            <w:r>
              <w:rPr>
                <w:rFonts w:hint="eastAsia"/>
                <w:color w:val="auto"/>
                <w:lang w:val="en-US" w:eastAsia="zh-CN"/>
              </w:rPr>
              <w:t>八</w:t>
            </w:r>
            <w:r>
              <w:rPr>
                <w:rFonts w:hint="default"/>
                <w:color w:val="auto"/>
              </w:rPr>
              <w:t>条</w:t>
            </w:r>
          </w:p>
        </w:tc>
        <w:tc>
          <w:tcPr>
            <w:tcW w:w="1514" w:type="pct"/>
            <w:noWrap w:val="0"/>
            <w:vAlign w:val="center"/>
          </w:tcPr>
          <w:p w14:paraId="621E70AB">
            <w:pPr>
              <w:pStyle w:val="24"/>
              <w:bidi w:val="0"/>
              <w:rPr>
                <w:rFonts w:hint="default"/>
                <w:color w:val="auto"/>
              </w:rPr>
            </w:pPr>
            <w:r>
              <w:rPr>
                <w:rFonts w:hint="default"/>
                <w:color w:val="auto"/>
              </w:rPr>
              <w:t>该项目于2024年09月委托辽宁诺诚安全科技有限公司编制了《寻甸金林钛矿有限公司尾矿处理技改升级建设项目安全预评价报告》。</w:t>
            </w:r>
          </w:p>
        </w:tc>
        <w:tc>
          <w:tcPr>
            <w:tcW w:w="380" w:type="pct"/>
            <w:noWrap w:val="0"/>
            <w:vAlign w:val="center"/>
          </w:tcPr>
          <w:p w14:paraId="762520D3">
            <w:pPr>
              <w:pStyle w:val="24"/>
              <w:bidi w:val="0"/>
              <w:rPr>
                <w:rFonts w:hint="default"/>
                <w:color w:val="auto"/>
              </w:rPr>
            </w:pPr>
            <w:r>
              <w:rPr>
                <w:rFonts w:hint="default"/>
                <w:color w:val="auto"/>
              </w:rPr>
              <w:t>符合</w:t>
            </w:r>
          </w:p>
        </w:tc>
      </w:tr>
      <w:tr w14:paraId="5547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14:paraId="3CA8488C">
            <w:pPr>
              <w:pStyle w:val="24"/>
              <w:bidi w:val="0"/>
              <w:rPr>
                <w:rFonts w:hint="default"/>
                <w:color w:val="auto"/>
              </w:rPr>
            </w:pPr>
            <w:r>
              <w:rPr>
                <w:rFonts w:hint="default"/>
                <w:color w:val="auto"/>
              </w:rPr>
              <w:t>3</w:t>
            </w:r>
          </w:p>
        </w:tc>
        <w:tc>
          <w:tcPr>
            <w:tcW w:w="1808" w:type="pct"/>
            <w:noWrap w:val="0"/>
            <w:vAlign w:val="center"/>
          </w:tcPr>
          <w:p w14:paraId="2F3EA2C2">
            <w:pPr>
              <w:pStyle w:val="24"/>
              <w:bidi w:val="0"/>
              <w:jc w:val="both"/>
              <w:rPr>
                <w:rFonts w:hint="default"/>
                <w:color w:val="auto"/>
              </w:rPr>
            </w:pPr>
            <w:r>
              <w:rPr>
                <w:rFonts w:hint="default"/>
                <w:color w:val="auto"/>
              </w:rPr>
              <w:t>生产经营单位在建设项目初步设计时，应当委托有相应资质的设计单位对建设项目安全设施</w:t>
            </w:r>
            <w:r>
              <w:rPr>
                <w:rFonts w:hint="eastAsia"/>
                <w:color w:val="auto"/>
                <w:lang w:val="en-US" w:eastAsia="zh-CN"/>
              </w:rPr>
              <w:t>同时</w:t>
            </w:r>
            <w:r>
              <w:rPr>
                <w:rFonts w:hint="default"/>
                <w:color w:val="auto"/>
              </w:rPr>
              <w:t>进行设计，编制安全</w:t>
            </w:r>
            <w:r>
              <w:rPr>
                <w:rFonts w:hint="eastAsia"/>
                <w:color w:val="auto"/>
                <w:lang w:val="en-US" w:eastAsia="zh-CN"/>
              </w:rPr>
              <w:t>设施设计</w:t>
            </w:r>
            <w:r>
              <w:rPr>
                <w:rFonts w:hint="default"/>
                <w:color w:val="auto"/>
              </w:rPr>
              <w:t>。</w:t>
            </w:r>
          </w:p>
        </w:tc>
        <w:tc>
          <w:tcPr>
            <w:tcW w:w="921" w:type="pct"/>
            <w:noWrap w:val="0"/>
            <w:vAlign w:val="center"/>
          </w:tcPr>
          <w:p w14:paraId="61DA4952">
            <w:pPr>
              <w:pStyle w:val="24"/>
              <w:bidi w:val="0"/>
              <w:rPr>
                <w:rFonts w:hint="eastAsia"/>
                <w:color w:val="auto"/>
                <w:lang w:eastAsia="zh-CN"/>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p>
          <w:p w14:paraId="2023AC41">
            <w:pPr>
              <w:pStyle w:val="24"/>
              <w:bidi w:val="0"/>
              <w:rPr>
                <w:rFonts w:hint="default"/>
                <w:color w:val="auto"/>
              </w:rPr>
            </w:pPr>
            <w:r>
              <w:rPr>
                <w:rFonts w:hint="default"/>
                <w:color w:val="auto"/>
              </w:rPr>
              <w:t>第</w:t>
            </w:r>
            <w:r>
              <w:rPr>
                <w:rFonts w:hint="eastAsia"/>
                <w:color w:val="auto"/>
                <w:lang w:val="en-US" w:eastAsia="zh-CN"/>
              </w:rPr>
              <w:t>十</w:t>
            </w:r>
            <w:r>
              <w:rPr>
                <w:rFonts w:hint="default"/>
                <w:color w:val="auto"/>
              </w:rPr>
              <w:t>条</w:t>
            </w:r>
          </w:p>
        </w:tc>
        <w:tc>
          <w:tcPr>
            <w:tcW w:w="1514" w:type="pct"/>
            <w:noWrap w:val="0"/>
            <w:vAlign w:val="center"/>
          </w:tcPr>
          <w:p w14:paraId="1F933E0A">
            <w:pPr>
              <w:pStyle w:val="24"/>
              <w:bidi w:val="0"/>
              <w:rPr>
                <w:rFonts w:hint="default"/>
                <w:color w:val="auto"/>
              </w:rPr>
            </w:pPr>
            <w:r>
              <w:rPr>
                <w:rFonts w:hint="default"/>
                <w:color w:val="auto"/>
              </w:rPr>
              <w:t>该项目于2025年01月委托昆明赛特拉矿山工程设计有限公司编制了《寻甸金林钛矿有限公司尾矿处理技改升级建设项目安全设施设计》，该安全设施设计于2025年01月15日通过评审，企业于2025年01月22日取得了安全设施设计审批书。</w:t>
            </w:r>
          </w:p>
        </w:tc>
        <w:tc>
          <w:tcPr>
            <w:tcW w:w="380" w:type="pct"/>
            <w:noWrap w:val="0"/>
            <w:vAlign w:val="center"/>
          </w:tcPr>
          <w:p w14:paraId="11E038D8">
            <w:pPr>
              <w:pStyle w:val="24"/>
              <w:bidi w:val="0"/>
              <w:rPr>
                <w:rFonts w:hint="default"/>
                <w:color w:val="auto"/>
              </w:rPr>
            </w:pPr>
            <w:r>
              <w:rPr>
                <w:rFonts w:hint="default"/>
                <w:color w:val="auto"/>
              </w:rPr>
              <w:t>符合</w:t>
            </w:r>
          </w:p>
        </w:tc>
      </w:tr>
      <w:tr w14:paraId="7135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14:paraId="58C49865">
            <w:pPr>
              <w:pStyle w:val="24"/>
              <w:bidi w:val="0"/>
              <w:rPr>
                <w:rFonts w:hint="default"/>
                <w:color w:val="auto"/>
              </w:rPr>
            </w:pPr>
            <w:r>
              <w:rPr>
                <w:rFonts w:hint="default"/>
                <w:color w:val="auto"/>
              </w:rPr>
              <w:t>4</w:t>
            </w:r>
          </w:p>
        </w:tc>
        <w:tc>
          <w:tcPr>
            <w:tcW w:w="1808" w:type="pct"/>
            <w:noWrap w:val="0"/>
            <w:vAlign w:val="center"/>
          </w:tcPr>
          <w:p w14:paraId="3A21C078">
            <w:pPr>
              <w:pStyle w:val="24"/>
              <w:bidi w:val="0"/>
              <w:jc w:val="both"/>
              <w:rPr>
                <w:rFonts w:hint="default"/>
                <w:color w:val="auto"/>
              </w:rPr>
            </w:pPr>
            <w:r>
              <w:rPr>
                <w:rFonts w:hint="default"/>
                <w:color w:val="auto"/>
              </w:rPr>
              <w:t>本办法第七条第</w:t>
            </w:r>
            <w:r>
              <w:rPr>
                <w:rFonts w:hint="default"/>
                <w:color w:val="auto"/>
                <w:lang w:eastAsia="zh-CN"/>
              </w:rPr>
              <w:t>（</w:t>
            </w:r>
            <w:r>
              <w:rPr>
                <w:rFonts w:hint="default"/>
                <w:color w:val="auto"/>
              </w:rPr>
              <w:t>一</w:t>
            </w:r>
            <w:r>
              <w:rPr>
                <w:rFonts w:hint="eastAsia"/>
                <w:color w:val="auto"/>
                <w:lang w:eastAsia="zh-CN"/>
              </w:rPr>
              <w:t>）</w:t>
            </w:r>
            <w:r>
              <w:rPr>
                <w:rFonts w:hint="default"/>
                <w:color w:val="auto"/>
              </w:rPr>
              <w:t>项、第</w:t>
            </w:r>
            <w:r>
              <w:rPr>
                <w:rFonts w:hint="default"/>
                <w:color w:val="auto"/>
                <w:lang w:eastAsia="zh-CN"/>
              </w:rPr>
              <w:t>（</w:t>
            </w:r>
            <w:r>
              <w:rPr>
                <w:rFonts w:hint="default"/>
                <w:color w:val="auto"/>
              </w:rPr>
              <w:t>二</w:t>
            </w:r>
            <w:r>
              <w:rPr>
                <w:rFonts w:hint="eastAsia"/>
                <w:color w:val="auto"/>
                <w:lang w:eastAsia="zh-CN"/>
              </w:rPr>
              <w:t>）</w:t>
            </w:r>
            <w:r>
              <w:rPr>
                <w:rFonts w:hint="default"/>
                <w:color w:val="auto"/>
              </w:rPr>
              <w:t>项、第</w:t>
            </w:r>
            <w:r>
              <w:rPr>
                <w:rFonts w:hint="default"/>
                <w:color w:val="auto"/>
                <w:lang w:eastAsia="zh-CN"/>
              </w:rPr>
              <w:t>（</w:t>
            </w:r>
            <w:r>
              <w:rPr>
                <w:rFonts w:hint="default"/>
                <w:color w:val="auto"/>
              </w:rPr>
              <w:t>三</w:t>
            </w:r>
            <w:r>
              <w:rPr>
                <w:rFonts w:hint="eastAsia"/>
                <w:color w:val="auto"/>
                <w:lang w:eastAsia="zh-CN"/>
              </w:rPr>
              <w:t>）</w:t>
            </w:r>
            <w:r>
              <w:rPr>
                <w:rFonts w:hint="default"/>
                <w:color w:val="auto"/>
              </w:rPr>
              <w:t>项</w:t>
            </w:r>
            <w:r>
              <w:rPr>
                <w:rFonts w:hint="eastAsia"/>
                <w:color w:val="auto"/>
                <w:lang w:eastAsia="zh-CN"/>
              </w:rPr>
              <w:t>、第（三）项</w:t>
            </w:r>
            <w:r>
              <w:rPr>
                <w:rFonts w:hint="default"/>
                <w:color w:val="auto"/>
              </w:rPr>
              <w:t>规定的建设项目安全设施设计完成后，生产经营单位应当按照本办法第五条的规定向安全生产监督管理部门提出审查申请，并提交下列文件资料：</w:t>
            </w:r>
          </w:p>
          <w:p w14:paraId="67E82138">
            <w:pPr>
              <w:pStyle w:val="24"/>
              <w:bidi w:val="0"/>
              <w:jc w:val="both"/>
              <w:rPr>
                <w:rFonts w:hint="default"/>
                <w:color w:val="auto"/>
              </w:rPr>
            </w:pPr>
            <w:r>
              <w:rPr>
                <w:rFonts w:hint="default"/>
                <w:color w:val="auto"/>
                <w:lang w:eastAsia="zh-CN"/>
              </w:rPr>
              <w:t>（</w:t>
            </w:r>
            <w:r>
              <w:rPr>
                <w:rFonts w:hint="default"/>
                <w:color w:val="auto"/>
              </w:rPr>
              <w:t>一</w:t>
            </w:r>
            <w:r>
              <w:rPr>
                <w:rFonts w:hint="eastAsia"/>
                <w:color w:val="auto"/>
                <w:lang w:eastAsia="zh-CN"/>
              </w:rPr>
              <w:t>）</w:t>
            </w:r>
            <w:r>
              <w:rPr>
                <w:rFonts w:hint="default"/>
                <w:color w:val="auto"/>
              </w:rPr>
              <w:t>建设项目审批、核准或者备案的文件；</w:t>
            </w:r>
          </w:p>
          <w:p w14:paraId="776E488C">
            <w:pPr>
              <w:pStyle w:val="24"/>
              <w:bidi w:val="0"/>
              <w:jc w:val="both"/>
              <w:rPr>
                <w:rFonts w:hint="default"/>
                <w:color w:val="auto"/>
              </w:rPr>
            </w:pPr>
            <w:r>
              <w:rPr>
                <w:rFonts w:hint="default"/>
                <w:color w:val="auto"/>
                <w:lang w:eastAsia="zh-CN"/>
              </w:rPr>
              <w:t>（</w:t>
            </w:r>
            <w:r>
              <w:rPr>
                <w:rFonts w:hint="default"/>
                <w:color w:val="auto"/>
              </w:rPr>
              <w:t>二</w:t>
            </w:r>
            <w:r>
              <w:rPr>
                <w:rFonts w:hint="eastAsia"/>
                <w:color w:val="auto"/>
                <w:lang w:eastAsia="zh-CN"/>
              </w:rPr>
              <w:t>）</w:t>
            </w:r>
            <w:r>
              <w:rPr>
                <w:rFonts w:hint="default"/>
                <w:color w:val="auto"/>
              </w:rPr>
              <w:t>建设项目安全设施设计审查申请；</w:t>
            </w:r>
          </w:p>
          <w:p w14:paraId="3964BC73">
            <w:pPr>
              <w:pStyle w:val="24"/>
              <w:bidi w:val="0"/>
              <w:jc w:val="both"/>
              <w:rPr>
                <w:rFonts w:hint="default"/>
                <w:color w:val="auto"/>
              </w:rPr>
            </w:pPr>
            <w:r>
              <w:rPr>
                <w:rFonts w:hint="default"/>
                <w:color w:val="auto"/>
                <w:lang w:eastAsia="zh-CN"/>
              </w:rPr>
              <w:t>（</w:t>
            </w:r>
            <w:r>
              <w:rPr>
                <w:rFonts w:hint="default"/>
                <w:color w:val="auto"/>
              </w:rPr>
              <w:t>三</w:t>
            </w:r>
            <w:r>
              <w:rPr>
                <w:rFonts w:hint="eastAsia"/>
                <w:color w:val="auto"/>
                <w:lang w:eastAsia="zh-CN"/>
              </w:rPr>
              <w:t>）</w:t>
            </w:r>
            <w:r>
              <w:rPr>
                <w:rFonts w:hint="default"/>
                <w:color w:val="auto"/>
              </w:rPr>
              <w:t>设计单位的设计资质证明文件；</w:t>
            </w:r>
          </w:p>
          <w:p w14:paraId="6DEBC241">
            <w:pPr>
              <w:pStyle w:val="24"/>
              <w:bidi w:val="0"/>
              <w:jc w:val="both"/>
              <w:rPr>
                <w:rFonts w:hint="default"/>
                <w:color w:val="auto"/>
              </w:rPr>
            </w:pPr>
            <w:r>
              <w:rPr>
                <w:rFonts w:hint="default"/>
                <w:color w:val="auto"/>
                <w:lang w:eastAsia="zh-CN"/>
              </w:rPr>
              <w:t>（</w:t>
            </w:r>
            <w:r>
              <w:rPr>
                <w:rFonts w:hint="default"/>
                <w:color w:val="auto"/>
              </w:rPr>
              <w:t>四</w:t>
            </w:r>
            <w:r>
              <w:rPr>
                <w:rFonts w:hint="eastAsia"/>
                <w:color w:val="auto"/>
                <w:lang w:eastAsia="zh-CN"/>
              </w:rPr>
              <w:t>）</w:t>
            </w:r>
            <w:r>
              <w:rPr>
                <w:rFonts w:hint="default"/>
                <w:color w:val="auto"/>
              </w:rPr>
              <w:t>建设项目</w:t>
            </w:r>
            <w:r>
              <w:rPr>
                <w:rFonts w:hint="eastAsia"/>
                <w:color w:val="auto"/>
                <w:lang w:val="en-US" w:eastAsia="zh-CN"/>
              </w:rPr>
              <w:t>安全设施设计</w:t>
            </w:r>
            <w:r>
              <w:rPr>
                <w:rFonts w:hint="default"/>
                <w:color w:val="auto"/>
              </w:rPr>
              <w:t>；</w:t>
            </w:r>
          </w:p>
          <w:p w14:paraId="14A1C8D0">
            <w:pPr>
              <w:pStyle w:val="24"/>
              <w:bidi w:val="0"/>
              <w:jc w:val="both"/>
              <w:rPr>
                <w:rFonts w:hint="default"/>
                <w:color w:val="auto"/>
              </w:rPr>
            </w:pPr>
            <w:r>
              <w:rPr>
                <w:rFonts w:hint="default"/>
                <w:color w:val="auto"/>
                <w:lang w:eastAsia="zh-CN"/>
              </w:rPr>
              <w:t>（</w:t>
            </w:r>
            <w:r>
              <w:rPr>
                <w:rFonts w:hint="default"/>
                <w:color w:val="auto"/>
              </w:rPr>
              <w:t>五</w:t>
            </w:r>
            <w:r>
              <w:rPr>
                <w:rFonts w:hint="eastAsia"/>
                <w:color w:val="auto"/>
                <w:lang w:eastAsia="zh-CN"/>
              </w:rPr>
              <w:t>）</w:t>
            </w:r>
            <w:r>
              <w:rPr>
                <w:rFonts w:hint="default"/>
                <w:color w:val="auto"/>
              </w:rPr>
              <w:t>建设项目安全预评价报告及相关文件资料；</w:t>
            </w:r>
          </w:p>
          <w:p w14:paraId="79ECED44">
            <w:pPr>
              <w:pStyle w:val="24"/>
              <w:bidi w:val="0"/>
              <w:jc w:val="both"/>
              <w:rPr>
                <w:rFonts w:hint="default"/>
                <w:color w:val="auto"/>
              </w:rPr>
            </w:pPr>
            <w:r>
              <w:rPr>
                <w:rFonts w:hint="default"/>
                <w:color w:val="auto"/>
                <w:lang w:eastAsia="zh-CN"/>
              </w:rPr>
              <w:t>（</w:t>
            </w:r>
            <w:r>
              <w:rPr>
                <w:rFonts w:hint="default"/>
                <w:color w:val="auto"/>
              </w:rPr>
              <w:t>六</w:t>
            </w:r>
            <w:r>
              <w:rPr>
                <w:rFonts w:hint="eastAsia"/>
                <w:color w:val="auto"/>
                <w:lang w:eastAsia="zh-CN"/>
              </w:rPr>
              <w:t>）</w:t>
            </w:r>
            <w:r>
              <w:rPr>
                <w:rFonts w:hint="default"/>
                <w:color w:val="auto"/>
              </w:rPr>
              <w:t>法律、行政法规、规章规定的其他文件资料。</w:t>
            </w:r>
          </w:p>
        </w:tc>
        <w:tc>
          <w:tcPr>
            <w:tcW w:w="921" w:type="pct"/>
            <w:noWrap w:val="0"/>
            <w:vAlign w:val="center"/>
          </w:tcPr>
          <w:p w14:paraId="7919F01F">
            <w:pPr>
              <w:pStyle w:val="24"/>
              <w:bidi w:val="0"/>
              <w:rPr>
                <w:rFonts w:hint="eastAsia"/>
                <w:color w:val="auto"/>
                <w:lang w:eastAsia="zh-CN"/>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p>
          <w:p w14:paraId="60D43C3C">
            <w:pPr>
              <w:pStyle w:val="24"/>
              <w:bidi w:val="0"/>
              <w:rPr>
                <w:rFonts w:hint="default"/>
                <w:color w:val="auto"/>
              </w:rPr>
            </w:pPr>
            <w:r>
              <w:rPr>
                <w:rFonts w:hint="default"/>
                <w:color w:val="auto"/>
              </w:rPr>
              <w:t>第</w:t>
            </w:r>
            <w:r>
              <w:rPr>
                <w:rFonts w:hint="eastAsia"/>
                <w:color w:val="auto"/>
                <w:lang w:val="en-US" w:eastAsia="zh-CN"/>
              </w:rPr>
              <w:t>十二</w:t>
            </w:r>
            <w:r>
              <w:rPr>
                <w:rFonts w:hint="default"/>
                <w:color w:val="auto"/>
              </w:rPr>
              <w:t>条</w:t>
            </w:r>
          </w:p>
        </w:tc>
        <w:tc>
          <w:tcPr>
            <w:tcW w:w="1514" w:type="pct"/>
            <w:noWrap w:val="0"/>
            <w:vAlign w:val="center"/>
          </w:tcPr>
          <w:p w14:paraId="30BFE708">
            <w:pPr>
              <w:pStyle w:val="24"/>
              <w:bidi w:val="0"/>
              <w:rPr>
                <w:rFonts w:hint="default"/>
                <w:color w:val="auto"/>
              </w:rPr>
            </w:pPr>
            <w:r>
              <w:rPr>
                <w:rFonts w:hint="default"/>
                <w:color w:val="auto"/>
              </w:rPr>
              <w:t>该项目安全设施设计已通过了</w:t>
            </w:r>
            <w:r>
              <w:rPr>
                <w:rFonts w:hint="eastAsia"/>
                <w:color w:val="auto"/>
                <w:lang w:val="en-US" w:eastAsia="zh-CN"/>
              </w:rPr>
              <w:t>昆明市</w:t>
            </w:r>
            <w:r>
              <w:rPr>
                <w:rFonts w:hint="default"/>
                <w:color w:val="auto"/>
              </w:rPr>
              <w:t>应急</w:t>
            </w:r>
            <w:r>
              <w:rPr>
                <w:rFonts w:hint="eastAsia"/>
                <w:color w:val="auto"/>
                <w:lang w:val="en-US" w:eastAsia="zh-CN"/>
              </w:rPr>
              <w:t>管理</w:t>
            </w:r>
            <w:r>
              <w:rPr>
                <w:rFonts w:hint="default"/>
                <w:color w:val="auto"/>
              </w:rPr>
              <w:t>局专家审查会审查。</w:t>
            </w:r>
          </w:p>
        </w:tc>
        <w:tc>
          <w:tcPr>
            <w:tcW w:w="380" w:type="pct"/>
            <w:noWrap w:val="0"/>
            <w:vAlign w:val="center"/>
          </w:tcPr>
          <w:p w14:paraId="73E0ED6A">
            <w:pPr>
              <w:pStyle w:val="24"/>
              <w:bidi w:val="0"/>
              <w:rPr>
                <w:rFonts w:hint="default"/>
                <w:color w:val="auto"/>
              </w:rPr>
            </w:pPr>
            <w:r>
              <w:rPr>
                <w:rFonts w:hint="default"/>
                <w:color w:val="auto"/>
              </w:rPr>
              <w:t>符合</w:t>
            </w:r>
          </w:p>
        </w:tc>
      </w:tr>
      <w:tr w14:paraId="0184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14:paraId="50275EA5">
            <w:pPr>
              <w:pStyle w:val="24"/>
              <w:bidi w:val="0"/>
              <w:rPr>
                <w:rFonts w:hint="default"/>
                <w:color w:val="auto"/>
              </w:rPr>
            </w:pPr>
            <w:r>
              <w:rPr>
                <w:rFonts w:hint="default"/>
                <w:color w:val="auto"/>
              </w:rPr>
              <w:t>5</w:t>
            </w:r>
          </w:p>
        </w:tc>
        <w:tc>
          <w:tcPr>
            <w:tcW w:w="1808" w:type="pct"/>
            <w:noWrap w:val="0"/>
            <w:vAlign w:val="center"/>
          </w:tcPr>
          <w:p w14:paraId="675C71C2">
            <w:pPr>
              <w:pStyle w:val="24"/>
              <w:bidi w:val="0"/>
              <w:jc w:val="both"/>
              <w:rPr>
                <w:rFonts w:hint="default"/>
                <w:color w:val="auto"/>
              </w:rPr>
            </w:pPr>
            <w:r>
              <w:rPr>
                <w:rFonts w:hint="default"/>
                <w:color w:val="auto"/>
              </w:rPr>
              <w:t>建设项目安全设施的施工应当由取得相应资质的施工单位进行，并与建设项目主体工程同时施工。</w:t>
            </w:r>
          </w:p>
        </w:tc>
        <w:tc>
          <w:tcPr>
            <w:tcW w:w="921" w:type="pct"/>
            <w:noWrap w:val="0"/>
            <w:vAlign w:val="center"/>
          </w:tcPr>
          <w:p w14:paraId="6E955820">
            <w:pPr>
              <w:pStyle w:val="24"/>
              <w:bidi w:val="0"/>
              <w:rPr>
                <w:rFonts w:hint="eastAsia"/>
                <w:color w:val="auto"/>
                <w:lang w:eastAsia="zh-CN"/>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p>
          <w:p w14:paraId="649E5F7D">
            <w:pPr>
              <w:pStyle w:val="24"/>
              <w:bidi w:val="0"/>
              <w:rPr>
                <w:rFonts w:hint="default"/>
                <w:color w:val="auto"/>
              </w:rPr>
            </w:pPr>
            <w:r>
              <w:rPr>
                <w:rFonts w:hint="default"/>
                <w:color w:val="auto"/>
              </w:rPr>
              <w:t>第</w:t>
            </w:r>
            <w:r>
              <w:rPr>
                <w:rFonts w:hint="eastAsia"/>
                <w:color w:val="auto"/>
                <w:lang w:val="en-US" w:eastAsia="zh-CN"/>
              </w:rPr>
              <w:t>十七</w:t>
            </w:r>
            <w:r>
              <w:rPr>
                <w:rFonts w:hint="default"/>
                <w:color w:val="auto"/>
              </w:rPr>
              <w:t>条</w:t>
            </w:r>
          </w:p>
        </w:tc>
        <w:tc>
          <w:tcPr>
            <w:tcW w:w="1514" w:type="pct"/>
            <w:noWrap w:val="0"/>
            <w:vAlign w:val="center"/>
          </w:tcPr>
          <w:p w14:paraId="4DC1D1A4">
            <w:pPr>
              <w:pStyle w:val="24"/>
              <w:bidi w:val="0"/>
              <w:rPr>
                <w:rFonts w:hint="default"/>
                <w:color w:val="auto"/>
              </w:rPr>
            </w:pPr>
            <w:r>
              <w:rPr>
                <w:rFonts w:hint="default"/>
                <w:color w:val="auto"/>
              </w:rPr>
              <w:t>该项目建设单位为</w:t>
            </w:r>
            <w:r>
              <w:rPr>
                <w:rFonts w:hint="eastAsia"/>
                <w:color w:val="auto"/>
                <w:lang w:eastAsia="zh-CN"/>
              </w:rPr>
              <w:t>寻甸金林钛矿有限公司</w:t>
            </w:r>
            <w:r>
              <w:rPr>
                <w:rFonts w:hint="default"/>
                <w:color w:val="auto"/>
              </w:rPr>
              <w:t>；施工单位为普洱铖鑫矿业工程有限公司，监理单位为云南鑫华工程项目管理有限公司</w:t>
            </w:r>
            <w:r>
              <w:rPr>
                <w:rFonts w:hint="eastAsia"/>
                <w:color w:val="auto"/>
                <w:lang w:eastAsia="zh-CN"/>
              </w:rPr>
              <w:t>（</w:t>
            </w:r>
            <w:r>
              <w:rPr>
                <w:rFonts w:hint="eastAsia"/>
                <w:color w:val="auto"/>
                <w:lang w:val="en-US" w:eastAsia="zh-CN"/>
              </w:rPr>
              <w:t>证书编号：D253514969，资质类别及等级：矿山工程施工总承包贰级</w:t>
            </w:r>
            <w:r>
              <w:rPr>
                <w:rFonts w:hint="eastAsia"/>
                <w:color w:val="auto"/>
                <w:lang w:eastAsia="zh-CN"/>
              </w:rPr>
              <w:t>）</w:t>
            </w:r>
            <w:r>
              <w:rPr>
                <w:rFonts w:hint="default"/>
                <w:color w:val="auto"/>
              </w:rPr>
              <w:t>。</w:t>
            </w:r>
          </w:p>
        </w:tc>
        <w:tc>
          <w:tcPr>
            <w:tcW w:w="380" w:type="pct"/>
            <w:noWrap w:val="0"/>
            <w:vAlign w:val="center"/>
          </w:tcPr>
          <w:p w14:paraId="75B76962">
            <w:pPr>
              <w:pStyle w:val="24"/>
              <w:bidi w:val="0"/>
              <w:rPr>
                <w:rFonts w:hint="default"/>
                <w:color w:val="auto"/>
              </w:rPr>
            </w:pPr>
            <w:r>
              <w:rPr>
                <w:rFonts w:hint="default"/>
                <w:color w:val="auto"/>
              </w:rPr>
              <w:t>符合</w:t>
            </w:r>
          </w:p>
        </w:tc>
      </w:tr>
      <w:tr w14:paraId="7446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14:paraId="6BEEBF31">
            <w:pPr>
              <w:pStyle w:val="24"/>
              <w:bidi w:val="0"/>
              <w:rPr>
                <w:rFonts w:hint="default"/>
                <w:color w:val="auto"/>
              </w:rPr>
            </w:pPr>
            <w:r>
              <w:rPr>
                <w:rFonts w:hint="default"/>
                <w:color w:val="auto"/>
              </w:rPr>
              <w:t>6</w:t>
            </w:r>
          </w:p>
        </w:tc>
        <w:tc>
          <w:tcPr>
            <w:tcW w:w="1808" w:type="pct"/>
            <w:noWrap w:val="0"/>
            <w:vAlign w:val="center"/>
          </w:tcPr>
          <w:p w14:paraId="67DDE601">
            <w:pPr>
              <w:pStyle w:val="24"/>
              <w:bidi w:val="0"/>
              <w:jc w:val="both"/>
              <w:rPr>
                <w:rFonts w:hint="default"/>
                <w:color w:val="auto"/>
              </w:rPr>
            </w:pPr>
            <w:r>
              <w:rPr>
                <w:rFonts w:hint="eastAsia"/>
                <w:color w:val="auto"/>
                <w:lang w:val="en-US" w:eastAsia="zh-CN"/>
              </w:rPr>
              <w:t>本办法第七条规定的</w:t>
            </w:r>
            <w:r>
              <w:rPr>
                <w:rFonts w:hint="default"/>
                <w:color w:val="auto"/>
              </w:rPr>
              <w:t>建设项目安全设施竣工或者试运行完成后，生产经营单位应当委托具有相应资质的安全评价机构对安全设施进行验收评价，并编制建设项目安全验收评价报告。</w:t>
            </w:r>
          </w:p>
        </w:tc>
        <w:tc>
          <w:tcPr>
            <w:tcW w:w="921" w:type="pct"/>
            <w:noWrap w:val="0"/>
            <w:vAlign w:val="center"/>
          </w:tcPr>
          <w:p w14:paraId="10AAFFB4">
            <w:pPr>
              <w:pStyle w:val="24"/>
              <w:bidi w:val="0"/>
              <w:rPr>
                <w:rFonts w:hint="eastAsia"/>
                <w:color w:val="auto"/>
                <w:lang w:eastAsia="zh-CN"/>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p>
          <w:p w14:paraId="39165C5A">
            <w:pPr>
              <w:pStyle w:val="24"/>
              <w:bidi w:val="0"/>
              <w:rPr>
                <w:rFonts w:hint="default"/>
                <w:color w:val="auto"/>
              </w:rPr>
            </w:pPr>
            <w:r>
              <w:rPr>
                <w:rFonts w:hint="default"/>
                <w:color w:val="auto"/>
              </w:rPr>
              <w:t>第</w:t>
            </w:r>
            <w:r>
              <w:rPr>
                <w:rFonts w:hint="eastAsia"/>
                <w:color w:val="auto"/>
                <w:lang w:val="en-US" w:eastAsia="zh-CN"/>
              </w:rPr>
              <w:t>二十二</w:t>
            </w:r>
            <w:r>
              <w:rPr>
                <w:rFonts w:hint="default"/>
                <w:color w:val="auto"/>
              </w:rPr>
              <w:t>条</w:t>
            </w:r>
          </w:p>
        </w:tc>
        <w:tc>
          <w:tcPr>
            <w:tcW w:w="1514" w:type="pct"/>
            <w:noWrap w:val="0"/>
            <w:vAlign w:val="center"/>
          </w:tcPr>
          <w:p w14:paraId="1114C69D">
            <w:pPr>
              <w:pStyle w:val="24"/>
              <w:bidi w:val="0"/>
              <w:rPr>
                <w:rFonts w:hint="default"/>
                <w:color w:val="auto"/>
              </w:rPr>
            </w:pPr>
            <w:r>
              <w:rPr>
                <w:rFonts w:hint="default"/>
                <w:color w:val="auto"/>
              </w:rPr>
              <w:t>该项目建设单委托辽宁</w:t>
            </w:r>
            <w:r>
              <w:rPr>
                <w:rFonts w:hint="default"/>
                <w:color w:val="auto"/>
                <w:lang w:val="en-US"/>
              </w:rPr>
              <w:t>诺诚安全科技</w:t>
            </w:r>
            <w:r>
              <w:rPr>
                <w:rFonts w:hint="default"/>
                <w:color w:val="auto"/>
              </w:rPr>
              <w:t>有限公司编制《</w:t>
            </w:r>
            <w:r>
              <w:rPr>
                <w:rFonts w:hint="eastAsia"/>
                <w:color w:val="auto"/>
                <w:lang w:eastAsia="zh-CN"/>
              </w:rPr>
              <w:t>寻甸金林钛矿有限公司尾矿处理技改升级建设项目</w:t>
            </w:r>
            <w:r>
              <w:rPr>
                <w:rFonts w:hint="default"/>
                <w:color w:val="auto"/>
                <w:lang w:val="en-US" w:eastAsia="zh-CN"/>
              </w:rPr>
              <w:t>安全</w:t>
            </w:r>
            <w:r>
              <w:rPr>
                <w:rFonts w:hint="default"/>
                <w:color w:val="auto"/>
              </w:rPr>
              <w:t>验收评价报告》。</w:t>
            </w:r>
          </w:p>
        </w:tc>
        <w:tc>
          <w:tcPr>
            <w:tcW w:w="380" w:type="pct"/>
            <w:noWrap w:val="0"/>
            <w:vAlign w:val="center"/>
          </w:tcPr>
          <w:p w14:paraId="2F440F0F">
            <w:pPr>
              <w:pStyle w:val="24"/>
              <w:bidi w:val="0"/>
              <w:rPr>
                <w:rFonts w:hint="default"/>
                <w:color w:val="auto"/>
              </w:rPr>
            </w:pPr>
            <w:r>
              <w:rPr>
                <w:rFonts w:hint="default"/>
                <w:color w:val="auto"/>
              </w:rPr>
              <w:t>符合</w:t>
            </w:r>
          </w:p>
        </w:tc>
      </w:tr>
    </w:tbl>
    <w:p w14:paraId="2479E1E4">
      <w:pPr>
        <w:pStyle w:val="4"/>
        <w:bidi w:val="0"/>
        <w:rPr>
          <w:rFonts w:hint="eastAsia"/>
          <w:color w:val="auto"/>
        </w:rPr>
      </w:pPr>
      <w:bookmarkStart w:id="144" w:name="_Toc15052"/>
      <w:bookmarkStart w:id="145" w:name="_Toc21426"/>
      <w:r>
        <w:rPr>
          <w:rFonts w:hint="eastAsia"/>
          <w:color w:val="auto"/>
        </w:rPr>
        <w:t>5.1.2</w:t>
      </w:r>
      <w:r>
        <w:rPr>
          <w:rFonts w:hint="eastAsia"/>
          <w:color w:val="auto"/>
          <w:lang w:val="en-US" w:eastAsia="zh-CN"/>
        </w:rPr>
        <w:t xml:space="preserve"> </w:t>
      </w:r>
      <w:r>
        <w:rPr>
          <w:rFonts w:hint="eastAsia"/>
          <w:color w:val="auto"/>
        </w:rPr>
        <w:t>单元评价小结</w:t>
      </w:r>
      <w:bookmarkEnd w:id="144"/>
      <w:bookmarkEnd w:id="145"/>
    </w:p>
    <w:p w14:paraId="17FBC143">
      <w:pPr>
        <w:bidi w:val="0"/>
        <w:rPr>
          <w:color w:val="auto"/>
        </w:rPr>
      </w:pPr>
      <w:r>
        <w:rPr>
          <w:rFonts w:hint="eastAsia"/>
          <w:color w:val="auto"/>
        </w:rPr>
        <w:t>该项目为技改项目，取得了投资备案证，该项目由有资质的单位完成了初步设计及安全设施设计、安全预评价，并由普洱铖鑫矿业工程有限公司施工，完成了该项目的安全设施的施工建设，</w:t>
      </w:r>
      <w:r>
        <w:rPr>
          <w:rFonts w:hint="eastAsia"/>
          <w:color w:val="auto"/>
          <w:lang w:val="en-US" w:eastAsia="zh-CN"/>
        </w:rPr>
        <w:t>由</w:t>
      </w:r>
      <w:r>
        <w:rPr>
          <w:rFonts w:hint="eastAsia"/>
          <w:color w:val="auto"/>
        </w:rPr>
        <w:t>云南鑫华工程项目管理有限公司</w:t>
      </w:r>
      <w:r>
        <w:rPr>
          <w:rFonts w:hint="eastAsia"/>
          <w:color w:val="auto"/>
          <w:lang w:val="en-US" w:eastAsia="zh-CN"/>
        </w:rPr>
        <w:t>监理，</w:t>
      </w:r>
      <w:r>
        <w:rPr>
          <w:rFonts w:hint="eastAsia"/>
          <w:color w:val="auto"/>
        </w:rPr>
        <w:t>该项目的建设程序符合相关规范的要求。</w:t>
      </w:r>
    </w:p>
    <w:p w14:paraId="69D52FB4">
      <w:pPr>
        <w:pStyle w:val="3"/>
        <w:bidi w:val="0"/>
        <w:rPr>
          <w:rFonts w:hint="eastAsia"/>
          <w:color w:val="auto"/>
        </w:rPr>
      </w:pPr>
      <w:bookmarkStart w:id="146" w:name="_Toc20216"/>
      <w:bookmarkStart w:id="147" w:name="_Toc9719"/>
      <w:r>
        <w:rPr>
          <w:rFonts w:hint="eastAsia"/>
          <w:color w:val="auto"/>
        </w:rPr>
        <w:t>5.2 厂址及总平面布置单元分析评价</w:t>
      </w:r>
      <w:bookmarkEnd w:id="146"/>
      <w:bookmarkEnd w:id="147"/>
    </w:p>
    <w:p w14:paraId="304DD67B">
      <w:pPr>
        <w:pStyle w:val="4"/>
        <w:bidi w:val="0"/>
        <w:rPr>
          <w:rFonts w:hint="eastAsia"/>
          <w:color w:val="auto"/>
        </w:rPr>
      </w:pPr>
      <w:bookmarkStart w:id="148" w:name="_Toc28490"/>
      <w:bookmarkStart w:id="149" w:name="_Toc13132"/>
      <w:r>
        <w:rPr>
          <w:rFonts w:hint="eastAsia"/>
          <w:color w:val="auto"/>
        </w:rPr>
        <w:t>5.2.1</w:t>
      </w:r>
      <w:r>
        <w:rPr>
          <w:rFonts w:hint="eastAsia"/>
          <w:color w:val="auto"/>
          <w:lang w:val="en-US" w:eastAsia="zh-CN"/>
        </w:rPr>
        <w:t xml:space="preserve"> </w:t>
      </w:r>
      <w:r>
        <w:rPr>
          <w:rFonts w:hint="eastAsia"/>
          <w:color w:val="auto"/>
        </w:rPr>
        <w:t>厂址及总平面布置安全检查表</w:t>
      </w:r>
      <w:bookmarkEnd w:id="148"/>
      <w:bookmarkEnd w:id="149"/>
    </w:p>
    <w:p w14:paraId="786A4D0E">
      <w:pPr>
        <w:bidi w:val="0"/>
        <w:rPr>
          <w:rFonts w:hint="eastAsia"/>
          <w:color w:val="auto"/>
        </w:rPr>
      </w:pPr>
      <w:r>
        <w:rPr>
          <w:rFonts w:hint="eastAsia"/>
          <w:color w:val="auto"/>
        </w:rPr>
        <w:t>根据该项目的《安全设施设计》及《工业企业总平面设计规范》（GB 50187-2012）、《选矿安全规程》（GB/T 18152-2000）《工业企业厂内铁路、道路运输安全规程》（GB 4387-2008）等规范标准，对该项目厂址及总平面布置进行安全检查，其检查情况如下表所示：</w:t>
      </w:r>
    </w:p>
    <w:p w14:paraId="6B0166DF">
      <w:pPr>
        <w:pStyle w:val="23"/>
        <w:bidi w:val="0"/>
        <w:rPr>
          <w:color w:val="auto"/>
        </w:rPr>
      </w:pPr>
      <w:r>
        <w:rPr>
          <w:rFonts w:hint="eastAsia"/>
          <w:color w:val="auto"/>
        </w:rPr>
        <w:t>表5.2-1  厂址及总平面布置安全检查表</w:t>
      </w:r>
    </w:p>
    <w:tbl>
      <w:tblPr>
        <w:tblStyle w:val="18"/>
        <w:tblW w:w="0" w:type="auto"/>
        <w:jc w:val="center"/>
        <w:tblLayout w:type="fixed"/>
        <w:tblCellMar>
          <w:top w:w="0" w:type="dxa"/>
          <w:left w:w="108" w:type="dxa"/>
          <w:bottom w:w="0" w:type="dxa"/>
          <w:right w:w="108" w:type="dxa"/>
        </w:tblCellMar>
      </w:tblPr>
      <w:tblGrid>
        <w:gridCol w:w="719"/>
        <w:gridCol w:w="3134"/>
        <w:gridCol w:w="1862"/>
        <w:gridCol w:w="2918"/>
        <w:gridCol w:w="684"/>
      </w:tblGrid>
      <w:tr w14:paraId="317E0FED">
        <w:tblPrEx>
          <w:tblCellMar>
            <w:top w:w="0" w:type="dxa"/>
            <w:left w:w="108" w:type="dxa"/>
            <w:bottom w:w="0" w:type="dxa"/>
            <w:right w:w="108" w:type="dxa"/>
          </w:tblCellMar>
        </w:tblPrEx>
        <w:trPr>
          <w:tblHeade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7422DBC4">
            <w:pPr>
              <w:pStyle w:val="24"/>
              <w:bidi w:val="0"/>
              <w:rPr>
                <w:rFonts w:hint="default"/>
                <w:b/>
                <w:bCs/>
                <w:color w:val="auto"/>
              </w:rPr>
            </w:pPr>
            <w:r>
              <w:rPr>
                <w:rFonts w:hint="default"/>
                <w:b/>
                <w:bCs/>
                <w:color w:val="auto"/>
                <w:lang w:val="zh-CN"/>
              </w:rPr>
              <w:t>序号</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D6AD1DE">
            <w:pPr>
              <w:pStyle w:val="24"/>
              <w:bidi w:val="0"/>
              <w:jc w:val="center"/>
              <w:rPr>
                <w:rFonts w:hint="default"/>
                <w:b/>
                <w:bCs/>
                <w:color w:val="auto"/>
              </w:rPr>
            </w:pPr>
            <w:r>
              <w:rPr>
                <w:rFonts w:hint="default"/>
                <w:b/>
                <w:bCs/>
                <w:color w:val="auto"/>
                <w:lang w:val="zh-CN"/>
              </w:rPr>
              <w:t>检查内容</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11F9F3B">
            <w:pPr>
              <w:pStyle w:val="24"/>
              <w:bidi w:val="0"/>
              <w:rPr>
                <w:rFonts w:hint="default"/>
                <w:b/>
                <w:bCs/>
                <w:color w:val="auto"/>
              </w:rPr>
            </w:pPr>
            <w:r>
              <w:rPr>
                <w:rFonts w:hint="default"/>
                <w:b/>
                <w:bCs/>
                <w:color w:val="auto"/>
                <w:lang w:val="zh-CN"/>
              </w:rPr>
              <w:t>标准依据</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0CAF0C8D">
            <w:pPr>
              <w:pStyle w:val="24"/>
              <w:bidi w:val="0"/>
              <w:jc w:val="center"/>
              <w:rPr>
                <w:rFonts w:hint="default"/>
                <w:b/>
                <w:bCs/>
                <w:color w:val="auto"/>
                <w:lang w:val="zh-CN"/>
              </w:rPr>
            </w:pPr>
            <w:r>
              <w:rPr>
                <w:rFonts w:hint="default"/>
                <w:b/>
                <w:bCs/>
                <w:color w:val="auto"/>
                <w:lang w:val="zh-CN"/>
              </w:rPr>
              <w:t>检查情况</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E26D4A0">
            <w:pPr>
              <w:pStyle w:val="24"/>
              <w:bidi w:val="0"/>
              <w:rPr>
                <w:rFonts w:hint="default"/>
                <w:b/>
                <w:bCs/>
                <w:color w:val="auto"/>
              </w:rPr>
            </w:pPr>
            <w:r>
              <w:rPr>
                <w:rFonts w:hint="default"/>
                <w:b/>
                <w:bCs/>
                <w:color w:val="auto"/>
              </w:rPr>
              <w:t>结果</w:t>
            </w:r>
          </w:p>
        </w:tc>
      </w:tr>
      <w:tr w14:paraId="34840A44">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D7F0A5B">
            <w:pPr>
              <w:pStyle w:val="24"/>
              <w:bidi w:val="0"/>
              <w:rPr>
                <w:rFonts w:hint="default"/>
                <w:color w:val="auto"/>
              </w:rPr>
            </w:pPr>
            <w:r>
              <w:rPr>
                <w:rFonts w:hint="default"/>
                <w:color w:val="auto"/>
              </w:rPr>
              <w:t>1</w:t>
            </w:r>
          </w:p>
        </w:tc>
        <w:tc>
          <w:tcPr>
            <w:tcW w:w="8598" w:type="dxa"/>
            <w:gridSpan w:val="4"/>
            <w:tcBorders>
              <w:top w:val="single" w:color="auto" w:sz="6" w:space="0"/>
              <w:left w:val="single" w:color="auto" w:sz="6" w:space="0"/>
              <w:bottom w:val="single" w:color="auto" w:sz="6" w:space="0"/>
              <w:right w:val="single" w:color="auto" w:sz="6" w:space="0"/>
            </w:tcBorders>
            <w:noWrap w:val="0"/>
            <w:vAlign w:val="center"/>
          </w:tcPr>
          <w:p w14:paraId="221450A4">
            <w:pPr>
              <w:pStyle w:val="24"/>
              <w:bidi w:val="0"/>
              <w:jc w:val="center"/>
              <w:rPr>
                <w:rFonts w:hint="default"/>
                <w:color w:val="auto"/>
              </w:rPr>
            </w:pPr>
            <w:r>
              <w:rPr>
                <w:rFonts w:hint="default"/>
                <w:color w:val="auto"/>
                <w:lang w:val="zh-CN"/>
              </w:rPr>
              <w:t>厂址选择</w:t>
            </w:r>
          </w:p>
        </w:tc>
      </w:tr>
      <w:tr w14:paraId="79357F8A">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3C7F72E">
            <w:pPr>
              <w:pStyle w:val="24"/>
              <w:bidi w:val="0"/>
              <w:rPr>
                <w:rFonts w:hint="default"/>
                <w:color w:val="auto"/>
              </w:rPr>
            </w:pPr>
            <w:r>
              <w:rPr>
                <w:rFonts w:hint="default"/>
                <w:color w:val="auto"/>
              </w:rPr>
              <w:t>1.1</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7F7CB32C">
            <w:pPr>
              <w:pStyle w:val="24"/>
              <w:bidi w:val="0"/>
              <w:jc w:val="both"/>
              <w:rPr>
                <w:rFonts w:hint="default"/>
                <w:color w:val="auto"/>
                <w:lang w:eastAsia="zh-CN"/>
              </w:rPr>
            </w:pPr>
            <w:r>
              <w:rPr>
                <w:rFonts w:hint="default"/>
                <w:color w:val="auto"/>
                <w:lang w:val="zh-CN"/>
              </w:rPr>
              <w:t>寻甸金林钛矿有限公司尾矿处理技改升级建设项目位于乐朗村与猴街村之间属于寻甸县柯渡镇，属于半山区。柯渡镇在寻甸县西南部，离寻甸县城72公里，离云南省会城市昆明82公里。东接先锋乡、六哨乡，西接鸡街乡，南接嵩明县、官渡区和富民县，北临倘甸镇</w:t>
            </w:r>
            <w:r>
              <w:rPr>
                <w:rFonts w:hint="default"/>
                <w:color w:val="auto"/>
                <w:lang w:eastAsia="zh-CN"/>
              </w:rPr>
              <w:t>。</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3DE13838">
            <w:pPr>
              <w:pStyle w:val="24"/>
              <w:bidi w:val="0"/>
              <w:rPr>
                <w:rFonts w:hint="default"/>
                <w:color w:val="auto"/>
                <w:lang w:val="zh-CN"/>
              </w:rPr>
            </w:pPr>
            <w:r>
              <w:rPr>
                <w:rFonts w:hint="default"/>
                <w:color w:val="auto"/>
                <w:lang w:val="zh-CN"/>
              </w:rPr>
              <w:t>《安全设施设计》</w:t>
            </w:r>
          </w:p>
          <w:p w14:paraId="2471D27E">
            <w:pPr>
              <w:pStyle w:val="24"/>
              <w:bidi w:val="0"/>
              <w:rPr>
                <w:rFonts w:hint="default"/>
                <w:color w:val="auto"/>
              </w:rPr>
            </w:pPr>
            <w:r>
              <w:rPr>
                <w:rFonts w:hint="default"/>
                <w:color w:val="auto"/>
                <w:lang w:val="zh-CN"/>
              </w:rPr>
              <w:t>第2.</w:t>
            </w:r>
            <w:r>
              <w:rPr>
                <w:rFonts w:hint="eastAsia"/>
                <w:color w:val="auto"/>
                <w:lang w:val="en-US" w:eastAsia="zh-CN"/>
              </w:rPr>
              <w:t>3</w:t>
            </w:r>
            <w:r>
              <w:rPr>
                <w:rFonts w:hint="default"/>
                <w:color w:val="auto"/>
              </w:rPr>
              <w:t>.</w:t>
            </w:r>
            <w:r>
              <w:rPr>
                <w:rFonts w:hint="eastAsia"/>
                <w:color w:val="auto"/>
                <w:lang w:val="en-US" w:eastAsia="zh-CN"/>
              </w:rPr>
              <w:t>1</w:t>
            </w:r>
            <w:r>
              <w:rPr>
                <w:rFonts w:hint="default"/>
                <w:color w:val="auto"/>
                <w:lang w:val="zh-CN"/>
              </w:rPr>
              <w:t>节</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2E3C7E3">
            <w:pPr>
              <w:pStyle w:val="24"/>
              <w:bidi w:val="0"/>
              <w:jc w:val="both"/>
              <w:rPr>
                <w:rFonts w:hint="default"/>
                <w:color w:val="auto"/>
              </w:rPr>
            </w:pPr>
            <w:r>
              <w:rPr>
                <w:rFonts w:hint="default"/>
                <w:color w:val="auto"/>
                <w:lang w:val="zh-CN"/>
              </w:rPr>
              <w:t>建设项目位于昆明市寻甸县柯渡镇猴街办事处其纳海村。</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22646544">
            <w:pPr>
              <w:pStyle w:val="24"/>
              <w:bidi w:val="0"/>
              <w:rPr>
                <w:rFonts w:hint="default"/>
                <w:color w:val="auto"/>
              </w:rPr>
            </w:pPr>
            <w:r>
              <w:rPr>
                <w:rFonts w:hint="default"/>
                <w:color w:val="auto"/>
                <w:lang w:val="zh-CN"/>
              </w:rPr>
              <w:t>符合</w:t>
            </w:r>
          </w:p>
        </w:tc>
      </w:tr>
      <w:tr w14:paraId="759441E6">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1AF21D7D">
            <w:pPr>
              <w:pStyle w:val="24"/>
              <w:bidi w:val="0"/>
              <w:rPr>
                <w:rFonts w:hint="default"/>
                <w:color w:val="auto"/>
              </w:rPr>
            </w:pPr>
            <w:r>
              <w:rPr>
                <w:rFonts w:hint="default"/>
                <w:color w:val="auto"/>
              </w:rPr>
              <w:t>1.2</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A2ECE28">
            <w:pPr>
              <w:pStyle w:val="24"/>
              <w:bidi w:val="0"/>
              <w:jc w:val="both"/>
              <w:rPr>
                <w:rFonts w:hint="default"/>
                <w:color w:val="auto"/>
              </w:rPr>
            </w:pPr>
            <w:r>
              <w:rPr>
                <w:rFonts w:hint="default"/>
                <w:color w:val="auto"/>
                <w:lang w:val="zh-CN"/>
              </w:rPr>
              <w:t>厂址选择必须符合工业布局和城市规划的要求。</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4F28EC9F">
            <w:pPr>
              <w:pStyle w:val="24"/>
              <w:bidi w:val="0"/>
              <w:rPr>
                <w:rFonts w:hint="default"/>
                <w:color w:val="auto"/>
                <w:lang w:val="zh-CN"/>
              </w:rPr>
            </w:pPr>
            <w:r>
              <w:rPr>
                <w:rFonts w:hint="default"/>
                <w:color w:val="auto"/>
                <w:lang w:val="zh-CN"/>
              </w:rPr>
              <w:t>《工业企业总平面设计规范》</w:t>
            </w:r>
          </w:p>
          <w:p w14:paraId="3DF366CC">
            <w:pPr>
              <w:pStyle w:val="24"/>
              <w:bidi w:val="0"/>
              <w:rPr>
                <w:rFonts w:hint="default"/>
                <w:color w:val="auto"/>
                <w:lang w:val="zh-CN"/>
              </w:rPr>
            </w:pPr>
            <w:r>
              <w:rPr>
                <w:rFonts w:hint="default"/>
                <w:color w:val="auto"/>
                <w:lang w:val="zh-CN"/>
              </w:rPr>
              <w:t>（GB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671B37A8">
            <w:pPr>
              <w:pStyle w:val="24"/>
              <w:bidi w:val="0"/>
              <w:rPr>
                <w:rFonts w:hint="default"/>
                <w:color w:val="auto"/>
                <w:lang w:val="en-US" w:eastAsia="zh-CN"/>
              </w:rPr>
            </w:pPr>
            <w:r>
              <w:rPr>
                <w:rFonts w:hint="default"/>
                <w:color w:val="auto"/>
                <w:lang w:val="en-US" w:eastAsia="zh-CN"/>
              </w:rPr>
              <w:t>第</w:t>
            </w:r>
            <w:r>
              <w:rPr>
                <w:rFonts w:hint="default"/>
                <w:color w:val="auto"/>
                <w:lang w:val="zh-CN"/>
              </w:rPr>
              <w:t>3.0.1</w:t>
            </w:r>
            <w:r>
              <w:rPr>
                <w:rFonts w:hint="default"/>
                <w:color w:val="auto"/>
                <w:lang w:val="en-US" w:eastAsia="zh-CN"/>
              </w:rPr>
              <w:t>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1AAC38D6">
            <w:pPr>
              <w:pStyle w:val="24"/>
              <w:bidi w:val="0"/>
              <w:jc w:val="both"/>
              <w:rPr>
                <w:rFonts w:hint="default"/>
                <w:color w:val="auto"/>
              </w:rPr>
            </w:pPr>
            <w:r>
              <w:rPr>
                <w:rFonts w:hint="default"/>
                <w:color w:val="auto"/>
              </w:rPr>
              <w:t>该项目取得了投资备案证。</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A8A4320">
            <w:pPr>
              <w:pStyle w:val="24"/>
              <w:bidi w:val="0"/>
              <w:rPr>
                <w:rFonts w:hint="default"/>
                <w:color w:val="auto"/>
              </w:rPr>
            </w:pPr>
            <w:r>
              <w:rPr>
                <w:rFonts w:hint="default"/>
                <w:color w:val="auto"/>
                <w:lang w:val="zh-CN"/>
              </w:rPr>
              <w:t>符合</w:t>
            </w:r>
          </w:p>
        </w:tc>
      </w:tr>
      <w:tr w14:paraId="12002F01">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267125EF">
            <w:pPr>
              <w:pStyle w:val="24"/>
              <w:bidi w:val="0"/>
              <w:rPr>
                <w:rFonts w:hint="default"/>
                <w:color w:val="auto"/>
              </w:rPr>
            </w:pPr>
            <w:r>
              <w:rPr>
                <w:rFonts w:hint="default"/>
                <w:color w:val="auto"/>
              </w:rPr>
              <w:t>1.3</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764509A5">
            <w:pPr>
              <w:pStyle w:val="24"/>
              <w:bidi w:val="0"/>
              <w:jc w:val="both"/>
              <w:rPr>
                <w:rFonts w:hint="default"/>
                <w:color w:val="auto"/>
              </w:rPr>
            </w:pPr>
            <w:r>
              <w:rPr>
                <w:rFonts w:hint="default"/>
                <w:color w:val="auto"/>
                <w:lang w:val="zh-CN"/>
              </w:rPr>
              <w:t>配套和服务工业企业的居住区、交通运输、动力公用设施、废料场及环境保护工程、施工基地等用地，应与厂区用地同时选择。</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52355DC">
            <w:pPr>
              <w:pStyle w:val="24"/>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6E9F0AD0">
            <w:pPr>
              <w:pStyle w:val="24"/>
              <w:bidi w:val="0"/>
              <w:rPr>
                <w:rFonts w:hint="default"/>
                <w:color w:val="auto"/>
              </w:rPr>
            </w:pPr>
            <w:r>
              <w:rPr>
                <w:rFonts w:hint="default"/>
                <w:color w:val="auto"/>
                <w:lang w:val="zh-CN"/>
              </w:rPr>
              <w:t>第3.0.2条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6FCC0186">
            <w:pPr>
              <w:pStyle w:val="24"/>
              <w:bidi w:val="0"/>
              <w:jc w:val="both"/>
              <w:rPr>
                <w:rFonts w:hint="default"/>
                <w:color w:val="auto"/>
              </w:rPr>
            </w:pPr>
            <w:r>
              <w:rPr>
                <w:rFonts w:hint="default"/>
                <w:color w:val="auto"/>
                <w:lang w:val="zh-CN"/>
              </w:rPr>
              <w:t>厂址居住区、交通运输、动力公用设施完备。</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DA9288E">
            <w:pPr>
              <w:pStyle w:val="24"/>
              <w:bidi w:val="0"/>
              <w:rPr>
                <w:rFonts w:hint="default"/>
                <w:color w:val="auto"/>
              </w:rPr>
            </w:pPr>
            <w:r>
              <w:rPr>
                <w:rFonts w:hint="default"/>
                <w:color w:val="auto"/>
                <w:lang w:val="zh-CN"/>
              </w:rPr>
              <w:t>符合</w:t>
            </w:r>
          </w:p>
        </w:tc>
      </w:tr>
      <w:tr w14:paraId="137A8C6E">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806BC73">
            <w:pPr>
              <w:pStyle w:val="24"/>
              <w:bidi w:val="0"/>
              <w:rPr>
                <w:rFonts w:hint="default"/>
                <w:color w:val="auto"/>
              </w:rPr>
            </w:pPr>
            <w:r>
              <w:rPr>
                <w:rFonts w:hint="default"/>
                <w:color w:val="auto"/>
              </w:rPr>
              <w:t>1.4</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7B3C6131">
            <w:pPr>
              <w:pStyle w:val="24"/>
              <w:bidi w:val="0"/>
              <w:jc w:val="both"/>
              <w:rPr>
                <w:rFonts w:hint="default"/>
                <w:color w:val="auto"/>
              </w:rPr>
            </w:pPr>
            <w:r>
              <w:rPr>
                <w:rFonts w:hint="default"/>
                <w:color w:val="auto"/>
                <w:lang w:val="zh-CN"/>
              </w:rPr>
              <w:t>厂址应具有满足生产、生活及发展所必需的水源和电源。水源和电源与厂址之间的管线连接应尽量短捷，且用水、用电量（特别</w:t>
            </w:r>
            <w:r>
              <w:rPr>
                <w:rFonts w:hint="eastAsia"/>
                <w:color w:val="auto"/>
                <w:lang w:val="zh-CN"/>
              </w:rPr>
              <w:t>）</w:t>
            </w:r>
            <w:r>
              <w:rPr>
                <w:rFonts w:hint="default"/>
                <w:color w:val="auto"/>
                <w:lang w:val="zh-CN"/>
              </w:rPr>
              <w:t>大的工业企业宜靠近水源及电源地。</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365AC1CC">
            <w:pPr>
              <w:pStyle w:val="24"/>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2F60F66A">
            <w:pPr>
              <w:pStyle w:val="24"/>
              <w:bidi w:val="0"/>
              <w:rPr>
                <w:rFonts w:hint="default"/>
                <w:color w:val="auto"/>
              </w:rPr>
            </w:pPr>
            <w:r>
              <w:rPr>
                <w:rFonts w:hint="default"/>
                <w:color w:val="auto"/>
                <w:lang w:val="zh-CN"/>
              </w:rPr>
              <w:t>第3.0.6条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55C6FD40">
            <w:pPr>
              <w:pStyle w:val="24"/>
              <w:bidi w:val="0"/>
              <w:jc w:val="both"/>
              <w:rPr>
                <w:rFonts w:hint="eastAsia" w:eastAsia="宋体"/>
                <w:color w:val="auto"/>
                <w:lang w:eastAsia="zh-CN"/>
              </w:rPr>
            </w:pPr>
            <w:r>
              <w:rPr>
                <w:rFonts w:hint="default"/>
                <w:color w:val="auto"/>
                <w:lang w:val="zh-CN"/>
              </w:rPr>
              <w:t>水源、电源供应有保障</w:t>
            </w:r>
            <w:r>
              <w:rPr>
                <w:rFonts w:hint="eastAsia"/>
                <w:color w:val="auto"/>
                <w:lang w:eastAsia="zh-CN"/>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C8535AD">
            <w:pPr>
              <w:pStyle w:val="24"/>
              <w:bidi w:val="0"/>
              <w:rPr>
                <w:rFonts w:hint="default"/>
                <w:color w:val="auto"/>
              </w:rPr>
            </w:pPr>
            <w:r>
              <w:rPr>
                <w:rFonts w:hint="default"/>
                <w:color w:val="auto"/>
                <w:lang w:val="zh-CN"/>
              </w:rPr>
              <w:t>符合</w:t>
            </w:r>
          </w:p>
        </w:tc>
      </w:tr>
      <w:tr w14:paraId="50B2C286">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280FA658">
            <w:pPr>
              <w:pStyle w:val="24"/>
              <w:bidi w:val="0"/>
              <w:rPr>
                <w:rFonts w:hint="default"/>
                <w:color w:val="auto"/>
              </w:rPr>
            </w:pPr>
            <w:r>
              <w:rPr>
                <w:rFonts w:hint="default"/>
                <w:color w:val="auto"/>
              </w:rPr>
              <w:t>1.5</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04E0FB3D">
            <w:pPr>
              <w:pStyle w:val="24"/>
              <w:bidi w:val="0"/>
              <w:jc w:val="both"/>
              <w:rPr>
                <w:rFonts w:hint="default"/>
                <w:color w:val="auto"/>
              </w:rPr>
            </w:pPr>
            <w:r>
              <w:rPr>
                <w:rFonts w:hint="default"/>
                <w:color w:val="auto"/>
                <w:lang w:val="zh-CN"/>
              </w:rPr>
              <w:t>厂址应具有满足建设工程需要的工程地质条件和水文地质条件。</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6F03419B">
            <w:pPr>
              <w:pStyle w:val="24"/>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3326ACEE">
            <w:pPr>
              <w:pStyle w:val="24"/>
              <w:bidi w:val="0"/>
              <w:rPr>
                <w:rFonts w:hint="default"/>
                <w:color w:val="auto"/>
              </w:rPr>
            </w:pPr>
            <w:r>
              <w:rPr>
                <w:rFonts w:hint="default"/>
                <w:color w:val="auto"/>
                <w:lang w:val="zh-CN"/>
              </w:rPr>
              <w:t>第3.0.8条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3DA34D1">
            <w:pPr>
              <w:pStyle w:val="24"/>
              <w:bidi w:val="0"/>
              <w:jc w:val="both"/>
              <w:rPr>
                <w:rFonts w:hint="default"/>
                <w:color w:val="auto"/>
              </w:rPr>
            </w:pPr>
            <w:r>
              <w:rPr>
                <w:rFonts w:hint="default"/>
                <w:color w:val="auto"/>
                <w:lang w:val="zh-CN"/>
              </w:rPr>
              <w:t>工程地质、水文地质符合要求</w:t>
            </w:r>
            <w:r>
              <w:rPr>
                <w:rFonts w:hint="default"/>
                <w:color w:val="auto"/>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69D59A8">
            <w:pPr>
              <w:pStyle w:val="24"/>
              <w:bidi w:val="0"/>
              <w:rPr>
                <w:rFonts w:hint="default"/>
                <w:color w:val="auto"/>
              </w:rPr>
            </w:pPr>
            <w:r>
              <w:rPr>
                <w:rFonts w:hint="default"/>
                <w:color w:val="auto"/>
                <w:lang w:val="zh-CN"/>
              </w:rPr>
              <w:t>符合</w:t>
            </w:r>
          </w:p>
        </w:tc>
      </w:tr>
      <w:tr w14:paraId="1ACAB98F">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03DB1AFB">
            <w:pPr>
              <w:pStyle w:val="24"/>
              <w:bidi w:val="0"/>
              <w:rPr>
                <w:rFonts w:hint="default"/>
                <w:color w:val="auto"/>
              </w:rPr>
            </w:pPr>
            <w:r>
              <w:rPr>
                <w:rFonts w:hint="default"/>
                <w:color w:val="auto"/>
              </w:rPr>
              <w:t>1.6</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25C6898">
            <w:pPr>
              <w:pStyle w:val="24"/>
              <w:bidi w:val="0"/>
              <w:jc w:val="both"/>
              <w:rPr>
                <w:rFonts w:hint="default"/>
                <w:color w:val="auto"/>
                <w:lang w:val="zh-CN"/>
              </w:rPr>
            </w:pPr>
            <w:r>
              <w:rPr>
                <w:rFonts w:hint="default"/>
                <w:color w:val="auto"/>
                <w:lang w:val="zh-CN"/>
              </w:rPr>
              <w:t>选择厂址，宜避开岩溶、流砂、淤泥、湿陷性黄土、断层、塌方、泥石流、滑坡等不良地质地段；否则，应采取可靠的安全措施。</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0DE1BA5D">
            <w:pPr>
              <w:pStyle w:val="24"/>
              <w:bidi w:val="0"/>
              <w:rPr>
                <w:rFonts w:hint="default"/>
                <w:color w:val="auto"/>
              </w:rPr>
            </w:pPr>
            <w:r>
              <w:rPr>
                <w:rFonts w:hint="default"/>
                <w:color w:val="auto"/>
              </w:rPr>
              <w:t>《选矿安全规程》</w:t>
            </w:r>
          </w:p>
          <w:p w14:paraId="030FA62C">
            <w:pPr>
              <w:pStyle w:val="24"/>
              <w:bidi w:val="0"/>
              <w:rPr>
                <w:rFonts w:hint="eastAsia"/>
                <w:color w:val="auto"/>
                <w:lang w:eastAsia="zh-CN"/>
              </w:rPr>
            </w:pPr>
            <w:r>
              <w:rPr>
                <w:rFonts w:hint="eastAsia"/>
                <w:color w:val="auto"/>
                <w:lang w:eastAsia="zh-CN"/>
              </w:rPr>
              <w:t>（GB/T 18152-2000）</w:t>
            </w:r>
          </w:p>
          <w:p w14:paraId="11EBFB12">
            <w:pPr>
              <w:pStyle w:val="24"/>
              <w:bidi w:val="0"/>
              <w:rPr>
                <w:rFonts w:hint="default"/>
                <w:color w:val="auto"/>
              </w:rPr>
            </w:pPr>
            <w:r>
              <w:rPr>
                <w:rFonts w:hint="default"/>
                <w:color w:val="auto"/>
              </w:rPr>
              <w:t>5.1.2</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66AAC411">
            <w:pPr>
              <w:pStyle w:val="24"/>
              <w:bidi w:val="0"/>
              <w:jc w:val="both"/>
              <w:rPr>
                <w:rFonts w:hint="default"/>
                <w:color w:val="auto"/>
              </w:rPr>
            </w:pPr>
            <w:r>
              <w:rPr>
                <w:rFonts w:hint="default"/>
                <w:color w:val="auto"/>
              </w:rPr>
              <w:t>依据安全设施设计报告和现场勘察，该项目所在地无不良地质地段。</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08559D21">
            <w:pPr>
              <w:pStyle w:val="24"/>
              <w:bidi w:val="0"/>
              <w:rPr>
                <w:rFonts w:hint="default"/>
                <w:color w:val="auto"/>
              </w:rPr>
            </w:pPr>
            <w:r>
              <w:rPr>
                <w:rFonts w:hint="default"/>
                <w:color w:val="auto"/>
                <w:lang w:val="zh-CN"/>
              </w:rPr>
              <w:t>符合</w:t>
            </w:r>
          </w:p>
        </w:tc>
      </w:tr>
      <w:tr w14:paraId="52BBBFF0">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0B57D00F">
            <w:pPr>
              <w:pStyle w:val="24"/>
              <w:bidi w:val="0"/>
              <w:rPr>
                <w:rFonts w:hint="default"/>
                <w:color w:val="auto"/>
              </w:rPr>
            </w:pPr>
            <w:r>
              <w:rPr>
                <w:rFonts w:hint="default"/>
                <w:color w:val="auto"/>
              </w:rPr>
              <w:t>1.7</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4966520">
            <w:pPr>
              <w:pStyle w:val="24"/>
              <w:bidi w:val="0"/>
              <w:jc w:val="both"/>
              <w:rPr>
                <w:rFonts w:hint="default"/>
                <w:color w:val="auto"/>
              </w:rPr>
            </w:pPr>
            <w:r>
              <w:rPr>
                <w:rFonts w:hint="default"/>
                <w:color w:val="auto"/>
                <w:lang w:val="zh-CN"/>
              </w:rPr>
              <w:t>厂址不应选择在地下采空区塌落界限和露天爆破危险区以内，也不应选择在炸药加工厂、爆破器材库及油库最小安全距离范围内。</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D0130C2">
            <w:pPr>
              <w:pStyle w:val="24"/>
              <w:bidi w:val="0"/>
              <w:rPr>
                <w:rFonts w:hint="default"/>
                <w:color w:val="auto"/>
              </w:rPr>
            </w:pPr>
            <w:r>
              <w:rPr>
                <w:rFonts w:hint="default"/>
                <w:color w:val="auto"/>
              </w:rPr>
              <w:t>《选矿安全规程》</w:t>
            </w:r>
          </w:p>
          <w:p w14:paraId="7BEDCED3">
            <w:pPr>
              <w:pStyle w:val="24"/>
              <w:bidi w:val="0"/>
              <w:rPr>
                <w:rFonts w:hint="eastAsia"/>
                <w:color w:val="auto"/>
                <w:lang w:eastAsia="zh-CN"/>
              </w:rPr>
            </w:pPr>
            <w:r>
              <w:rPr>
                <w:rFonts w:hint="eastAsia"/>
                <w:color w:val="auto"/>
                <w:lang w:eastAsia="zh-CN"/>
              </w:rPr>
              <w:t>（GB/T 18152-2000）</w:t>
            </w:r>
          </w:p>
          <w:p w14:paraId="520BC7D4">
            <w:pPr>
              <w:pStyle w:val="24"/>
              <w:bidi w:val="0"/>
              <w:rPr>
                <w:rFonts w:hint="default"/>
                <w:color w:val="auto"/>
              </w:rPr>
            </w:pPr>
            <w:r>
              <w:rPr>
                <w:rFonts w:hint="default"/>
                <w:color w:val="auto"/>
              </w:rPr>
              <w:t>5.1.3</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58E243D4">
            <w:pPr>
              <w:pStyle w:val="24"/>
              <w:bidi w:val="0"/>
              <w:jc w:val="both"/>
              <w:rPr>
                <w:rFonts w:hint="default"/>
                <w:color w:val="auto"/>
              </w:rPr>
            </w:pPr>
            <w:r>
              <w:rPr>
                <w:rFonts w:hint="default"/>
                <w:color w:val="auto"/>
              </w:rPr>
              <w:t>厂址未在</w:t>
            </w:r>
            <w:r>
              <w:rPr>
                <w:rFonts w:hint="default"/>
                <w:color w:val="auto"/>
                <w:lang w:val="zh-CN"/>
              </w:rPr>
              <w:t>地下采空区塌落界限和露天爆破危险区以内，周边也无炸药加工厂、爆破器材库及油库。</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6A0FF55">
            <w:pPr>
              <w:pStyle w:val="24"/>
              <w:bidi w:val="0"/>
              <w:rPr>
                <w:rFonts w:hint="default"/>
                <w:color w:val="auto"/>
              </w:rPr>
            </w:pPr>
            <w:r>
              <w:rPr>
                <w:rFonts w:hint="default"/>
                <w:color w:val="auto"/>
                <w:lang w:val="zh-CN"/>
              </w:rPr>
              <w:t>符合</w:t>
            </w:r>
          </w:p>
        </w:tc>
      </w:tr>
      <w:tr w14:paraId="62A38858">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75488732">
            <w:pPr>
              <w:pStyle w:val="24"/>
              <w:bidi w:val="0"/>
              <w:rPr>
                <w:rFonts w:hint="default"/>
                <w:color w:val="auto"/>
                <w:lang w:val="en-US" w:eastAsia="zh-CN"/>
              </w:rPr>
            </w:pPr>
            <w:r>
              <w:rPr>
                <w:rFonts w:hint="default"/>
                <w:color w:val="auto"/>
                <w:lang w:val="en-US" w:eastAsia="zh-CN"/>
              </w:rPr>
              <w:t>1.8</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FD0A5D1">
            <w:pPr>
              <w:pStyle w:val="24"/>
              <w:bidi w:val="0"/>
              <w:jc w:val="both"/>
              <w:rPr>
                <w:rFonts w:hint="default"/>
                <w:color w:val="auto"/>
                <w:lang w:val="zh-CN"/>
              </w:rPr>
            </w:pPr>
            <w:r>
              <w:rPr>
                <w:rFonts w:hint="default"/>
                <w:color w:val="auto"/>
                <w:lang w:val="zh-CN"/>
              </w:rPr>
              <w:t>厂址应避免选在地震断层带和基本烈度高于7度的地区；否则应按国家有关抗震规定进行设防。</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46D486B7">
            <w:pPr>
              <w:pStyle w:val="24"/>
              <w:bidi w:val="0"/>
              <w:rPr>
                <w:rFonts w:hint="default"/>
                <w:color w:val="auto"/>
              </w:rPr>
            </w:pPr>
            <w:r>
              <w:rPr>
                <w:rFonts w:hint="default"/>
                <w:color w:val="auto"/>
              </w:rPr>
              <w:t>《选矿安全规程》</w:t>
            </w:r>
          </w:p>
          <w:p w14:paraId="12DC3D5A">
            <w:pPr>
              <w:pStyle w:val="24"/>
              <w:bidi w:val="0"/>
              <w:rPr>
                <w:rFonts w:hint="default"/>
                <w:color w:val="auto"/>
              </w:rPr>
            </w:pPr>
            <w:r>
              <w:rPr>
                <w:rFonts w:hint="eastAsia"/>
                <w:color w:val="auto"/>
                <w:lang w:eastAsia="zh-CN"/>
              </w:rPr>
              <w:t>（GB/T 18152-2000）</w:t>
            </w:r>
            <w:r>
              <w:rPr>
                <w:rFonts w:hint="default"/>
                <w:color w:val="auto"/>
              </w:rPr>
              <w:t>5.1.4</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3B06C287">
            <w:pPr>
              <w:pStyle w:val="24"/>
              <w:bidi w:val="0"/>
              <w:jc w:val="both"/>
              <w:rPr>
                <w:rFonts w:hint="default"/>
                <w:color w:val="auto"/>
              </w:rPr>
            </w:pPr>
            <w:r>
              <w:rPr>
                <w:rFonts w:hint="default"/>
                <w:color w:val="auto"/>
              </w:rPr>
              <w:t>厂区所在地区为</w:t>
            </w:r>
            <w:r>
              <w:rPr>
                <w:rFonts w:hint="eastAsia"/>
                <w:color w:val="auto"/>
                <w:lang w:val="en-US" w:eastAsia="zh-CN"/>
              </w:rPr>
              <w:t>8</w:t>
            </w:r>
            <w:r>
              <w:rPr>
                <w:rFonts w:hint="default"/>
                <w:color w:val="auto"/>
              </w:rPr>
              <w:t>度设防地区，安全设施设计中有抗震设计内容。</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67670BB">
            <w:pPr>
              <w:pStyle w:val="24"/>
              <w:bidi w:val="0"/>
              <w:rPr>
                <w:rFonts w:hint="default"/>
                <w:color w:val="auto"/>
              </w:rPr>
            </w:pPr>
            <w:r>
              <w:rPr>
                <w:rFonts w:hint="default"/>
                <w:color w:val="auto"/>
                <w:lang w:val="zh-CN"/>
              </w:rPr>
              <w:t>符合</w:t>
            </w:r>
          </w:p>
        </w:tc>
      </w:tr>
      <w:tr w14:paraId="1AB99FD2">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4E1E329B">
            <w:pPr>
              <w:pStyle w:val="24"/>
              <w:bidi w:val="0"/>
              <w:rPr>
                <w:rFonts w:hint="default"/>
                <w:color w:val="auto"/>
                <w:lang w:val="en-US" w:eastAsia="zh-CN"/>
              </w:rPr>
            </w:pPr>
            <w:r>
              <w:rPr>
                <w:rFonts w:hint="default"/>
                <w:color w:val="auto"/>
                <w:lang w:val="en-US" w:eastAsia="zh-CN"/>
              </w:rPr>
              <w:t>1.9</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11777C58">
            <w:pPr>
              <w:pStyle w:val="24"/>
              <w:bidi w:val="0"/>
              <w:jc w:val="both"/>
              <w:rPr>
                <w:rFonts w:hint="default"/>
                <w:color w:val="auto"/>
                <w:lang w:val="zh-CN"/>
              </w:rPr>
            </w:pPr>
            <w:r>
              <w:rPr>
                <w:rFonts w:hint="default"/>
                <w:color w:val="auto"/>
                <w:lang w:val="zh-CN"/>
              </w:rPr>
              <w:t>厂址应避免洪水淹设。场地的设计标高，应高出当地计算水位0.5m以上。</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7CC89FB">
            <w:pPr>
              <w:pStyle w:val="24"/>
              <w:bidi w:val="0"/>
              <w:rPr>
                <w:rFonts w:hint="default"/>
                <w:color w:val="auto"/>
              </w:rPr>
            </w:pPr>
            <w:r>
              <w:rPr>
                <w:rFonts w:hint="default"/>
                <w:color w:val="auto"/>
              </w:rPr>
              <w:t>《选矿安全规程》</w:t>
            </w:r>
            <w:r>
              <w:rPr>
                <w:rFonts w:hint="eastAsia"/>
                <w:color w:val="auto"/>
                <w:lang w:eastAsia="zh-CN"/>
              </w:rPr>
              <w:t>（GB/T 18152-2000）</w:t>
            </w:r>
            <w:r>
              <w:rPr>
                <w:rFonts w:hint="default"/>
                <w:color w:val="auto"/>
              </w:rPr>
              <w:t>5.1.5</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1E9F27BC">
            <w:pPr>
              <w:pStyle w:val="24"/>
              <w:bidi w:val="0"/>
              <w:jc w:val="both"/>
              <w:rPr>
                <w:rFonts w:hint="default"/>
                <w:color w:val="auto"/>
              </w:rPr>
            </w:pPr>
            <w:r>
              <w:rPr>
                <w:rFonts w:hint="default"/>
                <w:color w:val="auto"/>
              </w:rPr>
              <w:t>该项目不在洪水淹没区。</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F626B81">
            <w:pPr>
              <w:pStyle w:val="24"/>
              <w:bidi w:val="0"/>
              <w:rPr>
                <w:rFonts w:hint="default"/>
                <w:color w:val="auto"/>
              </w:rPr>
            </w:pPr>
            <w:r>
              <w:rPr>
                <w:rFonts w:hint="default"/>
                <w:color w:val="auto"/>
                <w:lang w:val="zh-CN"/>
              </w:rPr>
              <w:t>符合</w:t>
            </w:r>
          </w:p>
        </w:tc>
      </w:tr>
      <w:tr w14:paraId="1AB95465">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0C085C5">
            <w:pPr>
              <w:pStyle w:val="24"/>
              <w:bidi w:val="0"/>
              <w:rPr>
                <w:rFonts w:hint="default"/>
                <w:color w:val="auto"/>
              </w:rPr>
            </w:pPr>
            <w:r>
              <w:rPr>
                <w:rFonts w:hint="default"/>
                <w:color w:val="auto"/>
              </w:rPr>
              <w:t>2</w:t>
            </w:r>
          </w:p>
        </w:tc>
        <w:tc>
          <w:tcPr>
            <w:tcW w:w="8598" w:type="dxa"/>
            <w:gridSpan w:val="4"/>
            <w:tcBorders>
              <w:top w:val="single" w:color="auto" w:sz="6" w:space="0"/>
              <w:left w:val="single" w:color="auto" w:sz="6" w:space="0"/>
              <w:bottom w:val="single" w:color="auto" w:sz="6" w:space="0"/>
              <w:right w:val="single" w:color="auto" w:sz="6" w:space="0"/>
            </w:tcBorders>
            <w:noWrap w:val="0"/>
            <w:vAlign w:val="center"/>
          </w:tcPr>
          <w:p w14:paraId="060810D2">
            <w:pPr>
              <w:pStyle w:val="24"/>
              <w:bidi w:val="0"/>
              <w:jc w:val="center"/>
              <w:rPr>
                <w:rFonts w:hint="default"/>
                <w:color w:val="auto"/>
              </w:rPr>
            </w:pPr>
            <w:r>
              <w:rPr>
                <w:rFonts w:hint="default"/>
                <w:color w:val="auto"/>
                <w:lang w:val="zh-CN"/>
              </w:rPr>
              <w:t>总平面布置</w:t>
            </w:r>
          </w:p>
        </w:tc>
      </w:tr>
      <w:tr w14:paraId="6A4A49DF">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711F7A33">
            <w:pPr>
              <w:pStyle w:val="24"/>
              <w:bidi w:val="0"/>
              <w:rPr>
                <w:rFonts w:hint="default"/>
                <w:color w:val="auto"/>
              </w:rPr>
            </w:pPr>
            <w:r>
              <w:rPr>
                <w:rFonts w:hint="default"/>
                <w:color w:val="auto"/>
              </w:rPr>
              <w:t>2.1</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7E49877">
            <w:pPr>
              <w:pStyle w:val="24"/>
              <w:bidi w:val="0"/>
              <w:jc w:val="both"/>
              <w:rPr>
                <w:rFonts w:hint="default"/>
                <w:color w:val="auto"/>
              </w:rPr>
            </w:pPr>
            <w:r>
              <w:rPr>
                <w:rFonts w:hint="default"/>
                <w:color w:val="auto"/>
              </w:rPr>
              <w:t>该项目按车间可分为原矿堆场、选矿车间、脱水车间、尾矿堆场等。</w:t>
            </w:r>
          </w:p>
          <w:p w14:paraId="4350443E">
            <w:pPr>
              <w:pStyle w:val="24"/>
              <w:bidi w:val="0"/>
              <w:jc w:val="both"/>
              <w:rPr>
                <w:rFonts w:hint="default"/>
                <w:color w:val="auto"/>
                <w:lang w:val="zh-CN"/>
              </w:rPr>
            </w:pPr>
            <w:r>
              <w:rPr>
                <w:rFonts w:hint="default"/>
                <w:color w:val="auto"/>
              </w:rPr>
              <w:t>根据工艺流程，按物料主流流向，依序进行设备布置。</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1CF739A9">
            <w:pPr>
              <w:pStyle w:val="24"/>
              <w:bidi w:val="0"/>
              <w:rPr>
                <w:rFonts w:hint="default"/>
                <w:color w:val="auto"/>
                <w:lang w:val="zh-CN"/>
              </w:rPr>
            </w:pPr>
            <w:r>
              <w:rPr>
                <w:rFonts w:hint="default"/>
                <w:color w:val="auto"/>
                <w:lang w:val="zh-CN"/>
              </w:rPr>
              <w:t>《</w:t>
            </w:r>
            <w:r>
              <w:rPr>
                <w:rFonts w:hint="default"/>
                <w:color w:val="auto"/>
              </w:rPr>
              <w:t>安全设施</w:t>
            </w:r>
            <w:r>
              <w:rPr>
                <w:rFonts w:hint="default"/>
                <w:color w:val="auto"/>
                <w:lang w:val="zh-CN"/>
              </w:rPr>
              <w:t>设计》</w:t>
            </w:r>
          </w:p>
          <w:p w14:paraId="5B5B219E">
            <w:pPr>
              <w:pStyle w:val="24"/>
              <w:bidi w:val="0"/>
              <w:rPr>
                <w:rFonts w:hint="default"/>
                <w:color w:val="auto"/>
                <w:lang w:val="zh-CN"/>
              </w:rPr>
            </w:pPr>
            <w:r>
              <w:rPr>
                <w:rFonts w:hint="default"/>
                <w:color w:val="auto"/>
                <w:lang w:val="zh-CN"/>
              </w:rPr>
              <w:t>第</w:t>
            </w:r>
            <w:r>
              <w:rPr>
                <w:rFonts w:hint="default"/>
                <w:color w:val="auto"/>
              </w:rPr>
              <w:t>2.</w:t>
            </w:r>
            <w:r>
              <w:rPr>
                <w:rFonts w:hint="eastAsia"/>
                <w:color w:val="auto"/>
                <w:lang w:val="en-US" w:eastAsia="zh-CN"/>
              </w:rPr>
              <w:t>7.5</w:t>
            </w:r>
            <w:r>
              <w:rPr>
                <w:rFonts w:hint="default"/>
                <w:color w:val="auto"/>
                <w:lang w:val="zh-CN"/>
              </w:rPr>
              <w:t>节</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3EE0B3CC">
            <w:pPr>
              <w:pStyle w:val="24"/>
              <w:bidi w:val="0"/>
              <w:jc w:val="both"/>
              <w:rPr>
                <w:rFonts w:hint="default"/>
                <w:color w:val="auto"/>
                <w:lang w:val="zh-CN"/>
              </w:rPr>
            </w:pPr>
            <w:r>
              <w:rPr>
                <w:rFonts w:hint="default"/>
                <w:color w:val="auto"/>
                <w:lang w:val="zh-CN"/>
              </w:rPr>
              <w:t>1、厂房布置</w:t>
            </w:r>
          </w:p>
          <w:p w14:paraId="0C07742B">
            <w:pPr>
              <w:pStyle w:val="24"/>
              <w:bidi w:val="0"/>
              <w:jc w:val="both"/>
              <w:rPr>
                <w:rFonts w:hint="default"/>
                <w:color w:val="auto"/>
                <w:lang w:val="zh-CN"/>
              </w:rPr>
            </w:pPr>
            <w:r>
              <w:rPr>
                <w:rFonts w:hint="default"/>
                <w:color w:val="auto"/>
                <w:lang w:val="zh-CN"/>
              </w:rPr>
              <w:t>尾矿处理系统主要由浓缩车间、输送管线、压滤车间三部分组成。</w:t>
            </w:r>
          </w:p>
          <w:p w14:paraId="2AA9CAD7">
            <w:pPr>
              <w:pStyle w:val="24"/>
              <w:bidi w:val="0"/>
              <w:jc w:val="both"/>
              <w:rPr>
                <w:rFonts w:hint="default"/>
                <w:color w:val="auto"/>
                <w:lang w:val="zh-CN"/>
              </w:rPr>
            </w:pPr>
            <w:r>
              <w:rPr>
                <w:rFonts w:hint="default"/>
                <w:color w:val="auto"/>
                <w:lang w:val="zh-CN"/>
              </w:rPr>
              <w:t>（1）浓缩车间</w:t>
            </w:r>
          </w:p>
          <w:p w14:paraId="4EF70C10">
            <w:pPr>
              <w:pStyle w:val="24"/>
              <w:bidi w:val="0"/>
              <w:jc w:val="both"/>
              <w:rPr>
                <w:rFonts w:hint="default"/>
                <w:color w:val="auto"/>
                <w:lang w:val="zh-CN"/>
              </w:rPr>
            </w:pPr>
            <w:r>
              <w:rPr>
                <w:rFonts w:hint="default"/>
                <w:color w:val="auto"/>
                <w:lang w:val="zh-CN"/>
              </w:rPr>
              <w:t>浓缩机、机械隔膜泵布置在浓缩车间中呈阶梯式布置，上下具有一定落差，可使矿浆自流，管理方便，占地面积也小。</w:t>
            </w:r>
          </w:p>
          <w:p w14:paraId="28C9C1D9">
            <w:pPr>
              <w:pStyle w:val="24"/>
              <w:bidi w:val="0"/>
              <w:jc w:val="both"/>
              <w:rPr>
                <w:rFonts w:hint="default"/>
                <w:color w:val="auto"/>
                <w:lang w:val="zh-CN"/>
              </w:rPr>
            </w:pPr>
            <w:r>
              <w:rPr>
                <w:rFonts w:hint="default"/>
                <w:color w:val="auto"/>
                <w:lang w:val="zh-CN"/>
              </w:rPr>
              <w:t>（2）输送管线</w:t>
            </w:r>
          </w:p>
          <w:p w14:paraId="6F6BE4E7">
            <w:pPr>
              <w:pStyle w:val="24"/>
              <w:bidi w:val="0"/>
              <w:jc w:val="both"/>
              <w:rPr>
                <w:rFonts w:hint="default"/>
                <w:color w:val="auto"/>
                <w:lang w:val="zh-CN"/>
              </w:rPr>
            </w:pPr>
            <w:r>
              <w:rPr>
                <w:rFonts w:hint="default"/>
                <w:color w:val="auto"/>
                <w:lang w:val="zh-CN"/>
              </w:rPr>
              <w:t>输送管线沿地形线布置，减少能耗。</w:t>
            </w:r>
          </w:p>
          <w:p w14:paraId="1B1E85FD">
            <w:pPr>
              <w:pStyle w:val="24"/>
              <w:bidi w:val="0"/>
              <w:jc w:val="both"/>
              <w:rPr>
                <w:rFonts w:hint="default"/>
                <w:color w:val="auto"/>
                <w:lang w:val="zh-CN"/>
              </w:rPr>
            </w:pPr>
            <w:r>
              <w:rPr>
                <w:rFonts w:hint="default"/>
                <w:color w:val="auto"/>
                <w:lang w:val="zh-CN"/>
              </w:rPr>
              <w:t>（3）压滤车间</w:t>
            </w:r>
          </w:p>
          <w:p w14:paraId="5BF62DBD">
            <w:pPr>
              <w:pStyle w:val="24"/>
              <w:bidi w:val="0"/>
              <w:jc w:val="both"/>
              <w:rPr>
                <w:rFonts w:hint="default"/>
                <w:color w:val="auto"/>
                <w:lang w:val="zh-CN"/>
              </w:rPr>
            </w:pPr>
            <w:r>
              <w:rPr>
                <w:rFonts w:hint="default"/>
                <w:color w:val="auto"/>
                <w:lang w:val="zh-CN"/>
              </w:rPr>
              <w:t>振动筛、浓缩机、压滤机布置在压滤车间中呈阶梯式布置，上下具有一定落差，可使矿浆自流，管理方便，占地面积也小。</w:t>
            </w:r>
          </w:p>
          <w:p w14:paraId="5E7FFB91">
            <w:pPr>
              <w:pStyle w:val="24"/>
              <w:bidi w:val="0"/>
              <w:jc w:val="both"/>
              <w:rPr>
                <w:rFonts w:hint="default"/>
                <w:color w:val="auto"/>
                <w:lang w:val="zh-CN"/>
              </w:rPr>
            </w:pPr>
            <w:r>
              <w:rPr>
                <w:rFonts w:hint="default"/>
                <w:color w:val="auto"/>
                <w:lang w:val="zh-CN"/>
              </w:rPr>
              <w:t>（4）其它车间</w:t>
            </w:r>
          </w:p>
          <w:p w14:paraId="6331F3B0">
            <w:pPr>
              <w:pStyle w:val="24"/>
              <w:bidi w:val="0"/>
              <w:jc w:val="both"/>
              <w:rPr>
                <w:rFonts w:hint="default"/>
                <w:color w:val="auto"/>
                <w:lang w:val="zh-CN"/>
              </w:rPr>
            </w:pPr>
            <w:r>
              <w:rPr>
                <w:rFonts w:hint="default"/>
                <w:color w:val="auto"/>
                <w:lang w:val="zh-CN"/>
              </w:rPr>
              <w:t>其它生产车间、辅助车间、管理等均设在尾矿处理系统四周，有利于生产管理，方便职工生活。</w:t>
            </w:r>
          </w:p>
          <w:p w14:paraId="47851A96">
            <w:pPr>
              <w:pStyle w:val="24"/>
              <w:bidi w:val="0"/>
              <w:jc w:val="both"/>
              <w:rPr>
                <w:rFonts w:hint="default"/>
                <w:color w:val="auto"/>
                <w:lang w:val="zh-CN"/>
              </w:rPr>
            </w:pPr>
            <w:r>
              <w:rPr>
                <w:rFonts w:hint="default"/>
                <w:color w:val="auto"/>
                <w:lang w:val="zh-CN"/>
              </w:rPr>
              <w:t>2、设备配置</w:t>
            </w:r>
          </w:p>
          <w:p w14:paraId="59D022BB">
            <w:pPr>
              <w:pStyle w:val="24"/>
              <w:bidi w:val="0"/>
              <w:jc w:val="both"/>
              <w:rPr>
                <w:rFonts w:hint="default"/>
                <w:color w:val="auto"/>
                <w:lang w:val="zh-CN"/>
              </w:rPr>
            </w:pPr>
            <w:r>
              <w:rPr>
                <w:rFonts w:hint="default"/>
                <w:color w:val="auto"/>
                <w:lang w:val="zh-CN"/>
              </w:rPr>
              <w:t>根据工艺流程特点，浓缩－输送－压滤等流程，作业点多，结合现场地形特点，厂房采用阶梯式布置以创造高差，为物料输送提供有利条件。尾矿脱水对外销售。</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6B4FE2E0">
            <w:pPr>
              <w:pStyle w:val="24"/>
              <w:bidi w:val="0"/>
              <w:rPr>
                <w:rFonts w:hint="default"/>
                <w:color w:val="auto"/>
                <w:lang w:val="zh-CN"/>
              </w:rPr>
            </w:pPr>
            <w:r>
              <w:rPr>
                <w:rFonts w:hint="default"/>
                <w:color w:val="auto"/>
                <w:lang w:val="zh-CN"/>
              </w:rPr>
              <w:t>符合</w:t>
            </w:r>
          </w:p>
        </w:tc>
      </w:tr>
      <w:tr w14:paraId="3479AEEB">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5899C065">
            <w:pPr>
              <w:pStyle w:val="24"/>
              <w:bidi w:val="0"/>
              <w:rPr>
                <w:rFonts w:hint="default"/>
                <w:color w:val="auto"/>
              </w:rPr>
            </w:pPr>
            <w:r>
              <w:rPr>
                <w:rFonts w:hint="default"/>
                <w:color w:val="auto"/>
              </w:rPr>
              <w:t>2.2</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47775026">
            <w:pPr>
              <w:pStyle w:val="24"/>
              <w:bidi w:val="0"/>
              <w:jc w:val="both"/>
              <w:rPr>
                <w:rFonts w:hint="default"/>
                <w:color w:val="auto"/>
                <w:lang w:val="zh-CN"/>
              </w:rPr>
            </w:pPr>
            <w:r>
              <w:rPr>
                <w:rFonts w:hint="default"/>
                <w:color w:val="auto"/>
                <w:lang w:val="zh-CN"/>
              </w:rPr>
              <w:t>总变电站位置的选择，应符合下列要求：1 应靠近厂区边缘、且输电线路进出方便的地段；2 不得受粉尘、水雾、腐蚀性气体等污染源的影响，并应位于散发粉尘、腐蚀性气体污染源全年最小频率风向的下风侧和散发水雾场所冬季盛行风向的上风侧；3 不得布置在有强烈振动设施的场地附近；4 应有运输变压器的道路；5 宜布置在地势较高地段。</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314F94A2">
            <w:pPr>
              <w:pStyle w:val="24"/>
              <w:bidi w:val="0"/>
              <w:rPr>
                <w:rFonts w:hint="default"/>
                <w:color w:val="auto"/>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r>
              <w:rPr>
                <w:rFonts w:hint="default"/>
                <w:color w:val="auto"/>
                <w:lang w:val="zh-CN"/>
              </w:rPr>
              <w:t>4.4.5</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42A6F4AB">
            <w:pPr>
              <w:pStyle w:val="24"/>
              <w:bidi w:val="0"/>
              <w:jc w:val="both"/>
              <w:rPr>
                <w:rFonts w:hint="default"/>
                <w:color w:val="auto"/>
              </w:rPr>
            </w:pPr>
            <w:r>
              <w:rPr>
                <w:rFonts w:hint="default"/>
                <w:color w:val="auto"/>
                <w:lang w:val="zh-CN"/>
              </w:rPr>
              <w:t>总变电室设置于厂区边缘，不受粉尘、水雾、腐蚀性气体等影响。</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35434D6D">
            <w:pPr>
              <w:pStyle w:val="24"/>
              <w:bidi w:val="0"/>
              <w:rPr>
                <w:rFonts w:hint="default"/>
                <w:color w:val="auto"/>
              </w:rPr>
            </w:pPr>
            <w:r>
              <w:rPr>
                <w:rFonts w:hint="default"/>
                <w:color w:val="auto"/>
                <w:lang w:val="zh-CN"/>
              </w:rPr>
              <w:t>符合</w:t>
            </w:r>
          </w:p>
        </w:tc>
      </w:tr>
      <w:tr w14:paraId="657BDB9A">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16405182">
            <w:pPr>
              <w:pStyle w:val="24"/>
              <w:bidi w:val="0"/>
              <w:rPr>
                <w:rFonts w:hint="default"/>
                <w:color w:val="auto"/>
              </w:rPr>
            </w:pPr>
            <w:r>
              <w:rPr>
                <w:rFonts w:hint="default"/>
                <w:color w:val="auto"/>
              </w:rPr>
              <w:t>2.3</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3F3CEE2C">
            <w:pPr>
              <w:pStyle w:val="24"/>
              <w:bidi w:val="0"/>
              <w:jc w:val="both"/>
              <w:rPr>
                <w:rFonts w:hint="default"/>
                <w:color w:val="auto"/>
                <w:lang w:val="zh-CN"/>
              </w:rPr>
            </w:pPr>
            <w:r>
              <w:rPr>
                <w:rFonts w:hint="default"/>
                <w:color w:val="auto"/>
                <w:lang w:val="zh-CN"/>
              </w:rPr>
              <w:t>总平面布置应节约集约用地，提高土地利用率。布置时并应符合下列要求：1、在符合生产流程、操作要求和使用功能的前提下，建筑物、构筑物等设施，应采用联合、集中、多层布置；2、应按企业规模和功能分区，合理地确定通道宽度；3、厂区功能分区及建筑物、构筑物的外形宜规整；4、功能分区内各项设施的布置，应紧凑、合理。</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6CEDAC1">
            <w:pPr>
              <w:pStyle w:val="24"/>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66D82AB5">
            <w:pPr>
              <w:pStyle w:val="24"/>
              <w:bidi w:val="0"/>
              <w:rPr>
                <w:rFonts w:hint="default"/>
                <w:color w:val="auto"/>
                <w:lang w:val="zh-CN"/>
              </w:rPr>
            </w:pPr>
            <w:r>
              <w:rPr>
                <w:rFonts w:hint="default"/>
                <w:color w:val="auto"/>
                <w:lang w:val="zh-CN"/>
              </w:rPr>
              <w:t>第5.1.2条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00945046">
            <w:pPr>
              <w:pStyle w:val="24"/>
              <w:bidi w:val="0"/>
              <w:jc w:val="both"/>
              <w:rPr>
                <w:rFonts w:hint="default"/>
                <w:color w:val="auto"/>
                <w:lang w:val="zh-CN"/>
              </w:rPr>
            </w:pPr>
            <w:r>
              <w:rPr>
                <w:rFonts w:hint="default"/>
                <w:color w:val="auto"/>
                <w:lang w:val="zh-CN"/>
              </w:rPr>
              <w:t>根据功能区进行划分。</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200A20A1">
            <w:pPr>
              <w:pStyle w:val="24"/>
              <w:bidi w:val="0"/>
              <w:rPr>
                <w:rFonts w:hint="default"/>
                <w:color w:val="auto"/>
                <w:lang w:val="zh-CN"/>
              </w:rPr>
            </w:pPr>
            <w:r>
              <w:rPr>
                <w:rFonts w:hint="default"/>
                <w:color w:val="auto"/>
                <w:lang w:val="zh-CN"/>
              </w:rPr>
              <w:t>符合</w:t>
            </w:r>
          </w:p>
        </w:tc>
      </w:tr>
      <w:tr w14:paraId="0D1311B3">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FDD548F">
            <w:pPr>
              <w:pStyle w:val="24"/>
              <w:bidi w:val="0"/>
              <w:rPr>
                <w:rFonts w:hint="default"/>
                <w:color w:val="auto"/>
              </w:rPr>
            </w:pPr>
            <w:r>
              <w:rPr>
                <w:rFonts w:hint="default"/>
                <w:color w:val="auto"/>
              </w:rPr>
              <w:t>2.4</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6D3D27A">
            <w:pPr>
              <w:pStyle w:val="24"/>
              <w:bidi w:val="0"/>
              <w:jc w:val="both"/>
              <w:rPr>
                <w:rFonts w:hint="default"/>
                <w:color w:val="auto"/>
                <w:lang w:val="zh-CN"/>
              </w:rPr>
            </w:pPr>
            <w:r>
              <w:rPr>
                <w:rFonts w:hint="default"/>
                <w:color w:val="auto"/>
                <w:lang w:val="zh-CN"/>
              </w:rPr>
              <w:t>厂区的通道宽度，应符合下列要求：1、应符合通道两侧建筑物、构筑物及露天设施对防火、安全与卫生间距的要求；2、应符合铁路、道路与带式输送机通廊等工业运输线路的布置要求；3、应符合各种工程管线的布置要求；4、应符合绿化布置的要求；5、应符合施工、安装与检修的要求；6、应符合竖向设计的要求；7、应符合预留发展用地的要求。</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5985034">
            <w:pPr>
              <w:pStyle w:val="24"/>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28B1DB55">
            <w:pPr>
              <w:pStyle w:val="24"/>
              <w:bidi w:val="0"/>
              <w:rPr>
                <w:rFonts w:hint="default"/>
                <w:color w:val="auto"/>
              </w:rPr>
            </w:pPr>
            <w:r>
              <w:rPr>
                <w:rFonts w:hint="default"/>
                <w:color w:val="auto"/>
                <w:lang w:val="zh-CN"/>
              </w:rPr>
              <w:t>第5.1.4条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3561BF52">
            <w:pPr>
              <w:pStyle w:val="24"/>
              <w:bidi w:val="0"/>
              <w:jc w:val="both"/>
              <w:rPr>
                <w:rFonts w:hint="default"/>
                <w:color w:val="auto"/>
              </w:rPr>
            </w:pPr>
            <w:r>
              <w:rPr>
                <w:rFonts w:hint="default"/>
                <w:color w:val="auto"/>
                <w:lang w:val="zh-CN"/>
              </w:rPr>
              <w:t>项目各生产车间运输、检修及消防道路通过运输主干道连接至各生产车间，通过车间引道连接。</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347C69CB">
            <w:pPr>
              <w:pStyle w:val="24"/>
              <w:bidi w:val="0"/>
              <w:rPr>
                <w:rFonts w:hint="default"/>
                <w:color w:val="auto"/>
              </w:rPr>
            </w:pPr>
            <w:r>
              <w:rPr>
                <w:rFonts w:hint="default"/>
                <w:color w:val="auto"/>
                <w:lang w:val="zh-CN"/>
              </w:rPr>
              <w:t>符合</w:t>
            </w:r>
          </w:p>
        </w:tc>
      </w:tr>
      <w:tr w14:paraId="1C46A91E">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C0F9C1F">
            <w:pPr>
              <w:pStyle w:val="24"/>
              <w:bidi w:val="0"/>
              <w:rPr>
                <w:rFonts w:hint="default"/>
                <w:color w:val="auto"/>
              </w:rPr>
            </w:pPr>
            <w:r>
              <w:rPr>
                <w:rFonts w:hint="default"/>
                <w:color w:val="auto"/>
              </w:rPr>
              <w:t>2.5</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4E9D7291">
            <w:pPr>
              <w:pStyle w:val="24"/>
              <w:bidi w:val="0"/>
              <w:jc w:val="both"/>
              <w:rPr>
                <w:rFonts w:hint="default"/>
                <w:color w:val="auto"/>
                <w:lang w:val="zh-CN"/>
              </w:rPr>
            </w:pPr>
            <w:r>
              <w:rPr>
                <w:rFonts w:hint="default"/>
                <w:color w:val="auto"/>
                <w:lang w:val="zh-CN"/>
              </w:rPr>
              <w:t>总平面布置，应合理地组织货流和人流，并应符合下列要求：1、运输线路的布置，应保证物流顺畅、径路短捷、不折返；2、应避免运输繁忙的铁路与道路平面交叉；3、应使人、货分流，应避免运输繁忙的货流与人流交叉；4、应避免进出厂的主要货流与企业外部交通干线的平面交叉。</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EF869FE">
            <w:pPr>
              <w:pStyle w:val="24"/>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500DA361">
            <w:pPr>
              <w:pStyle w:val="24"/>
              <w:bidi w:val="0"/>
              <w:rPr>
                <w:rFonts w:hint="default"/>
                <w:color w:val="auto"/>
                <w:lang w:val="zh-CN"/>
              </w:rPr>
            </w:pPr>
            <w:r>
              <w:rPr>
                <w:rFonts w:hint="default"/>
                <w:color w:val="auto"/>
                <w:lang w:val="zh-CN"/>
              </w:rPr>
              <w:t>第5.1.8条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3BB13869">
            <w:pPr>
              <w:pStyle w:val="24"/>
              <w:bidi w:val="0"/>
              <w:jc w:val="both"/>
              <w:rPr>
                <w:rFonts w:hint="default"/>
                <w:color w:val="auto"/>
                <w:lang w:val="zh-CN"/>
              </w:rPr>
            </w:pPr>
            <w:r>
              <w:rPr>
                <w:rFonts w:hint="default"/>
                <w:color w:val="auto"/>
                <w:lang w:val="zh-CN"/>
              </w:rPr>
              <w:t>人流与物流分开，明确</w:t>
            </w:r>
            <w:r>
              <w:rPr>
                <w:rFonts w:hint="eastAsia"/>
                <w:color w:val="auto"/>
                <w:lang w:val="en-US" w:eastAsia="zh-CN"/>
              </w:rPr>
              <w:t>场内外</w:t>
            </w:r>
            <w:r>
              <w:rPr>
                <w:rFonts w:hint="default"/>
                <w:color w:val="auto"/>
                <w:lang w:val="zh-CN"/>
              </w:rPr>
              <w:t>运输方案。</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FE4A6E8">
            <w:pPr>
              <w:pStyle w:val="24"/>
              <w:bidi w:val="0"/>
              <w:rPr>
                <w:rFonts w:hint="default"/>
                <w:color w:val="auto"/>
                <w:lang w:val="zh-CN"/>
              </w:rPr>
            </w:pPr>
            <w:r>
              <w:rPr>
                <w:rFonts w:hint="default"/>
                <w:color w:val="auto"/>
                <w:lang w:val="zh-CN"/>
              </w:rPr>
              <w:t>符合</w:t>
            </w:r>
          </w:p>
        </w:tc>
      </w:tr>
      <w:tr w14:paraId="7B81193A">
        <w:tblPrEx>
          <w:tblCellMar>
            <w:top w:w="0" w:type="dxa"/>
            <w:left w:w="108" w:type="dxa"/>
            <w:bottom w:w="0" w:type="dxa"/>
            <w:right w:w="108" w:type="dxa"/>
          </w:tblCellMar>
        </w:tblPrEx>
        <w:trPr>
          <w:trHeight w:val="360" w:hRule="atLeast"/>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F399B88">
            <w:pPr>
              <w:pStyle w:val="24"/>
              <w:bidi w:val="0"/>
              <w:rPr>
                <w:rFonts w:hint="default"/>
                <w:color w:val="auto"/>
              </w:rPr>
            </w:pPr>
            <w:r>
              <w:rPr>
                <w:rFonts w:hint="default"/>
                <w:color w:val="auto"/>
              </w:rPr>
              <w:t>2.6</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1C6F2747">
            <w:pPr>
              <w:pStyle w:val="24"/>
              <w:bidi w:val="0"/>
              <w:jc w:val="both"/>
              <w:rPr>
                <w:rFonts w:hint="default"/>
                <w:color w:val="auto"/>
                <w:lang w:val="zh-CN"/>
              </w:rPr>
            </w:pPr>
            <w:r>
              <w:rPr>
                <w:rFonts w:hint="default"/>
                <w:color w:val="auto"/>
                <w:lang w:val="zh-CN"/>
              </w:rPr>
              <w:t>总平面布置应使建筑群体的平面布置与空间景观相协调，并应结合城镇规划及厂区绿化，提高环境质量，创造良好的生产条件和整洁友好的工作环境。</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E3F9A00">
            <w:pPr>
              <w:pStyle w:val="24"/>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779AE014">
            <w:pPr>
              <w:pStyle w:val="24"/>
              <w:bidi w:val="0"/>
              <w:rPr>
                <w:rFonts w:hint="default"/>
                <w:color w:val="auto"/>
                <w:lang w:val="zh-CN"/>
              </w:rPr>
            </w:pPr>
            <w:r>
              <w:rPr>
                <w:rFonts w:hint="default"/>
                <w:color w:val="auto"/>
                <w:lang w:val="zh-CN"/>
              </w:rPr>
              <w:t>第5.1.9条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13895958">
            <w:pPr>
              <w:pStyle w:val="24"/>
              <w:bidi w:val="0"/>
              <w:jc w:val="both"/>
              <w:rPr>
                <w:rFonts w:hint="default"/>
                <w:color w:val="auto"/>
                <w:lang w:val="zh-CN"/>
              </w:rPr>
            </w:pPr>
            <w:r>
              <w:rPr>
                <w:rFonts w:hint="default"/>
                <w:color w:val="auto"/>
                <w:lang w:val="zh-CN"/>
              </w:rPr>
              <w:t>项目在选矿厂范围内进行一定的环境绿化。</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05DEC7BF">
            <w:pPr>
              <w:pStyle w:val="24"/>
              <w:bidi w:val="0"/>
              <w:rPr>
                <w:rFonts w:hint="default"/>
                <w:color w:val="auto"/>
                <w:lang w:val="zh-CN"/>
              </w:rPr>
            </w:pPr>
            <w:r>
              <w:rPr>
                <w:rFonts w:hint="default"/>
                <w:color w:val="auto"/>
                <w:lang w:val="zh-CN"/>
              </w:rPr>
              <w:t>符合</w:t>
            </w:r>
          </w:p>
        </w:tc>
      </w:tr>
      <w:tr w14:paraId="3CA542B8">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07D5CCC9">
            <w:pPr>
              <w:pStyle w:val="24"/>
              <w:bidi w:val="0"/>
              <w:rPr>
                <w:rFonts w:hint="default"/>
                <w:color w:val="auto"/>
              </w:rPr>
            </w:pPr>
            <w:r>
              <w:rPr>
                <w:rFonts w:hint="default"/>
                <w:color w:val="auto"/>
              </w:rPr>
              <w:t>2.7</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37A7F521">
            <w:pPr>
              <w:pStyle w:val="24"/>
              <w:bidi w:val="0"/>
              <w:jc w:val="both"/>
              <w:rPr>
                <w:rFonts w:hint="default"/>
                <w:color w:val="auto"/>
                <w:lang w:val="zh-CN"/>
              </w:rPr>
            </w:pPr>
            <w:r>
              <w:rPr>
                <w:rFonts w:hint="default"/>
                <w:color w:val="auto"/>
                <w:lang w:val="zh-CN"/>
              </w:rPr>
              <w:t>工业企业的建筑物、构筑物之间及其与铁路、道路之间的防火间距，以及消防通道的设置，应执行现行国家《建筑设计防火规范》GB</w:t>
            </w:r>
            <w:r>
              <w:rPr>
                <w:rFonts w:hint="default"/>
                <w:color w:val="auto"/>
                <w:lang w:val="en-US" w:eastAsia="zh-CN"/>
              </w:rPr>
              <w:t xml:space="preserve"> </w:t>
            </w:r>
            <w:r>
              <w:rPr>
                <w:rFonts w:hint="default"/>
                <w:color w:val="auto"/>
                <w:lang w:val="zh-CN"/>
              </w:rPr>
              <w:t>50016等有关的规定</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4DE34FF5">
            <w:pPr>
              <w:pStyle w:val="24"/>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17280739">
            <w:pPr>
              <w:pStyle w:val="24"/>
              <w:bidi w:val="0"/>
              <w:rPr>
                <w:rFonts w:hint="default"/>
                <w:color w:val="auto"/>
                <w:lang w:val="zh-CN"/>
              </w:rPr>
            </w:pPr>
            <w:r>
              <w:rPr>
                <w:rFonts w:hint="default"/>
                <w:color w:val="auto"/>
                <w:lang w:val="zh-CN"/>
              </w:rPr>
              <w:t>第5.1.10条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1F7854DB">
            <w:pPr>
              <w:pStyle w:val="24"/>
              <w:bidi w:val="0"/>
              <w:jc w:val="both"/>
              <w:rPr>
                <w:rFonts w:hint="default"/>
                <w:color w:val="auto"/>
                <w:lang w:val="zh-CN"/>
              </w:rPr>
            </w:pPr>
            <w:r>
              <w:rPr>
                <w:rFonts w:hint="default"/>
                <w:color w:val="auto"/>
                <w:lang w:val="zh-CN"/>
              </w:rPr>
              <w:t>厂内与厂外道路的连接道路采用泥结碎石路面，路宽6m。，能够满足消防车出入需要，内部道路宽度</w:t>
            </w:r>
            <w:r>
              <w:rPr>
                <w:rFonts w:hint="eastAsia"/>
                <w:color w:val="auto"/>
                <w:lang w:val="en-US" w:eastAsia="zh-CN"/>
              </w:rPr>
              <w:t>为5</w:t>
            </w:r>
            <w:r>
              <w:rPr>
                <w:rFonts w:hint="default"/>
                <w:color w:val="auto"/>
                <w:lang w:val="zh-CN"/>
              </w:rPr>
              <w:t>m。</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3DA27F2">
            <w:pPr>
              <w:pStyle w:val="24"/>
              <w:bidi w:val="0"/>
              <w:rPr>
                <w:rFonts w:hint="default"/>
                <w:color w:val="auto"/>
                <w:lang w:val="zh-CN"/>
              </w:rPr>
            </w:pPr>
            <w:r>
              <w:rPr>
                <w:rFonts w:hint="default"/>
                <w:color w:val="auto"/>
                <w:lang w:val="zh-CN"/>
              </w:rPr>
              <w:t>符合</w:t>
            </w:r>
          </w:p>
        </w:tc>
      </w:tr>
      <w:tr w14:paraId="09D215AB">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869F0B7">
            <w:pPr>
              <w:pStyle w:val="24"/>
              <w:bidi w:val="0"/>
              <w:rPr>
                <w:rFonts w:hint="default"/>
                <w:color w:val="auto"/>
              </w:rPr>
            </w:pPr>
            <w:r>
              <w:rPr>
                <w:rFonts w:hint="default"/>
                <w:color w:val="auto"/>
              </w:rPr>
              <w:t>2.8</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3F19A3C3">
            <w:pPr>
              <w:pStyle w:val="24"/>
              <w:bidi w:val="0"/>
              <w:jc w:val="both"/>
              <w:rPr>
                <w:rFonts w:hint="default"/>
                <w:color w:val="auto"/>
                <w:lang w:val="zh-CN"/>
              </w:rPr>
            </w:pPr>
            <w:r>
              <w:rPr>
                <w:rFonts w:hint="default"/>
                <w:color w:val="auto"/>
                <w:lang w:val="zh-CN"/>
              </w:rPr>
              <w:t>大型建筑物、构筑物，重型设备和生产装置等，应布置在土质均匀、地基承载力较大的地段；对较大、较深的地下建筑物、构筑物，宜布置在地下水位较低的填方地段。</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6D651B97">
            <w:pPr>
              <w:pStyle w:val="24"/>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4F5270FE">
            <w:pPr>
              <w:pStyle w:val="24"/>
              <w:bidi w:val="0"/>
              <w:rPr>
                <w:rFonts w:hint="default"/>
                <w:color w:val="auto"/>
                <w:lang w:val="zh-CN"/>
              </w:rPr>
            </w:pPr>
            <w:r>
              <w:rPr>
                <w:rFonts w:hint="default"/>
                <w:color w:val="auto"/>
                <w:lang w:val="zh-CN"/>
              </w:rPr>
              <w:t>5.2.1</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659231D0">
            <w:pPr>
              <w:pStyle w:val="24"/>
              <w:bidi w:val="0"/>
              <w:jc w:val="both"/>
              <w:rPr>
                <w:rFonts w:hint="default"/>
                <w:color w:val="auto"/>
                <w:lang w:val="zh-CN"/>
              </w:rPr>
            </w:pPr>
            <w:r>
              <w:rPr>
                <w:rFonts w:hint="default"/>
                <w:color w:val="auto"/>
                <w:lang w:val="zh-CN"/>
              </w:rPr>
              <w:t>该项目厂区地质良好，大型设备和生产装置布置在土质均匀、地基承载力较大的地段。</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06EC0610">
            <w:pPr>
              <w:pStyle w:val="24"/>
              <w:bidi w:val="0"/>
              <w:rPr>
                <w:rFonts w:hint="default"/>
                <w:color w:val="auto"/>
                <w:lang w:val="zh-CN"/>
              </w:rPr>
            </w:pPr>
            <w:r>
              <w:rPr>
                <w:rFonts w:hint="default"/>
                <w:color w:val="auto"/>
                <w:lang w:val="zh-CN"/>
              </w:rPr>
              <w:t>符合</w:t>
            </w:r>
          </w:p>
        </w:tc>
      </w:tr>
      <w:tr w14:paraId="0B867A84">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70E108C2">
            <w:pPr>
              <w:pStyle w:val="24"/>
              <w:bidi w:val="0"/>
              <w:rPr>
                <w:rFonts w:hint="eastAsia" w:eastAsia="宋体"/>
                <w:color w:val="auto"/>
                <w:lang w:eastAsia="zh-CN"/>
              </w:rPr>
            </w:pPr>
            <w:r>
              <w:rPr>
                <w:rFonts w:hint="default"/>
                <w:color w:val="auto"/>
              </w:rPr>
              <w:t>2.</w:t>
            </w:r>
            <w:r>
              <w:rPr>
                <w:rFonts w:hint="eastAsia"/>
                <w:color w:val="auto"/>
                <w:lang w:val="en-US" w:eastAsia="zh-CN"/>
              </w:rPr>
              <w:t>9</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905DA82">
            <w:pPr>
              <w:pStyle w:val="24"/>
              <w:bidi w:val="0"/>
              <w:jc w:val="both"/>
              <w:rPr>
                <w:rFonts w:hint="default"/>
                <w:color w:val="auto"/>
                <w:lang w:val="zh-CN"/>
              </w:rPr>
            </w:pPr>
            <w:r>
              <w:rPr>
                <w:rFonts w:hint="default"/>
                <w:color w:val="auto"/>
                <w:lang w:val="zh-CN"/>
              </w:rPr>
              <w:t>行政办公及生活服务设施的布置，应位于厂区全年最小频率风向的下风侧，并应符合下列要求：</w:t>
            </w:r>
          </w:p>
          <w:p w14:paraId="7AD265AA">
            <w:pPr>
              <w:pStyle w:val="24"/>
              <w:bidi w:val="0"/>
              <w:jc w:val="both"/>
              <w:rPr>
                <w:rFonts w:hint="default"/>
                <w:color w:val="auto"/>
                <w:lang w:val="zh-CN"/>
              </w:rPr>
            </w:pPr>
            <w:r>
              <w:rPr>
                <w:rFonts w:hint="default"/>
                <w:color w:val="auto"/>
                <w:lang w:val="zh-CN"/>
              </w:rPr>
              <w:t>1 应布置在便于行政办公、环境洁净、靠近主要人流出入口、与城镇和居住区联系方便的位置；</w:t>
            </w:r>
          </w:p>
          <w:p w14:paraId="32E81668">
            <w:pPr>
              <w:pStyle w:val="24"/>
              <w:bidi w:val="0"/>
              <w:jc w:val="both"/>
              <w:rPr>
                <w:rFonts w:hint="default"/>
                <w:color w:val="auto"/>
                <w:lang w:val="zh-CN"/>
              </w:rPr>
            </w:pPr>
            <w:r>
              <w:rPr>
                <w:rFonts w:hint="default"/>
                <w:color w:val="auto"/>
                <w:lang w:val="zh-CN"/>
              </w:rPr>
              <w:t>2 行政办公及生活服务设施的用地面积，不得超过工业项目总用地面积的7%。</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10EA3B20">
            <w:pPr>
              <w:pStyle w:val="24"/>
              <w:bidi w:val="0"/>
              <w:rPr>
                <w:rFonts w:hint="default"/>
                <w:color w:val="auto"/>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r>
              <w:rPr>
                <w:rFonts w:hint="default"/>
                <w:color w:val="auto"/>
                <w:lang w:val="zh-CN"/>
              </w:rPr>
              <w:t>5.7.1</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D07EBFA">
            <w:pPr>
              <w:pStyle w:val="24"/>
              <w:bidi w:val="0"/>
              <w:jc w:val="both"/>
              <w:rPr>
                <w:rFonts w:hint="default"/>
                <w:color w:val="auto"/>
                <w:lang w:val="zh-CN"/>
              </w:rPr>
            </w:pPr>
            <w:r>
              <w:rPr>
                <w:rFonts w:hint="default"/>
                <w:color w:val="auto"/>
                <w:lang w:val="zh-CN"/>
              </w:rPr>
              <w:t>当地主导风向为西南风，办公生活区位于厂区中心位置</w:t>
            </w:r>
            <w:r>
              <w:rPr>
                <w:rFonts w:hint="eastAsia"/>
                <w:color w:val="auto"/>
                <w:lang w:val="en-US" w:eastAsia="zh-CN"/>
              </w:rPr>
              <w:t>西南</w:t>
            </w:r>
            <w:r>
              <w:rPr>
                <w:rFonts w:hint="default"/>
                <w:color w:val="auto"/>
                <w:lang w:val="zh-CN"/>
              </w:rPr>
              <w:t>侧。</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269EAEC5">
            <w:pPr>
              <w:pStyle w:val="24"/>
              <w:bidi w:val="0"/>
              <w:rPr>
                <w:rFonts w:hint="default"/>
                <w:color w:val="auto"/>
                <w:lang w:val="zh-CN"/>
              </w:rPr>
            </w:pPr>
            <w:r>
              <w:rPr>
                <w:rFonts w:hint="default"/>
                <w:color w:val="auto"/>
                <w:lang w:val="zh-CN"/>
              </w:rPr>
              <w:t>符合</w:t>
            </w:r>
          </w:p>
        </w:tc>
      </w:tr>
      <w:tr w14:paraId="6317C816">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51294A8A">
            <w:pPr>
              <w:pStyle w:val="24"/>
              <w:bidi w:val="0"/>
              <w:rPr>
                <w:rFonts w:hint="eastAsia" w:eastAsia="宋体"/>
                <w:color w:val="auto"/>
                <w:lang w:eastAsia="zh-CN"/>
              </w:rPr>
            </w:pPr>
            <w:r>
              <w:rPr>
                <w:rFonts w:hint="default"/>
                <w:color w:val="auto"/>
              </w:rPr>
              <w:t>2.1</w:t>
            </w:r>
            <w:r>
              <w:rPr>
                <w:rFonts w:hint="eastAsia"/>
                <w:color w:val="auto"/>
                <w:lang w:val="en-US" w:eastAsia="zh-CN"/>
              </w:rPr>
              <w:t>0</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4058F454">
            <w:pPr>
              <w:pStyle w:val="24"/>
              <w:bidi w:val="0"/>
              <w:jc w:val="both"/>
              <w:rPr>
                <w:rFonts w:hint="default"/>
                <w:color w:val="auto"/>
                <w:lang w:val="zh-CN"/>
              </w:rPr>
            </w:pPr>
            <w:r>
              <w:rPr>
                <w:rFonts w:hint="default"/>
                <w:color w:val="auto"/>
                <w:lang w:val="zh-CN"/>
              </w:rPr>
              <w:t>建构筑物之间的防火间距和消防车道的布置，应符合GBJ</w:t>
            </w:r>
            <w:r>
              <w:rPr>
                <w:rFonts w:hint="default"/>
                <w:color w:val="auto"/>
                <w:lang w:val="en-US" w:eastAsia="zh-CN"/>
              </w:rPr>
              <w:t xml:space="preserve"> </w:t>
            </w:r>
            <w:r>
              <w:rPr>
                <w:rFonts w:hint="default"/>
                <w:color w:val="auto"/>
                <w:lang w:val="zh-CN"/>
              </w:rPr>
              <w:t>16的有关规定。</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3BD9EF8">
            <w:pPr>
              <w:pStyle w:val="24"/>
              <w:bidi w:val="0"/>
              <w:rPr>
                <w:rFonts w:hint="default"/>
                <w:color w:val="auto"/>
              </w:rPr>
            </w:pPr>
            <w:r>
              <w:rPr>
                <w:rFonts w:hint="default"/>
                <w:color w:val="auto"/>
                <w:lang w:val="zh-CN"/>
              </w:rPr>
              <w:t>《选矿安全规程》</w:t>
            </w:r>
            <w:r>
              <w:rPr>
                <w:rFonts w:hint="eastAsia"/>
                <w:color w:val="auto"/>
                <w:lang w:val="zh-CN"/>
              </w:rPr>
              <w:t>（GB/T 18152-2000）</w:t>
            </w:r>
            <w:r>
              <w:rPr>
                <w:rFonts w:hint="default"/>
                <w:color w:val="auto"/>
                <w:lang w:val="zh-CN"/>
              </w:rPr>
              <w:t>5.2.2</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5554AD2">
            <w:pPr>
              <w:pStyle w:val="24"/>
              <w:bidi w:val="0"/>
              <w:jc w:val="both"/>
              <w:rPr>
                <w:rFonts w:hint="default"/>
                <w:color w:val="auto"/>
                <w:lang w:val="zh-CN"/>
              </w:rPr>
            </w:pPr>
            <w:r>
              <w:rPr>
                <w:rFonts w:hint="default"/>
                <w:color w:val="auto"/>
                <w:lang w:val="zh-CN"/>
              </w:rPr>
              <w:t>场地内各段运输道路宽度均不小于4.0m</w:t>
            </w:r>
            <w:r>
              <w:rPr>
                <w:rFonts w:hint="eastAsia"/>
                <w:color w:val="auto"/>
                <w:lang w:val="zh-CN"/>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69C45DFF">
            <w:pPr>
              <w:pStyle w:val="24"/>
              <w:bidi w:val="0"/>
              <w:rPr>
                <w:rFonts w:hint="default"/>
                <w:color w:val="auto"/>
                <w:lang w:val="zh-CN"/>
              </w:rPr>
            </w:pPr>
            <w:r>
              <w:rPr>
                <w:rFonts w:hint="default"/>
                <w:color w:val="auto"/>
                <w:lang w:val="zh-CN"/>
              </w:rPr>
              <w:t>符合</w:t>
            </w:r>
          </w:p>
        </w:tc>
      </w:tr>
      <w:tr w14:paraId="77385BCA">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16F5B33C">
            <w:pPr>
              <w:pStyle w:val="24"/>
              <w:bidi w:val="0"/>
              <w:rPr>
                <w:rFonts w:hint="eastAsia" w:eastAsia="宋体"/>
                <w:color w:val="auto"/>
                <w:lang w:eastAsia="zh-CN"/>
              </w:rPr>
            </w:pPr>
            <w:r>
              <w:rPr>
                <w:rFonts w:hint="default"/>
                <w:color w:val="auto"/>
              </w:rPr>
              <w:t>2.1</w:t>
            </w:r>
            <w:r>
              <w:rPr>
                <w:rFonts w:hint="eastAsia"/>
                <w:color w:val="auto"/>
                <w:lang w:val="en-US" w:eastAsia="zh-CN"/>
              </w:rPr>
              <w:t>1</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5D20FF3E">
            <w:pPr>
              <w:pStyle w:val="24"/>
              <w:bidi w:val="0"/>
              <w:jc w:val="both"/>
              <w:rPr>
                <w:rFonts w:hint="default"/>
                <w:color w:val="auto"/>
                <w:lang w:val="zh-CN"/>
              </w:rPr>
            </w:pPr>
            <w:r>
              <w:rPr>
                <w:rFonts w:hint="default"/>
                <w:color w:val="auto"/>
                <w:lang w:val="zh-CN"/>
              </w:rPr>
              <w:t>应设置通达厂房、仓库和可燃原料堆场的消防通道（也可利用交通运输</w:t>
            </w:r>
            <w:r>
              <w:rPr>
                <w:rFonts w:hint="eastAsia"/>
                <w:color w:val="auto"/>
                <w:lang w:val="zh-CN"/>
              </w:rPr>
              <w:t>）</w:t>
            </w:r>
            <w:r>
              <w:rPr>
                <w:rFonts w:hint="default"/>
                <w:color w:val="auto"/>
                <w:lang w:val="zh-CN"/>
              </w:rPr>
              <w:t>，其宽度应不小于3.5m。尽头式消防车道，应设回车道或不小于12m×12m的回车场。</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1BFC6454">
            <w:pPr>
              <w:pStyle w:val="24"/>
              <w:bidi w:val="0"/>
              <w:rPr>
                <w:rFonts w:hint="default"/>
                <w:color w:val="auto"/>
              </w:rPr>
            </w:pPr>
            <w:r>
              <w:rPr>
                <w:rFonts w:hint="default"/>
                <w:color w:val="auto"/>
                <w:lang w:val="zh-CN"/>
              </w:rPr>
              <w:t>《选矿安全规程》</w:t>
            </w:r>
            <w:r>
              <w:rPr>
                <w:rFonts w:hint="eastAsia"/>
                <w:color w:val="auto"/>
                <w:lang w:val="zh-CN"/>
              </w:rPr>
              <w:t>（GB/T 18152-2000）</w:t>
            </w:r>
            <w:r>
              <w:rPr>
                <w:rFonts w:hint="default"/>
                <w:color w:val="auto"/>
                <w:lang w:val="zh-CN"/>
              </w:rPr>
              <w:t>5.2.3</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B784D63">
            <w:pPr>
              <w:pStyle w:val="24"/>
              <w:bidi w:val="0"/>
              <w:jc w:val="both"/>
              <w:rPr>
                <w:rFonts w:hint="default"/>
                <w:color w:val="auto"/>
                <w:lang w:val="zh-CN"/>
              </w:rPr>
            </w:pPr>
            <w:r>
              <w:rPr>
                <w:rFonts w:hint="default"/>
                <w:color w:val="auto"/>
                <w:lang w:val="zh-CN"/>
              </w:rPr>
              <w:t>场地内各段运输道路宽度均不小于4.0m</w:t>
            </w:r>
            <w:r>
              <w:rPr>
                <w:rFonts w:hint="eastAsia"/>
                <w:color w:val="auto"/>
                <w:lang w:val="zh-CN"/>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0F723C82">
            <w:pPr>
              <w:pStyle w:val="24"/>
              <w:bidi w:val="0"/>
              <w:rPr>
                <w:rFonts w:hint="default"/>
                <w:color w:val="auto"/>
                <w:lang w:val="zh-CN"/>
              </w:rPr>
            </w:pPr>
            <w:r>
              <w:rPr>
                <w:rFonts w:hint="default"/>
                <w:color w:val="auto"/>
                <w:lang w:val="zh-CN"/>
              </w:rPr>
              <w:t>符合</w:t>
            </w:r>
          </w:p>
        </w:tc>
      </w:tr>
      <w:tr w14:paraId="222C33F0">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206CEB81">
            <w:pPr>
              <w:pStyle w:val="24"/>
              <w:bidi w:val="0"/>
              <w:rPr>
                <w:rFonts w:hint="eastAsia" w:eastAsia="宋体"/>
                <w:color w:val="auto"/>
                <w:lang w:eastAsia="zh-CN"/>
              </w:rPr>
            </w:pPr>
            <w:r>
              <w:rPr>
                <w:rFonts w:hint="default"/>
                <w:color w:val="auto"/>
              </w:rPr>
              <w:t>2.1</w:t>
            </w:r>
            <w:r>
              <w:rPr>
                <w:rFonts w:hint="eastAsia"/>
                <w:color w:val="auto"/>
                <w:lang w:val="en-US" w:eastAsia="zh-CN"/>
              </w:rPr>
              <w:t>2</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7197386D">
            <w:pPr>
              <w:pStyle w:val="24"/>
              <w:bidi w:val="0"/>
              <w:jc w:val="both"/>
              <w:rPr>
                <w:rFonts w:hint="default"/>
                <w:color w:val="auto"/>
                <w:lang w:val="zh-CN"/>
              </w:rPr>
            </w:pPr>
            <w:r>
              <w:rPr>
                <w:rFonts w:hint="default"/>
                <w:color w:val="auto"/>
                <w:lang w:val="zh-CN"/>
              </w:rPr>
              <w:t>厂区铁路、道路的布置，应符合GB</w:t>
            </w:r>
            <w:r>
              <w:rPr>
                <w:rFonts w:hint="default"/>
                <w:color w:val="auto"/>
                <w:lang w:val="en-US" w:eastAsia="zh-CN"/>
              </w:rPr>
              <w:t xml:space="preserve"> </w:t>
            </w:r>
            <w:r>
              <w:rPr>
                <w:rFonts w:hint="default"/>
                <w:color w:val="auto"/>
                <w:lang w:val="zh-CN"/>
              </w:rPr>
              <w:t>4837、GB</w:t>
            </w:r>
            <w:r>
              <w:rPr>
                <w:rFonts w:hint="default"/>
                <w:color w:val="auto"/>
                <w:lang w:val="en-US" w:eastAsia="zh-CN"/>
              </w:rPr>
              <w:t xml:space="preserve"> </w:t>
            </w:r>
            <w:r>
              <w:rPr>
                <w:rFonts w:hint="default"/>
                <w:color w:val="auto"/>
                <w:lang w:val="zh-CN"/>
              </w:rPr>
              <w:t>146.1、GB</w:t>
            </w:r>
            <w:r>
              <w:rPr>
                <w:rFonts w:hint="default"/>
                <w:color w:val="auto"/>
                <w:lang w:val="en-US" w:eastAsia="zh-CN"/>
              </w:rPr>
              <w:t xml:space="preserve"> </w:t>
            </w:r>
            <w:r>
              <w:rPr>
                <w:rFonts w:hint="default"/>
                <w:color w:val="auto"/>
                <w:lang w:val="zh-CN"/>
              </w:rPr>
              <w:t>146.2、GBJ</w:t>
            </w:r>
            <w:r>
              <w:rPr>
                <w:rFonts w:hint="default"/>
                <w:color w:val="auto"/>
                <w:lang w:val="en-US" w:eastAsia="zh-CN"/>
              </w:rPr>
              <w:t xml:space="preserve"> </w:t>
            </w:r>
            <w:r>
              <w:rPr>
                <w:rFonts w:hint="default"/>
                <w:color w:val="auto"/>
                <w:lang w:val="zh-CN"/>
              </w:rPr>
              <w:t>12和GBJ</w:t>
            </w:r>
            <w:r>
              <w:rPr>
                <w:rFonts w:hint="default"/>
                <w:color w:val="auto"/>
                <w:lang w:val="en-US" w:eastAsia="zh-CN"/>
              </w:rPr>
              <w:t xml:space="preserve"> </w:t>
            </w:r>
            <w:r>
              <w:rPr>
                <w:rFonts w:hint="default"/>
                <w:color w:val="auto"/>
                <w:lang w:val="zh-CN"/>
              </w:rPr>
              <w:t>22的有关规定。</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420A69DF">
            <w:pPr>
              <w:pStyle w:val="24"/>
              <w:bidi w:val="0"/>
              <w:rPr>
                <w:rFonts w:hint="default"/>
                <w:color w:val="auto"/>
              </w:rPr>
            </w:pPr>
            <w:r>
              <w:rPr>
                <w:rFonts w:hint="default"/>
                <w:color w:val="auto"/>
                <w:lang w:val="zh-CN"/>
              </w:rPr>
              <w:t>《选矿安全规程》</w:t>
            </w:r>
            <w:r>
              <w:rPr>
                <w:rFonts w:hint="eastAsia"/>
                <w:color w:val="auto"/>
                <w:lang w:val="zh-CN"/>
              </w:rPr>
              <w:t>（GB/T 18152-2000）</w:t>
            </w:r>
            <w:r>
              <w:rPr>
                <w:rFonts w:hint="default"/>
                <w:color w:val="auto"/>
                <w:lang w:val="zh-CN"/>
              </w:rPr>
              <w:t>5.2.5</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6A978F2">
            <w:pPr>
              <w:pStyle w:val="24"/>
              <w:bidi w:val="0"/>
              <w:jc w:val="both"/>
              <w:rPr>
                <w:rFonts w:hint="default"/>
                <w:color w:val="auto"/>
                <w:lang w:val="zh-CN"/>
              </w:rPr>
            </w:pPr>
            <w:r>
              <w:rPr>
                <w:rFonts w:hint="default"/>
                <w:color w:val="auto"/>
                <w:lang w:val="zh-CN"/>
              </w:rPr>
              <w:t>场地交通便利，道路布置符合要求。</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08D96560">
            <w:pPr>
              <w:pStyle w:val="24"/>
              <w:bidi w:val="0"/>
              <w:rPr>
                <w:rFonts w:hint="default"/>
                <w:color w:val="auto"/>
                <w:lang w:val="zh-CN"/>
              </w:rPr>
            </w:pPr>
            <w:r>
              <w:rPr>
                <w:rFonts w:hint="default"/>
                <w:color w:val="auto"/>
                <w:lang w:val="zh-CN"/>
              </w:rPr>
              <w:t>符合</w:t>
            </w:r>
          </w:p>
        </w:tc>
      </w:tr>
      <w:tr w14:paraId="49AD8A44">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6C7318B">
            <w:pPr>
              <w:pStyle w:val="24"/>
              <w:bidi w:val="0"/>
              <w:rPr>
                <w:rFonts w:hint="default"/>
                <w:color w:val="auto"/>
              </w:rPr>
            </w:pPr>
            <w:r>
              <w:rPr>
                <w:rFonts w:hint="default"/>
                <w:color w:val="auto"/>
              </w:rPr>
              <w:t>3</w:t>
            </w:r>
          </w:p>
        </w:tc>
        <w:tc>
          <w:tcPr>
            <w:tcW w:w="8598" w:type="dxa"/>
            <w:gridSpan w:val="4"/>
            <w:tcBorders>
              <w:top w:val="single" w:color="auto" w:sz="6" w:space="0"/>
              <w:left w:val="single" w:color="auto" w:sz="6" w:space="0"/>
              <w:bottom w:val="single" w:color="auto" w:sz="6" w:space="0"/>
              <w:right w:val="single" w:color="auto" w:sz="6" w:space="0"/>
            </w:tcBorders>
            <w:noWrap w:val="0"/>
            <w:vAlign w:val="center"/>
          </w:tcPr>
          <w:p w14:paraId="670BEEBD">
            <w:pPr>
              <w:pStyle w:val="24"/>
              <w:bidi w:val="0"/>
              <w:jc w:val="center"/>
              <w:rPr>
                <w:rFonts w:hint="default"/>
                <w:color w:val="auto"/>
              </w:rPr>
            </w:pPr>
            <w:r>
              <w:rPr>
                <w:rFonts w:hint="default"/>
                <w:color w:val="auto"/>
                <w:lang w:val="zh-CN"/>
              </w:rPr>
              <w:t>厂区道路</w:t>
            </w:r>
          </w:p>
        </w:tc>
      </w:tr>
      <w:tr w14:paraId="0AAE49F2">
        <w:tblPrEx>
          <w:tblCellMar>
            <w:top w:w="0" w:type="dxa"/>
            <w:left w:w="108" w:type="dxa"/>
            <w:bottom w:w="0" w:type="dxa"/>
            <w:right w:w="108" w:type="dxa"/>
          </w:tblCellMar>
        </w:tblPrEx>
        <w:trPr>
          <w:trHeight w:val="660" w:hRule="atLeast"/>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611A556">
            <w:pPr>
              <w:pStyle w:val="24"/>
              <w:bidi w:val="0"/>
              <w:rPr>
                <w:rFonts w:hint="eastAsia" w:eastAsia="宋体"/>
                <w:color w:val="auto"/>
                <w:lang w:eastAsia="zh-CN"/>
              </w:rPr>
            </w:pPr>
            <w:r>
              <w:rPr>
                <w:rFonts w:hint="default"/>
                <w:color w:val="auto"/>
              </w:rPr>
              <w:t>3.</w:t>
            </w:r>
            <w:r>
              <w:rPr>
                <w:rFonts w:hint="eastAsia"/>
                <w:color w:val="auto"/>
                <w:lang w:val="en-US" w:eastAsia="zh-CN"/>
              </w:rPr>
              <w:t>1</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0FA7A819">
            <w:pPr>
              <w:pStyle w:val="24"/>
              <w:bidi w:val="0"/>
              <w:jc w:val="both"/>
              <w:rPr>
                <w:rFonts w:hint="default"/>
                <w:color w:val="auto"/>
                <w:lang w:val="zh-CN"/>
              </w:rPr>
            </w:pPr>
            <w:r>
              <w:rPr>
                <w:rFonts w:hint="default"/>
                <w:color w:val="auto"/>
                <w:lang w:val="zh-CN"/>
              </w:rPr>
              <w:t>厂外道路已形成，为原有简易道路，宽度4~6m，路面为土石路面。</w:t>
            </w:r>
          </w:p>
          <w:p w14:paraId="22DFFA55">
            <w:pPr>
              <w:pStyle w:val="24"/>
              <w:bidi w:val="0"/>
              <w:jc w:val="both"/>
              <w:rPr>
                <w:rFonts w:hint="default"/>
                <w:color w:val="auto"/>
                <w:lang w:val="zh-CN"/>
              </w:rPr>
            </w:pPr>
            <w:r>
              <w:rPr>
                <w:rFonts w:hint="default"/>
                <w:color w:val="auto"/>
                <w:lang w:val="zh-CN"/>
              </w:rPr>
              <w:t>厂内通过主要道路联系各个车间，进入生产区的道路路面宽度5m。道路路面结构为面层C25混凝土25cm，垫层35cm。为保护路面，厂区主干道设置立路牙，道路采用单面横坡，横坡坡度为1.5%。厂内与厂外道路的连接道路采用泥结碎石路面，路宽6m。厂内道路坡度控制在10%以内。</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4C89DA6C">
            <w:pPr>
              <w:pStyle w:val="24"/>
              <w:bidi w:val="0"/>
              <w:rPr>
                <w:rFonts w:hint="default"/>
                <w:color w:val="auto"/>
                <w:lang w:val="zh-CN"/>
              </w:rPr>
            </w:pPr>
            <w:r>
              <w:rPr>
                <w:rFonts w:hint="default"/>
                <w:color w:val="auto"/>
                <w:lang w:val="zh-CN"/>
              </w:rPr>
              <w:t>《初步设计》</w:t>
            </w:r>
          </w:p>
          <w:p w14:paraId="2269CB9D">
            <w:pPr>
              <w:pStyle w:val="24"/>
              <w:bidi w:val="0"/>
              <w:rPr>
                <w:rFonts w:hint="default"/>
                <w:color w:val="auto"/>
                <w:lang w:val="zh-CN"/>
              </w:rPr>
            </w:pPr>
            <w:r>
              <w:rPr>
                <w:rFonts w:hint="default"/>
                <w:color w:val="auto"/>
                <w:lang w:val="zh-CN"/>
              </w:rPr>
              <w:t>第</w:t>
            </w:r>
            <w:r>
              <w:rPr>
                <w:rFonts w:hint="eastAsia"/>
                <w:color w:val="auto"/>
                <w:lang w:val="en-US" w:eastAsia="zh-CN"/>
              </w:rPr>
              <w:t>4</w:t>
            </w:r>
            <w:r>
              <w:rPr>
                <w:rFonts w:hint="default"/>
                <w:color w:val="auto"/>
                <w:lang w:val="en-US" w:eastAsia="zh-CN"/>
              </w:rPr>
              <w:t>.3</w:t>
            </w:r>
            <w:r>
              <w:rPr>
                <w:rFonts w:hint="default"/>
                <w:color w:val="auto"/>
                <w:lang w:val="zh-CN"/>
              </w:rPr>
              <w:t>节</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4C2A58EF">
            <w:pPr>
              <w:pStyle w:val="24"/>
              <w:bidi w:val="0"/>
              <w:jc w:val="both"/>
              <w:rPr>
                <w:rFonts w:hint="default"/>
                <w:color w:val="auto"/>
                <w:lang w:val="zh-CN" w:eastAsia="zh-CN"/>
              </w:rPr>
            </w:pPr>
            <w:r>
              <w:rPr>
                <w:rFonts w:hint="default"/>
                <w:color w:val="auto"/>
                <w:lang w:val="zh-CN"/>
              </w:rPr>
              <w:t>厂区</w:t>
            </w:r>
            <w:r>
              <w:rPr>
                <w:rFonts w:hint="default"/>
                <w:color w:val="auto"/>
                <w:lang w:val="en-US" w:eastAsia="zh-CN"/>
              </w:rPr>
              <w:t>道路已形成，</w:t>
            </w:r>
            <w:r>
              <w:rPr>
                <w:rFonts w:hint="default"/>
                <w:color w:val="auto"/>
                <w:lang w:val="zh-CN"/>
              </w:rPr>
              <w:t>宽度</w:t>
            </w:r>
            <w:r>
              <w:rPr>
                <w:rFonts w:hint="default"/>
                <w:color w:val="auto"/>
                <w:lang w:val="en-US" w:eastAsia="zh-CN"/>
              </w:rPr>
              <w:t>4-6</w:t>
            </w:r>
            <w:r>
              <w:rPr>
                <w:rFonts w:hint="default"/>
                <w:color w:val="auto"/>
                <w:lang w:val="zh-CN"/>
              </w:rPr>
              <w:t>m，路面为土石路面。厂内通过主要道路联系各个车间，进入生产区的道路路面宽度5m</w:t>
            </w:r>
            <w:r>
              <w:rPr>
                <w:rFonts w:hint="eastAsia"/>
                <w:color w:val="auto"/>
                <w:lang w:val="zh-CN"/>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0603542">
            <w:pPr>
              <w:pStyle w:val="24"/>
              <w:bidi w:val="0"/>
              <w:rPr>
                <w:rFonts w:hint="default"/>
                <w:color w:val="auto"/>
              </w:rPr>
            </w:pPr>
            <w:r>
              <w:rPr>
                <w:rFonts w:hint="default"/>
                <w:color w:val="auto"/>
              </w:rPr>
              <w:t>符合</w:t>
            </w:r>
          </w:p>
        </w:tc>
      </w:tr>
      <w:tr w14:paraId="35BA782E">
        <w:tblPrEx>
          <w:tblCellMar>
            <w:top w:w="0" w:type="dxa"/>
            <w:left w:w="108" w:type="dxa"/>
            <w:bottom w:w="0" w:type="dxa"/>
            <w:right w:w="108" w:type="dxa"/>
          </w:tblCellMar>
        </w:tblPrEx>
        <w:trPr>
          <w:trHeight w:val="3047" w:hRule="atLeast"/>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72247B80">
            <w:pPr>
              <w:pStyle w:val="24"/>
              <w:bidi w:val="0"/>
              <w:rPr>
                <w:rFonts w:hint="eastAsia" w:eastAsia="宋体"/>
                <w:color w:val="auto"/>
                <w:lang w:eastAsia="zh-CN"/>
              </w:rPr>
            </w:pPr>
            <w:r>
              <w:rPr>
                <w:rFonts w:hint="default"/>
                <w:color w:val="auto"/>
              </w:rPr>
              <w:t>3.</w:t>
            </w:r>
            <w:r>
              <w:rPr>
                <w:rFonts w:hint="eastAsia"/>
                <w:color w:val="auto"/>
                <w:lang w:val="en-US" w:eastAsia="zh-CN"/>
              </w:rPr>
              <w:t>2</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31BC9B1B">
            <w:pPr>
              <w:pStyle w:val="24"/>
              <w:bidi w:val="0"/>
              <w:jc w:val="both"/>
              <w:rPr>
                <w:rFonts w:hint="default"/>
                <w:color w:val="auto"/>
                <w:lang w:val="zh-CN"/>
              </w:rPr>
            </w:pPr>
            <w:r>
              <w:rPr>
                <w:rFonts w:hint="default"/>
                <w:color w:val="auto"/>
                <w:lang w:val="zh-CN"/>
              </w:rPr>
              <w:t>1、车辆伤害安全对策措施</w:t>
            </w:r>
          </w:p>
          <w:p w14:paraId="59C37EA7">
            <w:pPr>
              <w:pStyle w:val="24"/>
              <w:bidi w:val="0"/>
              <w:jc w:val="both"/>
              <w:rPr>
                <w:rFonts w:hint="default"/>
                <w:color w:val="auto"/>
                <w:lang w:val="zh-CN"/>
              </w:rPr>
            </w:pPr>
            <w:r>
              <w:rPr>
                <w:rFonts w:hint="default"/>
                <w:color w:val="auto"/>
                <w:lang w:val="zh-CN"/>
              </w:rPr>
              <w:t>厂区道路运输严格执行《工业企业厂内铁路、道路运输安全规程》GB4387道路运输的要求。厂内道路在弯道的横净距和交叉口的视距三角形范围内，无妨碍驾驶员视线的障碍物。</w:t>
            </w:r>
          </w:p>
          <w:p w14:paraId="5D228FC1">
            <w:pPr>
              <w:pStyle w:val="24"/>
              <w:bidi w:val="0"/>
              <w:jc w:val="both"/>
              <w:rPr>
                <w:rFonts w:hint="default"/>
                <w:color w:val="auto"/>
                <w:lang w:val="zh-CN"/>
              </w:rPr>
            </w:pPr>
            <w:r>
              <w:rPr>
                <w:rFonts w:hint="default"/>
                <w:color w:val="auto"/>
                <w:lang w:val="zh-CN"/>
              </w:rPr>
              <w:t>厂区内和车间行驶，应遵循规定的道路，不得从传动带、工程脚手架和低垂的电线下通过。</w:t>
            </w:r>
          </w:p>
          <w:p w14:paraId="6D766575">
            <w:pPr>
              <w:pStyle w:val="24"/>
              <w:bidi w:val="0"/>
              <w:jc w:val="both"/>
              <w:rPr>
                <w:rFonts w:hint="default"/>
                <w:color w:val="auto"/>
                <w:lang w:val="zh-CN"/>
              </w:rPr>
            </w:pPr>
            <w:r>
              <w:rPr>
                <w:rFonts w:hint="default"/>
                <w:color w:val="auto"/>
                <w:lang w:val="zh-CN"/>
              </w:rPr>
              <w:t>机动车在无限速标志的厂内道路行驶时，不得超过20km/h。恶劣天气能见度在5m以内或能见度在10m以内，道路最大纵坡在6%以上时，应停止行驶。车辆必须经过车辆管理机关检验合格，领取号牌和行驶证，方准行驶。号牌和行驶证不准转借、涂改或伪造。</w:t>
            </w:r>
          </w:p>
          <w:p w14:paraId="1A127C08">
            <w:pPr>
              <w:pStyle w:val="24"/>
              <w:bidi w:val="0"/>
              <w:jc w:val="both"/>
              <w:rPr>
                <w:rFonts w:hint="default"/>
                <w:color w:val="auto"/>
                <w:lang w:val="zh-CN"/>
              </w:rPr>
            </w:pPr>
            <w:r>
              <w:rPr>
                <w:rFonts w:hint="default"/>
                <w:color w:val="auto"/>
                <w:lang w:val="zh-CN"/>
              </w:rPr>
              <w:t>机动车的制动器、转向器、喇叭、灯光、雨刷好后视镜必须保持齐全有效，行驶途中，如制动器、转向器、喇叭、灯光发生故障，应停止运行，并在醒目处设置“注意危险”标志后进行修复。</w:t>
            </w:r>
          </w:p>
          <w:p w14:paraId="5DBFC34B">
            <w:pPr>
              <w:pStyle w:val="24"/>
              <w:bidi w:val="0"/>
              <w:jc w:val="both"/>
              <w:rPr>
                <w:rFonts w:hint="default"/>
                <w:color w:val="auto"/>
                <w:lang w:val="zh-CN"/>
              </w:rPr>
            </w:pPr>
            <w:r>
              <w:rPr>
                <w:rFonts w:hint="default"/>
                <w:color w:val="auto"/>
                <w:lang w:val="zh-CN"/>
              </w:rPr>
              <w:t>2、机动车驾驶员应遵守下列规定：</w:t>
            </w:r>
          </w:p>
          <w:p w14:paraId="2B3311F2">
            <w:pPr>
              <w:pStyle w:val="24"/>
              <w:bidi w:val="0"/>
              <w:jc w:val="both"/>
              <w:rPr>
                <w:rFonts w:hint="default"/>
                <w:color w:val="auto"/>
                <w:lang w:val="zh-CN"/>
              </w:rPr>
            </w:pPr>
            <w:r>
              <w:rPr>
                <w:rFonts w:hint="default"/>
                <w:color w:val="auto"/>
                <w:lang w:val="zh-CN"/>
              </w:rPr>
              <w:t>（1）驾驶车辆时，必须携带驾驶证和行驶证；</w:t>
            </w:r>
          </w:p>
          <w:p w14:paraId="58867D74">
            <w:pPr>
              <w:pStyle w:val="24"/>
              <w:bidi w:val="0"/>
              <w:jc w:val="both"/>
              <w:rPr>
                <w:rFonts w:hint="default"/>
                <w:color w:val="auto"/>
                <w:lang w:val="zh-CN"/>
              </w:rPr>
            </w:pPr>
            <w:r>
              <w:rPr>
                <w:rFonts w:hint="default"/>
                <w:color w:val="auto"/>
                <w:lang w:val="zh-CN"/>
              </w:rPr>
              <w:t>（2）不得驾驶与驾驶证不符的车辆；</w:t>
            </w:r>
          </w:p>
          <w:p w14:paraId="028AEFD3">
            <w:pPr>
              <w:pStyle w:val="24"/>
              <w:bidi w:val="0"/>
              <w:jc w:val="both"/>
              <w:rPr>
                <w:rFonts w:hint="default"/>
                <w:color w:val="auto"/>
                <w:lang w:val="zh-CN"/>
              </w:rPr>
            </w:pPr>
            <w:r>
              <w:rPr>
                <w:rFonts w:hint="default"/>
                <w:color w:val="auto"/>
                <w:lang w:val="zh-CN"/>
              </w:rPr>
              <w:t>（3）驾驶室不得超额坐人；</w:t>
            </w:r>
          </w:p>
          <w:p w14:paraId="0B62673E">
            <w:pPr>
              <w:pStyle w:val="24"/>
              <w:bidi w:val="0"/>
              <w:jc w:val="both"/>
              <w:rPr>
                <w:rFonts w:hint="default"/>
                <w:color w:val="auto"/>
                <w:lang w:val="zh-CN"/>
              </w:rPr>
            </w:pPr>
            <w:r>
              <w:rPr>
                <w:rFonts w:hint="default"/>
                <w:color w:val="auto"/>
                <w:lang w:val="zh-CN"/>
              </w:rPr>
              <w:t>（4）严禁酒后驾驶车辆，不得在行驶时吸烟、饮食、闲谈或其他妨碍安全行车的行为；</w:t>
            </w:r>
          </w:p>
          <w:p w14:paraId="0FA9085D">
            <w:pPr>
              <w:pStyle w:val="24"/>
              <w:bidi w:val="0"/>
              <w:jc w:val="both"/>
              <w:rPr>
                <w:rFonts w:hint="default"/>
                <w:color w:val="auto"/>
                <w:lang w:val="zh-CN"/>
              </w:rPr>
            </w:pPr>
            <w:r>
              <w:rPr>
                <w:rFonts w:hint="default"/>
                <w:color w:val="auto"/>
                <w:lang w:val="zh-CN"/>
              </w:rPr>
              <w:t>（5）身体过度疲劳或患病有碍行车安全时，不得驾驶车辆；</w:t>
            </w:r>
          </w:p>
          <w:p w14:paraId="362EA0AB">
            <w:pPr>
              <w:pStyle w:val="24"/>
              <w:bidi w:val="0"/>
              <w:jc w:val="both"/>
              <w:rPr>
                <w:rFonts w:hint="default"/>
                <w:color w:val="auto"/>
                <w:lang w:val="zh-CN"/>
              </w:rPr>
            </w:pPr>
            <w:r>
              <w:rPr>
                <w:rFonts w:hint="default"/>
                <w:color w:val="auto"/>
                <w:lang w:val="zh-CN"/>
              </w:rPr>
              <w:t>（6）试车时，必须挂试车牌照，不得在非试车区域内试车。</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149C3BE">
            <w:pPr>
              <w:pStyle w:val="24"/>
              <w:bidi w:val="0"/>
              <w:rPr>
                <w:rFonts w:hint="default"/>
                <w:color w:val="auto"/>
              </w:rPr>
            </w:pPr>
            <w:r>
              <w:rPr>
                <w:rFonts w:hint="default"/>
                <w:color w:val="auto"/>
              </w:rPr>
              <w:t>《安全设施设计》</w:t>
            </w:r>
          </w:p>
          <w:p w14:paraId="0A4ED104">
            <w:pPr>
              <w:pStyle w:val="24"/>
              <w:bidi w:val="0"/>
              <w:rPr>
                <w:rFonts w:hint="default"/>
                <w:color w:val="auto"/>
              </w:rPr>
            </w:pPr>
            <w:r>
              <w:rPr>
                <w:rFonts w:hint="default"/>
                <w:color w:val="auto"/>
              </w:rPr>
              <w:t>第5.9.5节</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0156EDBB">
            <w:pPr>
              <w:pStyle w:val="24"/>
              <w:bidi w:val="0"/>
              <w:jc w:val="both"/>
              <w:rPr>
                <w:rFonts w:hint="default"/>
                <w:color w:val="auto"/>
              </w:rPr>
            </w:pPr>
            <w:r>
              <w:rPr>
                <w:rFonts w:hint="default"/>
                <w:color w:val="auto"/>
              </w:rPr>
              <w:t>厂区内道路均限速。安全管理制度中已明确机动车恶劣天气禁止行驶。</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5BEEF570">
            <w:pPr>
              <w:pStyle w:val="24"/>
              <w:bidi w:val="0"/>
              <w:rPr>
                <w:rFonts w:hint="default"/>
                <w:color w:val="auto"/>
              </w:rPr>
            </w:pPr>
            <w:r>
              <w:rPr>
                <w:rFonts w:hint="default"/>
                <w:color w:val="auto"/>
              </w:rPr>
              <w:t>符合</w:t>
            </w:r>
          </w:p>
        </w:tc>
      </w:tr>
      <w:tr w14:paraId="2527DB0E">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43C47030">
            <w:pPr>
              <w:pStyle w:val="24"/>
              <w:bidi w:val="0"/>
              <w:rPr>
                <w:rFonts w:hint="eastAsia" w:eastAsia="宋体"/>
                <w:color w:val="auto"/>
                <w:lang w:eastAsia="zh-CN"/>
              </w:rPr>
            </w:pPr>
            <w:r>
              <w:rPr>
                <w:rFonts w:hint="default"/>
                <w:color w:val="auto"/>
              </w:rPr>
              <w:t>3.</w:t>
            </w:r>
            <w:r>
              <w:rPr>
                <w:rFonts w:hint="eastAsia"/>
                <w:color w:val="auto"/>
                <w:lang w:val="en-US" w:eastAsia="zh-CN"/>
              </w:rPr>
              <w:t>3</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87B08C1">
            <w:pPr>
              <w:pStyle w:val="24"/>
              <w:bidi w:val="0"/>
              <w:jc w:val="both"/>
              <w:rPr>
                <w:rFonts w:hint="default"/>
                <w:color w:val="auto"/>
              </w:rPr>
            </w:pPr>
            <w:r>
              <w:rPr>
                <w:rFonts w:hint="default"/>
                <w:color w:val="auto"/>
                <w:lang w:val="zh-CN"/>
              </w:rPr>
              <w:t>运输线路的布置应满足生产要求，物流顺畅，线路短捷，人流、物流组织合理。</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0757D42E">
            <w:pPr>
              <w:pStyle w:val="24"/>
              <w:bidi w:val="0"/>
              <w:rPr>
                <w:rFonts w:hint="default"/>
                <w:color w:val="auto"/>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r>
              <w:rPr>
                <w:rFonts w:hint="default"/>
                <w:color w:val="auto"/>
              </w:rPr>
              <w:t>6.1.1</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35F28700">
            <w:pPr>
              <w:pStyle w:val="24"/>
              <w:bidi w:val="0"/>
              <w:jc w:val="both"/>
              <w:rPr>
                <w:rFonts w:hint="default"/>
                <w:color w:val="auto"/>
              </w:rPr>
            </w:pPr>
            <w:r>
              <w:rPr>
                <w:rFonts w:hint="default"/>
                <w:color w:val="auto"/>
                <w:lang w:val="zh-CN"/>
              </w:rPr>
              <w:t>该项目布局紧凑，物流及人流通道风</w:t>
            </w:r>
            <w:r>
              <w:rPr>
                <w:rFonts w:hint="eastAsia"/>
                <w:color w:val="auto"/>
                <w:lang w:val="en-US" w:eastAsia="zh-CN"/>
              </w:rPr>
              <w:t>分</w:t>
            </w:r>
            <w:r>
              <w:rPr>
                <w:rFonts w:hint="default"/>
                <w:color w:val="auto"/>
                <w:lang w:val="zh-CN"/>
              </w:rPr>
              <w:t>别设置。</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76B189A">
            <w:pPr>
              <w:pStyle w:val="24"/>
              <w:bidi w:val="0"/>
              <w:rPr>
                <w:rFonts w:hint="default"/>
                <w:color w:val="auto"/>
              </w:rPr>
            </w:pPr>
            <w:r>
              <w:rPr>
                <w:rFonts w:hint="default"/>
                <w:color w:val="auto"/>
                <w:lang w:val="zh-CN"/>
              </w:rPr>
              <w:t>符合</w:t>
            </w:r>
          </w:p>
        </w:tc>
      </w:tr>
      <w:tr w14:paraId="1C5B5BE1">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CCD8299">
            <w:pPr>
              <w:pStyle w:val="24"/>
              <w:bidi w:val="0"/>
              <w:rPr>
                <w:rFonts w:hint="eastAsia" w:eastAsia="宋体"/>
                <w:color w:val="auto"/>
                <w:lang w:eastAsia="zh-CN"/>
              </w:rPr>
            </w:pPr>
            <w:r>
              <w:rPr>
                <w:rFonts w:hint="default"/>
                <w:color w:val="auto"/>
              </w:rPr>
              <w:t>3.</w:t>
            </w:r>
            <w:r>
              <w:rPr>
                <w:rFonts w:hint="eastAsia"/>
                <w:color w:val="auto"/>
                <w:lang w:val="en-US" w:eastAsia="zh-CN"/>
              </w:rPr>
              <w:t>4</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5EF4A75">
            <w:pPr>
              <w:pStyle w:val="24"/>
              <w:bidi w:val="0"/>
              <w:jc w:val="both"/>
              <w:rPr>
                <w:rFonts w:hint="default"/>
                <w:color w:val="auto"/>
                <w:lang w:val="zh-CN"/>
              </w:rPr>
            </w:pPr>
            <w:r>
              <w:rPr>
                <w:rFonts w:hint="default"/>
                <w:color w:val="auto"/>
                <w:lang w:val="zh-CN"/>
              </w:rPr>
              <w:t>人行道的布置，应符合下列要求：</w:t>
            </w:r>
          </w:p>
          <w:p w14:paraId="344AA580">
            <w:pPr>
              <w:pStyle w:val="24"/>
              <w:bidi w:val="0"/>
              <w:jc w:val="both"/>
              <w:rPr>
                <w:rFonts w:hint="default"/>
                <w:color w:val="auto"/>
                <w:lang w:val="zh-CN"/>
              </w:rPr>
            </w:pPr>
            <w:r>
              <w:rPr>
                <w:rFonts w:hint="default"/>
                <w:color w:val="auto"/>
                <w:lang w:val="zh-CN"/>
              </w:rPr>
              <w:t>1．人行道的宽度，不宜小于1.0m；沿主干道布置时，不宜小于1.5m。人行道的宽度超过1.5m时，宜按0.5m倍数递增；</w:t>
            </w:r>
          </w:p>
          <w:p w14:paraId="69CB2A1F">
            <w:pPr>
              <w:pStyle w:val="24"/>
              <w:bidi w:val="0"/>
              <w:jc w:val="both"/>
              <w:rPr>
                <w:rFonts w:hint="default"/>
                <w:color w:val="auto"/>
                <w:lang w:val="zh-CN"/>
              </w:rPr>
            </w:pPr>
            <w:r>
              <w:rPr>
                <w:rFonts w:hint="default"/>
                <w:color w:val="auto"/>
                <w:lang w:val="zh-CN"/>
              </w:rPr>
              <w:t>2．人行道边缘至建筑物外墙的净距，当屋面有组织排水时，不宜小于1.0m；当屋面无组织排水时，不宜小于1.5m；</w:t>
            </w:r>
          </w:p>
          <w:p w14:paraId="557A2B56">
            <w:pPr>
              <w:pStyle w:val="24"/>
              <w:bidi w:val="0"/>
              <w:jc w:val="both"/>
              <w:rPr>
                <w:rFonts w:hint="default"/>
                <w:color w:val="auto"/>
                <w:lang w:val="zh-CN"/>
              </w:rPr>
            </w:pPr>
            <w:r>
              <w:rPr>
                <w:rFonts w:hint="default"/>
                <w:color w:val="auto"/>
                <w:lang w:val="zh-CN"/>
              </w:rPr>
              <w:t>3．当人行道的边缘至准轨铁路中心线的距离小于3.75m时，其靠近铁路线路侧应设置防护栏杆。</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34CB50E">
            <w:pPr>
              <w:pStyle w:val="24"/>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r>
              <w:rPr>
                <w:rFonts w:hint="default"/>
                <w:color w:val="auto"/>
              </w:rPr>
              <w:t>6.4.12</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45CB24FD">
            <w:pPr>
              <w:pStyle w:val="24"/>
              <w:bidi w:val="0"/>
              <w:jc w:val="both"/>
              <w:rPr>
                <w:rFonts w:hint="default"/>
                <w:color w:val="auto"/>
              </w:rPr>
            </w:pPr>
            <w:r>
              <w:rPr>
                <w:rFonts w:hint="default"/>
                <w:color w:val="auto"/>
              </w:rPr>
              <w:t>该项目人行通道沿主干道布置，其宽度满足要求。</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3BBA6D88">
            <w:pPr>
              <w:pStyle w:val="24"/>
              <w:bidi w:val="0"/>
              <w:rPr>
                <w:rFonts w:hint="default"/>
                <w:color w:val="auto"/>
              </w:rPr>
            </w:pPr>
            <w:r>
              <w:rPr>
                <w:rFonts w:hint="default"/>
                <w:color w:val="auto"/>
              </w:rPr>
              <w:t>符合</w:t>
            </w:r>
          </w:p>
        </w:tc>
      </w:tr>
      <w:tr w14:paraId="426FF9FF">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44EDF125">
            <w:pPr>
              <w:pStyle w:val="24"/>
              <w:bidi w:val="0"/>
              <w:rPr>
                <w:rFonts w:hint="eastAsia" w:eastAsia="宋体"/>
                <w:color w:val="auto"/>
                <w:lang w:eastAsia="zh-CN"/>
              </w:rPr>
            </w:pPr>
            <w:r>
              <w:rPr>
                <w:rFonts w:hint="default"/>
                <w:color w:val="auto"/>
              </w:rPr>
              <w:t>3.</w:t>
            </w:r>
            <w:r>
              <w:rPr>
                <w:rFonts w:hint="eastAsia"/>
                <w:color w:val="auto"/>
                <w:lang w:val="en-US" w:eastAsia="zh-CN"/>
              </w:rPr>
              <w:t>5</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53ACE05B">
            <w:pPr>
              <w:pStyle w:val="24"/>
              <w:bidi w:val="0"/>
              <w:jc w:val="both"/>
              <w:rPr>
                <w:rFonts w:hint="default"/>
                <w:color w:val="auto"/>
              </w:rPr>
            </w:pPr>
            <w:r>
              <w:rPr>
                <w:rFonts w:hint="default"/>
                <w:color w:val="auto"/>
                <w:lang w:val="zh-CN"/>
              </w:rPr>
              <w:t>路面平整、路基稳固、边坡整齐、排水良好。</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04D315F4">
            <w:pPr>
              <w:pStyle w:val="24"/>
              <w:bidi w:val="0"/>
              <w:rPr>
                <w:rFonts w:hint="default"/>
                <w:color w:val="auto"/>
              </w:rPr>
            </w:pPr>
            <w:r>
              <w:rPr>
                <w:rFonts w:hint="default"/>
                <w:color w:val="auto"/>
                <w:lang w:val="zh-CN"/>
              </w:rPr>
              <w:t>《工业企业厂内铁路、道路运输安全规程》（GB 4387-2008</w:t>
            </w:r>
            <w:r>
              <w:rPr>
                <w:rFonts w:hint="eastAsia"/>
                <w:color w:val="auto"/>
                <w:lang w:val="zh-CN"/>
              </w:rPr>
              <w:t>）</w:t>
            </w:r>
            <w:r>
              <w:rPr>
                <w:rFonts w:hint="default"/>
                <w:color w:val="auto"/>
                <w:lang w:val="zh-CN"/>
              </w:rPr>
              <w:t>5.1.1</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6A5689F3">
            <w:pPr>
              <w:pStyle w:val="24"/>
              <w:bidi w:val="0"/>
              <w:jc w:val="both"/>
              <w:rPr>
                <w:rFonts w:hint="default"/>
                <w:color w:val="auto"/>
              </w:rPr>
            </w:pPr>
            <w:r>
              <w:rPr>
                <w:rFonts w:hint="default"/>
                <w:color w:val="auto"/>
                <w:lang w:val="zh-CN"/>
              </w:rPr>
              <w:t>道路</w:t>
            </w:r>
            <w:r>
              <w:rPr>
                <w:rFonts w:hint="default"/>
                <w:color w:val="auto"/>
              </w:rPr>
              <w:t>内</w:t>
            </w:r>
            <w:r>
              <w:rPr>
                <w:rFonts w:hint="default"/>
                <w:color w:val="auto"/>
                <w:lang w:val="zh-CN"/>
              </w:rPr>
              <w:t>侧设置有排水沟，能满足要求。</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5E6B09D">
            <w:pPr>
              <w:pStyle w:val="24"/>
              <w:bidi w:val="0"/>
              <w:rPr>
                <w:rFonts w:hint="default"/>
                <w:color w:val="auto"/>
              </w:rPr>
            </w:pPr>
            <w:r>
              <w:rPr>
                <w:rFonts w:hint="default"/>
                <w:color w:val="auto"/>
                <w:lang w:val="zh-CN"/>
              </w:rPr>
              <w:t>符合</w:t>
            </w:r>
          </w:p>
        </w:tc>
      </w:tr>
    </w:tbl>
    <w:p w14:paraId="4B5B7250">
      <w:pPr>
        <w:pStyle w:val="4"/>
        <w:bidi w:val="0"/>
        <w:rPr>
          <w:rFonts w:hint="eastAsia"/>
          <w:color w:val="auto"/>
        </w:rPr>
      </w:pPr>
      <w:bookmarkStart w:id="150" w:name="_Toc4339"/>
      <w:bookmarkStart w:id="151" w:name="_Toc26589"/>
      <w:r>
        <w:rPr>
          <w:rFonts w:hint="eastAsia"/>
          <w:color w:val="auto"/>
        </w:rPr>
        <w:t>5.2.2 单元评价小结</w:t>
      </w:r>
      <w:bookmarkEnd w:id="150"/>
      <w:bookmarkEnd w:id="151"/>
    </w:p>
    <w:p w14:paraId="5B48FCEF">
      <w:pPr>
        <w:bidi w:val="0"/>
        <w:rPr>
          <w:rFonts w:hint="eastAsia"/>
          <w:color w:val="auto"/>
        </w:rPr>
      </w:pPr>
      <w:r>
        <w:rPr>
          <w:rFonts w:hint="eastAsia"/>
          <w:color w:val="auto"/>
        </w:rPr>
        <w:t>该项目位于</w:t>
      </w:r>
      <w:r>
        <w:rPr>
          <w:rFonts w:hint="eastAsia"/>
          <w:color w:val="auto"/>
          <w:lang w:eastAsia="zh-CN"/>
        </w:rPr>
        <w:t>昆明市寻甸县柯渡镇猴街办事处其纳海村</w:t>
      </w:r>
      <w:r>
        <w:rPr>
          <w:rFonts w:hint="eastAsia"/>
          <w:color w:val="auto"/>
        </w:rPr>
        <w:t>，选址符合当地规划；项目的总平面布置按工艺流程而建，总平面布置合理，功能设置分区划分明确，符合《工业企业总平面设计规范》（GB 50187-2012）及《选矿安全规程》（GB/T 18152-2000）、《安全设施设计》等相关规范及文件的要求，具备安全验收条件。</w:t>
      </w:r>
    </w:p>
    <w:p w14:paraId="5CBEB319">
      <w:pPr>
        <w:pStyle w:val="3"/>
        <w:bidi w:val="0"/>
        <w:rPr>
          <w:rFonts w:hint="eastAsia"/>
          <w:color w:val="auto"/>
        </w:rPr>
      </w:pPr>
      <w:bookmarkStart w:id="152" w:name="_Toc20613"/>
      <w:bookmarkStart w:id="153" w:name="_Toc425"/>
      <w:r>
        <w:rPr>
          <w:rFonts w:hint="eastAsia"/>
          <w:color w:val="auto"/>
        </w:rPr>
        <w:t>5.3 生产工艺及设备单元分析评价</w:t>
      </w:r>
      <w:bookmarkEnd w:id="152"/>
      <w:bookmarkEnd w:id="153"/>
    </w:p>
    <w:p w14:paraId="7CD8FD9F">
      <w:pPr>
        <w:pStyle w:val="4"/>
        <w:bidi w:val="0"/>
        <w:rPr>
          <w:rFonts w:hint="eastAsia"/>
          <w:color w:val="auto"/>
        </w:rPr>
      </w:pPr>
      <w:bookmarkStart w:id="154" w:name="_Toc26154"/>
      <w:bookmarkStart w:id="155" w:name="_Toc24302"/>
      <w:r>
        <w:rPr>
          <w:rFonts w:hint="eastAsia"/>
          <w:color w:val="auto"/>
        </w:rPr>
        <w:t>5.3.1</w:t>
      </w:r>
      <w:r>
        <w:rPr>
          <w:rFonts w:hint="eastAsia"/>
          <w:color w:val="auto"/>
          <w:lang w:val="en-US" w:eastAsia="zh-CN"/>
        </w:rPr>
        <w:t xml:space="preserve"> </w:t>
      </w:r>
      <w:r>
        <w:rPr>
          <w:rFonts w:hint="eastAsia"/>
          <w:color w:val="auto"/>
        </w:rPr>
        <w:t>生产工艺及设备安全检查表</w:t>
      </w:r>
      <w:bookmarkEnd w:id="154"/>
      <w:bookmarkEnd w:id="155"/>
    </w:p>
    <w:p w14:paraId="2550BEC6">
      <w:pPr>
        <w:bidi w:val="0"/>
        <w:rPr>
          <w:rFonts w:hint="eastAsia"/>
          <w:color w:val="auto"/>
        </w:rPr>
      </w:pPr>
      <w:r>
        <w:rPr>
          <w:rFonts w:hint="eastAsia"/>
          <w:color w:val="auto"/>
        </w:rPr>
        <w:t>根据该项目的《安全设施设计》及《选矿安全规程》（GB/T 18152-2000）相关要求对该项目进行安全检查，其检查情况如下表所示：</w:t>
      </w:r>
    </w:p>
    <w:p w14:paraId="69839402">
      <w:pPr>
        <w:pStyle w:val="23"/>
        <w:bidi w:val="0"/>
        <w:rPr>
          <w:color w:val="auto"/>
        </w:rPr>
      </w:pPr>
      <w:r>
        <w:rPr>
          <w:rFonts w:hint="eastAsia"/>
          <w:color w:val="auto"/>
        </w:rPr>
        <w:t>表5.3-1  生产工艺、生产设备及特种设备安全检查表</w:t>
      </w:r>
    </w:p>
    <w:tbl>
      <w:tblPr>
        <w:tblStyle w:val="18"/>
        <w:tblW w:w="9403" w:type="dxa"/>
        <w:jc w:val="center"/>
        <w:tblLayout w:type="fixed"/>
        <w:tblCellMar>
          <w:top w:w="0" w:type="dxa"/>
          <w:left w:w="108" w:type="dxa"/>
          <w:bottom w:w="0" w:type="dxa"/>
          <w:right w:w="108" w:type="dxa"/>
        </w:tblCellMar>
      </w:tblPr>
      <w:tblGrid>
        <w:gridCol w:w="721"/>
        <w:gridCol w:w="4750"/>
        <w:gridCol w:w="1362"/>
        <w:gridCol w:w="1725"/>
        <w:gridCol w:w="845"/>
      </w:tblGrid>
      <w:tr w14:paraId="2797AF2D">
        <w:tblPrEx>
          <w:tblCellMar>
            <w:top w:w="0" w:type="dxa"/>
            <w:left w:w="108" w:type="dxa"/>
            <w:bottom w:w="0" w:type="dxa"/>
            <w:right w:w="108" w:type="dxa"/>
          </w:tblCellMar>
        </w:tblPrEx>
        <w:trPr>
          <w:trHeight w:val="567" w:hRule="atLeast"/>
          <w:tblHeade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C9CAEE0">
            <w:pPr>
              <w:pStyle w:val="24"/>
              <w:bidi w:val="0"/>
              <w:rPr>
                <w:rFonts w:hint="default"/>
                <w:b/>
                <w:bCs/>
                <w:color w:val="auto"/>
              </w:rPr>
            </w:pPr>
            <w:r>
              <w:rPr>
                <w:rFonts w:hint="default"/>
                <w:b/>
                <w:bCs/>
                <w:color w:val="auto"/>
                <w:lang w:val="zh-CN"/>
              </w:rPr>
              <w:t>序号</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240D7B8">
            <w:pPr>
              <w:pStyle w:val="24"/>
              <w:bidi w:val="0"/>
              <w:jc w:val="center"/>
              <w:rPr>
                <w:rFonts w:hint="default"/>
                <w:b/>
                <w:bCs/>
                <w:color w:val="auto"/>
              </w:rPr>
            </w:pPr>
            <w:r>
              <w:rPr>
                <w:rFonts w:hint="default"/>
                <w:b/>
                <w:bCs/>
                <w:color w:val="auto"/>
                <w:lang w:val="zh-CN"/>
              </w:rPr>
              <w:t>检查内容</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51AFA14B">
            <w:pPr>
              <w:pStyle w:val="24"/>
              <w:bidi w:val="0"/>
              <w:rPr>
                <w:rFonts w:hint="default"/>
                <w:b/>
                <w:bCs/>
                <w:color w:val="auto"/>
              </w:rPr>
            </w:pPr>
            <w:r>
              <w:rPr>
                <w:rFonts w:hint="default"/>
                <w:b/>
                <w:bCs/>
                <w:color w:val="auto"/>
                <w:lang w:val="zh-CN"/>
              </w:rPr>
              <w:t>检查依据</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1EF87B9F">
            <w:pPr>
              <w:pStyle w:val="24"/>
              <w:bidi w:val="0"/>
              <w:rPr>
                <w:rFonts w:hint="default"/>
                <w:b/>
                <w:bCs/>
                <w:color w:val="auto"/>
                <w:lang w:val="zh-CN"/>
              </w:rPr>
            </w:pPr>
            <w:r>
              <w:rPr>
                <w:rFonts w:hint="default"/>
                <w:b/>
                <w:bCs/>
                <w:color w:val="auto"/>
                <w:lang w:val="zh-CN"/>
              </w:rPr>
              <w:t>检查情况</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02CEE31C">
            <w:pPr>
              <w:pStyle w:val="24"/>
              <w:bidi w:val="0"/>
              <w:rPr>
                <w:rFonts w:hint="default"/>
                <w:b/>
                <w:bCs/>
                <w:color w:val="auto"/>
              </w:rPr>
            </w:pPr>
            <w:r>
              <w:rPr>
                <w:rFonts w:hint="default"/>
                <w:b/>
                <w:bCs/>
                <w:color w:val="auto"/>
                <w:lang w:val="zh-CN"/>
              </w:rPr>
              <w:t>结果</w:t>
            </w:r>
          </w:p>
        </w:tc>
      </w:tr>
      <w:tr w14:paraId="5D774CBD">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183C1BE">
            <w:pPr>
              <w:pStyle w:val="24"/>
              <w:bidi w:val="0"/>
              <w:rPr>
                <w:rFonts w:hint="default"/>
                <w:color w:val="auto"/>
                <w:lang w:val="en-US" w:eastAsia="zh-CN"/>
              </w:rPr>
            </w:pPr>
            <w:r>
              <w:rPr>
                <w:rFonts w:hint="default"/>
                <w:color w:val="auto"/>
                <w:lang w:val="en-US" w:eastAsia="zh-CN"/>
              </w:rPr>
              <w:t>1</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0CE3CC8B">
            <w:pPr>
              <w:pStyle w:val="24"/>
              <w:bidi w:val="0"/>
              <w:jc w:val="center"/>
              <w:rPr>
                <w:rFonts w:hint="default"/>
                <w:color w:val="auto"/>
                <w:lang w:val="zh-CN"/>
              </w:rPr>
            </w:pPr>
            <w:r>
              <w:rPr>
                <w:rFonts w:hint="eastAsia"/>
                <w:color w:val="auto"/>
                <w:lang w:val="en-US" w:eastAsia="zh-CN"/>
              </w:rPr>
              <w:t>浓缩工序及</w:t>
            </w:r>
            <w:r>
              <w:rPr>
                <w:rFonts w:hint="default"/>
                <w:color w:val="auto"/>
                <w:lang w:val="zh-CN"/>
              </w:rPr>
              <w:t>安全</w:t>
            </w:r>
            <w:r>
              <w:rPr>
                <w:rFonts w:hint="eastAsia"/>
                <w:color w:val="auto"/>
                <w:lang w:val="en-US" w:eastAsia="zh-CN"/>
              </w:rPr>
              <w:t>防范</w:t>
            </w:r>
            <w:r>
              <w:rPr>
                <w:rFonts w:hint="default"/>
                <w:color w:val="auto"/>
                <w:lang w:val="zh-CN"/>
              </w:rPr>
              <w:t>措施</w:t>
            </w:r>
          </w:p>
        </w:tc>
      </w:tr>
      <w:tr w14:paraId="28FEC5E7">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6B7EA0C">
            <w:pPr>
              <w:pStyle w:val="24"/>
              <w:bidi w:val="0"/>
              <w:rPr>
                <w:rFonts w:hint="default"/>
                <w:color w:val="auto"/>
                <w:lang w:val="en-US" w:eastAsia="zh-CN"/>
              </w:rPr>
            </w:pPr>
            <w:r>
              <w:rPr>
                <w:rFonts w:hint="default"/>
                <w:color w:val="auto"/>
                <w:lang w:val="en-US" w:eastAsia="zh-CN"/>
              </w:rPr>
              <w:t>1.1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7B2244C4">
            <w:pPr>
              <w:pStyle w:val="24"/>
              <w:bidi w:val="0"/>
              <w:jc w:val="both"/>
              <w:rPr>
                <w:rFonts w:hint="default"/>
                <w:color w:val="auto"/>
                <w:lang w:val="zh-CN"/>
              </w:rPr>
            </w:pPr>
            <w:r>
              <w:rPr>
                <w:rFonts w:hint="default"/>
                <w:color w:val="auto"/>
                <w:lang w:val="zh-CN"/>
              </w:rPr>
              <w:t>1、浓缩机安全措施</w:t>
            </w:r>
          </w:p>
          <w:p w14:paraId="7BAE8F83">
            <w:pPr>
              <w:pStyle w:val="24"/>
              <w:bidi w:val="0"/>
              <w:jc w:val="both"/>
              <w:rPr>
                <w:rFonts w:hint="default"/>
                <w:color w:val="auto"/>
                <w:lang w:val="zh-CN"/>
              </w:rPr>
            </w:pPr>
            <w:r>
              <w:rPr>
                <w:rFonts w:hint="default"/>
                <w:color w:val="auto"/>
                <w:lang w:val="zh-CN"/>
              </w:rPr>
              <w:t>（1）浓缩机中心盘的走桥和上下楼梯，设置防护栏杆。</w:t>
            </w:r>
          </w:p>
          <w:p w14:paraId="040FF300">
            <w:pPr>
              <w:pStyle w:val="24"/>
              <w:bidi w:val="0"/>
              <w:jc w:val="both"/>
              <w:rPr>
                <w:rFonts w:hint="default"/>
                <w:color w:val="auto"/>
                <w:lang w:val="zh-CN"/>
              </w:rPr>
            </w:pPr>
            <w:r>
              <w:rPr>
                <w:rFonts w:hint="default"/>
                <w:color w:val="auto"/>
                <w:lang w:val="zh-CN"/>
              </w:rPr>
              <w:t>（2）须浓缩而未经浓缩的尾矿浆，除非事故处理需要，尾矿溢流不得任意外排。</w:t>
            </w:r>
          </w:p>
          <w:p w14:paraId="295A62F2">
            <w:pPr>
              <w:pStyle w:val="24"/>
              <w:bidi w:val="0"/>
              <w:jc w:val="both"/>
              <w:rPr>
                <w:rFonts w:hint="default"/>
                <w:color w:val="auto"/>
                <w:lang w:val="zh-CN"/>
              </w:rPr>
            </w:pPr>
            <w:r>
              <w:rPr>
                <w:rFonts w:hint="default"/>
                <w:color w:val="auto"/>
                <w:lang w:val="zh-CN"/>
              </w:rPr>
              <w:t>（3）加强员工安全教育培训，提高自我保护意识，加强警示教育和增强醒目警示标志，防止人员坠入内，造成淹溺事故的发生。</w:t>
            </w:r>
          </w:p>
          <w:p w14:paraId="5F6F81B9">
            <w:pPr>
              <w:pStyle w:val="24"/>
              <w:bidi w:val="0"/>
              <w:jc w:val="both"/>
              <w:rPr>
                <w:rFonts w:hint="default"/>
                <w:color w:val="auto"/>
                <w:lang w:val="zh-CN"/>
              </w:rPr>
            </w:pPr>
            <w:r>
              <w:rPr>
                <w:rFonts w:hint="default"/>
                <w:color w:val="auto"/>
                <w:lang w:val="zh-CN"/>
              </w:rPr>
              <w:t>2、机械隔膜泵安全措施</w:t>
            </w:r>
          </w:p>
          <w:p w14:paraId="5D08FBC4">
            <w:pPr>
              <w:pStyle w:val="24"/>
              <w:bidi w:val="0"/>
              <w:jc w:val="both"/>
              <w:rPr>
                <w:rFonts w:hint="default"/>
                <w:color w:val="auto"/>
                <w:lang w:val="zh-CN"/>
              </w:rPr>
            </w:pPr>
            <w:r>
              <w:rPr>
                <w:rFonts w:hint="default"/>
                <w:color w:val="auto"/>
                <w:lang w:val="zh-CN"/>
              </w:rPr>
              <w:t>（1）设备运行时严格按照工作压力，不得超过设计压力。</w:t>
            </w:r>
          </w:p>
          <w:p w14:paraId="0BE3B70B">
            <w:pPr>
              <w:pStyle w:val="24"/>
              <w:bidi w:val="0"/>
              <w:jc w:val="both"/>
              <w:rPr>
                <w:rFonts w:hint="default"/>
                <w:color w:val="auto"/>
                <w:lang w:val="zh-CN"/>
              </w:rPr>
            </w:pPr>
            <w:r>
              <w:rPr>
                <w:rFonts w:hint="default"/>
                <w:color w:val="auto"/>
                <w:lang w:val="zh-CN"/>
              </w:rPr>
              <w:t>（2）停泵时必须清洗管道以防管道堵塞。</w:t>
            </w:r>
          </w:p>
          <w:p w14:paraId="6D14AAE4">
            <w:pPr>
              <w:pStyle w:val="24"/>
              <w:bidi w:val="0"/>
              <w:jc w:val="both"/>
              <w:rPr>
                <w:rFonts w:hint="default"/>
                <w:color w:val="auto"/>
                <w:lang w:val="zh-CN"/>
              </w:rPr>
            </w:pPr>
            <w:r>
              <w:rPr>
                <w:rFonts w:hint="default"/>
                <w:color w:val="auto"/>
                <w:lang w:val="zh-CN"/>
              </w:rPr>
              <w:t>（3）保持室内清洁、干燥通风，保证配套设备运行环境。</w:t>
            </w:r>
          </w:p>
          <w:p w14:paraId="19DB5F66">
            <w:pPr>
              <w:pStyle w:val="24"/>
              <w:bidi w:val="0"/>
              <w:jc w:val="both"/>
              <w:rPr>
                <w:rFonts w:hint="default"/>
                <w:color w:val="auto"/>
                <w:lang w:val="zh-CN"/>
              </w:rPr>
            </w:pPr>
            <w:r>
              <w:rPr>
                <w:rFonts w:hint="default"/>
                <w:color w:val="auto"/>
                <w:lang w:val="zh-CN"/>
              </w:rPr>
              <w:t>（4）设备运行时的额定电压必须保持稳定。</w:t>
            </w:r>
          </w:p>
          <w:p w14:paraId="4C7266B3">
            <w:pPr>
              <w:pStyle w:val="24"/>
              <w:bidi w:val="0"/>
              <w:jc w:val="both"/>
              <w:rPr>
                <w:rFonts w:hint="default"/>
                <w:color w:val="auto"/>
                <w:lang w:val="zh-CN"/>
              </w:rPr>
            </w:pPr>
            <w:r>
              <w:rPr>
                <w:rFonts w:hint="default"/>
                <w:color w:val="auto"/>
                <w:lang w:val="zh-CN"/>
              </w:rPr>
              <w:t>（5）必须严格按照设备维护使用说明书操作。</w:t>
            </w:r>
          </w:p>
          <w:p w14:paraId="39126AF7">
            <w:pPr>
              <w:pStyle w:val="24"/>
              <w:bidi w:val="0"/>
              <w:jc w:val="both"/>
              <w:rPr>
                <w:rFonts w:hint="default"/>
                <w:color w:val="auto"/>
                <w:lang w:val="zh-CN"/>
              </w:rPr>
            </w:pPr>
            <w:r>
              <w:rPr>
                <w:rFonts w:hint="default"/>
                <w:color w:val="auto"/>
                <w:lang w:val="zh-CN"/>
              </w:rPr>
              <w:t>（6）尾矿来料须加过滤筛网过滤，矿浆最大颗粒&lt;2mm。</w:t>
            </w:r>
          </w:p>
          <w:p w14:paraId="25273743">
            <w:pPr>
              <w:pStyle w:val="24"/>
              <w:bidi w:val="0"/>
              <w:jc w:val="both"/>
              <w:rPr>
                <w:rFonts w:hint="default"/>
                <w:color w:val="auto"/>
                <w:lang w:val="zh-CN"/>
              </w:rPr>
            </w:pPr>
            <w:r>
              <w:rPr>
                <w:rFonts w:hint="default"/>
                <w:color w:val="auto"/>
                <w:lang w:val="zh-CN"/>
              </w:rPr>
              <w:t>（7）进料口须加检修放矿阀，排浆管路设置安全阀（整定压力4.18MPa）及检修放矿阀。</w:t>
            </w:r>
          </w:p>
          <w:p w14:paraId="4AB55138">
            <w:pPr>
              <w:pStyle w:val="24"/>
              <w:bidi w:val="0"/>
              <w:jc w:val="both"/>
              <w:rPr>
                <w:rFonts w:hint="default"/>
                <w:color w:val="auto"/>
                <w:lang w:val="zh-CN"/>
              </w:rPr>
            </w:pPr>
            <w:r>
              <w:rPr>
                <w:rFonts w:hint="default"/>
                <w:color w:val="auto"/>
                <w:lang w:val="zh-CN"/>
              </w:rPr>
              <w:t>（8）安全标识与警示</w:t>
            </w:r>
          </w:p>
          <w:p w14:paraId="32C32628">
            <w:pPr>
              <w:pStyle w:val="24"/>
              <w:bidi w:val="0"/>
              <w:jc w:val="both"/>
              <w:rPr>
                <w:rFonts w:hint="default"/>
                <w:color w:val="auto"/>
              </w:rPr>
            </w:pPr>
            <w:r>
              <w:rPr>
                <w:rFonts w:hint="default"/>
                <w:color w:val="auto"/>
                <w:lang w:val="zh-CN"/>
              </w:rPr>
              <w:t>在机械隔膜泵周围设置明显的安全标识，如“高压危险”“严禁触摸”“注意旋转部件”等警示标识，提醒操作人员和其他人员注意安全。</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7D2C127F">
            <w:pPr>
              <w:pStyle w:val="24"/>
              <w:bidi w:val="0"/>
              <w:rPr>
                <w:rFonts w:hint="default"/>
                <w:color w:val="auto"/>
                <w:lang w:val="zh-CN" w:eastAsia="zh-CN"/>
              </w:rPr>
            </w:pPr>
            <w:r>
              <w:rPr>
                <w:rFonts w:hint="default"/>
                <w:color w:val="auto"/>
                <w:lang w:val="zh-CN" w:eastAsia="zh-CN"/>
              </w:rPr>
              <w:t>《安全设施设计》</w:t>
            </w:r>
          </w:p>
          <w:p w14:paraId="66F8AF31">
            <w:pPr>
              <w:pStyle w:val="24"/>
              <w:bidi w:val="0"/>
              <w:rPr>
                <w:rFonts w:hint="default"/>
                <w:color w:val="auto"/>
                <w:lang w:val="en-US" w:eastAsia="zh-CN"/>
              </w:rPr>
            </w:pPr>
            <w:r>
              <w:rPr>
                <w:rFonts w:hint="default"/>
                <w:color w:val="auto"/>
                <w:lang w:val="zh-CN" w:eastAsia="zh-CN"/>
              </w:rPr>
              <w:t>第5</w:t>
            </w:r>
            <w:r>
              <w:rPr>
                <w:rFonts w:hint="default"/>
                <w:color w:val="auto"/>
                <w:lang w:val="en-US" w:eastAsia="zh-CN"/>
              </w:rPr>
              <w:t>.2</w:t>
            </w:r>
            <w:r>
              <w:rPr>
                <w:rFonts w:hint="default"/>
                <w:color w:val="auto"/>
                <w:lang w:val="zh-CN" w:eastAsia="zh-CN"/>
              </w:rPr>
              <w:t>.2节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0C64B586">
            <w:pPr>
              <w:pStyle w:val="24"/>
              <w:bidi w:val="0"/>
              <w:rPr>
                <w:rFonts w:hint="default"/>
                <w:color w:val="auto"/>
                <w:lang w:val="en-US" w:eastAsia="zh-CN"/>
              </w:rPr>
            </w:pPr>
            <w:r>
              <w:rPr>
                <w:rFonts w:hint="default"/>
                <w:color w:val="auto"/>
                <w:lang w:val="zh-CN" w:eastAsia="zh-CN"/>
              </w:rPr>
              <w:t>浓缩机中心盘的走桥和上下楼梯设置</w:t>
            </w:r>
            <w:r>
              <w:rPr>
                <w:rFonts w:hint="eastAsia"/>
                <w:color w:val="auto"/>
                <w:lang w:val="en-US" w:eastAsia="zh-CN"/>
              </w:rPr>
              <w:t>了</w:t>
            </w:r>
            <w:r>
              <w:rPr>
                <w:rFonts w:hint="default"/>
                <w:color w:val="auto"/>
                <w:lang w:val="zh-CN" w:eastAsia="zh-CN"/>
              </w:rPr>
              <w:t>防护栏杆</w:t>
            </w:r>
            <w:r>
              <w:rPr>
                <w:rFonts w:hint="eastAsia"/>
                <w:color w:val="auto"/>
                <w:lang w:val="zh-CN" w:eastAsia="zh-CN"/>
              </w:rPr>
              <w:t>，</w:t>
            </w:r>
            <w:r>
              <w:rPr>
                <w:rFonts w:hint="eastAsia"/>
                <w:color w:val="auto"/>
                <w:lang w:val="en-US" w:eastAsia="zh-CN"/>
              </w:rPr>
              <w:t>粒度大的矿浆经过振动筛筛分后进入浓缩机，机械隔膜泵设置了安全阀等安全措施</w:t>
            </w:r>
            <w:r>
              <w:rPr>
                <w:rFonts w:hint="default"/>
                <w:color w:val="auto"/>
                <w:lang w:val="zh-CN" w:eastAsia="zh-CN"/>
              </w:rPr>
              <w:t>。</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109EA9BB">
            <w:pPr>
              <w:pStyle w:val="24"/>
              <w:bidi w:val="0"/>
              <w:rPr>
                <w:rFonts w:hint="default"/>
                <w:color w:val="auto"/>
                <w:lang w:val="en-US" w:eastAsia="zh-CN"/>
              </w:rPr>
            </w:pPr>
            <w:r>
              <w:rPr>
                <w:rFonts w:hint="default"/>
                <w:color w:val="auto"/>
                <w:lang w:val="en-US" w:eastAsia="zh-CN"/>
              </w:rPr>
              <w:t>符合</w:t>
            </w:r>
          </w:p>
        </w:tc>
      </w:tr>
      <w:tr w14:paraId="0EBD3FA8">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B595D99">
            <w:pPr>
              <w:pStyle w:val="24"/>
              <w:bidi w:val="0"/>
              <w:rPr>
                <w:rFonts w:hint="default"/>
                <w:color w:val="auto"/>
                <w:lang w:val="en-US" w:eastAsia="zh-CN"/>
              </w:rPr>
            </w:pPr>
            <w:r>
              <w:rPr>
                <w:rFonts w:hint="eastAsia"/>
                <w:color w:val="auto"/>
                <w:lang w:val="en-US" w:eastAsia="zh-CN"/>
              </w:rPr>
              <w:t>1.2</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0A0E78BC">
            <w:pPr>
              <w:pStyle w:val="24"/>
              <w:bidi w:val="0"/>
              <w:jc w:val="both"/>
              <w:rPr>
                <w:rFonts w:hint="default"/>
                <w:color w:val="auto"/>
                <w:lang w:val="zh-CN"/>
              </w:rPr>
            </w:pPr>
            <w:r>
              <w:rPr>
                <w:rFonts w:hint="default"/>
                <w:color w:val="auto"/>
                <w:lang w:val="zh-CN"/>
              </w:rPr>
              <w:t>通往周边传动式浓缩机中心盘的走桥和上下走梯</w:t>
            </w:r>
            <w:r>
              <w:rPr>
                <w:rFonts w:hint="eastAsia"/>
                <w:color w:val="auto"/>
                <w:lang w:val="zh-CN"/>
              </w:rPr>
              <w:t>，</w:t>
            </w:r>
            <w:r>
              <w:rPr>
                <w:rFonts w:hint="default"/>
                <w:color w:val="auto"/>
                <w:lang w:val="zh-CN"/>
              </w:rPr>
              <w:t>应设置栏杆。</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2FBF0BF9">
            <w:pPr>
              <w:pStyle w:val="24"/>
              <w:bidi w:val="0"/>
              <w:rPr>
                <w:rFonts w:hint="default"/>
                <w:color w:val="auto"/>
                <w:lang w:val="zh-CN" w:eastAsia="zh-CN"/>
              </w:rPr>
            </w:pPr>
            <w:r>
              <w:rPr>
                <w:rFonts w:hint="default"/>
                <w:color w:val="auto"/>
                <w:lang w:val="zh-CN" w:eastAsia="zh-CN"/>
              </w:rPr>
              <w:t>《选矿安全规程》（GB/T 18152-2000）</w:t>
            </w:r>
          </w:p>
          <w:p w14:paraId="0C62CBAB">
            <w:pPr>
              <w:pStyle w:val="24"/>
              <w:bidi w:val="0"/>
              <w:rPr>
                <w:rFonts w:hint="default"/>
                <w:color w:val="auto"/>
                <w:lang w:val="en-US" w:eastAsia="zh-CN"/>
              </w:rPr>
            </w:pPr>
            <w:r>
              <w:rPr>
                <w:rFonts w:hint="eastAsia"/>
                <w:color w:val="auto"/>
                <w:lang w:val="en-US" w:eastAsia="zh-CN"/>
              </w:rPr>
              <w:t>7.6.3</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6D56469F">
            <w:pPr>
              <w:pStyle w:val="24"/>
              <w:bidi w:val="0"/>
              <w:rPr>
                <w:rFonts w:hint="default"/>
                <w:color w:val="auto"/>
                <w:lang w:val="en-US" w:eastAsia="zh-CN"/>
              </w:rPr>
            </w:pPr>
            <w:r>
              <w:rPr>
                <w:rFonts w:hint="default"/>
                <w:color w:val="auto"/>
                <w:lang w:val="en-US" w:eastAsia="zh-CN"/>
              </w:rPr>
              <w:t>通往周边传动式浓缩机中心盘的走桥和上下走梯设置</w:t>
            </w:r>
            <w:r>
              <w:rPr>
                <w:rFonts w:hint="eastAsia"/>
                <w:color w:val="auto"/>
                <w:lang w:val="en-US" w:eastAsia="zh-CN"/>
              </w:rPr>
              <w:t>了</w:t>
            </w:r>
            <w:r>
              <w:rPr>
                <w:rFonts w:hint="default"/>
                <w:color w:val="auto"/>
                <w:lang w:val="en-US" w:eastAsia="zh-CN"/>
              </w:rPr>
              <w:t>栏杆</w:t>
            </w:r>
            <w:r>
              <w:rPr>
                <w:rFonts w:hint="eastAsia"/>
                <w:color w:val="auto"/>
                <w:lang w:val="en-US" w:eastAsia="zh-CN"/>
              </w:rPr>
              <w:t>。</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9C513F7">
            <w:pPr>
              <w:pStyle w:val="24"/>
              <w:bidi w:val="0"/>
              <w:rPr>
                <w:rFonts w:hint="default"/>
                <w:color w:val="auto"/>
                <w:lang w:val="en-US" w:eastAsia="zh-CN"/>
              </w:rPr>
            </w:pPr>
            <w:r>
              <w:rPr>
                <w:rFonts w:hint="eastAsia"/>
                <w:color w:val="auto"/>
                <w:lang w:val="en-US" w:eastAsia="zh-CN"/>
              </w:rPr>
              <w:t>符合</w:t>
            </w:r>
          </w:p>
        </w:tc>
      </w:tr>
      <w:tr w14:paraId="36882537">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5A90205">
            <w:pPr>
              <w:pStyle w:val="24"/>
              <w:bidi w:val="0"/>
              <w:rPr>
                <w:rFonts w:hint="default"/>
                <w:color w:val="auto"/>
                <w:lang w:eastAsia="zh-CN"/>
              </w:rPr>
            </w:pPr>
            <w:r>
              <w:rPr>
                <w:rFonts w:hint="default"/>
                <w:color w:val="auto"/>
                <w:lang w:val="en-US" w:eastAsia="zh-CN"/>
              </w:rPr>
              <w:t>2</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3D3AC55E">
            <w:pPr>
              <w:pStyle w:val="24"/>
              <w:bidi w:val="0"/>
              <w:jc w:val="center"/>
              <w:rPr>
                <w:rFonts w:hint="default"/>
                <w:color w:val="auto"/>
              </w:rPr>
            </w:pPr>
            <w:r>
              <w:rPr>
                <w:rFonts w:hint="eastAsia"/>
                <w:color w:val="auto"/>
                <w:lang w:val="en-US" w:eastAsia="zh-CN"/>
              </w:rPr>
              <w:t>管线输送</w:t>
            </w:r>
            <w:r>
              <w:rPr>
                <w:rFonts w:hint="default"/>
                <w:color w:val="auto"/>
                <w:lang w:val="zh-CN"/>
              </w:rPr>
              <w:t>工艺及安全防范措施</w:t>
            </w:r>
          </w:p>
        </w:tc>
      </w:tr>
      <w:tr w14:paraId="361EEFF2">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1D44A64D">
            <w:pPr>
              <w:pStyle w:val="24"/>
              <w:bidi w:val="0"/>
              <w:rPr>
                <w:rFonts w:hint="default"/>
                <w:color w:val="auto"/>
                <w:lang w:val="en-US" w:eastAsia="zh-CN"/>
              </w:rPr>
            </w:pPr>
            <w:r>
              <w:rPr>
                <w:rFonts w:hint="default"/>
                <w:color w:val="auto"/>
                <w:lang w:val="en-US" w:eastAsia="zh-CN"/>
              </w:rPr>
              <w:t>2.1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1B8C79EC">
            <w:pPr>
              <w:pStyle w:val="24"/>
              <w:bidi w:val="0"/>
              <w:jc w:val="both"/>
              <w:rPr>
                <w:rFonts w:hint="default"/>
                <w:color w:val="auto"/>
                <w:lang w:val="zh-CN"/>
              </w:rPr>
            </w:pPr>
            <w:r>
              <w:rPr>
                <w:rFonts w:hint="default"/>
                <w:color w:val="auto"/>
                <w:lang w:val="zh-CN"/>
              </w:rPr>
              <w:t>1、压力监测装置</w:t>
            </w:r>
          </w:p>
          <w:p w14:paraId="583BEA49">
            <w:pPr>
              <w:pStyle w:val="24"/>
              <w:bidi w:val="0"/>
              <w:jc w:val="both"/>
              <w:rPr>
                <w:rFonts w:hint="default"/>
                <w:color w:val="auto"/>
                <w:lang w:val="zh-CN"/>
              </w:rPr>
            </w:pPr>
            <w:r>
              <w:rPr>
                <w:rFonts w:hint="default"/>
                <w:color w:val="auto"/>
                <w:lang w:val="zh-CN"/>
              </w:rPr>
              <w:t>压力传感器：安装在尾矿输送管线的不同位置，特别是在泵的出口、管线的转弯处和地势变化较大的部位。通过实时监测压力，可及时发现管道堵塞、泄漏或泵故障等问题。例如，当尾矿在管道内流动受阻时，压力会升高，压力传感器将信号传送给控制系统，以便采取措施。</w:t>
            </w:r>
          </w:p>
          <w:p w14:paraId="6B1DF9B6">
            <w:pPr>
              <w:pStyle w:val="24"/>
              <w:bidi w:val="0"/>
              <w:jc w:val="both"/>
              <w:rPr>
                <w:rFonts w:hint="default"/>
                <w:color w:val="auto"/>
                <w:lang w:val="zh-CN"/>
              </w:rPr>
            </w:pPr>
            <w:r>
              <w:rPr>
                <w:rFonts w:hint="default"/>
                <w:color w:val="auto"/>
                <w:lang w:val="zh-CN"/>
              </w:rPr>
              <w:t>压力表：在管线的关键节点处设置压力表，方便现场操作人员直观地查看压力情况。操作人员可以定期巡检压力表读数，确保压力在正常范围内，一般尾矿输送压力根据输送距离、尾矿特性等因素有所不同，如常见的在0.5-3MPa之间。</w:t>
            </w:r>
          </w:p>
          <w:p w14:paraId="5CAAA9C7">
            <w:pPr>
              <w:pStyle w:val="24"/>
              <w:bidi w:val="0"/>
              <w:jc w:val="both"/>
              <w:rPr>
                <w:rFonts w:hint="default"/>
                <w:color w:val="auto"/>
                <w:lang w:val="zh-CN"/>
              </w:rPr>
            </w:pPr>
            <w:r>
              <w:rPr>
                <w:rFonts w:hint="default"/>
                <w:color w:val="auto"/>
                <w:lang w:val="zh-CN"/>
              </w:rPr>
              <w:t>2、流量监测设备</w:t>
            </w:r>
          </w:p>
          <w:p w14:paraId="51B13A68">
            <w:pPr>
              <w:pStyle w:val="24"/>
              <w:bidi w:val="0"/>
              <w:jc w:val="both"/>
              <w:rPr>
                <w:rFonts w:hint="default"/>
                <w:color w:val="auto"/>
                <w:lang w:val="zh-CN"/>
              </w:rPr>
            </w:pPr>
            <w:r>
              <w:rPr>
                <w:rFonts w:hint="default"/>
                <w:color w:val="auto"/>
                <w:lang w:val="zh-CN"/>
              </w:rPr>
              <w:t>流量计：精确测量尾矿在管线中的流量。准确的流量数据有助于判断管道的运行状态，如流量突然减小可能意味着管道堵塞或者尾矿供应不足。不同类型的流量计（如电磁流量计、超声波流量计等）可根据尾矿的性质（如是否具有导电性等）进行选择。</w:t>
            </w:r>
          </w:p>
          <w:p w14:paraId="395B1AED">
            <w:pPr>
              <w:pStyle w:val="24"/>
              <w:bidi w:val="0"/>
              <w:jc w:val="both"/>
              <w:rPr>
                <w:rFonts w:hint="default"/>
                <w:color w:val="auto"/>
                <w:lang w:val="zh-CN"/>
              </w:rPr>
            </w:pPr>
            <w:r>
              <w:rPr>
                <w:rFonts w:hint="default"/>
                <w:color w:val="auto"/>
                <w:lang w:val="zh-CN"/>
              </w:rPr>
              <w:t>3、泄漏检测系统</w:t>
            </w:r>
          </w:p>
          <w:p w14:paraId="3E8F28B3">
            <w:pPr>
              <w:pStyle w:val="24"/>
              <w:bidi w:val="0"/>
              <w:jc w:val="both"/>
              <w:rPr>
                <w:rFonts w:hint="default"/>
                <w:color w:val="auto"/>
                <w:lang w:val="zh-CN"/>
              </w:rPr>
            </w:pPr>
            <w:r>
              <w:rPr>
                <w:rFonts w:hint="default"/>
                <w:color w:val="auto"/>
                <w:lang w:val="zh-CN"/>
              </w:rPr>
              <w:t>泄漏检测传感器：针对尾矿输送管线，可采用基于电学原理（如电容式、电阻式）或声学原理的泄漏检测传感器。这些传感器能够检测到尾矿从管道微小泄漏时引起的介质变化或声音信号。一旦检测到泄漏，能及时发出警报。</w:t>
            </w:r>
          </w:p>
          <w:p w14:paraId="39DFAF69">
            <w:pPr>
              <w:pStyle w:val="24"/>
              <w:bidi w:val="0"/>
              <w:jc w:val="both"/>
              <w:rPr>
                <w:rFonts w:hint="default"/>
                <w:color w:val="auto"/>
                <w:lang w:val="zh-CN"/>
              </w:rPr>
            </w:pPr>
            <w:r>
              <w:rPr>
                <w:rFonts w:hint="default"/>
                <w:color w:val="auto"/>
                <w:lang w:val="zh-CN"/>
              </w:rPr>
              <w:t>围堵设施：在管线下方和沿线设置适当的围堵设施，如截流沟、集液池等。当尾矿发生泄漏时，这些设施可以阻止尾矿的扩散，减少对周边环境的污染。</w:t>
            </w:r>
          </w:p>
          <w:p w14:paraId="55B35A15">
            <w:pPr>
              <w:pStyle w:val="24"/>
              <w:bidi w:val="0"/>
              <w:jc w:val="both"/>
              <w:rPr>
                <w:rFonts w:hint="default"/>
                <w:color w:val="auto"/>
                <w:lang w:val="zh-CN"/>
              </w:rPr>
            </w:pPr>
            <w:r>
              <w:rPr>
                <w:rFonts w:hint="default"/>
                <w:color w:val="auto"/>
                <w:lang w:val="zh-CN"/>
              </w:rPr>
              <w:t>4、耐磨防护设施</w:t>
            </w:r>
          </w:p>
          <w:p w14:paraId="0E182FDA">
            <w:pPr>
              <w:pStyle w:val="24"/>
              <w:bidi w:val="0"/>
              <w:jc w:val="both"/>
              <w:rPr>
                <w:rFonts w:hint="default"/>
                <w:color w:val="auto"/>
                <w:lang w:val="zh-CN"/>
              </w:rPr>
            </w:pPr>
            <w:r>
              <w:rPr>
                <w:rFonts w:hint="default"/>
                <w:color w:val="auto"/>
                <w:lang w:val="zh-CN"/>
              </w:rPr>
              <w:t>由于尾矿具有一定的磨蚀性，在管道的易磨损部位（如弯头、三通等）采用耐磨材料进行防护，如内衬耐磨陶瓷、耐磨橡胶等。这有助于延长管道的使用寿命，减少因管道磨损导致的泄漏风险。</w:t>
            </w:r>
          </w:p>
          <w:p w14:paraId="13EC4684">
            <w:pPr>
              <w:pStyle w:val="24"/>
              <w:bidi w:val="0"/>
              <w:jc w:val="both"/>
              <w:rPr>
                <w:rFonts w:hint="default"/>
                <w:color w:val="auto"/>
                <w:lang w:val="zh-CN"/>
              </w:rPr>
            </w:pPr>
            <w:r>
              <w:rPr>
                <w:rFonts w:hint="default"/>
                <w:color w:val="auto"/>
                <w:lang w:val="zh-CN"/>
              </w:rPr>
              <w:t>5、支撑与固定装置</w:t>
            </w:r>
          </w:p>
          <w:p w14:paraId="26F1A902">
            <w:pPr>
              <w:pStyle w:val="24"/>
              <w:bidi w:val="0"/>
              <w:jc w:val="both"/>
              <w:rPr>
                <w:rFonts w:hint="default"/>
                <w:color w:val="auto"/>
                <w:lang w:val="zh-CN"/>
              </w:rPr>
            </w:pPr>
            <w:r>
              <w:rPr>
                <w:rFonts w:hint="default"/>
                <w:color w:val="auto"/>
                <w:lang w:val="zh-CN"/>
              </w:rPr>
              <w:t>管道支架：根据输送管线的走向和地形，合理设置管道支架。支架应具备足够的强度和稳定性，以支撑管道及其内部尾矿的重量，防止管道因重力作用发生变形或断裂。</w:t>
            </w:r>
          </w:p>
          <w:p w14:paraId="617237B6">
            <w:pPr>
              <w:pStyle w:val="24"/>
              <w:bidi w:val="0"/>
              <w:jc w:val="both"/>
              <w:rPr>
                <w:rFonts w:hint="default"/>
                <w:color w:val="auto"/>
                <w:lang w:val="zh-CN"/>
              </w:rPr>
            </w:pPr>
            <w:r>
              <w:rPr>
                <w:rFonts w:hint="default"/>
                <w:color w:val="auto"/>
                <w:lang w:val="zh-CN"/>
              </w:rPr>
              <w:t>锚固装置：在一些特殊地段，如跨越河流、山谷的管线部分，设置锚固装置，将管道牢固地固定在地面或其他结构物上，抵御风荷载、地震等外力的影响。</w:t>
            </w:r>
          </w:p>
          <w:p w14:paraId="5A65C1C6">
            <w:pPr>
              <w:pStyle w:val="24"/>
              <w:bidi w:val="0"/>
              <w:jc w:val="both"/>
              <w:rPr>
                <w:rFonts w:hint="default"/>
                <w:color w:val="auto"/>
                <w:lang w:val="zh-CN"/>
              </w:rPr>
            </w:pPr>
            <w:r>
              <w:rPr>
                <w:rFonts w:hint="default"/>
                <w:color w:val="auto"/>
                <w:lang w:val="zh-CN"/>
              </w:rPr>
              <w:t>6、阀门装置</w:t>
            </w:r>
          </w:p>
          <w:p w14:paraId="0EC6A252">
            <w:pPr>
              <w:pStyle w:val="24"/>
              <w:bidi w:val="0"/>
              <w:jc w:val="both"/>
              <w:rPr>
                <w:rFonts w:hint="default"/>
                <w:color w:val="auto"/>
                <w:lang w:val="zh-CN"/>
              </w:rPr>
            </w:pPr>
            <w:r>
              <w:rPr>
                <w:rFonts w:hint="default"/>
                <w:color w:val="auto"/>
                <w:lang w:val="zh-CN"/>
              </w:rPr>
              <w:t>紧急切断阀：在管线的关键位置（如靠近尾矿库入口、泵的进出口等）安装紧急切断阀。在发生紧急情况（如管道破裂、尾矿泄漏等）时，可以迅速切断尾矿的输送，防止事故进一步扩大。</w:t>
            </w:r>
          </w:p>
          <w:p w14:paraId="0348780D">
            <w:pPr>
              <w:pStyle w:val="24"/>
              <w:bidi w:val="0"/>
              <w:jc w:val="both"/>
              <w:rPr>
                <w:rFonts w:hint="default"/>
                <w:color w:val="auto"/>
                <w:lang w:val="zh-CN"/>
              </w:rPr>
            </w:pPr>
            <w:r>
              <w:rPr>
                <w:rFonts w:hint="default"/>
                <w:color w:val="auto"/>
                <w:lang w:val="zh-CN"/>
              </w:rPr>
              <w:t>止回阀：防止尾矿在管道内倒流，确保尾矿按照规定的方向稳定输送。特别是在多段输送、存在高差的管线系统中，止回阀尤为重要。</w:t>
            </w:r>
          </w:p>
          <w:p w14:paraId="41FFB256">
            <w:pPr>
              <w:pStyle w:val="24"/>
              <w:bidi w:val="0"/>
              <w:jc w:val="both"/>
              <w:rPr>
                <w:rFonts w:hint="default"/>
                <w:color w:val="auto"/>
                <w:lang w:val="zh-CN"/>
              </w:rPr>
            </w:pPr>
            <w:r>
              <w:rPr>
                <w:rFonts w:hint="default"/>
                <w:color w:val="auto"/>
                <w:lang w:val="zh-CN"/>
              </w:rPr>
              <w:t>7、矿浆管线坡度不大于20%（个别处不大于30%），陡坡处用挖机开挖之字形路由降坡度，尾矿库下大水沟处架设钢管支撑降坡度，钢管穿越蟒蛇河采用河底下开挖填埋，河两旁采用钢筋混泥土镇墩包裹钢管。</w:t>
            </w:r>
          </w:p>
          <w:p w14:paraId="11A3480B">
            <w:pPr>
              <w:pStyle w:val="24"/>
              <w:bidi w:val="0"/>
              <w:jc w:val="both"/>
              <w:rPr>
                <w:rFonts w:hint="default"/>
                <w:color w:val="auto"/>
                <w:lang w:val="zh-CN"/>
              </w:rPr>
            </w:pPr>
            <w:r>
              <w:rPr>
                <w:rFonts w:hint="default"/>
                <w:color w:val="auto"/>
                <w:lang w:val="zh-CN"/>
              </w:rPr>
              <w:t>8、沿输送管线旁设置一3m宽应急道路及检修道路。</w:t>
            </w:r>
          </w:p>
          <w:p w14:paraId="7D9F8895">
            <w:pPr>
              <w:pStyle w:val="24"/>
              <w:bidi w:val="0"/>
              <w:jc w:val="both"/>
              <w:rPr>
                <w:rFonts w:hint="default"/>
                <w:color w:val="auto"/>
                <w:lang w:val="zh-CN"/>
              </w:rPr>
            </w:pPr>
            <w:r>
              <w:rPr>
                <w:rFonts w:hint="default"/>
                <w:color w:val="auto"/>
                <w:lang w:val="zh-CN"/>
              </w:rPr>
              <w:t>9、输送管线需设置拦挡设施，埋地部分需设立警示标志。</w:t>
            </w:r>
          </w:p>
          <w:p w14:paraId="079855B1">
            <w:pPr>
              <w:pStyle w:val="24"/>
              <w:bidi w:val="0"/>
              <w:jc w:val="both"/>
              <w:rPr>
                <w:rFonts w:hint="default"/>
                <w:color w:val="auto"/>
                <w:lang w:val="zh-CN"/>
              </w:rPr>
            </w:pPr>
            <w:r>
              <w:rPr>
                <w:rFonts w:hint="default"/>
                <w:color w:val="auto"/>
                <w:lang w:val="zh-CN"/>
              </w:rPr>
              <w:t>10、停产期间，需防空输送管道里面的尾矿，以免堵塞尾矿管。</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67AE3917">
            <w:pPr>
              <w:pStyle w:val="24"/>
              <w:bidi w:val="0"/>
              <w:rPr>
                <w:rFonts w:hint="default"/>
                <w:color w:val="auto"/>
                <w:lang w:val="zh-CN"/>
              </w:rPr>
            </w:pPr>
            <w:r>
              <w:rPr>
                <w:rFonts w:hint="default"/>
                <w:color w:val="auto"/>
                <w:lang w:val="zh-CN"/>
              </w:rPr>
              <w:t>《安全设施设计》</w:t>
            </w:r>
          </w:p>
          <w:p w14:paraId="52430567">
            <w:pPr>
              <w:pStyle w:val="24"/>
              <w:bidi w:val="0"/>
              <w:rPr>
                <w:rFonts w:hint="default"/>
                <w:color w:val="auto"/>
                <w:lang w:val="zh-CN"/>
              </w:rPr>
            </w:pPr>
            <w:r>
              <w:rPr>
                <w:rFonts w:hint="default"/>
                <w:color w:val="auto"/>
                <w:lang w:val="zh-CN"/>
              </w:rPr>
              <w:t>第5</w:t>
            </w:r>
            <w:r>
              <w:rPr>
                <w:rFonts w:hint="default"/>
                <w:color w:val="auto"/>
                <w:lang w:val="en-US" w:eastAsia="zh-CN"/>
              </w:rPr>
              <w:t>.2</w:t>
            </w:r>
            <w:r>
              <w:rPr>
                <w:rFonts w:hint="default"/>
                <w:color w:val="auto"/>
                <w:lang w:val="zh-CN"/>
              </w:rPr>
              <w:t>.</w:t>
            </w:r>
            <w:r>
              <w:rPr>
                <w:rFonts w:hint="eastAsia"/>
                <w:color w:val="auto"/>
                <w:lang w:val="en-US" w:eastAsia="zh-CN"/>
              </w:rPr>
              <w:t>3</w:t>
            </w:r>
            <w:r>
              <w:rPr>
                <w:rFonts w:hint="default"/>
                <w:color w:val="auto"/>
                <w:lang w:val="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714431D4">
            <w:pPr>
              <w:pStyle w:val="24"/>
              <w:bidi w:val="0"/>
              <w:rPr>
                <w:rFonts w:hint="default" w:eastAsia="宋体"/>
                <w:color w:val="auto"/>
                <w:lang w:val="en-US" w:eastAsia="zh-CN"/>
              </w:rPr>
            </w:pPr>
            <w:r>
              <w:rPr>
                <w:rFonts w:hint="eastAsia"/>
                <w:color w:val="auto"/>
                <w:lang w:val="en-US" w:eastAsia="zh-CN"/>
              </w:rPr>
              <w:t>设置了压力表监测管道压力，设置了流量计监测矿浆流量，有防泄漏监测，设置有</w:t>
            </w:r>
            <w:r>
              <w:rPr>
                <w:rFonts w:hint="default"/>
                <w:color w:val="auto"/>
                <w:lang w:val="zh-CN"/>
              </w:rPr>
              <w:t>紧急切断阀</w:t>
            </w:r>
            <w:r>
              <w:rPr>
                <w:rFonts w:hint="eastAsia"/>
                <w:color w:val="auto"/>
                <w:lang w:val="zh-CN"/>
              </w:rPr>
              <w:t>、</w:t>
            </w:r>
            <w:r>
              <w:rPr>
                <w:rFonts w:hint="default"/>
                <w:color w:val="auto"/>
                <w:lang w:val="zh-CN"/>
              </w:rPr>
              <w:t>止回阀</w:t>
            </w:r>
            <w:r>
              <w:rPr>
                <w:rFonts w:hint="eastAsia"/>
                <w:color w:val="auto"/>
                <w:lang w:val="en-US" w:eastAsia="zh-CN"/>
              </w:rPr>
              <w:t>等应急措施。</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097F9A9">
            <w:pPr>
              <w:pStyle w:val="24"/>
              <w:bidi w:val="0"/>
              <w:rPr>
                <w:rFonts w:hint="default"/>
                <w:color w:val="auto"/>
                <w:lang w:val="zh-CN"/>
              </w:rPr>
            </w:pPr>
            <w:r>
              <w:rPr>
                <w:rFonts w:hint="default"/>
                <w:color w:val="auto"/>
                <w:lang w:val="zh-CN"/>
              </w:rPr>
              <w:t>符合</w:t>
            </w:r>
          </w:p>
        </w:tc>
      </w:tr>
      <w:tr w14:paraId="7A191E74">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2F01F9A4">
            <w:pPr>
              <w:pStyle w:val="24"/>
              <w:bidi w:val="0"/>
              <w:rPr>
                <w:rFonts w:hint="default"/>
                <w:color w:val="auto"/>
                <w:lang w:val="en-US" w:eastAsia="zh-CN"/>
              </w:rPr>
            </w:pPr>
            <w:r>
              <w:rPr>
                <w:rFonts w:hint="eastAsia"/>
                <w:color w:val="auto"/>
                <w:lang w:val="en-US" w:eastAsia="zh-CN"/>
              </w:rPr>
              <w:t>2.2</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483D1859">
            <w:pPr>
              <w:pStyle w:val="24"/>
              <w:bidi w:val="0"/>
              <w:jc w:val="both"/>
              <w:rPr>
                <w:rFonts w:hint="default"/>
                <w:color w:val="auto"/>
                <w:lang w:val="zh-CN"/>
              </w:rPr>
            </w:pPr>
            <w:r>
              <w:rPr>
                <w:rFonts w:hint="default"/>
                <w:color w:val="auto"/>
                <w:lang w:val="zh-CN"/>
              </w:rPr>
              <w:t>砂泵站</w:t>
            </w:r>
            <w:r>
              <w:rPr>
                <w:rFonts w:hint="eastAsia"/>
                <w:color w:val="auto"/>
                <w:lang w:val="zh-CN"/>
              </w:rPr>
              <w:t>（</w:t>
            </w:r>
            <w:r>
              <w:rPr>
                <w:rFonts w:hint="default"/>
                <w:color w:val="auto"/>
                <w:lang w:val="zh-CN"/>
              </w:rPr>
              <w:t>特别是高压砂泵站</w:t>
            </w:r>
            <w:r>
              <w:rPr>
                <w:rFonts w:hint="eastAsia"/>
                <w:color w:val="auto"/>
                <w:lang w:val="zh-CN"/>
              </w:rPr>
              <w:t>）</w:t>
            </w:r>
            <w:r>
              <w:rPr>
                <w:rFonts w:hint="default"/>
                <w:color w:val="auto"/>
                <w:lang w:val="zh-CN"/>
              </w:rPr>
              <w:t>应设必要的监测仪表</w:t>
            </w:r>
            <w:r>
              <w:rPr>
                <w:rFonts w:hint="eastAsia"/>
                <w:color w:val="auto"/>
                <w:lang w:val="zh-CN"/>
              </w:rPr>
              <w:t>、</w:t>
            </w:r>
            <w:r>
              <w:rPr>
                <w:rFonts w:hint="default"/>
                <w:color w:val="auto"/>
                <w:lang w:val="zh-CN"/>
              </w:rPr>
              <w:t>容积式的砂泵站应设超压保护装置。静水压力较高的泵站应在砂泵单向阀后设置安全阀或防水锤。</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0A915C1F">
            <w:pPr>
              <w:pStyle w:val="24"/>
              <w:bidi w:val="0"/>
              <w:rPr>
                <w:rFonts w:hint="default"/>
                <w:color w:val="auto"/>
                <w:lang w:val="zh-CN"/>
              </w:rPr>
            </w:pPr>
            <w:r>
              <w:rPr>
                <w:rFonts w:hint="default"/>
                <w:color w:val="auto"/>
                <w:lang w:val="zh-CN"/>
              </w:rPr>
              <w:t>《选矿安全规程》</w:t>
            </w:r>
            <w:r>
              <w:rPr>
                <w:rFonts w:hint="eastAsia"/>
                <w:color w:val="auto"/>
                <w:lang w:val="zh-CN"/>
              </w:rPr>
              <w:t>（GB/T 18152-2000）</w:t>
            </w:r>
          </w:p>
          <w:p w14:paraId="01465874">
            <w:pPr>
              <w:pStyle w:val="24"/>
              <w:bidi w:val="0"/>
              <w:rPr>
                <w:rFonts w:hint="default" w:eastAsia="宋体"/>
                <w:color w:val="auto"/>
                <w:lang w:val="en-US" w:eastAsia="zh-CN"/>
              </w:rPr>
            </w:pPr>
            <w:r>
              <w:rPr>
                <w:rFonts w:hint="eastAsia"/>
                <w:color w:val="auto"/>
                <w:lang w:val="en-US" w:eastAsia="zh-CN"/>
              </w:rPr>
              <w:t>8.1.1</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5BB2C5E3">
            <w:pPr>
              <w:pStyle w:val="24"/>
              <w:bidi w:val="0"/>
              <w:rPr>
                <w:rFonts w:hint="default" w:eastAsia="宋体"/>
                <w:color w:val="auto"/>
                <w:lang w:val="en-US" w:eastAsia="zh-CN"/>
              </w:rPr>
            </w:pPr>
            <w:r>
              <w:rPr>
                <w:rFonts w:hint="default"/>
                <w:color w:val="auto"/>
                <w:lang w:val="zh-CN"/>
              </w:rPr>
              <w:t>砂泵站</w:t>
            </w:r>
            <w:r>
              <w:rPr>
                <w:rFonts w:hint="eastAsia"/>
                <w:color w:val="auto"/>
                <w:lang w:val="en-US" w:eastAsia="zh-CN"/>
              </w:rPr>
              <w:t>设置了压力监测和流量监测措施，设置有</w:t>
            </w:r>
            <w:r>
              <w:rPr>
                <w:rFonts w:hint="default"/>
                <w:color w:val="auto"/>
                <w:lang w:val="zh-CN"/>
              </w:rPr>
              <w:t>紧急切断阀</w:t>
            </w:r>
            <w:r>
              <w:rPr>
                <w:rFonts w:hint="eastAsia"/>
                <w:color w:val="auto"/>
                <w:lang w:val="zh-CN"/>
              </w:rPr>
              <w:t>、</w:t>
            </w:r>
            <w:r>
              <w:rPr>
                <w:rFonts w:hint="default"/>
                <w:color w:val="auto"/>
                <w:lang w:val="zh-CN"/>
              </w:rPr>
              <w:t>止回阀</w:t>
            </w:r>
            <w:r>
              <w:rPr>
                <w:rFonts w:hint="eastAsia"/>
                <w:color w:val="auto"/>
                <w:lang w:val="en-US" w:eastAsia="zh-CN"/>
              </w:rPr>
              <w:t>等应急措施。</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41F9A969">
            <w:pPr>
              <w:pStyle w:val="24"/>
              <w:bidi w:val="0"/>
              <w:rPr>
                <w:rFonts w:hint="eastAsia" w:eastAsia="宋体"/>
                <w:color w:val="auto"/>
                <w:lang w:val="en-US" w:eastAsia="zh-CN"/>
              </w:rPr>
            </w:pPr>
            <w:r>
              <w:rPr>
                <w:rFonts w:hint="eastAsia"/>
                <w:color w:val="auto"/>
                <w:lang w:val="en-US" w:eastAsia="zh-CN"/>
              </w:rPr>
              <w:t>符合</w:t>
            </w:r>
          </w:p>
        </w:tc>
      </w:tr>
      <w:tr w14:paraId="236F3390">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E10ACBD">
            <w:pPr>
              <w:pStyle w:val="24"/>
              <w:bidi w:val="0"/>
              <w:rPr>
                <w:rFonts w:hint="default"/>
                <w:color w:val="auto"/>
                <w:lang w:val="en-US" w:eastAsia="zh-CN"/>
              </w:rPr>
            </w:pPr>
            <w:r>
              <w:rPr>
                <w:rFonts w:hint="default"/>
                <w:color w:val="auto"/>
                <w:lang w:val="en-US" w:eastAsia="zh-CN"/>
              </w:rPr>
              <w:t>2.</w:t>
            </w:r>
            <w:r>
              <w:rPr>
                <w:rFonts w:hint="eastAsia"/>
                <w:color w:val="auto"/>
                <w:lang w:val="en-US" w:eastAsia="zh-CN"/>
              </w:rPr>
              <w:t>3</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09505C91">
            <w:pPr>
              <w:pStyle w:val="24"/>
              <w:bidi w:val="0"/>
              <w:jc w:val="both"/>
              <w:rPr>
                <w:rFonts w:hint="default"/>
                <w:color w:val="auto"/>
              </w:rPr>
            </w:pPr>
            <w:r>
              <w:rPr>
                <w:rFonts w:hint="default"/>
                <w:color w:val="auto"/>
                <w:lang w:val="zh-CN"/>
              </w:rPr>
              <w:t>间接串联或远距离直接串联的尾矿输送系统上的逆止阀及其他安全防护装置应经常检查和维护</w:t>
            </w:r>
            <w:r>
              <w:rPr>
                <w:rFonts w:hint="eastAsia"/>
                <w:color w:val="auto"/>
                <w:lang w:val="zh-CN"/>
              </w:rPr>
              <w:t>，</w:t>
            </w:r>
            <w:r>
              <w:rPr>
                <w:rFonts w:hint="default"/>
                <w:color w:val="auto"/>
                <w:lang w:val="zh-CN"/>
              </w:rPr>
              <w:t>确保完好有效。</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24269865">
            <w:pPr>
              <w:pStyle w:val="24"/>
              <w:bidi w:val="0"/>
              <w:rPr>
                <w:rFonts w:hint="default"/>
                <w:color w:val="auto"/>
                <w:lang w:val="zh-CN"/>
              </w:rPr>
            </w:pPr>
            <w:r>
              <w:rPr>
                <w:rFonts w:hint="default"/>
                <w:color w:val="auto"/>
                <w:lang w:val="zh-CN"/>
              </w:rPr>
              <w:t>《选矿安全规程》</w:t>
            </w:r>
            <w:r>
              <w:rPr>
                <w:rFonts w:hint="eastAsia"/>
                <w:color w:val="auto"/>
                <w:lang w:val="zh-CN"/>
              </w:rPr>
              <w:t>（GB/T 18152-2000）</w:t>
            </w:r>
          </w:p>
          <w:p w14:paraId="19175441">
            <w:pPr>
              <w:pStyle w:val="24"/>
              <w:bidi w:val="0"/>
              <w:rPr>
                <w:rFonts w:hint="default" w:eastAsia="宋体"/>
                <w:color w:val="auto"/>
                <w:lang w:val="en-US" w:eastAsia="zh-CN"/>
              </w:rPr>
            </w:pPr>
            <w:r>
              <w:rPr>
                <w:rFonts w:hint="eastAsia"/>
                <w:color w:val="auto"/>
                <w:lang w:val="en-US" w:eastAsia="zh-CN"/>
              </w:rPr>
              <w:t>8.1.3</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546C48C">
            <w:pPr>
              <w:pStyle w:val="24"/>
              <w:bidi w:val="0"/>
              <w:rPr>
                <w:rFonts w:hint="default"/>
                <w:color w:val="auto"/>
                <w:lang w:val="zh-CN"/>
              </w:rPr>
            </w:pPr>
            <w:r>
              <w:rPr>
                <w:rFonts w:hint="default"/>
                <w:color w:val="auto"/>
                <w:lang w:val="zh-CN"/>
              </w:rPr>
              <w:t>企业</w:t>
            </w:r>
            <w:r>
              <w:rPr>
                <w:rFonts w:hint="eastAsia"/>
                <w:color w:val="auto"/>
                <w:lang w:val="en-US" w:eastAsia="zh-CN"/>
              </w:rPr>
              <w:t>设置有</w:t>
            </w:r>
            <w:r>
              <w:rPr>
                <w:rFonts w:hint="default"/>
                <w:color w:val="auto"/>
                <w:lang w:val="zh-CN"/>
              </w:rPr>
              <w:t>紧急切断阀</w:t>
            </w:r>
            <w:r>
              <w:rPr>
                <w:rFonts w:hint="eastAsia"/>
                <w:color w:val="auto"/>
                <w:lang w:val="zh-CN"/>
              </w:rPr>
              <w:t>、</w:t>
            </w:r>
            <w:r>
              <w:rPr>
                <w:rFonts w:hint="default"/>
                <w:color w:val="auto"/>
                <w:lang w:val="zh-CN"/>
              </w:rPr>
              <w:t>止回阀</w:t>
            </w:r>
            <w:r>
              <w:rPr>
                <w:rFonts w:hint="eastAsia"/>
                <w:color w:val="auto"/>
                <w:lang w:val="en-US" w:eastAsia="zh-CN"/>
              </w:rPr>
              <w:t>等应急措施。</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C7FAEAF">
            <w:pPr>
              <w:pStyle w:val="24"/>
              <w:bidi w:val="0"/>
              <w:rPr>
                <w:rFonts w:hint="default"/>
                <w:color w:val="auto"/>
                <w:lang w:val="zh-CN"/>
              </w:rPr>
            </w:pPr>
            <w:r>
              <w:rPr>
                <w:rFonts w:hint="default"/>
                <w:color w:val="auto"/>
                <w:lang w:val="zh-CN"/>
              </w:rPr>
              <w:t>符合</w:t>
            </w:r>
          </w:p>
        </w:tc>
      </w:tr>
      <w:tr w14:paraId="000B0F07">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039AA94D">
            <w:pPr>
              <w:pStyle w:val="24"/>
              <w:bidi w:val="0"/>
              <w:rPr>
                <w:rFonts w:hint="default"/>
                <w:color w:val="auto"/>
                <w:lang w:val="en-US" w:eastAsia="zh-CN"/>
              </w:rPr>
            </w:pPr>
            <w:r>
              <w:rPr>
                <w:rFonts w:hint="default"/>
                <w:color w:val="auto"/>
                <w:lang w:val="en-US" w:eastAsia="zh-CN"/>
              </w:rPr>
              <w:t>2.</w:t>
            </w:r>
            <w:r>
              <w:rPr>
                <w:rFonts w:hint="eastAsia"/>
                <w:color w:val="auto"/>
                <w:lang w:val="en-US" w:eastAsia="zh-CN"/>
              </w:rPr>
              <w:t>4</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311418F0">
            <w:pPr>
              <w:pStyle w:val="24"/>
              <w:bidi w:val="0"/>
              <w:jc w:val="both"/>
              <w:rPr>
                <w:rFonts w:hint="default"/>
                <w:color w:val="auto"/>
              </w:rPr>
            </w:pPr>
            <w:r>
              <w:rPr>
                <w:rFonts w:hint="default"/>
                <w:color w:val="auto"/>
                <w:lang w:val="zh-CN"/>
              </w:rPr>
              <w:t>尾矿输送管、槽、沟、渠、洞应固定专人分班巡视检查和维护管理防止发生淤积、堵塞、爆管、喷浆、渗漏、坍塌等事故发现事故应及时处理对排放的矿浆应妥善处理。</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5444AF10">
            <w:pPr>
              <w:pStyle w:val="24"/>
              <w:bidi w:val="0"/>
              <w:rPr>
                <w:rFonts w:hint="default"/>
                <w:color w:val="auto"/>
                <w:lang w:val="zh-CN"/>
              </w:rPr>
            </w:pPr>
            <w:r>
              <w:rPr>
                <w:rFonts w:hint="default"/>
                <w:color w:val="auto"/>
                <w:lang w:val="zh-CN"/>
              </w:rPr>
              <w:t>《选矿安全规程》</w:t>
            </w:r>
            <w:r>
              <w:rPr>
                <w:rFonts w:hint="eastAsia"/>
                <w:color w:val="auto"/>
                <w:lang w:val="zh-CN"/>
              </w:rPr>
              <w:t>（GB/T 18152-2000）</w:t>
            </w:r>
          </w:p>
          <w:p w14:paraId="332F0FF9">
            <w:pPr>
              <w:pStyle w:val="24"/>
              <w:bidi w:val="0"/>
              <w:rPr>
                <w:rFonts w:hint="default" w:eastAsia="宋体"/>
                <w:color w:val="auto"/>
                <w:lang w:val="en-US" w:eastAsia="zh-CN"/>
              </w:rPr>
            </w:pPr>
            <w:r>
              <w:rPr>
                <w:rFonts w:hint="eastAsia"/>
                <w:color w:val="auto"/>
                <w:lang w:val="en-US" w:eastAsia="zh-CN"/>
              </w:rPr>
              <w:t>8.1.5</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653DB2E5">
            <w:pPr>
              <w:pStyle w:val="24"/>
              <w:bidi w:val="0"/>
              <w:rPr>
                <w:rFonts w:hint="default"/>
                <w:color w:val="auto"/>
                <w:lang w:val="zh-CN"/>
              </w:rPr>
            </w:pPr>
            <w:r>
              <w:rPr>
                <w:rFonts w:hint="eastAsia"/>
                <w:color w:val="auto"/>
                <w:lang w:val="en-US" w:eastAsia="zh-CN"/>
              </w:rPr>
              <w:t>定期巡检</w:t>
            </w:r>
            <w:r>
              <w:rPr>
                <w:rFonts w:hint="default"/>
                <w:color w:val="auto"/>
                <w:lang w:val="zh-CN"/>
              </w:rPr>
              <w:t>。</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2C8F2947">
            <w:pPr>
              <w:pStyle w:val="24"/>
              <w:bidi w:val="0"/>
              <w:rPr>
                <w:rFonts w:hint="default"/>
                <w:color w:val="auto"/>
                <w:lang w:val="zh-CN"/>
              </w:rPr>
            </w:pPr>
            <w:r>
              <w:rPr>
                <w:rFonts w:hint="default"/>
                <w:color w:val="auto"/>
                <w:lang w:val="zh-CN"/>
              </w:rPr>
              <w:t>符合</w:t>
            </w:r>
          </w:p>
        </w:tc>
      </w:tr>
      <w:tr w14:paraId="65F3835A">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AA4ABF1">
            <w:pPr>
              <w:pStyle w:val="24"/>
              <w:bidi w:val="0"/>
              <w:rPr>
                <w:rFonts w:hint="default"/>
                <w:color w:val="auto"/>
                <w:lang w:val="en-US" w:eastAsia="zh-CN"/>
              </w:rPr>
            </w:pPr>
            <w:r>
              <w:rPr>
                <w:rFonts w:hint="eastAsia"/>
                <w:color w:val="auto"/>
                <w:lang w:val="en-US" w:eastAsia="zh-CN"/>
              </w:rPr>
              <w:t>3</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1B13738E">
            <w:pPr>
              <w:pStyle w:val="24"/>
              <w:bidi w:val="0"/>
              <w:rPr>
                <w:rFonts w:hint="default"/>
                <w:color w:val="auto"/>
                <w:lang w:val="zh-CN"/>
              </w:rPr>
            </w:pPr>
            <w:r>
              <w:rPr>
                <w:rFonts w:hint="eastAsia"/>
                <w:color w:val="auto"/>
                <w:lang w:val="en-US" w:eastAsia="zh-CN"/>
              </w:rPr>
              <w:t>压滤</w:t>
            </w:r>
            <w:r>
              <w:rPr>
                <w:rFonts w:hint="default"/>
                <w:color w:val="auto"/>
                <w:lang w:val="zh-CN"/>
              </w:rPr>
              <w:t>工艺及安全防范措施</w:t>
            </w:r>
          </w:p>
        </w:tc>
      </w:tr>
      <w:tr w14:paraId="19179687">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1170C3D">
            <w:pPr>
              <w:pStyle w:val="24"/>
              <w:bidi w:val="0"/>
              <w:rPr>
                <w:rFonts w:hint="default"/>
                <w:color w:val="auto"/>
                <w:lang w:val="en-US" w:eastAsia="zh-CN"/>
              </w:rPr>
            </w:pPr>
            <w:r>
              <w:rPr>
                <w:rFonts w:hint="eastAsia"/>
                <w:color w:val="auto"/>
                <w:lang w:val="en-US" w:eastAsia="zh-CN"/>
              </w:rPr>
              <w:t>3.1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1B9B773">
            <w:pPr>
              <w:pStyle w:val="24"/>
              <w:bidi w:val="0"/>
              <w:jc w:val="both"/>
              <w:rPr>
                <w:rFonts w:hint="default"/>
                <w:color w:val="auto"/>
                <w:lang w:val="zh-CN"/>
              </w:rPr>
            </w:pPr>
            <w:r>
              <w:rPr>
                <w:rFonts w:hint="default"/>
                <w:color w:val="auto"/>
                <w:lang w:val="zh-CN"/>
              </w:rPr>
              <w:t>1、压滤机安全措施</w:t>
            </w:r>
          </w:p>
          <w:p w14:paraId="5028DF9D">
            <w:pPr>
              <w:pStyle w:val="24"/>
              <w:bidi w:val="0"/>
              <w:jc w:val="both"/>
              <w:rPr>
                <w:rFonts w:hint="default"/>
                <w:color w:val="auto"/>
                <w:lang w:val="zh-CN"/>
              </w:rPr>
            </w:pPr>
            <w:r>
              <w:rPr>
                <w:rFonts w:hint="default"/>
                <w:color w:val="auto"/>
                <w:lang w:val="zh-CN"/>
              </w:rPr>
              <w:t>（1）保持压滤机均匀给矿，管路应畅通。</w:t>
            </w:r>
          </w:p>
          <w:p w14:paraId="692B3073">
            <w:pPr>
              <w:pStyle w:val="24"/>
              <w:bidi w:val="0"/>
              <w:jc w:val="both"/>
              <w:rPr>
                <w:rFonts w:hint="default"/>
                <w:color w:val="auto"/>
                <w:lang w:val="zh-CN"/>
              </w:rPr>
            </w:pPr>
            <w:r>
              <w:rPr>
                <w:rFonts w:hint="default"/>
                <w:color w:val="auto"/>
                <w:lang w:val="zh-CN"/>
              </w:rPr>
              <w:t>（2）压滤机操作平台设置洗手池、地面冲洗水管。</w:t>
            </w:r>
          </w:p>
          <w:p w14:paraId="6D7FE74F">
            <w:pPr>
              <w:pStyle w:val="24"/>
              <w:bidi w:val="0"/>
              <w:jc w:val="both"/>
              <w:rPr>
                <w:rFonts w:hint="default"/>
                <w:color w:val="auto"/>
                <w:lang w:val="zh-CN"/>
              </w:rPr>
            </w:pPr>
            <w:r>
              <w:rPr>
                <w:rFonts w:hint="default"/>
                <w:color w:val="auto"/>
                <w:lang w:val="zh-CN"/>
              </w:rPr>
              <w:t>（3）加强压滤机的日常维护保养，每年对液压缸进行拍片检验，抓好备品备件的验收管理工作，液压缸、活塞及受压零件不允许有裂纹、气孔等缺陷。定期对压力表进行校验，确保灵敏度，加强各部连接零件的紧固，防止液压系统油缸爆缸及断裂。</w:t>
            </w:r>
          </w:p>
          <w:p w14:paraId="388C6E02">
            <w:pPr>
              <w:pStyle w:val="24"/>
              <w:bidi w:val="0"/>
              <w:jc w:val="both"/>
              <w:rPr>
                <w:rFonts w:hint="default"/>
                <w:color w:val="auto"/>
                <w:lang w:val="zh-CN"/>
              </w:rPr>
            </w:pPr>
            <w:r>
              <w:rPr>
                <w:rFonts w:hint="default"/>
                <w:color w:val="auto"/>
                <w:lang w:val="zh-CN"/>
              </w:rPr>
              <w:t>（4）储压灌压强较大（约10-12MPa），需定期对储压灌、泄压阀进行检查，并对压滤机压力容器外围设置保护措施。</w:t>
            </w:r>
          </w:p>
          <w:p w14:paraId="31ABC2DD">
            <w:pPr>
              <w:pStyle w:val="24"/>
              <w:bidi w:val="0"/>
              <w:jc w:val="both"/>
              <w:rPr>
                <w:rFonts w:hint="default"/>
                <w:color w:val="auto"/>
                <w:lang w:val="zh-CN"/>
              </w:rPr>
            </w:pPr>
            <w:r>
              <w:rPr>
                <w:rFonts w:hint="default"/>
                <w:color w:val="auto"/>
                <w:lang w:val="zh-CN"/>
              </w:rPr>
              <w:t>2、带式输送机安全措施</w:t>
            </w:r>
          </w:p>
          <w:p w14:paraId="5598CEDE">
            <w:pPr>
              <w:pStyle w:val="24"/>
              <w:bidi w:val="0"/>
              <w:jc w:val="both"/>
              <w:rPr>
                <w:rFonts w:hint="default"/>
                <w:color w:val="auto"/>
                <w:lang w:val="zh-CN"/>
              </w:rPr>
            </w:pPr>
            <w:r>
              <w:rPr>
                <w:rFonts w:hint="default"/>
                <w:color w:val="auto"/>
                <w:lang w:val="zh-CN"/>
              </w:rPr>
              <w:t>（1）带式输送机皮带长度范围在7—30m，并设皮带走廊。</w:t>
            </w:r>
          </w:p>
          <w:p w14:paraId="2CD97A38">
            <w:pPr>
              <w:pStyle w:val="24"/>
              <w:bidi w:val="0"/>
              <w:jc w:val="both"/>
              <w:rPr>
                <w:rFonts w:hint="default"/>
                <w:color w:val="auto"/>
                <w:lang w:val="zh-CN"/>
              </w:rPr>
            </w:pPr>
            <w:r>
              <w:rPr>
                <w:rFonts w:hint="default"/>
                <w:color w:val="auto"/>
                <w:lang w:val="zh-CN"/>
              </w:rPr>
              <w:t>1）—所有胶带输送机均安装1组手动复位拉线急停开关，拉线急停开关的拉线应沿整条皮带运输机布置；靠近带头尾部处设置一对跑偏开关，在输送机中间位置可每隔15-20m设一对。</w:t>
            </w:r>
          </w:p>
          <w:p w14:paraId="34B49DE7">
            <w:pPr>
              <w:pStyle w:val="24"/>
              <w:bidi w:val="0"/>
              <w:jc w:val="both"/>
              <w:rPr>
                <w:rFonts w:hint="default"/>
                <w:color w:val="auto"/>
                <w:lang w:val="zh-CN"/>
              </w:rPr>
            </w:pPr>
            <w:r>
              <w:rPr>
                <w:rFonts w:hint="default"/>
                <w:color w:val="auto"/>
                <w:lang w:val="zh-CN"/>
              </w:rPr>
              <w:t>2）—每10组槽形上托辊装设一组自动上纠偏装置，每5组下托辊装设一组自动下纠偏装置，倒料槽下不装设自动纠偏装置。</w:t>
            </w:r>
          </w:p>
          <w:p w14:paraId="79E50AA4">
            <w:pPr>
              <w:pStyle w:val="24"/>
              <w:bidi w:val="0"/>
              <w:jc w:val="both"/>
              <w:rPr>
                <w:rFonts w:hint="default"/>
                <w:color w:val="auto"/>
                <w:lang w:val="zh-CN"/>
              </w:rPr>
            </w:pPr>
            <w:r>
              <w:rPr>
                <w:rFonts w:hint="default"/>
                <w:color w:val="auto"/>
                <w:lang w:val="zh-CN"/>
              </w:rPr>
              <w:t>3）—输送机滚筒设置一道头部清扫器，尾部和螺旋拉紧装置处均设空段清扫器。</w:t>
            </w:r>
          </w:p>
          <w:p w14:paraId="3D3F70DD">
            <w:pPr>
              <w:pStyle w:val="24"/>
              <w:bidi w:val="0"/>
              <w:jc w:val="both"/>
              <w:rPr>
                <w:rFonts w:hint="default"/>
                <w:color w:val="auto"/>
                <w:lang w:val="zh-CN"/>
              </w:rPr>
            </w:pPr>
            <w:r>
              <w:rPr>
                <w:rFonts w:hint="default"/>
                <w:color w:val="auto"/>
                <w:lang w:val="zh-CN"/>
              </w:rPr>
              <w:t>4）—皮带机头、尾部滚筒设置防护罩，通廊墙壁与皮带之间的的距离，经常行人侧不小于1.0m，另一侧不小于0.6m。</w:t>
            </w:r>
          </w:p>
          <w:p w14:paraId="7B25ECDB">
            <w:pPr>
              <w:pStyle w:val="24"/>
              <w:bidi w:val="0"/>
              <w:jc w:val="both"/>
              <w:rPr>
                <w:rFonts w:hint="default"/>
                <w:color w:val="auto"/>
                <w:lang w:val="zh-CN"/>
              </w:rPr>
            </w:pPr>
            <w:r>
              <w:rPr>
                <w:rFonts w:hint="default"/>
                <w:color w:val="auto"/>
                <w:lang w:val="zh-CN"/>
              </w:rPr>
              <w:t>5）—根据选矿安全规程要求，带式输送机通廊人行道的坡度大于6°时，应设防滑措施。本项目皮带廊坡度为12—20°，设踏步。</w:t>
            </w:r>
          </w:p>
          <w:p w14:paraId="3CD00EAF">
            <w:pPr>
              <w:pStyle w:val="24"/>
              <w:bidi w:val="0"/>
              <w:jc w:val="both"/>
              <w:rPr>
                <w:rFonts w:hint="default"/>
                <w:color w:val="auto"/>
                <w:lang w:val="zh-CN"/>
              </w:rPr>
            </w:pPr>
            <w:r>
              <w:rPr>
                <w:rFonts w:hint="default"/>
                <w:color w:val="auto"/>
                <w:lang w:val="zh-CN"/>
              </w:rPr>
              <w:t>6）—皮带机头、尾部滚筒设置防护罩，此外，所有外露的旋转、移动部件均设置了防护罩、防护栅，具体包括尾部滚筒、滚筒侧板遮拦。</w:t>
            </w:r>
          </w:p>
          <w:p w14:paraId="4E34E0C5">
            <w:pPr>
              <w:pStyle w:val="24"/>
              <w:bidi w:val="0"/>
              <w:jc w:val="both"/>
              <w:rPr>
                <w:rFonts w:hint="default"/>
                <w:color w:val="auto"/>
                <w:lang w:val="zh-CN"/>
              </w:rPr>
            </w:pPr>
            <w:r>
              <w:rPr>
                <w:rFonts w:hint="default"/>
                <w:color w:val="auto"/>
                <w:lang w:val="zh-CN"/>
              </w:rPr>
              <w:t>7）—带式输送机操作人员须经过安全技术培训，持证上岗。</w:t>
            </w:r>
          </w:p>
          <w:p w14:paraId="20DC3D62">
            <w:pPr>
              <w:pStyle w:val="24"/>
              <w:bidi w:val="0"/>
              <w:jc w:val="both"/>
              <w:rPr>
                <w:rFonts w:hint="default"/>
                <w:color w:val="auto"/>
                <w:lang w:val="zh-CN"/>
              </w:rPr>
            </w:pPr>
            <w:r>
              <w:rPr>
                <w:rFonts w:hint="default"/>
                <w:color w:val="auto"/>
                <w:lang w:val="zh-CN"/>
              </w:rPr>
              <w:t>8）—带式输送机具有相应的防撕裂、防跑偏、打滑等的措施，皮带均采取安全连锁和故障报警装置。</w:t>
            </w:r>
          </w:p>
          <w:p w14:paraId="47BC5FB5">
            <w:pPr>
              <w:pStyle w:val="24"/>
              <w:bidi w:val="0"/>
              <w:jc w:val="both"/>
              <w:rPr>
                <w:rFonts w:hint="default"/>
                <w:color w:val="auto"/>
                <w:lang w:val="zh-CN"/>
              </w:rPr>
            </w:pPr>
            <w:r>
              <w:rPr>
                <w:rFonts w:hint="default"/>
                <w:color w:val="auto"/>
                <w:lang w:val="zh-CN"/>
              </w:rPr>
              <w:t>9）—带式输送机运行遵守下列规定：人员不应乘坐、跨越、钻爬带式输送机；带式输送机不应运送规定物料以外的其他物料；不应从运行中的带式输送机上用手捡矿石；输送带、传动轮和改向轮上的杂物，应及时停车清除；不应在运行的输送带下清矿；运行中的带式输送机不应进行检修、打扫和注油，不应用手摸托辊、首尾轮等转动部件。</w:t>
            </w:r>
          </w:p>
          <w:p w14:paraId="579332DB">
            <w:pPr>
              <w:pStyle w:val="24"/>
              <w:bidi w:val="0"/>
              <w:jc w:val="both"/>
              <w:rPr>
                <w:rFonts w:hint="default"/>
                <w:color w:val="auto"/>
                <w:lang w:val="zh-CN"/>
              </w:rPr>
            </w:pPr>
            <w:r>
              <w:rPr>
                <w:rFonts w:hint="default"/>
                <w:color w:val="auto"/>
                <w:lang w:val="zh-CN"/>
              </w:rPr>
              <w:t>10）—更换栏板、清扫器和托辊，应停车、切断电源后进行，并应有专人监护。</w:t>
            </w:r>
          </w:p>
          <w:p w14:paraId="1A3BDB8B">
            <w:pPr>
              <w:pStyle w:val="24"/>
              <w:bidi w:val="0"/>
              <w:jc w:val="both"/>
              <w:rPr>
                <w:rFonts w:hint="default"/>
                <w:color w:val="auto"/>
                <w:lang w:val="zh-CN"/>
              </w:rPr>
            </w:pPr>
            <w:r>
              <w:rPr>
                <w:rFonts w:hint="default"/>
                <w:color w:val="auto"/>
                <w:lang w:val="zh-CN"/>
              </w:rPr>
              <w:t>11）—带式输送机不能启动或打滑时，不应用脚蹬踩、用手推拉或压杆子等办法处理。</w:t>
            </w:r>
          </w:p>
          <w:p w14:paraId="6E751D11">
            <w:pPr>
              <w:pStyle w:val="24"/>
              <w:bidi w:val="0"/>
              <w:jc w:val="both"/>
              <w:rPr>
                <w:rFonts w:hint="default"/>
                <w:color w:val="auto"/>
                <w:lang w:val="zh-CN"/>
              </w:rPr>
            </w:pPr>
            <w:r>
              <w:rPr>
                <w:rFonts w:hint="default"/>
                <w:color w:val="auto"/>
                <w:lang w:val="zh-CN"/>
              </w:rPr>
              <w:t>（2）安全通道</w:t>
            </w:r>
          </w:p>
          <w:p w14:paraId="5AED9B0C">
            <w:pPr>
              <w:pStyle w:val="24"/>
              <w:bidi w:val="0"/>
              <w:jc w:val="both"/>
              <w:rPr>
                <w:rFonts w:hint="default"/>
                <w:color w:val="auto"/>
                <w:lang w:val="zh-CN"/>
              </w:rPr>
            </w:pPr>
            <w:r>
              <w:rPr>
                <w:rFonts w:hint="default"/>
                <w:color w:val="auto"/>
                <w:lang w:val="zh-CN"/>
              </w:rPr>
              <w:t>凡需要巡检到的地方及各胶带运输机均设置安全走道和防护栏杆，安全走道的宽度不小于1.5m；距下方相邻地板或地面0.6m及以上的平台、通道和工作面的所有敞口边缘设置防护栏杆。在平台、通道和工作面上可能使用工具、机器部件或物品的场合，所有敞口边缘设带踢脚板的防护栏杆，踢脚板不得低于100mm。</w:t>
            </w:r>
          </w:p>
          <w:p w14:paraId="73759A01">
            <w:pPr>
              <w:pStyle w:val="24"/>
              <w:bidi w:val="0"/>
              <w:jc w:val="both"/>
              <w:rPr>
                <w:rFonts w:hint="default"/>
                <w:color w:val="auto"/>
                <w:lang w:val="zh-CN"/>
              </w:rPr>
            </w:pPr>
            <w:r>
              <w:rPr>
                <w:rFonts w:hint="default"/>
                <w:color w:val="auto"/>
                <w:lang w:val="zh-CN"/>
              </w:rPr>
              <w:t>（3）胶带输送作业</w:t>
            </w:r>
          </w:p>
          <w:p w14:paraId="78C016C8">
            <w:pPr>
              <w:pStyle w:val="24"/>
              <w:bidi w:val="0"/>
              <w:jc w:val="both"/>
              <w:rPr>
                <w:rFonts w:hint="default"/>
                <w:color w:val="auto"/>
                <w:lang w:val="zh-CN"/>
              </w:rPr>
            </w:pPr>
            <w:r>
              <w:rPr>
                <w:rFonts w:hint="default"/>
                <w:color w:val="auto"/>
                <w:lang w:val="zh-CN"/>
              </w:rPr>
              <w:t>严格遵守各作业操作规程，厂家设备操作规程和维护规程。</w:t>
            </w:r>
          </w:p>
          <w:p w14:paraId="32BDBE34">
            <w:pPr>
              <w:pStyle w:val="24"/>
              <w:bidi w:val="0"/>
              <w:jc w:val="both"/>
              <w:rPr>
                <w:rFonts w:hint="default"/>
                <w:color w:val="auto"/>
                <w:lang w:val="zh-CN"/>
              </w:rPr>
            </w:pPr>
            <w:r>
              <w:rPr>
                <w:rFonts w:hint="default"/>
                <w:color w:val="auto"/>
                <w:lang w:val="zh-CN"/>
              </w:rPr>
              <w:t>进入机体检查处理故障时，应遵守如下规定：作业人员系好安全带，其长度只限到作业点，设专人监护。</w:t>
            </w:r>
          </w:p>
          <w:p w14:paraId="3D5E229F">
            <w:pPr>
              <w:pStyle w:val="24"/>
              <w:bidi w:val="0"/>
              <w:jc w:val="both"/>
              <w:rPr>
                <w:rFonts w:hint="default"/>
                <w:color w:val="auto"/>
                <w:lang w:val="zh-CN"/>
              </w:rPr>
            </w:pPr>
            <w:r>
              <w:rPr>
                <w:rFonts w:hint="default"/>
                <w:color w:val="auto"/>
                <w:lang w:val="zh-CN"/>
              </w:rPr>
              <w:t>对产尘作业点，应采取密闭除尘、喷雾洒水、湿式作业等防尘措施。</w:t>
            </w:r>
          </w:p>
          <w:p w14:paraId="13E45DC6">
            <w:pPr>
              <w:pStyle w:val="24"/>
              <w:bidi w:val="0"/>
              <w:jc w:val="both"/>
              <w:rPr>
                <w:rFonts w:hint="default"/>
                <w:color w:val="auto"/>
                <w:lang w:val="zh-CN"/>
              </w:rPr>
            </w:pPr>
            <w:r>
              <w:rPr>
                <w:rFonts w:hint="default"/>
                <w:color w:val="auto"/>
                <w:lang w:val="zh-CN"/>
              </w:rPr>
              <w:t>（4）车间内平台及楼梯采用花纹钢板防滑。</w:t>
            </w:r>
          </w:p>
          <w:p w14:paraId="2158ECEC">
            <w:pPr>
              <w:pStyle w:val="24"/>
              <w:bidi w:val="0"/>
              <w:jc w:val="both"/>
              <w:rPr>
                <w:rFonts w:hint="default"/>
                <w:color w:val="auto"/>
                <w:lang w:val="zh-CN"/>
              </w:rPr>
            </w:pPr>
            <w:r>
              <w:rPr>
                <w:rFonts w:hint="default"/>
                <w:color w:val="auto"/>
                <w:lang w:val="zh-CN"/>
              </w:rPr>
              <w:t>（5）大于6°胶带通廊设防滑措施，超过12°时应设踏步。</w:t>
            </w:r>
          </w:p>
          <w:p w14:paraId="7E9DF9B4">
            <w:pPr>
              <w:pStyle w:val="24"/>
              <w:bidi w:val="0"/>
              <w:jc w:val="both"/>
              <w:rPr>
                <w:rFonts w:hint="default"/>
                <w:color w:val="auto"/>
                <w:lang w:val="zh-CN"/>
              </w:rPr>
            </w:pPr>
            <w:r>
              <w:rPr>
                <w:rFonts w:hint="default"/>
                <w:color w:val="auto"/>
                <w:lang w:val="zh-CN"/>
              </w:rPr>
              <w:t>3、振动筛安全措施</w:t>
            </w:r>
          </w:p>
          <w:p w14:paraId="257962A5">
            <w:pPr>
              <w:pStyle w:val="24"/>
              <w:bidi w:val="0"/>
              <w:jc w:val="both"/>
              <w:rPr>
                <w:rFonts w:hint="default"/>
                <w:color w:val="auto"/>
                <w:lang w:val="zh-CN"/>
              </w:rPr>
            </w:pPr>
            <w:r>
              <w:rPr>
                <w:rFonts w:hint="default"/>
                <w:color w:val="auto"/>
                <w:lang w:val="zh-CN"/>
              </w:rPr>
              <w:t>（1）在操作干排筛设备前，必须保证该设备处于稳定状态，且所涉及的电源、已正常连接。</w:t>
            </w:r>
          </w:p>
          <w:p w14:paraId="6A2FD6B4">
            <w:pPr>
              <w:pStyle w:val="24"/>
              <w:bidi w:val="0"/>
              <w:jc w:val="both"/>
              <w:rPr>
                <w:rFonts w:hint="default"/>
                <w:color w:val="auto"/>
                <w:lang w:val="zh-CN"/>
              </w:rPr>
            </w:pPr>
            <w:r>
              <w:rPr>
                <w:rFonts w:hint="default"/>
                <w:color w:val="auto"/>
                <w:lang w:val="zh-CN"/>
              </w:rPr>
              <w:t>（2）保持设备周围的环境整洁清洁，防止杂物堆积并避免堵塞设备影响正常运行。</w:t>
            </w:r>
          </w:p>
          <w:p w14:paraId="4BCEB53A">
            <w:pPr>
              <w:pStyle w:val="24"/>
              <w:bidi w:val="0"/>
              <w:jc w:val="both"/>
              <w:rPr>
                <w:rFonts w:hint="default"/>
                <w:color w:val="auto"/>
                <w:lang w:val="zh-CN"/>
              </w:rPr>
            </w:pPr>
            <w:r>
              <w:rPr>
                <w:rFonts w:hint="default"/>
                <w:color w:val="auto"/>
                <w:lang w:val="zh-CN"/>
              </w:rPr>
              <w:t>（3）停机前必须先停止投料，并让干排筛设备自行运行一段时间，全面清除筛网上的物料。</w:t>
            </w:r>
          </w:p>
          <w:p w14:paraId="2936E163">
            <w:pPr>
              <w:pStyle w:val="24"/>
              <w:bidi w:val="0"/>
              <w:jc w:val="both"/>
              <w:rPr>
                <w:rFonts w:hint="default"/>
                <w:color w:val="auto"/>
                <w:lang w:val="zh-CN"/>
              </w:rPr>
            </w:pPr>
            <w:r>
              <w:rPr>
                <w:rFonts w:hint="default"/>
                <w:color w:val="auto"/>
                <w:lang w:val="zh-CN"/>
              </w:rPr>
              <w:t>（4）严禁穿着松散的衣服、长发、项链等容易被卷入干排筛设备内的物品进行操作。</w:t>
            </w:r>
          </w:p>
          <w:p w14:paraId="290991D4">
            <w:pPr>
              <w:pStyle w:val="24"/>
              <w:bidi w:val="0"/>
              <w:jc w:val="both"/>
              <w:rPr>
                <w:rFonts w:hint="default"/>
                <w:color w:val="auto"/>
                <w:lang w:val="zh-CN"/>
              </w:rPr>
            </w:pPr>
            <w:r>
              <w:rPr>
                <w:rFonts w:hint="default"/>
                <w:color w:val="auto"/>
                <w:lang w:val="zh-CN"/>
              </w:rPr>
              <w:t>（5）在清洗下排筛设备时，必须确保设备已断电，并将各种气源、水源均断开。</w:t>
            </w:r>
          </w:p>
          <w:p w14:paraId="2CD4908F">
            <w:pPr>
              <w:pStyle w:val="24"/>
              <w:bidi w:val="0"/>
              <w:jc w:val="both"/>
              <w:rPr>
                <w:rFonts w:hint="default"/>
                <w:color w:val="auto"/>
                <w:lang w:val="zh-CN"/>
              </w:rPr>
            </w:pPr>
            <w:r>
              <w:rPr>
                <w:rFonts w:hint="default"/>
                <w:color w:val="auto"/>
                <w:lang w:val="zh-CN"/>
              </w:rPr>
              <w:t>（6）在清理、维护干排筛设备时，必须使用特定的工具，并禁止用手直接触动设备内部的运行部件。</w:t>
            </w:r>
          </w:p>
          <w:p w14:paraId="5B4025C4">
            <w:pPr>
              <w:pStyle w:val="24"/>
              <w:bidi w:val="0"/>
              <w:jc w:val="both"/>
              <w:rPr>
                <w:rFonts w:hint="default"/>
                <w:color w:val="auto"/>
                <w:lang w:val="zh-CN"/>
              </w:rPr>
            </w:pPr>
            <w:r>
              <w:rPr>
                <w:rFonts w:hint="default"/>
                <w:color w:val="auto"/>
                <w:lang w:val="zh-CN"/>
              </w:rPr>
              <w:t>（7）凡是伴随有电、气、水等危险因素的作业，必须经过特定人员检查并同意后方可进行。</w:t>
            </w:r>
          </w:p>
          <w:p w14:paraId="52A866B1">
            <w:pPr>
              <w:pStyle w:val="24"/>
              <w:bidi w:val="0"/>
              <w:jc w:val="both"/>
              <w:rPr>
                <w:rFonts w:hint="default"/>
                <w:color w:val="auto"/>
                <w:lang w:val="zh-CN"/>
              </w:rPr>
            </w:pPr>
            <w:r>
              <w:rPr>
                <w:rFonts w:hint="default"/>
                <w:color w:val="auto"/>
                <w:lang w:val="zh-CN"/>
              </w:rPr>
              <w:t>（8）严禁擅自拆卸、更换干排筛设备内部的核心零部件，避免影响设备的稳定。</w:t>
            </w:r>
          </w:p>
          <w:p w14:paraId="5D2CB88B">
            <w:pPr>
              <w:pStyle w:val="24"/>
              <w:bidi w:val="0"/>
              <w:jc w:val="both"/>
              <w:rPr>
                <w:rFonts w:hint="default"/>
                <w:color w:val="auto"/>
                <w:lang w:val="zh-CN"/>
              </w:rPr>
            </w:pPr>
            <w:r>
              <w:rPr>
                <w:rFonts w:hint="default"/>
                <w:color w:val="auto"/>
                <w:lang w:val="zh-CN"/>
              </w:rPr>
              <w:t>（9）禁止在干排筛周围设立不符合安全距离的设备或者物品，避免影响设备的运行及人员安全。</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3B7533BE">
            <w:pPr>
              <w:pStyle w:val="24"/>
              <w:bidi w:val="0"/>
              <w:rPr>
                <w:rFonts w:hint="default" w:eastAsia="宋体"/>
                <w:color w:val="auto"/>
                <w:lang w:val="en-US" w:eastAsia="zh-CN"/>
              </w:rPr>
            </w:pPr>
            <w:r>
              <w:rPr>
                <w:rFonts w:hint="eastAsia"/>
                <w:color w:val="auto"/>
                <w:lang w:eastAsia="zh-CN"/>
              </w:rPr>
              <w:t>《安全设施设计》</w:t>
            </w:r>
            <w:r>
              <w:rPr>
                <w:rFonts w:hint="eastAsia"/>
                <w:color w:val="auto"/>
                <w:lang w:val="en-US" w:eastAsia="zh-CN"/>
              </w:rPr>
              <w:t>5.2.4</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9DF2208">
            <w:pPr>
              <w:pStyle w:val="24"/>
              <w:bidi w:val="0"/>
              <w:rPr>
                <w:rFonts w:hint="default" w:eastAsia="宋体"/>
                <w:color w:val="auto"/>
                <w:lang w:val="en-US" w:eastAsia="zh-CN"/>
              </w:rPr>
            </w:pPr>
            <w:r>
              <w:rPr>
                <w:rFonts w:hint="default"/>
                <w:color w:val="auto"/>
                <w:lang w:val="zh-CN"/>
              </w:rPr>
              <w:t>压滤机、浓密机均匀给矿，管路应畅通；</w:t>
            </w:r>
            <w:r>
              <w:rPr>
                <w:rFonts w:hint="eastAsia"/>
                <w:color w:val="auto"/>
                <w:lang w:val="en-US" w:eastAsia="zh-CN"/>
              </w:rPr>
              <w:t>压</w:t>
            </w:r>
            <w:r>
              <w:rPr>
                <w:rFonts w:hint="default"/>
                <w:color w:val="auto"/>
                <w:lang w:val="zh-CN"/>
              </w:rPr>
              <w:t>滤机操作平台设置洗手池、地面冲洗水管。</w:t>
            </w:r>
            <w:r>
              <w:rPr>
                <w:rFonts w:hint="eastAsia"/>
                <w:color w:val="auto"/>
                <w:lang w:val="en-US" w:eastAsia="zh-CN"/>
              </w:rPr>
              <w:t>压</w:t>
            </w:r>
            <w:r>
              <w:rPr>
                <w:rFonts w:hint="default"/>
                <w:color w:val="auto"/>
                <w:lang w:val="zh-CN"/>
              </w:rPr>
              <w:t>滤机操作平台和楼梯设置了防护栏杆。</w:t>
            </w:r>
            <w:r>
              <w:rPr>
                <w:rFonts w:hint="eastAsia"/>
                <w:color w:val="auto"/>
                <w:lang w:val="en-US" w:eastAsia="zh-CN"/>
              </w:rPr>
              <w:t>转动部位设置了防护罩。带式输送机设置了拉绳开关，通道上方的带式输送机下设置挡板。平台所有敞口边缘设带踢脚板的防护栏杆。</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49D075EC">
            <w:pPr>
              <w:pStyle w:val="24"/>
              <w:bidi w:val="0"/>
              <w:rPr>
                <w:rFonts w:hint="eastAsia" w:eastAsia="宋体"/>
                <w:color w:val="auto"/>
                <w:lang w:val="en-US" w:eastAsia="zh-CN"/>
              </w:rPr>
            </w:pPr>
            <w:r>
              <w:rPr>
                <w:rFonts w:hint="eastAsia"/>
                <w:color w:val="auto"/>
                <w:lang w:val="en-US" w:eastAsia="zh-CN"/>
              </w:rPr>
              <w:t>符合</w:t>
            </w:r>
          </w:p>
        </w:tc>
      </w:tr>
      <w:tr w14:paraId="43EF5D34">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5EC0D8A8">
            <w:pPr>
              <w:pStyle w:val="24"/>
              <w:bidi w:val="0"/>
              <w:rPr>
                <w:rFonts w:hint="default"/>
                <w:color w:val="auto"/>
                <w:lang w:val="en-US" w:eastAsia="zh-CN"/>
              </w:rPr>
            </w:pPr>
            <w:r>
              <w:rPr>
                <w:rFonts w:hint="eastAsia"/>
                <w:color w:val="auto"/>
                <w:lang w:val="en-US" w:eastAsia="zh-CN"/>
              </w:rPr>
              <w:t>3.2</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5702254A">
            <w:pPr>
              <w:pStyle w:val="24"/>
              <w:bidi w:val="0"/>
              <w:jc w:val="both"/>
              <w:rPr>
                <w:rFonts w:hint="default"/>
                <w:color w:val="auto"/>
                <w:lang w:val="zh-CN"/>
              </w:rPr>
            </w:pPr>
            <w:r>
              <w:rPr>
                <w:rFonts w:hint="default"/>
                <w:color w:val="auto"/>
                <w:lang w:val="zh-CN"/>
              </w:rPr>
              <w:t>储气罐上必须装设安全阀。储气罐与供气总管之间，应装设切断阀。</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3C9C3116">
            <w:pPr>
              <w:pStyle w:val="24"/>
              <w:bidi w:val="0"/>
              <w:rPr>
                <w:rFonts w:hint="default"/>
                <w:color w:val="auto"/>
                <w:lang w:val="en-US" w:eastAsia="zh-CN"/>
              </w:rPr>
            </w:pPr>
            <w:r>
              <w:rPr>
                <w:rFonts w:hint="eastAsia"/>
                <w:color w:val="auto"/>
                <w:lang w:val="en-US" w:eastAsia="zh-CN"/>
              </w:rPr>
              <w:t>《压缩空气站设计规范》（GB 50029-2014）3.0.18</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5A86AA8A">
            <w:pPr>
              <w:pStyle w:val="24"/>
              <w:bidi w:val="0"/>
              <w:rPr>
                <w:rFonts w:hint="default" w:eastAsia="宋体"/>
                <w:color w:val="auto"/>
                <w:lang w:val="en-US" w:eastAsia="zh-CN"/>
              </w:rPr>
            </w:pPr>
            <w:r>
              <w:rPr>
                <w:rFonts w:hint="eastAsia"/>
                <w:color w:val="auto"/>
                <w:lang w:val="en-US" w:eastAsia="zh-CN"/>
              </w:rPr>
              <w:t>储气罐上装有安全阀和切断阀。</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580A8940">
            <w:pPr>
              <w:pStyle w:val="24"/>
              <w:bidi w:val="0"/>
              <w:rPr>
                <w:rFonts w:hint="default"/>
                <w:color w:val="auto"/>
                <w:lang w:val="en-US" w:eastAsia="zh-CN"/>
              </w:rPr>
            </w:pPr>
            <w:r>
              <w:rPr>
                <w:rFonts w:hint="eastAsia"/>
                <w:color w:val="auto"/>
                <w:lang w:val="en-US" w:eastAsia="zh-CN"/>
              </w:rPr>
              <w:t>符合</w:t>
            </w:r>
          </w:p>
        </w:tc>
      </w:tr>
      <w:tr w14:paraId="78CB0C3E">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69AE9029">
            <w:pPr>
              <w:pStyle w:val="24"/>
              <w:bidi w:val="0"/>
              <w:rPr>
                <w:rFonts w:hint="default"/>
                <w:color w:val="auto"/>
                <w:lang w:val="en-US" w:eastAsia="zh-CN"/>
              </w:rPr>
            </w:pPr>
            <w:r>
              <w:rPr>
                <w:rFonts w:hint="eastAsia"/>
                <w:color w:val="auto"/>
                <w:lang w:val="en-US" w:eastAsia="zh-CN"/>
              </w:rPr>
              <w:t>3.3</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10030A1A">
            <w:pPr>
              <w:pStyle w:val="24"/>
              <w:bidi w:val="0"/>
              <w:jc w:val="both"/>
              <w:rPr>
                <w:rFonts w:hint="default"/>
                <w:color w:val="auto"/>
                <w:lang w:val="zh-CN"/>
              </w:rPr>
            </w:pPr>
            <w:r>
              <w:rPr>
                <w:rFonts w:hint="default"/>
                <w:color w:val="auto"/>
                <w:lang w:val="zh-CN"/>
              </w:rPr>
              <w:t>空气压缩机组的联轴器和皮带传动部分必须装设安全防护设施</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108BF638">
            <w:pPr>
              <w:pStyle w:val="24"/>
              <w:bidi w:val="0"/>
              <w:rPr>
                <w:rFonts w:hint="default"/>
                <w:color w:val="auto"/>
                <w:lang w:val="en-US" w:eastAsia="zh-CN"/>
              </w:rPr>
            </w:pPr>
            <w:r>
              <w:rPr>
                <w:rFonts w:hint="eastAsia"/>
                <w:color w:val="auto"/>
                <w:lang w:val="en-US" w:eastAsia="zh-CN"/>
              </w:rPr>
              <w:t>《压缩空气站设计规范》（GB 50029-2014）4.0.14</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7B149728">
            <w:pPr>
              <w:pStyle w:val="24"/>
              <w:bidi w:val="0"/>
              <w:rPr>
                <w:rFonts w:hint="default" w:eastAsia="宋体"/>
                <w:color w:val="auto"/>
                <w:lang w:val="en-US" w:eastAsia="zh-CN"/>
              </w:rPr>
            </w:pPr>
            <w:r>
              <w:rPr>
                <w:rFonts w:hint="eastAsia"/>
                <w:color w:val="auto"/>
                <w:lang w:val="en-US" w:eastAsia="zh-CN"/>
              </w:rPr>
              <w:t>有安全防护措施。</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22FFC628">
            <w:pPr>
              <w:pStyle w:val="24"/>
              <w:bidi w:val="0"/>
              <w:rPr>
                <w:rFonts w:hint="default"/>
                <w:color w:val="auto"/>
                <w:lang w:val="en-US" w:eastAsia="zh-CN"/>
              </w:rPr>
            </w:pPr>
            <w:r>
              <w:rPr>
                <w:rFonts w:hint="eastAsia"/>
                <w:color w:val="auto"/>
                <w:lang w:val="en-US" w:eastAsia="zh-CN"/>
              </w:rPr>
              <w:t>符合</w:t>
            </w:r>
          </w:p>
        </w:tc>
      </w:tr>
      <w:tr w14:paraId="54A99908">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C869D8B">
            <w:pPr>
              <w:pStyle w:val="24"/>
              <w:bidi w:val="0"/>
              <w:rPr>
                <w:rFonts w:hint="default"/>
                <w:color w:val="auto"/>
                <w:lang w:val="en-US" w:eastAsia="zh-CN"/>
              </w:rPr>
            </w:pPr>
            <w:r>
              <w:rPr>
                <w:rFonts w:hint="eastAsia"/>
                <w:color w:val="auto"/>
                <w:lang w:val="en-US" w:eastAsia="zh-CN"/>
              </w:rPr>
              <w:t>4</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5D31BBF8">
            <w:pPr>
              <w:pStyle w:val="24"/>
              <w:bidi w:val="0"/>
              <w:rPr>
                <w:rFonts w:hint="eastAsia"/>
                <w:color w:val="auto"/>
                <w:lang w:val="en-US" w:eastAsia="zh-CN"/>
              </w:rPr>
            </w:pPr>
            <w:r>
              <w:rPr>
                <w:rFonts w:hint="eastAsia"/>
                <w:color w:val="auto"/>
                <w:lang w:val="en-US" w:eastAsia="zh-CN"/>
              </w:rPr>
              <w:t>新水池、回水池、事故池</w:t>
            </w:r>
            <w:r>
              <w:rPr>
                <w:rFonts w:hint="default"/>
                <w:color w:val="auto"/>
                <w:lang w:val="zh-CN"/>
              </w:rPr>
              <w:t>安全措施</w:t>
            </w:r>
          </w:p>
        </w:tc>
      </w:tr>
      <w:tr w14:paraId="2C419B8B">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3A784C2">
            <w:pPr>
              <w:pStyle w:val="24"/>
              <w:bidi w:val="0"/>
              <w:rPr>
                <w:rFonts w:hint="default"/>
                <w:color w:val="auto"/>
                <w:lang w:val="en-US" w:eastAsia="zh-CN"/>
              </w:rPr>
            </w:pPr>
            <w:r>
              <w:rPr>
                <w:rFonts w:hint="eastAsia"/>
                <w:color w:val="auto"/>
                <w:lang w:val="en-US" w:eastAsia="zh-CN"/>
              </w:rPr>
              <w:t>4.1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5ECE974">
            <w:pPr>
              <w:pStyle w:val="24"/>
              <w:bidi w:val="0"/>
              <w:jc w:val="both"/>
              <w:rPr>
                <w:rFonts w:hint="default"/>
                <w:color w:val="auto"/>
                <w:lang w:val="zh-CN"/>
              </w:rPr>
            </w:pPr>
            <w:r>
              <w:rPr>
                <w:rFonts w:hint="default"/>
                <w:color w:val="auto"/>
                <w:lang w:val="zh-CN"/>
              </w:rPr>
              <w:t>（1）回水池、新水池、事故池周围需按规定安装防护栏杆，栏杆高度1.05m。周围需设警示牌。</w:t>
            </w:r>
          </w:p>
          <w:p w14:paraId="36CD3F5D">
            <w:pPr>
              <w:pStyle w:val="24"/>
              <w:bidi w:val="0"/>
              <w:jc w:val="both"/>
              <w:rPr>
                <w:rFonts w:hint="default"/>
                <w:color w:val="auto"/>
                <w:lang w:val="zh-CN"/>
              </w:rPr>
            </w:pPr>
            <w:r>
              <w:rPr>
                <w:rFonts w:hint="default"/>
                <w:color w:val="auto"/>
                <w:lang w:val="zh-CN"/>
              </w:rPr>
              <w:t>（2）加强员工安全教育培训，提高自我保护意识，加强警示教育和增强醒目警示标志，防止人员坠入内，造成淹溺事故的发生。</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0D240091">
            <w:pPr>
              <w:pStyle w:val="24"/>
              <w:bidi w:val="0"/>
              <w:rPr>
                <w:rFonts w:hint="default"/>
                <w:color w:val="auto"/>
                <w:lang w:val="zh-CN"/>
              </w:rPr>
            </w:pPr>
            <w:r>
              <w:rPr>
                <w:rFonts w:hint="default"/>
                <w:color w:val="auto"/>
                <w:lang w:val="zh-CN"/>
              </w:rPr>
              <w:t>《安全设施设计》</w:t>
            </w:r>
          </w:p>
          <w:p w14:paraId="621E16FB">
            <w:pPr>
              <w:pStyle w:val="24"/>
              <w:bidi w:val="0"/>
              <w:rPr>
                <w:rFonts w:hint="eastAsia"/>
                <w:color w:val="auto"/>
                <w:lang w:eastAsia="zh-CN"/>
              </w:rPr>
            </w:pPr>
            <w:r>
              <w:rPr>
                <w:rFonts w:hint="default"/>
                <w:color w:val="auto"/>
                <w:lang w:val="zh-CN"/>
              </w:rPr>
              <w:t>第5.</w:t>
            </w:r>
            <w:r>
              <w:rPr>
                <w:rFonts w:hint="default"/>
                <w:color w:val="auto"/>
                <w:lang w:val="en-US" w:eastAsia="zh-CN"/>
              </w:rPr>
              <w:t>2</w:t>
            </w:r>
            <w:r>
              <w:rPr>
                <w:rFonts w:hint="default"/>
                <w:color w:val="auto"/>
                <w:lang w:val="zh-CN"/>
              </w:rPr>
              <w:t>.</w:t>
            </w:r>
            <w:r>
              <w:rPr>
                <w:rFonts w:hint="eastAsia"/>
                <w:color w:val="auto"/>
                <w:lang w:val="en-US" w:eastAsia="zh-CN"/>
              </w:rPr>
              <w:t>5</w:t>
            </w:r>
            <w:r>
              <w:rPr>
                <w:rFonts w:hint="default"/>
                <w:color w:val="auto"/>
                <w:lang w:val="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1004FB23">
            <w:pPr>
              <w:pStyle w:val="24"/>
              <w:bidi w:val="0"/>
              <w:rPr>
                <w:rFonts w:hint="default" w:eastAsia="宋体"/>
                <w:color w:val="auto"/>
                <w:lang w:val="en-US" w:eastAsia="zh-CN"/>
              </w:rPr>
            </w:pPr>
            <w:r>
              <w:rPr>
                <w:rFonts w:hint="eastAsia"/>
                <w:color w:val="auto"/>
                <w:lang w:val="en-US" w:eastAsia="zh-CN"/>
              </w:rPr>
              <w:t>设置了防护栏杆等措施。现场调查时无警示标识，经企业整改后设置了警示标识，</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22AD1FBF">
            <w:pPr>
              <w:pStyle w:val="24"/>
              <w:bidi w:val="0"/>
              <w:rPr>
                <w:rFonts w:hint="default"/>
                <w:color w:val="auto"/>
                <w:lang w:val="en-US" w:eastAsia="zh-CN"/>
              </w:rPr>
            </w:pPr>
            <w:r>
              <w:rPr>
                <w:rFonts w:hint="eastAsia"/>
                <w:color w:val="auto"/>
                <w:lang w:val="en-US" w:eastAsia="zh-CN"/>
              </w:rPr>
              <w:t>符合</w:t>
            </w:r>
          </w:p>
        </w:tc>
      </w:tr>
      <w:tr w14:paraId="2C27D9C1">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990C3C4">
            <w:pPr>
              <w:pStyle w:val="24"/>
              <w:bidi w:val="0"/>
              <w:jc w:val="center"/>
              <w:rPr>
                <w:rFonts w:hint="default"/>
                <w:color w:val="auto"/>
                <w:lang w:val="en-US" w:eastAsia="zh-CN"/>
              </w:rPr>
            </w:pPr>
            <w:r>
              <w:rPr>
                <w:rFonts w:hint="eastAsia"/>
                <w:color w:val="auto"/>
                <w:lang w:val="en-US" w:eastAsia="zh-CN"/>
              </w:rPr>
              <w:t>5</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2D42386E">
            <w:pPr>
              <w:pStyle w:val="24"/>
              <w:bidi w:val="0"/>
              <w:jc w:val="center"/>
              <w:rPr>
                <w:rFonts w:hint="default"/>
                <w:color w:val="auto"/>
                <w:lang w:val="zh-CN"/>
              </w:rPr>
            </w:pPr>
            <w:r>
              <w:rPr>
                <w:rFonts w:hint="default"/>
                <w:color w:val="auto"/>
                <w:lang w:val="zh-CN"/>
              </w:rPr>
              <w:t>各楼板、操作平台的安全措施</w:t>
            </w:r>
          </w:p>
        </w:tc>
      </w:tr>
      <w:tr w14:paraId="7D96B810">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B2E7E7C">
            <w:pPr>
              <w:pStyle w:val="24"/>
              <w:bidi w:val="0"/>
              <w:rPr>
                <w:rFonts w:hint="default"/>
                <w:color w:val="auto"/>
                <w:lang w:val="en-US" w:eastAsia="zh-CN"/>
              </w:rPr>
            </w:pPr>
            <w:r>
              <w:rPr>
                <w:rFonts w:hint="eastAsia"/>
                <w:color w:val="auto"/>
                <w:lang w:val="en-US" w:eastAsia="zh-CN"/>
              </w:rPr>
              <w:t>5</w:t>
            </w:r>
            <w:r>
              <w:rPr>
                <w:rFonts w:hint="default"/>
                <w:color w:val="auto"/>
                <w:lang w:val="en-US" w:eastAsia="zh-CN"/>
              </w:rPr>
              <w:t>.1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5AC6C197">
            <w:pPr>
              <w:pStyle w:val="24"/>
              <w:bidi w:val="0"/>
              <w:jc w:val="both"/>
              <w:rPr>
                <w:rFonts w:hint="default"/>
                <w:color w:val="auto"/>
                <w:lang w:val="zh-CN"/>
              </w:rPr>
            </w:pPr>
            <w:r>
              <w:rPr>
                <w:rFonts w:hint="default"/>
                <w:color w:val="auto"/>
                <w:lang w:val="zh-CN"/>
              </w:rPr>
              <w:t>（1）车间的楼板和地面，设有适当的坡度；楼板设地漏、地面设排水沟（0.2m*0.2m，砖砌结构）；</w:t>
            </w:r>
          </w:p>
          <w:p w14:paraId="13A4A0D9">
            <w:pPr>
              <w:pStyle w:val="24"/>
              <w:bidi w:val="0"/>
              <w:jc w:val="both"/>
              <w:rPr>
                <w:rFonts w:hint="default"/>
                <w:color w:val="auto"/>
                <w:lang w:val="zh-CN"/>
              </w:rPr>
            </w:pPr>
            <w:r>
              <w:rPr>
                <w:rFonts w:hint="default"/>
                <w:color w:val="auto"/>
                <w:lang w:val="zh-CN"/>
              </w:rPr>
              <w:t>（2）车间设地坪冲洗设施，冲洗污水自流排泄；</w:t>
            </w:r>
          </w:p>
          <w:p w14:paraId="0ACA7662">
            <w:pPr>
              <w:pStyle w:val="24"/>
              <w:bidi w:val="0"/>
              <w:jc w:val="both"/>
              <w:rPr>
                <w:rFonts w:hint="default"/>
                <w:color w:val="auto"/>
                <w:lang w:val="zh-CN"/>
              </w:rPr>
            </w:pPr>
            <w:r>
              <w:rPr>
                <w:rFonts w:hint="default"/>
                <w:color w:val="auto"/>
                <w:lang w:val="zh-CN"/>
              </w:rPr>
              <w:t>（3）平台四周及孔洞周围，砌筑100mm左右的排水围台；地沟均设铁篦形盖板；</w:t>
            </w:r>
          </w:p>
          <w:p w14:paraId="2C66B6A6">
            <w:pPr>
              <w:pStyle w:val="24"/>
              <w:bidi w:val="0"/>
              <w:jc w:val="both"/>
              <w:rPr>
                <w:rFonts w:hint="default"/>
                <w:color w:val="auto"/>
                <w:lang w:val="zh-CN"/>
              </w:rPr>
            </w:pPr>
            <w:r>
              <w:rPr>
                <w:rFonts w:hint="default"/>
                <w:color w:val="auto"/>
                <w:lang w:val="zh-CN"/>
              </w:rPr>
              <w:t>（4）厂房内设备操作平台、设备与墙、柱子之间留有足够的距离；</w:t>
            </w:r>
          </w:p>
          <w:p w14:paraId="2428142F">
            <w:pPr>
              <w:pStyle w:val="24"/>
              <w:bidi w:val="0"/>
              <w:jc w:val="both"/>
              <w:rPr>
                <w:rFonts w:hint="default"/>
                <w:color w:val="auto"/>
                <w:lang w:val="zh-CN"/>
              </w:rPr>
            </w:pPr>
            <w:r>
              <w:rPr>
                <w:rFonts w:hint="default"/>
                <w:color w:val="auto"/>
                <w:lang w:val="zh-CN"/>
              </w:rPr>
              <w:t>（5）各个胶带运输机通廊均设防滑条；</w:t>
            </w:r>
          </w:p>
          <w:p w14:paraId="29EC83C6">
            <w:pPr>
              <w:pStyle w:val="24"/>
              <w:bidi w:val="0"/>
              <w:jc w:val="both"/>
              <w:rPr>
                <w:rFonts w:hint="default"/>
                <w:color w:val="auto"/>
                <w:lang w:val="zh-CN"/>
              </w:rPr>
            </w:pPr>
            <w:r>
              <w:rPr>
                <w:rFonts w:hint="default"/>
                <w:color w:val="auto"/>
                <w:lang w:val="zh-CN"/>
              </w:rPr>
              <w:t>（6）高度超过0.6m的平台，周围设置栏杆，2m以下不得低于900 mm，2~20 m不得低于1050 mm。平台上的孔洞周围设置栏杆或盖板；个别平台边缘设置安全防护板；</w:t>
            </w:r>
          </w:p>
          <w:p w14:paraId="676D08B9">
            <w:pPr>
              <w:pStyle w:val="24"/>
              <w:bidi w:val="0"/>
              <w:jc w:val="both"/>
              <w:rPr>
                <w:rFonts w:hint="default"/>
                <w:color w:val="auto"/>
                <w:lang w:val="zh-CN"/>
              </w:rPr>
            </w:pPr>
            <w:r>
              <w:rPr>
                <w:rFonts w:hint="default"/>
                <w:color w:val="auto"/>
                <w:lang w:val="zh-CN"/>
              </w:rPr>
              <w:t>（7）直梯、斜梯、栏杆及平台的制作，均按照GB4053.1、GB4053.2、GB4053.3、GB4053.4的要求进行设计；</w:t>
            </w:r>
          </w:p>
          <w:p w14:paraId="6E8C233B">
            <w:pPr>
              <w:pStyle w:val="24"/>
              <w:bidi w:val="0"/>
              <w:jc w:val="both"/>
              <w:rPr>
                <w:rFonts w:hint="default"/>
                <w:color w:val="auto"/>
                <w:lang w:val="zh-CN"/>
              </w:rPr>
            </w:pPr>
            <w:r>
              <w:rPr>
                <w:rFonts w:hint="default"/>
                <w:color w:val="auto"/>
                <w:lang w:val="zh-CN"/>
              </w:rPr>
              <w:t>（8）根据检修部件的各种装卸方向，部件的大小和位置确定合理的检修空间，在检修空间范围内不设计其他设备和构筑物；</w:t>
            </w:r>
          </w:p>
          <w:p w14:paraId="61FDA4B3">
            <w:pPr>
              <w:pStyle w:val="24"/>
              <w:bidi w:val="0"/>
              <w:jc w:val="both"/>
              <w:rPr>
                <w:rFonts w:hint="default"/>
                <w:color w:val="auto"/>
                <w:lang w:val="zh-CN"/>
              </w:rPr>
            </w:pPr>
            <w:r>
              <w:rPr>
                <w:rFonts w:hint="default"/>
                <w:color w:val="auto"/>
                <w:lang w:val="zh-CN"/>
              </w:rPr>
              <w:t>胶带输送机通廊净高2.5米，宽度随胶带型号不同而不同。总体来说，人行一侧较宽并设有踏步。另外一侧较窄，满足规范标准。设计中注重了带倾角的胶带输送机为防止逆转(水平安装除外)、胶带撕裂、断绳、断带、跑偏及脱槽的各项措施，并设计了制动装置及清理胶带和滚筒的装置。</w:t>
            </w:r>
          </w:p>
          <w:p w14:paraId="1FDF582F">
            <w:pPr>
              <w:pStyle w:val="24"/>
              <w:bidi w:val="0"/>
              <w:jc w:val="both"/>
              <w:rPr>
                <w:rFonts w:hint="default"/>
                <w:color w:val="auto"/>
                <w:lang w:val="zh-CN"/>
              </w:rPr>
            </w:pPr>
            <w:r>
              <w:rPr>
                <w:rFonts w:hint="default"/>
                <w:color w:val="auto"/>
                <w:lang w:val="zh-CN"/>
              </w:rPr>
              <w:t>综上所述，本项目所选取的设备以及进行的厂房配置，均满足相应的规范标准及安全要求，各车间均配备有适当的安全防护设施，针对各设备均制定了正确的操作、维护和检修规程。因此，本工艺生产设施是安全可靠的。</w:t>
            </w:r>
          </w:p>
          <w:p w14:paraId="07D17ACD">
            <w:pPr>
              <w:pStyle w:val="24"/>
              <w:bidi w:val="0"/>
              <w:jc w:val="both"/>
              <w:rPr>
                <w:rFonts w:hint="default"/>
                <w:color w:val="auto"/>
                <w:lang w:val="zh-CN"/>
              </w:rPr>
            </w:pPr>
            <w:r>
              <w:rPr>
                <w:rFonts w:hint="default"/>
                <w:color w:val="auto"/>
                <w:lang w:val="zh-CN"/>
              </w:rPr>
              <w:t>（9）云南省为雷电事故多发区，雷雨季节作业人员在露天作业时，有遭到雷击的危险。防雷减灾工作需实行“预防为主，防治结合”的方针，坚持统一规划，统一部署，统一管理的原则；具体防范措施如下：</w:t>
            </w:r>
          </w:p>
          <w:p w14:paraId="034E44CE">
            <w:pPr>
              <w:pStyle w:val="24"/>
              <w:bidi w:val="0"/>
              <w:jc w:val="both"/>
              <w:rPr>
                <w:rFonts w:hint="default"/>
                <w:color w:val="auto"/>
                <w:lang w:val="zh-CN"/>
              </w:rPr>
            </w:pPr>
            <w:r>
              <w:rPr>
                <w:rFonts w:hint="default"/>
                <w:color w:val="auto"/>
                <w:lang w:val="zh-CN"/>
              </w:rPr>
              <w:t xml:space="preserve">1）架空电源进线，全线架设截面不小于LGJ-35mm2的架空地线；终端杆及分歧杆处架空线设避雷器。 </w:t>
            </w:r>
          </w:p>
          <w:p w14:paraId="703539CF">
            <w:pPr>
              <w:pStyle w:val="24"/>
              <w:bidi w:val="0"/>
              <w:jc w:val="both"/>
              <w:rPr>
                <w:rFonts w:hint="default"/>
                <w:color w:val="auto"/>
                <w:lang w:val="zh-CN"/>
              </w:rPr>
            </w:pPr>
            <w:r>
              <w:rPr>
                <w:rFonts w:hint="default"/>
                <w:color w:val="auto"/>
                <w:lang w:val="zh-CN"/>
              </w:rPr>
              <w:t>2）所有设备正常不带电的金属外壳、金属基座及金属构架件（含电缆桥架）都须作保护接地。防雷接地系统各部件间必须牢固电焊接，所用钢材必须热镀锌。</w:t>
            </w:r>
          </w:p>
          <w:p w14:paraId="7D977173">
            <w:pPr>
              <w:pStyle w:val="24"/>
              <w:bidi w:val="0"/>
              <w:jc w:val="both"/>
              <w:rPr>
                <w:rFonts w:hint="default"/>
                <w:color w:val="auto"/>
                <w:lang w:val="zh-CN"/>
              </w:rPr>
            </w:pPr>
            <w:r>
              <w:rPr>
                <w:rFonts w:hint="default"/>
                <w:color w:val="auto"/>
                <w:lang w:val="zh-CN"/>
              </w:rPr>
              <w:t>3）根据当地的气候背景、雷电活动规律、地理位置、地质等条件，并结合雷电防护对象的防护范围和目的完成防雷工程设计工作。</w:t>
            </w:r>
          </w:p>
          <w:p w14:paraId="4202FB12">
            <w:pPr>
              <w:pStyle w:val="24"/>
              <w:bidi w:val="0"/>
              <w:jc w:val="both"/>
              <w:rPr>
                <w:rFonts w:hint="default"/>
                <w:color w:val="auto"/>
                <w:lang w:val="zh-CN"/>
              </w:rPr>
            </w:pPr>
            <w:r>
              <w:rPr>
                <w:rFonts w:hint="default"/>
                <w:color w:val="auto"/>
                <w:lang w:val="zh-CN"/>
              </w:rPr>
              <w:t>4）必须严格按照审核批准的防雷设计施工，并接受当地防雷减灾机构的监督，设计、施工方案变更必须按程序报批，无防雷设施检测报告及验收合格证的建设工程不得投入使用。</w:t>
            </w:r>
          </w:p>
          <w:p w14:paraId="6BCC6B3E">
            <w:pPr>
              <w:pStyle w:val="24"/>
              <w:bidi w:val="0"/>
              <w:jc w:val="both"/>
              <w:rPr>
                <w:rFonts w:hint="default"/>
                <w:color w:val="auto"/>
                <w:lang w:val="zh-CN"/>
              </w:rPr>
            </w:pPr>
            <w:r>
              <w:rPr>
                <w:rFonts w:hint="default"/>
                <w:color w:val="auto"/>
                <w:lang w:val="zh-CN"/>
              </w:rPr>
              <w:t>5）在防雷设施投入使用后必须定期实行检测，检测时间为每年一次，爆破器材库的防雷设施和防雷抗静电接地保护设施半年检测一次，检测不合格的需及时整改。</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3B8C19C6">
            <w:pPr>
              <w:pStyle w:val="24"/>
              <w:bidi w:val="0"/>
              <w:rPr>
                <w:rFonts w:hint="default"/>
                <w:color w:val="auto"/>
                <w:lang w:val="zh-CN"/>
              </w:rPr>
            </w:pPr>
            <w:r>
              <w:rPr>
                <w:rFonts w:hint="default"/>
                <w:color w:val="auto"/>
                <w:lang w:val="zh-CN"/>
              </w:rPr>
              <w:t>《安全设施设计》</w:t>
            </w:r>
          </w:p>
          <w:p w14:paraId="41680B93">
            <w:pPr>
              <w:pStyle w:val="24"/>
              <w:bidi w:val="0"/>
              <w:rPr>
                <w:rFonts w:hint="default"/>
                <w:color w:val="auto"/>
                <w:lang w:val="zh-CN"/>
              </w:rPr>
            </w:pPr>
            <w:r>
              <w:rPr>
                <w:rFonts w:hint="default"/>
                <w:color w:val="auto"/>
                <w:lang w:val="zh-CN"/>
              </w:rPr>
              <w:t>第5.</w:t>
            </w:r>
            <w:r>
              <w:rPr>
                <w:rFonts w:hint="default"/>
                <w:color w:val="auto"/>
                <w:lang w:val="en-US" w:eastAsia="zh-CN"/>
              </w:rPr>
              <w:t>2</w:t>
            </w:r>
            <w:r>
              <w:rPr>
                <w:rFonts w:hint="default"/>
                <w:color w:val="auto"/>
                <w:lang w:val="zh-CN"/>
              </w:rPr>
              <w:t>.</w:t>
            </w:r>
            <w:r>
              <w:rPr>
                <w:rFonts w:hint="default"/>
                <w:color w:val="auto"/>
                <w:lang w:val="en-US" w:eastAsia="zh-CN"/>
              </w:rPr>
              <w:t>6</w:t>
            </w:r>
            <w:r>
              <w:rPr>
                <w:rFonts w:hint="default"/>
                <w:color w:val="auto"/>
                <w:lang w:val="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12F7DD80">
            <w:pPr>
              <w:pStyle w:val="24"/>
              <w:bidi w:val="0"/>
              <w:rPr>
                <w:rFonts w:hint="default"/>
                <w:color w:val="auto"/>
                <w:lang w:val="en-US" w:eastAsia="zh-CN"/>
              </w:rPr>
            </w:pPr>
            <w:r>
              <w:rPr>
                <w:rFonts w:hint="default"/>
                <w:color w:val="auto"/>
                <w:lang w:val="zh-CN"/>
              </w:rPr>
              <w:t>车间的楼板和地</w:t>
            </w:r>
            <w:r>
              <w:rPr>
                <w:rFonts w:hint="default"/>
                <w:color w:val="auto"/>
                <w:lang w:val="en-US" w:eastAsia="zh-CN"/>
              </w:rPr>
              <w:t>面有坡度，各车间设有排水沟；各车间有冲洗水管；各车间内有符合要求的人行通道，</w:t>
            </w:r>
            <w:r>
              <w:rPr>
                <w:rFonts w:hint="default"/>
                <w:color w:val="auto"/>
                <w:lang w:val="zh-CN"/>
              </w:rPr>
              <w:t>厂房内设备操作平台、设备与墙、柱子之间</w:t>
            </w:r>
            <w:r>
              <w:rPr>
                <w:rFonts w:hint="default"/>
                <w:color w:val="auto"/>
                <w:lang w:val="en-US" w:eastAsia="zh-CN"/>
              </w:rPr>
              <w:t>距离足够；</w:t>
            </w:r>
            <w:r>
              <w:rPr>
                <w:rFonts w:hint="default"/>
                <w:color w:val="auto"/>
                <w:lang w:val="zh-CN"/>
              </w:rPr>
              <w:t>高度超过0.6m的平台，周围设置栏杆</w:t>
            </w:r>
            <w:r>
              <w:rPr>
                <w:rFonts w:hint="default"/>
                <w:color w:val="auto"/>
                <w:lang w:val="zh-CN" w:eastAsia="zh-CN"/>
              </w:rPr>
              <w:t>，</w:t>
            </w:r>
            <w:r>
              <w:rPr>
                <w:rFonts w:hint="eastAsia"/>
                <w:color w:val="auto"/>
                <w:lang w:val="en-US" w:eastAsia="zh-CN"/>
              </w:rPr>
              <w:t>除浓缩车间部分平台未设置踢脚板，其余高处平台均设有踢脚板，后经企业整改浓缩车间平台设置了踢脚板。企业已做防雷检测。</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2FC7C8B0">
            <w:pPr>
              <w:pStyle w:val="24"/>
              <w:bidi w:val="0"/>
              <w:rPr>
                <w:rFonts w:hint="default"/>
                <w:color w:val="auto"/>
                <w:lang w:val="zh-CN"/>
              </w:rPr>
            </w:pPr>
            <w:r>
              <w:rPr>
                <w:rFonts w:hint="default"/>
                <w:color w:val="auto"/>
                <w:lang w:val="zh-CN"/>
              </w:rPr>
              <w:t>符合</w:t>
            </w:r>
          </w:p>
        </w:tc>
      </w:tr>
      <w:tr w14:paraId="01BF5E63">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69F66503">
            <w:pPr>
              <w:pStyle w:val="24"/>
              <w:bidi w:val="0"/>
              <w:rPr>
                <w:rFonts w:hint="default"/>
                <w:color w:val="auto"/>
                <w:lang w:val="en-US" w:eastAsia="zh-CN"/>
              </w:rPr>
            </w:pPr>
            <w:r>
              <w:rPr>
                <w:rFonts w:hint="eastAsia"/>
                <w:color w:val="auto"/>
                <w:lang w:val="en-US" w:eastAsia="zh-CN"/>
              </w:rPr>
              <w:t>6</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4E8CFE6B">
            <w:pPr>
              <w:pStyle w:val="24"/>
              <w:bidi w:val="0"/>
              <w:rPr>
                <w:rFonts w:hint="default"/>
                <w:color w:val="auto"/>
                <w:lang w:val="zh-CN"/>
              </w:rPr>
            </w:pPr>
            <w:r>
              <w:rPr>
                <w:rFonts w:hint="default"/>
                <w:color w:val="auto"/>
                <w:lang w:val="zh-CN"/>
              </w:rPr>
              <w:t>有限空间作业安全措施</w:t>
            </w:r>
          </w:p>
        </w:tc>
      </w:tr>
      <w:tr w14:paraId="73142A44">
        <w:tblPrEx>
          <w:tblCellMar>
            <w:top w:w="0" w:type="dxa"/>
            <w:left w:w="108" w:type="dxa"/>
            <w:bottom w:w="0" w:type="dxa"/>
            <w:right w:w="108" w:type="dxa"/>
          </w:tblCellMar>
        </w:tblPrEx>
        <w:trPr>
          <w:trHeight w:val="567"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9D7CBAC">
            <w:pPr>
              <w:pStyle w:val="24"/>
              <w:bidi w:val="0"/>
              <w:rPr>
                <w:rFonts w:hint="default"/>
                <w:color w:val="auto"/>
                <w:lang w:val="en-US" w:eastAsia="zh-CN"/>
              </w:rPr>
            </w:pPr>
            <w:r>
              <w:rPr>
                <w:rFonts w:hint="eastAsia"/>
                <w:color w:val="auto"/>
                <w:lang w:val="en-US" w:eastAsia="zh-CN"/>
              </w:rPr>
              <w:t>6.1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6BE76A61">
            <w:pPr>
              <w:pStyle w:val="24"/>
              <w:bidi w:val="0"/>
              <w:jc w:val="both"/>
              <w:rPr>
                <w:rFonts w:hint="default"/>
                <w:color w:val="auto"/>
                <w:lang w:val="zh-CN"/>
              </w:rPr>
            </w:pPr>
            <w:r>
              <w:rPr>
                <w:rFonts w:hint="default"/>
                <w:color w:val="auto"/>
                <w:lang w:val="zh-CN"/>
              </w:rPr>
              <w:t>1、安全隔绝</w:t>
            </w:r>
          </w:p>
          <w:p w14:paraId="58EF9051">
            <w:pPr>
              <w:pStyle w:val="24"/>
              <w:bidi w:val="0"/>
              <w:jc w:val="both"/>
              <w:rPr>
                <w:rFonts w:hint="default"/>
                <w:color w:val="auto"/>
                <w:lang w:val="zh-CN"/>
              </w:rPr>
            </w:pPr>
            <w:r>
              <w:rPr>
                <w:rFonts w:hint="default"/>
                <w:color w:val="auto"/>
                <w:lang w:val="zh-CN"/>
              </w:rPr>
              <w:t>设备所有与外界连通的管道、孔洞均与外界有效隔离。设备与外界连接的电源有效切断。</w:t>
            </w:r>
          </w:p>
          <w:p w14:paraId="79DE6F5B">
            <w:pPr>
              <w:pStyle w:val="24"/>
              <w:bidi w:val="0"/>
              <w:jc w:val="both"/>
              <w:rPr>
                <w:rFonts w:hint="default"/>
                <w:color w:val="auto"/>
                <w:lang w:val="zh-CN"/>
              </w:rPr>
            </w:pPr>
            <w:r>
              <w:rPr>
                <w:rFonts w:hint="default"/>
                <w:color w:val="auto"/>
                <w:lang w:val="zh-CN"/>
              </w:rPr>
              <w:t>（1）管道安全隔绝可采用插入盲板或拆除一段管道进行隔绝。</w:t>
            </w:r>
          </w:p>
          <w:p w14:paraId="4F77F082">
            <w:pPr>
              <w:pStyle w:val="24"/>
              <w:bidi w:val="0"/>
              <w:jc w:val="both"/>
              <w:rPr>
                <w:rFonts w:hint="default"/>
                <w:color w:val="auto"/>
                <w:lang w:val="zh-CN"/>
              </w:rPr>
            </w:pPr>
            <w:r>
              <w:rPr>
                <w:rFonts w:hint="default"/>
                <w:color w:val="auto"/>
                <w:lang w:val="zh-CN"/>
              </w:rPr>
              <w:t>（2）电源有效切断采用取下电源保险熔丝或将电源开关拉下后上锁等措施，并加挂警示牌。</w:t>
            </w:r>
          </w:p>
          <w:p w14:paraId="43B1B42D">
            <w:pPr>
              <w:pStyle w:val="24"/>
              <w:bidi w:val="0"/>
              <w:jc w:val="both"/>
              <w:rPr>
                <w:rFonts w:hint="default"/>
                <w:color w:val="auto"/>
                <w:lang w:val="zh-CN"/>
              </w:rPr>
            </w:pPr>
            <w:r>
              <w:rPr>
                <w:rFonts w:hint="default"/>
                <w:color w:val="auto"/>
                <w:lang w:val="zh-CN"/>
              </w:rPr>
              <w:t>2、清洗和置换</w:t>
            </w:r>
          </w:p>
          <w:p w14:paraId="289218BA">
            <w:pPr>
              <w:pStyle w:val="24"/>
              <w:bidi w:val="0"/>
              <w:jc w:val="both"/>
              <w:rPr>
                <w:rFonts w:hint="default"/>
                <w:color w:val="auto"/>
                <w:lang w:val="zh-CN"/>
              </w:rPr>
            </w:pPr>
            <w:r>
              <w:rPr>
                <w:rFonts w:hint="default"/>
                <w:color w:val="auto"/>
                <w:lang w:val="zh-CN"/>
              </w:rPr>
              <w:t>进入有限空间作业前，必须对有限空间进行清洗和置换，并达到下列要求：</w:t>
            </w:r>
          </w:p>
          <w:p w14:paraId="2640FDA8">
            <w:pPr>
              <w:pStyle w:val="24"/>
              <w:bidi w:val="0"/>
              <w:jc w:val="both"/>
              <w:rPr>
                <w:rFonts w:hint="default"/>
                <w:color w:val="auto"/>
                <w:lang w:val="zh-CN"/>
              </w:rPr>
            </w:pPr>
            <w:r>
              <w:rPr>
                <w:rFonts w:hint="default"/>
                <w:color w:val="auto"/>
                <w:lang w:val="zh-CN"/>
              </w:rPr>
              <w:t>（1）清洗前作业人员须熟悉有限空间内存在的物质有关理化特性和相关物料的安全技术说明书。</w:t>
            </w:r>
          </w:p>
          <w:p w14:paraId="43E5BE52">
            <w:pPr>
              <w:pStyle w:val="24"/>
              <w:bidi w:val="0"/>
              <w:jc w:val="both"/>
              <w:rPr>
                <w:rFonts w:hint="default"/>
                <w:color w:val="auto"/>
                <w:lang w:val="zh-CN"/>
              </w:rPr>
            </w:pPr>
            <w:r>
              <w:rPr>
                <w:rFonts w:hint="default"/>
                <w:color w:val="auto"/>
                <w:lang w:val="zh-CN"/>
              </w:rPr>
              <w:t>（2）清洗后进行空气置换，并随时监测氧气和其他危险气体的含量。</w:t>
            </w:r>
          </w:p>
          <w:p w14:paraId="36601A37">
            <w:pPr>
              <w:pStyle w:val="24"/>
              <w:bidi w:val="0"/>
              <w:jc w:val="both"/>
              <w:rPr>
                <w:rFonts w:hint="default"/>
                <w:color w:val="auto"/>
                <w:lang w:val="zh-CN"/>
              </w:rPr>
            </w:pPr>
            <w:r>
              <w:rPr>
                <w:rFonts w:hint="default"/>
                <w:color w:val="auto"/>
                <w:lang w:val="zh-CN"/>
              </w:rPr>
              <w:t>（3）置换后的氧含量达到19.5～23%，在富氧环境下不得大于23.5%。</w:t>
            </w:r>
          </w:p>
          <w:p w14:paraId="46449568">
            <w:pPr>
              <w:pStyle w:val="24"/>
              <w:bidi w:val="0"/>
              <w:jc w:val="both"/>
              <w:rPr>
                <w:rFonts w:hint="default"/>
                <w:color w:val="auto"/>
                <w:lang w:val="zh-CN"/>
              </w:rPr>
            </w:pPr>
            <w:r>
              <w:rPr>
                <w:rFonts w:hint="default"/>
                <w:color w:val="auto"/>
                <w:lang w:val="zh-CN"/>
              </w:rPr>
              <w:t>（4）有限空间内的有毒（物质）气体浓度符合GBZ2的规定。</w:t>
            </w:r>
          </w:p>
          <w:p w14:paraId="4AA06DF7">
            <w:pPr>
              <w:pStyle w:val="24"/>
              <w:bidi w:val="0"/>
              <w:jc w:val="both"/>
              <w:rPr>
                <w:rFonts w:hint="default"/>
                <w:color w:val="auto"/>
                <w:lang w:val="zh-CN"/>
              </w:rPr>
            </w:pPr>
            <w:r>
              <w:rPr>
                <w:rFonts w:hint="default"/>
                <w:color w:val="auto"/>
                <w:lang w:val="zh-CN"/>
              </w:rPr>
              <w:t>（5）可燃气体浓度：当被测气体或蒸气的爆炸下限大于等于4%时，其被测浓度不大于0.5%（体积百分数）；当被测气体或蒸气的爆炸下限小于4%时，其被测浓度不大于0.2%（体积百分数）。</w:t>
            </w:r>
          </w:p>
          <w:p w14:paraId="04E515F0">
            <w:pPr>
              <w:pStyle w:val="24"/>
              <w:bidi w:val="0"/>
              <w:jc w:val="both"/>
              <w:rPr>
                <w:rFonts w:hint="default"/>
                <w:color w:val="auto"/>
                <w:lang w:val="zh-CN"/>
              </w:rPr>
            </w:pPr>
            <w:r>
              <w:rPr>
                <w:rFonts w:hint="default"/>
                <w:color w:val="auto"/>
                <w:lang w:val="zh-CN"/>
              </w:rPr>
              <w:t>3、通风</w:t>
            </w:r>
          </w:p>
          <w:p w14:paraId="0229EA1D">
            <w:pPr>
              <w:pStyle w:val="24"/>
              <w:bidi w:val="0"/>
              <w:jc w:val="both"/>
              <w:rPr>
                <w:rFonts w:hint="default"/>
                <w:color w:val="auto"/>
                <w:lang w:val="zh-CN"/>
              </w:rPr>
            </w:pPr>
            <w:r>
              <w:rPr>
                <w:rFonts w:hint="default"/>
                <w:color w:val="auto"/>
                <w:lang w:val="zh-CN"/>
              </w:rPr>
              <w:t xml:space="preserve"> 要采取措施，保持有限空间空气良好流通。</w:t>
            </w:r>
          </w:p>
          <w:p w14:paraId="414AA777">
            <w:pPr>
              <w:pStyle w:val="24"/>
              <w:bidi w:val="0"/>
              <w:jc w:val="both"/>
              <w:rPr>
                <w:rFonts w:hint="default"/>
                <w:color w:val="auto"/>
                <w:lang w:val="zh-CN"/>
              </w:rPr>
            </w:pPr>
            <w:r>
              <w:rPr>
                <w:rFonts w:hint="default"/>
                <w:color w:val="auto"/>
                <w:lang w:val="zh-CN"/>
              </w:rPr>
              <w:t>（1）打开所有人孔、手孔、料孔等进行自然通风。</w:t>
            </w:r>
          </w:p>
          <w:p w14:paraId="5C370A84">
            <w:pPr>
              <w:pStyle w:val="24"/>
              <w:bidi w:val="0"/>
              <w:jc w:val="both"/>
              <w:rPr>
                <w:rFonts w:hint="default"/>
                <w:color w:val="auto"/>
                <w:lang w:val="zh-CN"/>
              </w:rPr>
            </w:pPr>
            <w:r>
              <w:rPr>
                <w:rFonts w:hint="default"/>
                <w:color w:val="auto"/>
                <w:lang w:val="zh-CN"/>
              </w:rPr>
              <w:t>（2）存在自然通风局限时，采取机械强制通风，通风次数不少于3～5次每小时。</w:t>
            </w:r>
          </w:p>
          <w:p w14:paraId="0535FE06">
            <w:pPr>
              <w:pStyle w:val="24"/>
              <w:bidi w:val="0"/>
              <w:jc w:val="both"/>
              <w:rPr>
                <w:rFonts w:hint="default"/>
                <w:color w:val="auto"/>
                <w:lang w:val="zh-CN"/>
              </w:rPr>
            </w:pPr>
            <w:r>
              <w:rPr>
                <w:rFonts w:hint="default"/>
                <w:color w:val="auto"/>
                <w:lang w:val="zh-CN"/>
              </w:rPr>
              <w:t>（3）作业时适宜的新鲜风量能够达到每小时30～50m3。不准向有限空间充氧气或富氧空气。</w:t>
            </w:r>
          </w:p>
          <w:p w14:paraId="122255FD">
            <w:pPr>
              <w:pStyle w:val="24"/>
              <w:bidi w:val="0"/>
              <w:jc w:val="both"/>
              <w:rPr>
                <w:rFonts w:hint="default"/>
                <w:color w:val="auto"/>
                <w:lang w:val="zh-CN"/>
              </w:rPr>
            </w:pPr>
            <w:r>
              <w:rPr>
                <w:rFonts w:hint="default"/>
                <w:color w:val="auto"/>
                <w:lang w:val="zh-CN"/>
              </w:rPr>
              <w:t>（4）采用管道空气送风时，通风前必须对管道内介质和风源进行分析确认，连续导入维持有限空间的氧含量恒定在正常范围。</w:t>
            </w:r>
          </w:p>
          <w:p w14:paraId="3FA3E0C2">
            <w:pPr>
              <w:pStyle w:val="24"/>
              <w:bidi w:val="0"/>
              <w:jc w:val="both"/>
              <w:rPr>
                <w:rFonts w:hint="default"/>
                <w:color w:val="auto"/>
                <w:lang w:val="zh-CN"/>
              </w:rPr>
            </w:pPr>
            <w:r>
              <w:rPr>
                <w:rFonts w:hint="default"/>
                <w:color w:val="auto"/>
                <w:lang w:val="zh-CN"/>
              </w:rPr>
              <w:t>4、定时监测</w:t>
            </w:r>
          </w:p>
          <w:p w14:paraId="30405EA0">
            <w:pPr>
              <w:pStyle w:val="24"/>
              <w:bidi w:val="0"/>
              <w:jc w:val="both"/>
              <w:rPr>
                <w:rFonts w:hint="default"/>
                <w:color w:val="auto"/>
                <w:lang w:val="zh-CN"/>
              </w:rPr>
            </w:pPr>
            <w:r>
              <w:rPr>
                <w:rFonts w:hint="default"/>
                <w:color w:val="auto"/>
                <w:lang w:val="zh-CN"/>
              </w:rPr>
              <w:t>（1）作业前30分钟内，必须对有限空间再次作气体采样分析，验证分析检测结果是否符合安全作业许可要求。若不符合，必须按以上置换、清洗或通风作业程序直到符合作业安全要求为止。</w:t>
            </w:r>
          </w:p>
          <w:p w14:paraId="63B360F2">
            <w:pPr>
              <w:pStyle w:val="24"/>
              <w:bidi w:val="0"/>
              <w:jc w:val="both"/>
              <w:rPr>
                <w:rFonts w:hint="default"/>
                <w:color w:val="auto"/>
                <w:lang w:val="zh-CN"/>
              </w:rPr>
            </w:pPr>
            <w:r>
              <w:rPr>
                <w:rFonts w:hint="default"/>
                <w:color w:val="auto"/>
                <w:lang w:val="zh-CN"/>
              </w:rPr>
              <w:t>（2）采集的分析样品要有代表性，保留在气体取样器内并至少保留4小时甚至直至作业结束。有限空间容积较大时在上、中、下各部位取样分析，保证其内部任何部位的可燃气体浓度和氧含量符合标准规范要求，有毒有害物质不超过GBZ2规定。</w:t>
            </w:r>
          </w:p>
          <w:p w14:paraId="46EB3E63">
            <w:pPr>
              <w:pStyle w:val="24"/>
              <w:bidi w:val="0"/>
              <w:jc w:val="both"/>
              <w:rPr>
                <w:rFonts w:hint="default"/>
                <w:color w:val="auto"/>
                <w:lang w:val="zh-CN"/>
              </w:rPr>
            </w:pPr>
            <w:r>
              <w:rPr>
                <w:rFonts w:hint="default"/>
                <w:color w:val="auto"/>
                <w:lang w:val="zh-CN"/>
              </w:rPr>
              <w:t>（3）作业中要加强定时监测，作业期间至少每隔2小时取样复查一次，如有一项不合格以及出现其他情况异常，立即停止作业并撤离作业人员，同时取消作业证；作业现场经处理，并经取样分析其结果符合有限空间安全作业要求后，须重新开具作业证，方可继续作业。</w:t>
            </w:r>
          </w:p>
          <w:p w14:paraId="78260C1E">
            <w:pPr>
              <w:pStyle w:val="24"/>
              <w:bidi w:val="0"/>
              <w:jc w:val="both"/>
              <w:rPr>
                <w:rFonts w:hint="default"/>
                <w:color w:val="auto"/>
                <w:lang w:val="zh-CN"/>
              </w:rPr>
            </w:pPr>
            <w:r>
              <w:rPr>
                <w:rFonts w:hint="default"/>
                <w:color w:val="auto"/>
                <w:lang w:val="zh-CN"/>
              </w:rPr>
              <w:t>（4）进入有限空间作业，作业人员所带的工具、材料须进行逐项登记；完成作业离开有限空间时，清点作业工具、材料的数量并全部带出，不准留在有限空间。</w:t>
            </w:r>
          </w:p>
          <w:p w14:paraId="2EBDE929">
            <w:pPr>
              <w:pStyle w:val="24"/>
              <w:bidi w:val="0"/>
              <w:jc w:val="both"/>
              <w:rPr>
                <w:rFonts w:hint="default"/>
                <w:color w:val="auto"/>
                <w:lang w:val="zh-CN"/>
              </w:rPr>
            </w:pPr>
            <w:r>
              <w:rPr>
                <w:rFonts w:hint="default"/>
                <w:color w:val="auto"/>
                <w:lang w:val="zh-CN"/>
              </w:rPr>
              <w:t>（5）涂刷具有挥发性溶剂的涂料时，做连续分析，并采取可靠通风措施。</w:t>
            </w:r>
          </w:p>
          <w:p w14:paraId="372DEAEF">
            <w:pPr>
              <w:pStyle w:val="24"/>
              <w:bidi w:val="0"/>
              <w:jc w:val="both"/>
              <w:rPr>
                <w:rFonts w:hint="default"/>
                <w:color w:val="auto"/>
                <w:lang w:val="zh-CN"/>
              </w:rPr>
            </w:pPr>
            <w:r>
              <w:rPr>
                <w:rFonts w:hint="default"/>
                <w:color w:val="auto"/>
                <w:lang w:val="zh-CN"/>
              </w:rPr>
              <w:t>5、照明和防护措施</w:t>
            </w:r>
          </w:p>
          <w:p w14:paraId="082D716D">
            <w:pPr>
              <w:pStyle w:val="24"/>
              <w:bidi w:val="0"/>
              <w:jc w:val="both"/>
              <w:rPr>
                <w:rFonts w:hint="default"/>
                <w:color w:val="auto"/>
                <w:lang w:val="zh-CN"/>
              </w:rPr>
            </w:pPr>
            <w:r>
              <w:rPr>
                <w:rFonts w:hint="default"/>
                <w:color w:val="auto"/>
                <w:lang w:val="zh-CN"/>
              </w:rPr>
              <w:t>（1）进入不能达到清洗和置换要求的有限空间作业时，必须采取相应的防护措施。</w:t>
            </w:r>
          </w:p>
          <w:p w14:paraId="641FFD46">
            <w:pPr>
              <w:pStyle w:val="24"/>
              <w:bidi w:val="0"/>
              <w:jc w:val="both"/>
              <w:rPr>
                <w:rFonts w:hint="default"/>
                <w:color w:val="auto"/>
                <w:lang w:val="zh-CN"/>
              </w:rPr>
            </w:pPr>
            <w:r>
              <w:rPr>
                <w:rFonts w:hint="default"/>
                <w:color w:val="auto"/>
                <w:lang w:val="zh-CN"/>
              </w:rPr>
              <w:t>在缺氧、有毒环境中，佩戴正压式空气呼吸器，有条件可以使用长管压缩空气呼吸器。</w:t>
            </w:r>
          </w:p>
          <w:p w14:paraId="1A2EC2DE">
            <w:pPr>
              <w:pStyle w:val="24"/>
              <w:bidi w:val="0"/>
              <w:jc w:val="both"/>
              <w:rPr>
                <w:rFonts w:hint="default"/>
                <w:color w:val="auto"/>
                <w:lang w:val="zh-CN"/>
              </w:rPr>
            </w:pPr>
            <w:r>
              <w:rPr>
                <w:rFonts w:hint="default"/>
                <w:color w:val="auto"/>
                <w:lang w:val="zh-CN"/>
              </w:rPr>
              <w:t>在易燃易爆环境中，使用防爆型低压电器灯具及不发生火花的工具，穿戴防静电等防护服装。</w:t>
            </w:r>
          </w:p>
          <w:p w14:paraId="06BA7CD5">
            <w:pPr>
              <w:pStyle w:val="24"/>
              <w:bidi w:val="0"/>
              <w:jc w:val="both"/>
              <w:rPr>
                <w:rFonts w:hint="default"/>
                <w:color w:val="auto"/>
                <w:lang w:val="zh-CN"/>
              </w:rPr>
            </w:pPr>
            <w:r>
              <w:rPr>
                <w:rFonts w:hint="default"/>
                <w:color w:val="auto"/>
                <w:lang w:val="zh-CN"/>
              </w:rPr>
              <w:t>在酸碱等腐蚀性环境中，穿戴好防腐蚀护具，穿防腐鞋。</w:t>
            </w:r>
          </w:p>
          <w:p w14:paraId="0AA42E41">
            <w:pPr>
              <w:pStyle w:val="24"/>
              <w:bidi w:val="0"/>
              <w:jc w:val="both"/>
              <w:rPr>
                <w:rFonts w:hint="default"/>
                <w:color w:val="auto"/>
                <w:lang w:val="zh-CN"/>
              </w:rPr>
            </w:pPr>
            <w:r>
              <w:rPr>
                <w:rFonts w:hint="default"/>
                <w:color w:val="auto"/>
                <w:lang w:val="zh-CN"/>
              </w:rPr>
              <w:t>（2）进入有限空间作业使用安全电压和安全行灯。进入金属容器（炉、塔、釜、罐等）和特别潮湿、工作场地狭窄的非金属容器内作业照明电压不大于12V；当需使用电动工具或照明电压大于12V时，按规定安装漏电保护器，其接线箱（板）严禁带入容器内使用。当作业环境原来盛装爆炸性液体、气体等介质的，则使用防爆电筒或电压不大于12V的防爆安全行灯，行灯变压器不放在容器内或容器上；作业人员穿戴防静电服装，使用防爆工具。</w:t>
            </w:r>
          </w:p>
          <w:p w14:paraId="50F29130">
            <w:pPr>
              <w:pStyle w:val="24"/>
              <w:bidi w:val="0"/>
              <w:jc w:val="both"/>
              <w:rPr>
                <w:rFonts w:hint="default"/>
                <w:color w:val="auto"/>
                <w:lang w:val="zh-CN"/>
              </w:rPr>
            </w:pPr>
            <w:r>
              <w:rPr>
                <w:rFonts w:hint="default"/>
                <w:color w:val="auto"/>
                <w:lang w:val="zh-CN"/>
              </w:rPr>
              <w:t>（3）使用超过安全电压的手持电动工具，必须按规定配备漏电保护器。</w:t>
            </w:r>
          </w:p>
          <w:p w14:paraId="76D06611">
            <w:pPr>
              <w:pStyle w:val="24"/>
              <w:bidi w:val="0"/>
              <w:jc w:val="both"/>
              <w:rPr>
                <w:rFonts w:hint="default"/>
                <w:color w:val="auto"/>
                <w:lang w:val="zh-CN"/>
              </w:rPr>
            </w:pPr>
            <w:r>
              <w:rPr>
                <w:rFonts w:hint="default"/>
                <w:color w:val="auto"/>
                <w:lang w:val="zh-CN"/>
              </w:rPr>
              <w:t>（4）临时用电线路装置，按规定架设和拆除，线路绝缘保证良好。</w:t>
            </w:r>
          </w:p>
          <w:p w14:paraId="2E6E5296">
            <w:pPr>
              <w:pStyle w:val="24"/>
              <w:bidi w:val="0"/>
              <w:jc w:val="both"/>
              <w:rPr>
                <w:rFonts w:hint="default"/>
                <w:color w:val="auto"/>
                <w:lang w:val="zh-CN"/>
              </w:rPr>
            </w:pPr>
            <w:r>
              <w:rPr>
                <w:rFonts w:hint="default"/>
                <w:color w:val="auto"/>
                <w:lang w:val="zh-CN"/>
              </w:rPr>
              <w:t>（5）带有未加防护的转动部件的有限空间，在停机后切断电源，摘除保险或挂接地线，并在开关上挂“有人工作、严禁合闸”警示牌，必要时派专人监护。</w:t>
            </w:r>
          </w:p>
          <w:p w14:paraId="79037EBC">
            <w:pPr>
              <w:pStyle w:val="24"/>
              <w:bidi w:val="0"/>
              <w:jc w:val="both"/>
              <w:rPr>
                <w:rFonts w:hint="default"/>
                <w:color w:val="auto"/>
                <w:lang w:val="zh-CN"/>
              </w:rPr>
            </w:pPr>
            <w:r>
              <w:rPr>
                <w:rFonts w:hint="default"/>
                <w:color w:val="auto"/>
                <w:lang w:val="zh-CN"/>
              </w:rPr>
              <w:t>6、多工种、多层交叉作业安全措施</w:t>
            </w:r>
          </w:p>
          <w:p w14:paraId="26B2EC4B">
            <w:pPr>
              <w:pStyle w:val="24"/>
              <w:bidi w:val="0"/>
              <w:jc w:val="both"/>
              <w:rPr>
                <w:rFonts w:hint="default"/>
                <w:color w:val="auto"/>
                <w:lang w:val="zh-CN"/>
              </w:rPr>
            </w:pPr>
            <w:r>
              <w:rPr>
                <w:rFonts w:hint="default"/>
                <w:color w:val="auto"/>
                <w:lang w:val="zh-CN"/>
              </w:rPr>
              <w:t>（1）采取互相之间避免伤害的措施。</w:t>
            </w:r>
          </w:p>
          <w:p w14:paraId="03C28028">
            <w:pPr>
              <w:pStyle w:val="24"/>
              <w:bidi w:val="0"/>
              <w:jc w:val="both"/>
              <w:rPr>
                <w:rFonts w:hint="default"/>
                <w:color w:val="auto"/>
                <w:lang w:val="zh-CN"/>
              </w:rPr>
            </w:pPr>
            <w:r>
              <w:rPr>
                <w:rFonts w:hint="default"/>
                <w:color w:val="auto"/>
                <w:lang w:val="zh-CN"/>
              </w:rPr>
              <w:t>（2）搭设安全梯或安全平台，必要时由监护人用安全绳拴住作业人员进行施工。</w:t>
            </w:r>
          </w:p>
          <w:p w14:paraId="4E3C8C77">
            <w:pPr>
              <w:pStyle w:val="24"/>
              <w:bidi w:val="0"/>
              <w:jc w:val="both"/>
              <w:rPr>
                <w:rFonts w:hint="default"/>
                <w:color w:val="auto"/>
                <w:lang w:val="zh-CN"/>
              </w:rPr>
            </w:pPr>
            <w:r>
              <w:rPr>
                <w:rFonts w:hint="default"/>
                <w:color w:val="auto"/>
                <w:lang w:val="zh-CN"/>
              </w:rPr>
              <w:t>（3）有限空间作业过程中，不能抛掷材料、工具等物品，交叉作业要有防止层间落物伤害作业人员的措施。</w:t>
            </w:r>
          </w:p>
          <w:p w14:paraId="037C04A0">
            <w:pPr>
              <w:pStyle w:val="24"/>
              <w:bidi w:val="0"/>
              <w:jc w:val="both"/>
              <w:rPr>
                <w:rFonts w:hint="default"/>
                <w:color w:val="auto"/>
                <w:lang w:val="zh-CN"/>
              </w:rPr>
            </w:pPr>
            <w:r>
              <w:rPr>
                <w:rFonts w:hint="default"/>
                <w:color w:val="auto"/>
                <w:lang w:val="zh-CN"/>
              </w:rPr>
              <w:t>（4）在设备内动火作业，除执行有关动火的规定外，动焊人员离开时，不得将焊（割）炬留在设备内。</w:t>
            </w:r>
          </w:p>
          <w:p w14:paraId="4E9A4EF9">
            <w:pPr>
              <w:pStyle w:val="24"/>
              <w:bidi w:val="0"/>
              <w:jc w:val="both"/>
              <w:rPr>
                <w:rFonts w:hint="default"/>
                <w:color w:val="auto"/>
                <w:lang w:val="zh-CN"/>
              </w:rPr>
            </w:pPr>
            <w:r>
              <w:rPr>
                <w:rFonts w:hint="default"/>
                <w:color w:val="auto"/>
                <w:lang w:val="zh-CN"/>
              </w:rPr>
              <w:t>（5）有限空间外要备有必要的充足的安全防护用品、消防器材和清水等相应的应急物资。</w:t>
            </w:r>
          </w:p>
          <w:p w14:paraId="5676A37B">
            <w:pPr>
              <w:pStyle w:val="24"/>
              <w:bidi w:val="0"/>
              <w:jc w:val="both"/>
              <w:rPr>
                <w:rFonts w:hint="default"/>
                <w:color w:val="auto"/>
                <w:lang w:val="zh-CN"/>
              </w:rPr>
            </w:pPr>
            <w:r>
              <w:rPr>
                <w:rFonts w:hint="default"/>
                <w:color w:val="auto"/>
                <w:lang w:val="zh-CN"/>
              </w:rPr>
              <w:t>7、监护</w:t>
            </w:r>
          </w:p>
          <w:p w14:paraId="3DE7C55E">
            <w:pPr>
              <w:pStyle w:val="24"/>
              <w:bidi w:val="0"/>
              <w:jc w:val="both"/>
              <w:rPr>
                <w:rFonts w:hint="default"/>
                <w:color w:val="auto"/>
                <w:lang w:val="zh-CN"/>
              </w:rPr>
            </w:pPr>
            <w:r>
              <w:rPr>
                <w:rFonts w:hint="default"/>
                <w:color w:val="auto"/>
                <w:lang w:val="zh-CN"/>
              </w:rPr>
              <w:t>（1）有限空间作业必须有专人监护，监护人由有经验的人员担任，监护人必须认真负责，坚守岗位。</w:t>
            </w:r>
          </w:p>
          <w:p w14:paraId="50BD4966">
            <w:pPr>
              <w:pStyle w:val="24"/>
              <w:bidi w:val="0"/>
              <w:jc w:val="both"/>
              <w:rPr>
                <w:rFonts w:hint="default"/>
                <w:color w:val="auto"/>
                <w:lang w:val="zh-CN"/>
              </w:rPr>
            </w:pPr>
            <w:r>
              <w:rPr>
                <w:rFonts w:hint="default"/>
                <w:color w:val="auto"/>
                <w:lang w:val="zh-CN"/>
              </w:rPr>
              <w:t>（2）作业监护人熟悉作业区域的环境和工艺情况，有判断和处理异常情况的能力，懂急救知识。</w:t>
            </w:r>
          </w:p>
          <w:p w14:paraId="7852EC28">
            <w:pPr>
              <w:pStyle w:val="24"/>
              <w:bidi w:val="0"/>
              <w:jc w:val="both"/>
              <w:rPr>
                <w:rFonts w:hint="default"/>
                <w:color w:val="auto"/>
                <w:lang w:val="zh-CN"/>
              </w:rPr>
            </w:pPr>
            <w:r>
              <w:rPr>
                <w:rFonts w:hint="default"/>
                <w:color w:val="auto"/>
                <w:lang w:val="zh-CN"/>
              </w:rPr>
              <w:t>（3）作业监护人在作业人员进入有限空间作业前，负责对安全措施落实情况进行检查，发现安全措施不落实或安全措施不完善时，须阻止作业。</w:t>
            </w:r>
          </w:p>
          <w:p w14:paraId="5458F356">
            <w:pPr>
              <w:pStyle w:val="24"/>
              <w:bidi w:val="0"/>
              <w:jc w:val="both"/>
              <w:rPr>
                <w:rFonts w:hint="default"/>
                <w:color w:val="auto"/>
                <w:lang w:val="zh-CN"/>
              </w:rPr>
            </w:pPr>
            <w:r>
              <w:rPr>
                <w:rFonts w:hint="default"/>
                <w:color w:val="auto"/>
                <w:lang w:val="zh-CN"/>
              </w:rPr>
              <w:t>（4）作业监护人清点出入有限空间作业人员人数，并与作业人员验证或者确定联络信号，在出入口处保持与作业人员的联系，严禁离岗。当发现异常情况时，及时制止作业，并立即采取救护措施。</w:t>
            </w:r>
          </w:p>
          <w:p w14:paraId="18AC5E02">
            <w:pPr>
              <w:pStyle w:val="24"/>
              <w:bidi w:val="0"/>
              <w:jc w:val="both"/>
              <w:rPr>
                <w:rFonts w:hint="default"/>
                <w:color w:val="auto"/>
                <w:lang w:val="zh-CN"/>
              </w:rPr>
            </w:pPr>
            <w:r>
              <w:rPr>
                <w:rFonts w:hint="default"/>
                <w:color w:val="auto"/>
                <w:lang w:val="zh-CN"/>
              </w:rPr>
              <w:t>（5）作业监护人随身携带进入有限空间作业许可证，并负责保管。</w:t>
            </w:r>
          </w:p>
          <w:p w14:paraId="5C9F1F67">
            <w:pPr>
              <w:pStyle w:val="24"/>
              <w:bidi w:val="0"/>
              <w:jc w:val="both"/>
              <w:rPr>
                <w:rFonts w:hint="default"/>
                <w:color w:val="auto"/>
                <w:lang w:val="zh-CN"/>
              </w:rPr>
            </w:pPr>
            <w:r>
              <w:rPr>
                <w:rFonts w:hint="default"/>
                <w:color w:val="auto"/>
                <w:lang w:val="zh-CN"/>
              </w:rPr>
              <w:t>（6）作业监护人员在作业期间，不得离开现场或做与监护无关的事。</w:t>
            </w:r>
          </w:p>
          <w:p w14:paraId="7706DE44">
            <w:pPr>
              <w:pStyle w:val="24"/>
              <w:bidi w:val="0"/>
              <w:jc w:val="both"/>
              <w:rPr>
                <w:rFonts w:hint="default"/>
                <w:color w:val="auto"/>
                <w:lang w:val="zh-CN"/>
              </w:rPr>
            </w:pPr>
            <w:r>
              <w:rPr>
                <w:rFonts w:hint="default"/>
                <w:color w:val="auto"/>
                <w:lang w:val="zh-CN"/>
              </w:rPr>
              <w:t>（7）进入有限空间前，在空间外显眼位置悬挂安全作业警示牌。</w:t>
            </w:r>
          </w:p>
          <w:p w14:paraId="6CFA9BF7">
            <w:pPr>
              <w:pStyle w:val="24"/>
              <w:bidi w:val="0"/>
              <w:jc w:val="both"/>
              <w:rPr>
                <w:rFonts w:hint="default"/>
                <w:color w:val="auto"/>
                <w:lang w:val="zh-CN"/>
              </w:rPr>
            </w:pPr>
            <w:r>
              <w:rPr>
                <w:rFonts w:hint="default"/>
                <w:color w:val="auto"/>
                <w:lang w:val="zh-CN"/>
              </w:rPr>
              <w:t>（8）安全风险程度较高的有限空间作业，增设监护人员，并确保通畅的作业联络方式。</w:t>
            </w:r>
          </w:p>
          <w:p w14:paraId="6F3D66B9">
            <w:pPr>
              <w:pStyle w:val="24"/>
              <w:bidi w:val="0"/>
              <w:jc w:val="both"/>
              <w:rPr>
                <w:rFonts w:hint="default"/>
                <w:color w:val="auto"/>
                <w:lang w:val="zh-CN"/>
              </w:rPr>
            </w:pPr>
            <w:r>
              <w:rPr>
                <w:rFonts w:hint="default"/>
                <w:color w:val="auto"/>
                <w:lang w:val="zh-CN"/>
              </w:rPr>
              <w:t>（9）必要时，进入有限空间作业人员系上安全绳，以便紧急时被拖曳施救。</w:t>
            </w:r>
          </w:p>
          <w:p w14:paraId="35E9AEE1">
            <w:pPr>
              <w:pStyle w:val="24"/>
              <w:bidi w:val="0"/>
              <w:jc w:val="both"/>
              <w:rPr>
                <w:rFonts w:hint="default"/>
                <w:color w:val="auto"/>
                <w:lang w:val="zh-CN"/>
              </w:rPr>
            </w:pPr>
            <w:r>
              <w:rPr>
                <w:rFonts w:hint="default"/>
                <w:color w:val="auto"/>
                <w:lang w:val="zh-CN"/>
              </w:rPr>
              <w:t>（10）发生有限空间事故，救护人员确保做好自身防护后，方可进入有限空间实施抢救，同时避免盲目施救，分析达到安全施救条件后进行施救，佩戴好防护工具。</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4805BD74">
            <w:pPr>
              <w:pStyle w:val="24"/>
              <w:bidi w:val="0"/>
              <w:rPr>
                <w:rFonts w:hint="default"/>
                <w:color w:val="auto"/>
                <w:lang w:val="zh-CN"/>
              </w:rPr>
            </w:pPr>
            <w:r>
              <w:rPr>
                <w:rFonts w:hint="default"/>
                <w:color w:val="auto"/>
                <w:lang w:val="zh-CN"/>
              </w:rPr>
              <w:t>《安全设施设计》</w:t>
            </w:r>
          </w:p>
          <w:p w14:paraId="32AA7C67">
            <w:pPr>
              <w:pStyle w:val="24"/>
              <w:bidi w:val="0"/>
              <w:rPr>
                <w:rFonts w:hint="default"/>
                <w:color w:val="auto"/>
                <w:lang w:val="zh-CN"/>
              </w:rPr>
            </w:pPr>
            <w:r>
              <w:rPr>
                <w:rFonts w:hint="default"/>
                <w:color w:val="auto"/>
                <w:lang w:val="zh-CN"/>
              </w:rPr>
              <w:t>第5.</w:t>
            </w:r>
            <w:r>
              <w:rPr>
                <w:rFonts w:hint="default"/>
                <w:color w:val="auto"/>
                <w:lang w:val="en-US" w:eastAsia="zh-CN"/>
              </w:rPr>
              <w:t>2</w:t>
            </w:r>
            <w:r>
              <w:rPr>
                <w:rFonts w:hint="default"/>
                <w:color w:val="auto"/>
                <w:lang w:val="zh-CN"/>
              </w:rPr>
              <w:t>.</w:t>
            </w:r>
            <w:r>
              <w:rPr>
                <w:rFonts w:hint="eastAsia"/>
                <w:color w:val="auto"/>
                <w:lang w:val="en-US" w:eastAsia="zh-CN"/>
              </w:rPr>
              <w:t>7</w:t>
            </w:r>
            <w:r>
              <w:rPr>
                <w:rFonts w:hint="default"/>
                <w:color w:val="auto"/>
                <w:lang w:val="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41A1515C">
            <w:pPr>
              <w:pStyle w:val="24"/>
              <w:bidi w:val="0"/>
              <w:rPr>
                <w:rFonts w:hint="default"/>
                <w:color w:val="auto"/>
                <w:lang w:val="zh-CN"/>
              </w:rPr>
            </w:pPr>
            <w:r>
              <w:rPr>
                <w:rFonts w:hint="default"/>
                <w:color w:val="auto"/>
                <w:lang w:val="zh-CN"/>
              </w:rPr>
              <w:t>企业制定有有限空间作业管理制度及操作规程，为从业人员配备有防护用品。企业有有限空间辨识台账，进行有限空间作业时按操作规程进行。现场勘验时未设置有限空间告知牌，后经企业整改设置了有限空间告知牌。</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0837A4C6">
            <w:pPr>
              <w:pStyle w:val="24"/>
              <w:bidi w:val="0"/>
              <w:rPr>
                <w:rFonts w:hint="default"/>
                <w:color w:val="auto"/>
                <w:lang w:val="zh-CN"/>
              </w:rPr>
            </w:pPr>
          </w:p>
        </w:tc>
      </w:tr>
    </w:tbl>
    <w:p w14:paraId="704D652D">
      <w:pPr>
        <w:pStyle w:val="4"/>
        <w:bidi w:val="0"/>
        <w:rPr>
          <w:rFonts w:hint="eastAsia"/>
          <w:color w:val="auto"/>
        </w:rPr>
      </w:pPr>
      <w:bookmarkStart w:id="156" w:name="_Toc2121"/>
      <w:bookmarkStart w:id="157" w:name="_Toc11695"/>
      <w:r>
        <w:rPr>
          <w:rFonts w:hint="eastAsia"/>
          <w:color w:val="auto"/>
        </w:rPr>
        <w:t>5.3.2</w:t>
      </w:r>
      <w:r>
        <w:rPr>
          <w:rFonts w:hint="eastAsia"/>
          <w:color w:val="auto"/>
          <w:lang w:val="en-US" w:eastAsia="zh-CN"/>
        </w:rPr>
        <w:t xml:space="preserve"> </w:t>
      </w:r>
      <w:r>
        <w:rPr>
          <w:rFonts w:hint="eastAsia"/>
          <w:color w:val="auto"/>
        </w:rPr>
        <w:t>单元评价小结</w:t>
      </w:r>
      <w:bookmarkEnd w:id="156"/>
      <w:bookmarkEnd w:id="157"/>
    </w:p>
    <w:p w14:paraId="4EE1212A">
      <w:pPr>
        <w:bidi w:val="0"/>
        <w:rPr>
          <w:color w:val="auto"/>
        </w:rPr>
      </w:pPr>
      <w:r>
        <w:rPr>
          <w:rFonts w:hint="eastAsia"/>
          <w:color w:val="auto"/>
        </w:rPr>
        <w:t>本项目采用的工艺流程为浓缩-输送-压滤，尾矿处理系统主要由浓缩车间、输送管线、压滤车间三部分组成。设备设施选用符合国家标准的产品，生产工艺成熟可靠，设备满足安全生产要求，安全设施均按《安全设施设计》的要求建设，符合《选矿安全规程》（GB/T 18152-2000）及《安全设施设计》等相关规范及文件的要求，具备安全验收条件。</w:t>
      </w:r>
    </w:p>
    <w:p w14:paraId="6C3897CC">
      <w:pPr>
        <w:pStyle w:val="3"/>
        <w:bidi w:val="0"/>
        <w:rPr>
          <w:rFonts w:hint="eastAsia"/>
          <w:color w:val="auto"/>
        </w:rPr>
      </w:pPr>
      <w:bookmarkStart w:id="158" w:name="_Toc6138"/>
      <w:bookmarkStart w:id="159" w:name="_Toc6823"/>
      <w:r>
        <w:rPr>
          <w:rFonts w:hint="eastAsia"/>
          <w:color w:val="auto"/>
        </w:rPr>
        <w:t>5.4 公用工程及辅助设施</w:t>
      </w:r>
      <w:r>
        <w:rPr>
          <w:rFonts w:hint="eastAsia"/>
          <w:color w:val="auto"/>
          <w:lang w:val="en-US" w:eastAsia="zh-CN"/>
        </w:rPr>
        <w:t>单元</w:t>
      </w:r>
      <w:r>
        <w:rPr>
          <w:rFonts w:hint="eastAsia"/>
          <w:color w:val="auto"/>
        </w:rPr>
        <w:t>分析评价</w:t>
      </w:r>
      <w:bookmarkEnd w:id="158"/>
      <w:bookmarkEnd w:id="159"/>
    </w:p>
    <w:p w14:paraId="3EA1B6CE">
      <w:pPr>
        <w:pStyle w:val="4"/>
        <w:bidi w:val="0"/>
        <w:rPr>
          <w:rFonts w:hint="eastAsia"/>
          <w:color w:val="auto"/>
        </w:rPr>
      </w:pPr>
      <w:bookmarkStart w:id="160" w:name="_Toc30393"/>
      <w:bookmarkStart w:id="161" w:name="_Toc21420"/>
      <w:r>
        <w:rPr>
          <w:rFonts w:hint="eastAsia"/>
          <w:color w:val="auto"/>
        </w:rPr>
        <w:t>5.4.1</w:t>
      </w:r>
      <w:r>
        <w:rPr>
          <w:rFonts w:hint="eastAsia"/>
          <w:color w:val="auto"/>
          <w:lang w:val="en-US" w:eastAsia="zh-CN"/>
        </w:rPr>
        <w:t xml:space="preserve"> </w:t>
      </w:r>
      <w:r>
        <w:rPr>
          <w:rFonts w:hint="eastAsia"/>
          <w:color w:val="auto"/>
        </w:rPr>
        <w:t>供配电系统分析评价</w:t>
      </w:r>
      <w:bookmarkEnd w:id="160"/>
      <w:bookmarkEnd w:id="161"/>
    </w:p>
    <w:p w14:paraId="3312C6AB">
      <w:pPr>
        <w:bidi w:val="0"/>
        <w:rPr>
          <w:rFonts w:hint="eastAsia"/>
          <w:color w:val="auto"/>
        </w:rPr>
      </w:pPr>
      <w:r>
        <w:rPr>
          <w:rFonts w:hint="eastAsia"/>
          <w:color w:val="auto"/>
        </w:rPr>
        <w:t>1、安全检查表</w:t>
      </w:r>
    </w:p>
    <w:p w14:paraId="09F0BAA6">
      <w:pPr>
        <w:bidi w:val="0"/>
        <w:rPr>
          <w:rFonts w:hint="eastAsia"/>
          <w:color w:val="auto"/>
        </w:rPr>
      </w:pPr>
      <w:r>
        <w:rPr>
          <w:rFonts w:hint="eastAsia"/>
          <w:color w:val="auto"/>
        </w:rPr>
        <w:t>根据该项目《安全设施设计》及《选矿安全规程》（GB 18152—2000）、《20kV及以下变电所设计规范》（GB 50053-2013）等相关要求对该项目进行安全检查，其检查情况如下表所示：</w:t>
      </w:r>
    </w:p>
    <w:p w14:paraId="07BBEE85">
      <w:pPr>
        <w:pStyle w:val="23"/>
        <w:bidi w:val="0"/>
        <w:rPr>
          <w:color w:val="auto"/>
        </w:rPr>
      </w:pPr>
      <w:r>
        <w:rPr>
          <w:rFonts w:hint="eastAsia"/>
          <w:color w:val="auto"/>
        </w:rPr>
        <w:t>表5.4-1  供配电安全检查表</w:t>
      </w:r>
    </w:p>
    <w:tbl>
      <w:tblPr>
        <w:tblStyle w:val="18"/>
        <w:tblW w:w="9403" w:type="dxa"/>
        <w:jc w:val="center"/>
        <w:tblLayout w:type="fixed"/>
        <w:tblCellMar>
          <w:top w:w="0" w:type="dxa"/>
          <w:left w:w="108" w:type="dxa"/>
          <w:bottom w:w="0" w:type="dxa"/>
          <w:right w:w="108" w:type="dxa"/>
        </w:tblCellMar>
      </w:tblPr>
      <w:tblGrid>
        <w:gridCol w:w="746"/>
        <w:gridCol w:w="3910"/>
        <w:gridCol w:w="2077"/>
        <w:gridCol w:w="1934"/>
        <w:gridCol w:w="736"/>
      </w:tblGrid>
      <w:tr w14:paraId="3E83CB17">
        <w:tblPrEx>
          <w:tblCellMar>
            <w:top w:w="0" w:type="dxa"/>
            <w:left w:w="108" w:type="dxa"/>
            <w:bottom w:w="0" w:type="dxa"/>
            <w:right w:w="108" w:type="dxa"/>
          </w:tblCellMar>
        </w:tblPrEx>
        <w:trPr>
          <w:trHeight w:val="567" w:hRule="atLeast"/>
          <w:tblHeader/>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7FA7BF0C">
            <w:pPr>
              <w:pStyle w:val="24"/>
              <w:bidi w:val="0"/>
              <w:rPr>
                <w:rFonts w:hint="default"/>
                <w:b/>
                <w:bCs/>
                <w:color w:val="auto"/>
              </w:rPr>
            </w:pPr>
            <w:r>
              <w:rPr>
                <w:rFonts w:hint="default"/>
                <w:b/>
                <w:bCs/>
                <w:color w:val="auto"/>
              </w:rPr>
              <w:t>序号</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10B75AD1">
            <w:pPr>
              <w:pStyle w:val="24"/>
              <w:bidi w:val="0"/>
              <w:jc w:val="center"/>
              <w:rPr>
                <w:rFonts w:hint="default"/>
                <w:b/>
                <w:bCs/>
                <w:color w:val="auto"/>
                <w:lang w:val="zh-CN"/>
              </w:rPr>
            </w:pPr>
            <w:r>
              <w:rPr>
                <w:rFonts w:hint="default"/>
                <w:b/>
                <w:bCs/>
                <w:color w:val="auto"/>
                <w:lang w:val="zh-CN"/>
              </w:rPr>
              <w:t>检查内容</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5D3BBE0A">
            <w:pPr>
              <w:pStyle w:val="24"/>
              <w:bidi w:val="0"/>
              <w:rPr>
                <w:rFonts w:hint="default"/>
                <w:b/>
                <w:bCs/>
                <w:color w:val="auto"/>
                <w:lang w:val="zh-CN"/>
              </w:rPr>
            </w:pPr>
            <w:r>
              <w:rPr>
                <w:rFonts w:hint="default"/>
                <w:b/>
                <w:bCs/>
                <w:color w:val="auto"/>
                <w:lang w:val="zh-CN"/>
              </w:rPr>
              <w:t>标准依据</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1B7A5B1C">
            <w:pPr>
              <w:pStyle w:val="24"/>
              <w:bidi w:val="0"/>
              <w:rPr>
                <w:rFonts w:hint="default"/>
                <w:b/>
                <w:bCs/>
                <w:color w:val="auto"/>
                <w:lang w:val="zh-CN"/>
              </w:rPr>
            </w:pPr>
            <w:r>
              <w:rPr>
                <w:rFonts w:hint="default"/>
                <w:b/>
                <w:bCs/>
                <w:color w:val="auto"/>
                <w:lang w:val="zh-CN"/>
              </w:rPr>
              <w:t>检查情况</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4B3FA84B">
            <w:pPr>
              <w:pStyle w:val="24"/>
              <w:bidi w:val="0"/>
              <w:rPr>
                <w:rFonts w:hint="default"/>
                <w:b/>
                <w:bCs/>
                <w:color w:val="auto"/>
                <w:lang w:val="zh-CN"/>
              </w:rPr>
            </w:pPr>
            <w:r>
              <w:rPr>
                <w:rFonts w:hint="default"/>
                <w:b/>
                <w:bCs/>
                <w:color w:val="auto"/>
                <w:lang w:val="zh-CN"/>
              </w:rPr>
              <w:t>结论</w:t>
            </w:r>
          </w:p>
        </w:tc>
      </w:tr>
      <w:tr w14:paraId="00DF7F8B">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733155D5">
            <w:pPr>
              <w:pStyle w:val="24"/>
              <w:bidi w:val="0"/>
              <w:rPr>
                <w:rFonts w:hint="eastAsia" w:eastAsia="宋体"/>
                <w:color w:val="auto"/>
                <w:lang w:eastAsia="zh-CN"/>
              </w:rPr>
            </w:pPr>
            <w:r>
              <w:rPr>
                <w:rFonts w:hint="eastAsia"/>
                <w:color w:val="auto"/>
                <w:lang w:val="en-US" w:eastAsia="zh-CN"/>
              </w:rPr>
              <w:t>1</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0FAF570B">
            <w:pPr>
              <w:pStyle w:val="24"/>
              <w:bidi w:val="0"/>
              <w:jc w:val="both"/>
              <w:rPr>
                <w:rFonts w:hint="default"/>
                <w:color w:val="auto"/>
                <w:lang w:val="zh-CN"/>
              </w:rPr>
            </w:pPr>
            <w:r>
              <w:rPr>
                <w:rFonts w:hint="default"/>
                <w:color w:val="auto"/>
                <w:lang w:val="zh-CN"/>
              </w:rPr>
              <w:t>（1</w:t>
            </w:r>
            <w:r>
              <w:rPr>
                <w:rFonts w:hint="eastAsia"/>
                <w:color w:val="auto"/>
                <w:lang w:val="zh-CN"/>
              </w:rPr>
              <w:t>）</w:t>
            </w:r>
            <w:r>
              <w:rPr>
                <w:rFonts w:hint="default"/>
                <w:color w:val="auto"/>
                <w:lang w:val="zh-CN"/>
              </w:rPr>
              <w:t>本工种作业人员必须严格遵守操作规程。</w:t>
            </w:r>
          </w:p>
          <w:p w14:paraId="4663C939">
            <w:pPr>
              <w:pStyle w:val="24"/>
              <w:bidi w:val="0"/>
              <w:jc w:val="both"/>
              <w:rPr>
                <w:rFonts w:hint="default"/>
                <w:color w:val="auto"/>
                <w:lang w:val="zh-CN"/>
              </w:rPr>
            </w:pPr>
            <w:r>
              <w:rPr>
                <w:rFonts w:hint="default"/>
                <w:color w:val="auto"/>
                <w:lang w:val="zh-CN"/>
              </w:rPr>
              <w:t>（2</w:t>
            </w:r>
            <w:r>
              <w:rPr>
                <w:rFonts w:hint="eastAsia"/>
                <w:color w:val="auto"/>
                <w:lang w:val="zh-CN"/>
              </w:rPr>
              <w:t>）</w:t>
            </w:r>
            <w:r>
              <w:rPr>
                <w:rFonts w:hint="default"/>
                <w:color w:val="auto"/>
                <w:lang w:val="zh-CN"/>
              </w:rPr>
              <w:t>本工种作业人员必须掌握触电急救的方法。</w:t>
            </w:r>
          </w:p>
          <w:p w14:paraId="2866B049">
            <w:pPr>
              <w:pStyle w:val="24"/>
              <w:bidi w:val="0"/>
              <w:jc w:val="both"/>
              <w:rPr>
                <w:rFonts w:hint="default"/>
                <w:color w:val="auto"/>
                <w:lang w:val="zh-CN"/>
              </w:rPr>
            </w:pPr>
            <w:r>
              <w:rPr>
                <w:rFonts w:hint="default"/>
                <w:color w:val="auto"/>
                <w:lang w:val="zh-CN"/>
              </w:rPr>
              <w:t>（3</w:t>
            </w:r>
            <w:r>
              <w:rPr>
                <w:rFonts w:hint="eastAsia"/>
                <w:color w:val="auto"/>
                <w:lang w:val="zh-CN"/>
              </w:rPr>
              <w:t>）</w:t>
            </w:r>
            <w:r>
              <w:rPr>
                <w:rFonts w:hint="default"/>
                <w:color w:val="auto"/>
                <w:lang w:val="zh-CN"/>
              </w:rPr>
              <w:t>工作前必须穿戴好规定的防护用品，必须随时保持所有工具和仪表的良好状态，每次使用前都必须严格检查，发现问题及时处理。严格禁止使用带伤害的工器具和仪器仪表。</w:t>
            </w:r>
          </w:p>
          <w:p w14:paraId="651B0D28">
            <w:pPr>
              <w:pStyle w:val="24"/>
              <w:bidi w:val="0"/>
              <w:jc w:val="both"/>
              <w:rPr>
                <w:rFonts w:hint="default"/>
                <w:color w:val="auto"/>
                <w:lang w:val="zh-CN"/>
              </w:rPr>
            </w:pPr>
            <w:r>
              <w:rPr>
                <w:rFonts w:hint="default"/>
                <w:color w:val="auto"/>
                <w:lang w:val="zh-CN"/>
              </w:rPr>
              <w:t>（4</w:t>
            </w:r>
            <w:r>
              <w:rPr>
                <w:rFonts w:hint="eastAsia"/>
                <w:color w:val="auto"/>
                <w:lang w:val="zh-CN"/>
              </w:rPr>
              <w:t>）</w:t>
            </w:r>
            <w:r>
              <w:rPr>
                <w:rFonts w:hint="default"/>
                <w:color w:val="auto"/>
                <w:lang w:val="zh-CN"/>
              </w:rPr>
              <w:t>本工种作业人员除遵守本岗位技术要求及安全规程外，还必须遵守外线电工、配电工及值班电工的一般技术要求及安全规程。严格遵守《电工防触电安全规程》，不得违章作业。</w:t>
            </w:r>
          </w:p>
          <w:p w14:paraId="4DA9EA47">
            <w:pPr>
              <w:pStyle w:val="24"/>
              <w:bidi w:val="0"/>
              <w:jc w:val="both"/>
              <w:rPr>
                <w:rFonts w:hint="default"/>
                <w:color w:val="auto"/>
                <w:lang w:val="zh-CN"/>
              </w:rPr>
            </w:pPr>
            <w:r>
              <w:rPr>
                <w:rFonts w:hint="default"/>
                <w:color w:val="auto"/>
                <w:lang w:val="zh-CN"/>
              </w:rPr>
              <w:t>（5</w:t>
            </w:r>
            <w:r>
              <w:rPr>
                <w:rFonts w:hint="eastAsia"/>
                <w:color w:val="auto"/>
                <w:lang w:val="zh-CN"/>
              </w:rPr>
              <w:t>）</w:t>
            </w:r>
            <w:r>
              <w:rPr>
                <w:rFonts w:hint="default"/>
                <w:color w:val="auto"/>
                <w:lang w:val="zh-CN"/>
              </w:rPr>
              <w:t>电气设备和线路，不论高压、低压，在未确知其是否有电时，应一律视为有电，不可接触。凡是有电设备或线路，不论高压或低压，均不允许带电作业。</w:t>
            </w:r>
          </w:p>
          <w:p w14:paraId="0036F30D">
            <w:pPr>
              <w:pStyle w:val="24"/>
              <w:bidi w:val="0"/>
              <w:jc w:val="both"/>
              <w:rPr>
                <w:rFonts w:hint="default"/>
                <w:color w:val="auto"/>
                <w:lang w:val="zh-CN"/>
              </w:rPr>
            </w:pPr>
            <w:r>
              <w:rPr>
                <w:rFonts w:hint="default"/>
                <w:color w:val="auto"/>
                <w:lang w:val="zh-CN"/>
              </w:rPr>
              <w:t>（6</w:t>
            </w:r>
            <w:r>
              <w:rPr>
                <w:rFonts w:hint="eastAsia"/>
                <w:color w:val="auto"/>
                <w:lang w:val="zh-CN"/>
              </w:rPr>
              <w:t>）</w:t>
            </w:r>
            <w:r>
              <w:rPr>
                <w:rFonts w:hint="default"/>
                <w:color w:val="auto"/>
                <w:lang w:val="zh-CN"/>
              </w:rPr>
              <w:t>在带电设备或线路附近工作时，工作人员及其使用的工具、材料应与带电设备或线路相隔一定的安全距离。其安全距离不能少于下列规定：距离高压不少于0.7米，距380V及以下者不少于0.15米。</w:t>
            </w:r>
          </w:p>
          <w:p w14:paraId="3D9B5D38">
            <w:pPr>
              <w:pStyle w:val="24"/>
              <w:bidi w:val="0"/>
              <w:jc w:val="both"/>
              <w:rPr>
                <w:rFonts w:hint="default"/>
                <w:color w:val="auto"/>
                <w:lang w:val="zh-CN"/>
              </w:rPr>
            </w:pPr>
            <w:r>
              <w:rPr>
                <w:rFonts w:hint="default"/>
                <w:color w:val="auto"/>
                <w:lang w:val="zh-CN"/>
              </w:rPr>
              <w:t>（7</w:t>
            </w:r>
            <w:r>
              <w:rPr>
                <w:rFonts w:hint="eastAsia"/>
                <w:color w:val="auto"/>
                <w:lang w:val="zh-CN"/>
              </w:rPr>
              <w:t>）</w:t>
            </w:r>
            <w:r>
              <w:rPr>
                <w:rFonts w:hint="default"/>
                <w:color w:val="auto"/>
                <w:lang w:val="zh-CN"/>
              </w:rPr>
              <w:t>在2.0米以上的高空作业时，必须系好安全带，所有的工具及零件均应装在工具袋内，使用工具时应注意不能脱落，禁止往下扔任何东西。</w:t>
            </w:r>
          </w:p>
          <w:p w14:paraId="4C650421">
            <w:pPr>
              <w:pStyle w:val="24"/>
              <w:bidi w:val="0"/>
              <w:jc w:val="both"/>
              <w:rPr>
                <w:rFonts w:hint="default"/>
                <w:color w:val="auto"/>
                <w:lang w:val="zh-CN"/>
              </w:rPr>
            </w:pPr>
            <w:r>
              <w:rPr>
                <w:rFonts w:hint="default"/>
                <w:color w:val="auto"/>
                <w:lang w:val="zh-CN"/>
              </w:rPr>
              <w:t>（8</w:t>
            </w:r>
            <w:r>
              <w:rPr>
                <w:rFonts w:hint="eastAsia"/>
                <w:color w:val="auto"/>
                <w:lang w:val="zh-CN"/>
              </w:rPr>
              <w:t>）</w:t>
            </w:r>
            <w:r>
              <w:rPr>
                <w:rFonts w:hint="default"/>
                <w:color w:val="auto"/>
                <w:lang w:val="zh-CN"/>
              </w:rPr>
              <w:t>检修中使用行灯时，必须是36V以下的电压，不准使用250V的行灯。使用梯子时，应注意旋转稳当，坡度为55-60°，在光滑的地面上使用时，必须在梯脚上垫橡皮。</w:t>
            </w:r>
          </w:p>
          <w:p w14:paraId="63B738EC">
            <w:pPr>
              <w:pStyle w:val="24"/>
              <w:bidi w:val="0"/>
              <w:jc w:val="both"/>
              <w:rPr>
                <w:rFonts w:hint="default"/>
                <w:color w:val="auto"/>
                <w:lang w:val="zh-CN"/>
              </w:rPr>
            </w:pPr>
            <w:r>
              <w:rPr>
                <w:rFonts w:hint="default"/>
                <w:color w:val="auto"/>
                <w:lang w:val="zh-CN"/>
              </w:rPr>
              <w:t>（9</w:t>
            </w:r>
            <w:r>
              <w:rPr>
                <w:rFonts w:hint="eastAsia"/>
                <w:color w:val="auto"/>
                <w:lang w:val="zh-CN"/>
              </w:rPr>
              <w:t>）</w:t>
            </w:r>
            <w:r>
              <w:rPr>
                <w:rFonts w:hint="default"/>
                <w:color w:val="auto"/>
                <w:lang w:val="zh-CN"/>
              </w:rPr>
              <w:t>在进行校检工作时，必须接好地线，在校检设备周围，采取安全防护措施，用</w:t>
            </w:r>
            <w:r>
              <w:rPr>
                <w:rFonts w:hint="eastAsia"/>
                <w:color w:val="auto"/>
                <w:lang w:val="zh-CN"/>
              </w:rPr>
              <w:t>“</w:t>
            </w:r>
            <w:r>
              <w:rPr>
                <w:rFonts w:hint="default"/>
                <w:color w:val="auto"/>
                <w:lang w:val="zh-CN"/>
              </w:rPr>
              <w:t>红、白</w:t>
            </w:r>
            <w:r>
              <w:rPr>
                <w:rFonts w:hint="eastAsia"/>
                <w:color w:val="auto"/>
                <w:lang w:val="zh-CN"/>
              </w:rPr>
              <w:t>”</w:t>
            </w:r>
            <w:r>
              <w:rPr>
                <w:rFonts w:hint="default"/>
                <w:color w:val="auto"/>
                <w:lang w:val="zh-CN"/>
              </w:rPr>
              <w:t>绳索拦好，并挂上</w:t>
            </w:r>
            <w:r>
              <w:rPr>
                <w:rFonts w:hint="eastAsia"/>
                <w:color w:val="auto"/>
                <w:lang w:val="zh-CN"/>
              </w:rPr>
              <w:t>“</w:t>
            </w:r>
            <w:r>
              <w:rPr>
                <w:rFonts w:hint="default"/>
                <w:color w:val="auto"/>
                <w:lang w:val="zh-CN"/>
              </w:rPr>
              <w:t>高压校检，有电危险</w:t>
            </w:r>
            <w:r>
              <w:rPr>
                <w:rFonts w:hint="eastAsia"/>
                <w:color w:val="auto"/>
                <w:lang w:val="zh-CN"/>
              </w:rPr>
              <w:t>”</w:t>
            </w:r>
            <w:r>
              <w:rPr>
                <w:rFonts w:hint="default"/>
                <w:color w:val="auto"/>
                <w:lang w:val="zh-CN"/>
              </w:rPr>
              <w:t>的警示牌，严禁他人进入，以防触电。</w:t>
            </w:r>
          </w:p>
          <w:p w14:paraId="54697930">
            <w:pPr>
              <w:pStyle w:val="24"/>
              <w:bidi w:val="0"/>
              <w:jc w:val="both"/>
              <w:rPr>
                <w:rFonts w:hint="default"/>
                <w:color w:val="auto"/>
                <w:lang w:val="zh-CN"/>
              </w:rPr>
            </w:pPr>
            <w:r>
              <w:rPr>
                <w:rFonts w:hint="default"/>
                <w:color w:val="auto"/>
                <w:lang w:val="zh-CN"/>
              </w:rPr>
              <w:t>（10</w:t>
            </w:r>
            <w:r>
              <w:rPr>
                <w:rFonts w:hint="eastAsia"/>
                <w:color w:val="auto"/>
                <w:lang w:val="zh-CN"/>
              </w:rPr>
              <w:t>）</w:t>
            </w:r>
            <w:r>
              <w:rPr>
                <w:rFonts w:hint="default"/>
                <w:color w:val="auto"/>
                <w:lang w:val="zh-CN"/>
              </w:rPr>
              <w:t>对所有使用的安全防护用品用具，绝缘手套、绝缘鞋、安全带、令克棒、高压测试笔要有专人保管，定期检查，检验不合格者不能使用。</w:t>
            </w:r>
          </w:p>
          <w:p w14:paraId="74FD0DDC">
            <w:pPr>
              <w:pStyle w:val="24"/>
              <w:bidi w:val="0"/>
              <w:jc w:val="both"/>
              <w:rPr>
                <w:rFonts w:hint="default"/>
                <w:color w:val="auto"/>
                <w:lang w:val="zh-CN"/>
              </w:rPr>
            </w:pPr>
            <w:r>
              <w:rPr>
                <w:rFonts w:hint="default"/>
                <w:color w:val="auto"/>
                <w:lang w:val="zh-CN"/>
              </w:rPr>
              <w:t>（11</w:t>
            </w:r>
            <w:r>
              <w:rPr>
                <w:rFonts w:hint="eastAsia"/>
                <w:color w:val="auto"/>
                <w:lang w:val="zh-CN"/>
              </w:rPr>
              <w:t>）</w:t>
            </w:r>
            <w:r>
              <w:rPr>
                <w:rFonts w:hint="default"/>
                <w:color w:val="auto"/>
                <w:lang w:val="zh-CN"/>
              </w:rPr>
              <w:t>电线电缆过振动区域、过金属件必须固稳，易潮湿必须采取绝缘措施。</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0F392281">
            <w:pPr>
              <w:pStyle w:val="24"/>
              <w:bidi w:val="0"/>
              <w:rPr>
                <w:rFonts w:hint="default"/>
                <w:color w:val="auto"/>
                <w:lang w:val="zh-CN"/>
              </w:rPr>
            </w:pPr>
            <w:r>
              <w:rPr>
                <w:rFonts w:hint="default"/>
                <w:color w:val="auto"/>
                <w:lang w:val="zh-CN"/>
              </w:rPr>
              <w:t>《安全设施设计》</w:t>
            </w:r>
          </w:p>
          <w:p w14:paraId="0C72AEF7">
            <w:pPr>
              <w:pStyle w:val="24"/>
              <w:bidi w:val="0"/>
              <w:rPr>
                <w:rFonts w:hint="default"/>
                <w:color w:val="auto"/>
                <w:lang w:val="zh-CN"/>
              </w:rPr>
            </w:pPr>
            <w:r>
              <w:rPr>
                <w:rFonts w:hint="default"/>
                <w:color w:val="auto"/>
                <w:lang w:val="zh-CN"/>
              </w:rPr>
              <w:t>第5.4</w:t>
            </w:r>
            <w:r>
              <w:rPr>
                <w:rFonts w:hint="default"/>
                <w:color w:val="auto"/>
              </w:rPr>
              <w:t>.</w:t>
            </w:r>
            <w:r>
              <w:rPr>
                <w:rFonts w:hint="eastAsia"/>
                <w:color w:val="auto"/>
                <w:lang w:val="en-US" w:eastAsia="zh-CN"/>
              </w:rPr>
              <w:t>10</w:t>
            </w:r>
            <w:r>
              <w:rPr>
                <w:rFonts w:hint="default"/>
                <w:color w:val="auto"/>
                <w:lang w:val="zh-CN"/>
              </w:rPr>
              <w:t>节</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385AEA9F">
            <w:pPr>
              <w:pStyle w:val="24"/>
              <w:bidi w:val="0"/>
              <w:rPr>
                <w:rFonts w:hint="default"/>
                <w:color w:val="auto"/>
                <w:lang w:val="en-US"/>
              </w:rPr>
            </w:pPr>
            <w:r>
              <w:rPr>
                <w:rFonts w:hint="eastAsia"/>
                <w:color w:val="auto"/>
                <w:lang w:val="en-US" w:eastAsia="zh-CN"/>
              </w:rPr>
              <w:t>电工持证上岗，</w:t>
            </w:r>
            <w:r>
              <w:rPr>
                <w:rFonts w:hint="default"/>
                <w:color w:val="auto"/>
                <w:lang w:val="en-US" w:eastAsia="zh-CN"/>
              </w:rPr>
              <w:t>为电工配备了劳动防护用品。现场勘查时未发现电工违规行为。</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60C28C74">
            <w:pPr>
              <w:pStyle w:val="24"/>
              <w:bidi w:val="0"/>
              <w:rPr>
                <w:rFonts w:hint="default"/>
                <w:color w:val="auto"/>
                <w:lang w:val="zh-CN"/>
              </w:rPr>
            </w:pPr>
            <w:r>
              <w:rPr>
                <w:rFonts w:hint="default"/>
                <w:color w:val="auto"/>
                <w:lang w:val="zh-CN"/>
              </w:rPr>
              <w:t>符合</w:t>
            </w:r>
          </w:p>
        </w:tc>
      </w:tr>
      <w:tr w14:paraId="7DF997BA">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3B3F1706">
            <w:pPr>
              <w:pStyle w:val="24"/>
              <w:bidi w:val="0"/>
              <w:rPr>
                <w:rFonts w:hint="eastAsia" w:eastAsia="宋体"/>
                <w:color w:val="auto"/>
                <w:lang w:eastAsia="zh-CN"/>
              </w:rPr>
            </w:pPr>
            <w:r>
              <w:rPr>
                <w:rFonts w:hint="eastAsia"/>
                <w:color w:val="auto"/>
                <w:lang w:val="en-US" w:eastAsia="zh-CN"/>
              </w:rPr>
              <w:t>2</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34088E95">
            <w:pPr>
              <w:pStyle w:val="24"/>
              <w:bidi w:val="0"/>
              <w:jc w:val="both"/>
              <w:rPr>
                <w:rFonts w:hint="default"/>
                <w:color w:val="auto"/>
                <w:lang w:val="zh-CN" w:eastAsia="zh-CN"/>
              </w:rPr>
            </w:pPr>
            <w:r>
              <w:rPr>
                <w:rFonts w:hint="default"/>
                <w:color w:val="auto"/>
                <w:lang w:val="zh-CN" w:eastAsia="zh-CN"/>
              </w:rPr>
              <w:t>（1）电气设备及装置的金属框架或外壳、电缆的金属包皮，应可靠接地，接地电阻应不超过1Ω。</w:t>
            </w:r>
          </w:p>
          <w:p w14:paraId="00D9427C">
            <w:pPr>
              <w:pStyle w:val="24"/>
              <w:bidi w:val="0"/>
              <w:jc w:val="both"/>
              <w:rPr>
                <w:rFonts w:hint="default"/>
                <w:color w:val="auto"/>
                <w:lang w:val="zh-CN" w:eastAsia="zh-CN"/>
              </w:rPr>
            </w:pPr>
            <w:r>
              <w:rPr>
                <w:rFonts w:hint="default"/>
                <w:color w:val="auto"/>
                <w:lang w:val="zh-CN" w:eastAsia="zh-CN"/>
              </w:rPr>
              <w:t>（2）接地线应采用并联方式，不应将各个电气设备的接地线串联接地。</w:t>
            </w:r>
          </w:p>
          <w:p w14:paraId="5EEF4ED9">
            <w:pPr>
              <w:pStyle w:val="24"/>
              <w:bidi w:val="0"/>
              <w:jc w:val="both"/>
              <w:rPr>
                <w:rFonts w:hint="default"/>
                <w:color w:val="auto"/>
                <w:lang w:val="zh-CN" w:eastAsia="zh-CN"/>
              </w:rPr>
            </w:pPr>
            <w:r>
              <w:rPr>
                <w:rFonts w:hint="default"/>
                <w:color w:val="auto"/>
                <w:lang w:val="zh-CN" w:eastAsia="zh-CN"/>
              </w:rPr>
              <w:t>（3）下列地点应重复接地：</w:t>
            </w:r>
          </w:p>
          <w:p w14:paraId="7060689D">
            <w:pPr>
              <w:pStyle w:val="24"/>
              <w:bidi w:val="0"/>
              <w:jc w:val="both"/>
              <w:rPr>
                <w:rFonts w:hint="default"/>
                <w:color w:val="auto"/>
                <w:lang w:val="zh-CN" w:eastAsia="zh-CN"/>
              </w:rPr>
            </w:pPr>
            <w:r>
              <w:rPr>
                <w:rFonts w:hint="default"/>
                <w:color w:val="auto"/>
                <w:lang w:val="zh-CN" w:eastAsia="zh-CN"/>
              </w:rPr>
              <w:t>——设有变压器的低压配电室电缆受电处的零线；</w:t>
            </w:r>
          </w:p>
          <w:p w14:paraId="10C4DC8D">
            <w:pPr>
              <w:pStyle w:val="24"/>
              <w:bidi w:val="0"/>
              <w:jc w:val="both"/>
              <w:rPr>
                <w:rFonts w:hint="default"/>
                <w:color w:val="auto"/>
                <w:lang w:val="zh-CN" w:eastAsia="zh-CN"/>
              </w:rPr>
            </w:pPr>
            <w:r>
              <w:rPr>
                <w:rFonts w:hint="default"/>
                <w:color w:val="auto"/>
                <w:lang w:val="zh-CN" w:eastAsia="zh-CN"/>
              </w:rPr>
              <w:t>——建筑物的动力配电箱电缆受电处的零线。</w:t>
            </w:r>
          </w:p>
          <w:p w14:paraId="5B79C422">
            <w:pPr>
              <w:pStyle w:val="24"/>
              <w:bidi w:val="0"/>
              <w:jc w:val="both"/>
              <w:rPr>
                <w:rFonts w:hint="default"/>
                <w:color w:val="auto"/>
                <w:lang w:val="zh-CN" w:eastAsia="zh-CN"/>
              </w:rPr>
            </w:pPr>
            <w:r>
              <w:rPr>
                <w:rFonts w:hint="default"/>
                <w:color w:val="auto"/>
                <w:lang w:val="zh-CN" w:eastAsia="zh-CN"/>
              </w:rPr>
              <w:t>（4）用电产品应具有符合规定的铭牌或标志，以满足安装、使用和维护的要求。</w:t>
            </w:r>
          </w:p>
          <w:p w14:paraId="7ABEFAD2">
            <w:pPr>
              <w:pStyle w:val="24"/>
              <w:bidi w:val="0"/>
              <w:jc w:val="both"/>
              <w:rPr>
                <w:rFonts w:hint="default"/>
                <w:color w:val="auto"/>
                <w:lang w:val="zh-CN" w:eastAsia="zh-CN"/>
              </w:rPr>
            </w:pPr>
            <w:r>
              <w:rPr>
                <w:rFonts w:hint="default"/>
                <w:color w:val="auto"/>
                <w:lang w:val="zh-CN" w:eastAsia="zh-CN"/>
              </w:rPr>
              <w:t>（5）用电产品和电气线路的周围应留有足够的安全通道和工作空间，且不应堆放易燃、易爆和腐蚀性物品。</w:t>
            </w:r>
          </w:p>
          <w:p w14:paraId="3D1D8594">
            <w:pPr>
              <w:pStyle w:val="24"/>
              <w:bidi w:val="0"/>
              <w:jc w:val="both"/>
              <w:rPr>
                <w:rFonts w:hint="default"/>
                <w:color w:val="auto"/>
                <w:lang w:val="zh-CN" w:eastAsia="zh-CN"/>
              </w:rPr>
            </w:pPr>
            <w:r>
              <w:rPr>
                <w:rFonts w:hint="default"/>
                <w:color w:val="auto"/>
                <w:lang w:val="zh-CN" w:eastAsia="zh-CN"/>
              </w:rPr>
              <w:t>（6）线路穿墙、楼板或埋地敷设时均应穿管或采取其他保护（软质材料防护），穿金属管时，管口应装绝缘护套，绝缘导线穿管敷设时，管内导线的总面积应小于管子截面积的40％。</w:t>
            </w:r>
          </w:p>
          <w:p w14:paraId="43C499DA">
            <w:pPr>
              <w:pStyle w:val="24"/>
              <w:bidi w:val="0"/>
              <w:jc w:val="both"/>
              <w:rPr>
                <w:rFonts w:hint="default"/>
                <w:color w:val="auto"/>
                <w:lang w:val="zh-CN" w:eastAsia="zh-CN"/>
              </w:rPr>
            </w:pPr>
            <w:r>
              <w:rPr>
                <w:rFonts w:hint="default"/>
                <w:color w:val="auto"/>
                <w:lang w:val="zh-CN" w:eastAsia="zh-CN"/>
              </w:rPr>
              <w:t>（8）控制柜前垫绝缘胶垫和需布置在干燥区域，使用的电气装置应符合相应环境要求和使用等级要求。</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237B52BE">
            <w:pPr>
              <w:pStyle w:val="24"/>
              <w:bidi w:val="0"/>
              <w:rPr>
                <w:rFonts w:hint="default"/>
                <w:color w:val="auto"/>
                <w:lang w:val="zh-CN"/>
              </w:rPr>
            </w:pPr>
            <w:r>
              <w:rPr>
                <w:rFonts w:hint="default"/>
                <w:color w:val="auto"/>
                <w:lang w:val="zh-CN"/>
              </w:rPr>
              <w:t>《安全设施设计》</w:t>
            </w:r>
          </w:p>
          <w:p w14:paraId="770A8D05">
            <w:pPr>
              <w:pStyle w:val="24"/>
              <w:bidi w:val="0"/>
              <w:rPr>
                <w:rFonts w:hint="default"/>
                <w:color w:val="auto"/>
                <w:lang w:val="zh-CN"/>
              </w:rPr>
            </w:pPr>
            <w:r>
              <w:rPr>
                <w:rFonts w:hint="default"/>
                <w:color w:val="auto"/>
                <w:lang w:val="zh-CN"/>
              </w:rPr>
              <w:t>第5.</w:t>
            </w:r>
            <w:r>
              <w:rPr>
                <w:rFonts w:hint="eastAsia"/>
                <w:color w:val="auto"/>
                <w:lang w:val="en-US" w:eastAsia="zh-CN"/>
              </w:rPr>
              <w:t>10.4</w:t>
            </w:r>
            <w:r>
              <w:rPr>
                <w:rFonts w:hint="default"/>
                <w:color w:val="auto"/>
                <w:lang w:val="zh-CN"/>
              </w:rPr>
              <w:t>节</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59C80CF9">
            <w:pPr>
              <w:pStyle w:val="24"/>
              <w:bidi w:val="0"/>
              <w:rPr>
                <w:rFonts w:hint="default"/>
                <w:color w:val="auto"/>
              </w:rPr>
            </w:pPr>
            <w:r>
              <w:rPr>
                <w:rFonts w:hint="eastAsia"/>
                <w:color w:val="auto"/>
                <w:lang w:val="en-US" w:eastAsia="zh-CN"/>
              </w:rPr>
              <w:t>现场调查时部分电线搭在金属架上，经企业整改后符合要求</w:t>
            </w:r>
            <w:r>
              <w:rPr>
                <w:rFonts w:hint="default"/>
                <w:color w:val="auto"/>
                <w:lang w:val="zh-CN"/>
              </w:rPr>
              <w:t>。</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726FE25B">
            <w:pPr>
              <w:pStyle w:val="24"/>
              <w:bidi w:val="0"/>
              <w:rPr>
                <w:rFonts w:hint="default"/>
                <w:color w:val="auto"/>
                <w:lang w:val="zh-CN"/>
              </w:rPr>
            </w:pPr>
            <w:r>
              <w:rPr>
                <w:rFonts w:hint="default"/>
                <w:color w:val="auto"/>
              </w:rPr>
              <w:t>符合</w:t>
            </w:r>
          </w:p>
        </w:tc>
      </w:tr>
      <w:tr w14:paraId="369D9981">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4506C48D">
            <w:pPr>
              <w:pStyle w:val="24"/>
              <w:bidi w:val="0"/>
              <w:rPr>
                <w:rFonts w:hint="eastAsia" w:eastAsia="宋体"/>
                <w:color w:val="auto"/>
                <w:lang w:eastAsia="zh-CN"/>
              </w:rPr>
            </w:pPr>
            <w:r>
              <w:rPr>
                <w:rFonts w:hint="eastAsia"/>
                <w:color w:val="auto"/>
                <w:lang w:val="en-US" w:eastAsia="zh-CN"/>
              </w:rPr>
              <w:t>3</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5807CBFE">
            <w:pPr>
              <w:pStyle w:val="24"/>
              <w:bidi w:val="0"/>
              <w:jc w:val="both"/>
              <w:rPr>
                <w:rFonts w:hint="default"/>
                <w:color w:val="auto"/>
                <w:lang w:val="zh-CN" w:eastAsia="zh-CN"/>
              </w:rPr>
            </w:pPr>
            <w:r>
              <w:rPr>
                <w:rFonts w:hint="default"/>
                <w:color w:val="auto"/>
                <w:lang w:val="zh-CN" w:eastAsia="zh-CN"/>
              </w:rPr>
              <w:t>电力装置，应符合</w:t>
            </w:r>
            <w:r>
              <w:rPr>
                <w:rFonts w:hint="default"/>
                <w:color w:val="auto"/>
                <w:lang w:val="en-US" w:eastAsia="zh-CN"/>
              </w:rPr>
              <w:t>GB 50070</w:t>
            </w:r>
            <w:r>
              <w:rPr>
                <w:rFonts w:hint="default"/>
                <w:color w:val="auto"/>
                <w:lang w:val="zh-CN" w:eastAsia="zh-CN"/>
              </w:rPr>
              <w:t>和其他有关规范、规程的要求。</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14A72AED">
            <w:pPr>
              <w:pStyle w:val="24"/>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rPr>
              <w:t>10.1.1</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61B172B0">
            <w:pPr>
              <w:pStyle w:val="24"/>
              <w:bidi w:val="0"/>
              <w:rPr>
                <w:rFonts w:hint="default"/>
                <w:color w:val="auto"/>
              </w:rPr>
            </w:pPr>
            <w:r>
              <w:rPr>
                <w:rFonts w:hint="default"/>
                <w:color w:val="auto"/>
              </w:rPr>
              <w:t>该项目电力装置均为持证人员安装设置，满足要求。</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37ED86D5">
            <w:pPr>
              <w:pStyle w:val="24"/>
              <w:bidi w:val="0"/>
              <w:rPr>
                <w:rFonts w:hint="default"/>
                <w:color w:val="auto"/>
              </w:rPr>
            </w:pPr>
            <w:r>
              <w:rPr>
                <w:rFonts w:hint="default"/>
                <w:color w:val="auto"/>
              </w:rPr>
              <w:t>符合</w:t>
            </w:r>
          </w:p>
        </w:tc>
      </w:tr>
      <w:tr w14:paraId="11BB44AC">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0483C5C8">
            <w:pPr>
              <w:pStyle w:val="24"/>
              <w:bidi w:val="0"/>
              <w:rPr>
                <w:rFonts w:hint="eastAsia" w:eastAsia="宋体"/>
                <w:color w:val="auto"/>
                <w:lang w:eastAsia="zh-CN"/>
              </w:rPr>
            </w:pPr>
            <w:r>
              <w:rPr>
                <w:rFonts w:hint="eastAsia"/>
                <w:color w:val="auto"/>
                <w:lang w:val="en-US" w:eastAsia="zh-CN"/>
              </w:rPr>
              <w:t>4</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1571AD36">
            <w:pPr>
              <w:pStyle w:val="24"/>
              <w:bidi w:val="0"/>
              <w:jc w:val="both"/>
              <w:rPr>
                <w:rFonts w:hint="default"/>
                <w:color w:val="auto"/>
                <w:lang w:val="zh-CN" w:eastAsia="zh-CN"/>
              </w:rPr>
            </w:pPr>
            <w:r>
              <w:rPr>
                <w:rFonts w:hint="default"/>
                <w:color w:val="auto"/>
                <w:lang w:val="zh-CN" w:eastAsia="zh-CN"/>
              </w:rPr>
              <w:t>电气作业人员应经过专门的安全技术培训考核，持证上岗。</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6B46C7BC">
            <w:pPr>
              <w:pStyle w:val="24"/>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rPr>
              <w:t>10.1.2</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27037111">
            <w:pPr>
              <w:pStyle w:val="24"/>
              <w:bidi w:val="0"/>
              <w:rPr>
                <w:rFonts w:hint="default"/>
                <w:color w:val="auto"/>
                <w:lang w:val="zh-CN"/>
              </w:rPr>
            </w:pPr>
            <w:r>
              <w:rPr>
                <w:rFonts w:hint="default"/>
                <w:color w:val="auto"/>
              </w:rPr>
              <w:t>该项目持证专业电工。</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6F589F96">
            <w:pPr>
              <w:pStyle w:val="24"/>
              <w:bidi w:val="0"/>
              <w:rPr>
                <w:rFonts w:hint="default"/>
                <w:color w:val="auto"/>
                <w:lang w:val="zh-CN"/>
              </w:rPr>
            </w:pPr>
            <w:r>
              <w:rPr>
                <w:rFonts w:hint="default"/>
                <w:color w:val="auto"/>
              </w:rPr>
              <w:t>符合</w:t>
            </w:r>
          </w:p>
        </w:tc>
      </w:tr>
      <w:tr w14:paraId="4448A2F7">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667F4F74">
            <w:pPr>
              <w:pStyle w:val="24"/>
              <w:bidi w:val="0"/>
              <w:rPr>
                <w:rFonts w:hint="eastAsia" w:eastAsia="宋体"/>
                <w:color w:val="auto"/>
                <w:lang w:eastAsia="zh-CN"/>
              </w:rPr>
            </w:pPr>
            <w:r>
              <w:rPr>
                <w:rFonts w:hint="eastAsia"/>
                <w:color w:val="auto"/>
                <w:lang w:val="en-US" w:eastAsia="zh-CN"/>
              </w:rPr>
              <w:t>5</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6D384641">
            <w:pPr>
              <w:pStyle w:val="24"/>
              <w:bidi w:val="0"/>
              <w:jc w:val="both"/>
              <w:rPr>
                <w:rFonts w:hint="default"/>
                <w:color w:val="auto"/>
                <w:lang w:val="en-US" w:eastAsia="zh-CN"/>
              </w:rPr>
            </w:pPr>
            <w:r>
              <w:rPr>
                <w:rFonts w:hint="default"/>
                <w:color w:val="auto"/>
                <w:lang w:val="zh-CN" w:eastAsia="zh-CN"/>
              </w:rPr>
              <w:t>所有电气设备和线路，应根据对人的危害程度设置明显的警示标志、防护网和安全遮栏。</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1FFBC15F">
            <w:pPr>
              <w:pStyle w:val="24"/>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rPr>
              <w:t>10.1.4</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378AF9BC">
            <w:pPr>
              <w:pStyle w:val="24"/>
              <w:bidi w:val="0"/>
              <w:rPr>
                <w:rFonts w:hint="default"/>
                <w:color w:val="auto"/>
              </w:rPr>
            </w:pPr>
            <w:r>
              <w:rPr>
                <w:rFonts w:hint="default"/>
                <w:color w:val="auto"/>
              </w:rPr>
              <w:t>电气设备及线路设置有安全警示标志或安全防护网。</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33AC5149">
            <w:pPr>
              <w:pStyle w:val="24"/>
              <w:bidi w:val="0"/>
              <w:rPr>
                <w:rFonts w:hint="default"/>
                <w:color w:val="auto"/>
                <w:lang w:val="zh-CN"/>
              </w:rPr>
            </w:pPr>
            <w:r>
              <w:rPr>
                <w:rFonts w:hint="default"/>
                <w:color w:val="auto"/>
              </w:rPr>
              <w:t>符合</w:t>
            </w:r>
          </w:p>
        </w:tc>
      </w:tr>
      <w:tr w14:paraId="0BCE9464">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5BD3C2F2">
            <w:pPr>
              <w:pStyle w:val="24"/>
              <w:bidi w:val="0"/>
              <w:rPr>
                <w:rFonts w:hint="eastAsia" w:eastAsia="宋体"/>
                <w:color w:val="auto"/>
                <w:lang w:eastAsia="zh-CN"/>
              </w:rPr>
            </w:pPr>
            <w:r>
              <w:rPr>
                <w:rFonts w:hint="eastAsia"/>
                <w:color w:val="auto"/>
                <w:lang w:val="en-US" w:eastAsia="zh-CN"/>
              </w:rPr>
              <w:t>6</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6209A5F3">
            <w:pPr>
              <w:pStyle w:val="24"/>
              <w:bidi w:val="0"/>
              <w:jc w:val="both"/>
              <w:rPr>
                <w:rFonts w:hint="default"/>
                <w:color w:val="auto"/>
              </w:rPr>
            </w:pPr>
            <w:r>
              <w:rPr>
                <w:rFonts w:hint="default"/>
                <w:color w:val="auto"/>
              </w:rPr>
              <w:t>电气作业人员作业时，应穿戴防护用品和使用防护用具。修理、调试电气设备和线路，应由电气作业人员进行。</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782A0EB1">
            <w:pPr>
              <w:pStyle w:val="24"/>
              <w:bidi w:val="0"/>
              <w:rPr>
                <w:rFonts w:hint="default"/>
                <w:color w:val="auto"/>
              </w:rPr>
            </w:pPr>
            <w:r>
              <w:rPr>
                <w:rFonts w:hint="default"/>
                <w:color w:val="auto"/>
              </w:rPr>
              <w:t>《选矿安全规程》</w:t>
            </w:r>
          </w:p>
          <w:p w14:paraId="479FA647">
            <w:pPr>
              <w:pStyle w:val="24"/>
              <w:bidi w:val="0"/>
              <w:rPr>
                <w:rFonts w:hint="default"/>
                <w:color w:val="auto"/>
                <w:lang w:val="zh-CN"/>
              </w:rPr>
            </w:pPr>
            <w:r>
              <w:rPr>
                <w:rFonts w:hint="eastAsia"/>
                <w:color w:val="auto"/>
                <w:lang w:eastAsia="zh-CN"/>
              </w:rPr>
              <w:t>（GB/T 18152-2000）</w:t>
            </w:r>
            <w:r>
              <w:rPr>
                <w:rFonts w:hint="default"/>
                <w:color w:val="auto"/>
              </w:rPr>
              <w:t>10.1.5</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6A3CC486">
            <w:pPr>
              <w:pStyle w:val="24"/>
              <w:bidi w:val="0"/>
              <w:rPr>
                <w:rFonts w:hint="default"/>
                <w:color w:val="auto"/>
              </w:rPr>
            </w:pPr>
            <w:r>
              <w:rPr>
                <w:rFonts w:hint="default"/>
                <w:color w:val="auto"/>
              </w:rPr>
              <w:t>安全管理制度中已明确，且现场配置有相应的防护用品。</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6FA4F69B">
            <w:pPr>
              <w:pStyle w:val="24"/>
              <w:bidi w:val="0"/>
              <w:rPr>
                <w:rFonts w:hint="default"/>
                <w:color w:val="auto"/>
                <w:lang w:val="zh-CN"/>
              </w:rPr>
            </w:pPr>
            <w:r>
              <w:rPr>
                <w:rFonts w:hint="default"/>
                <w:color w:val="auto"/>
              </w:rPr>
              <w:t>符合</w:t>
            </w:r>
          </w:p>
        </w:tc>
      </w:tr>
      <w:tr w14:paraId="1E0B90FF">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1754EE78">
            <w:pPr>
              <w:pStyle w:val="24"/>
              <w:bidi w:val="0"/>
              <w:rPr>
                <w:rFonts w:hint="eastAsia" w:eastAsia="宋体"/>
                <w:color w:val="auto"/>
                <w:lang w:eastAsia="zh-CN"/>
              </w:rPr>
            </w:pPr>
            <w:r>
              <w:rPr>
                <w:rFonts w:hint="eastAsia"/>
                <w:color w:val="auto"/>
                <w:lang w:val="en-US" w:eastAsia="zh-CN"/>
              </w:rPr>
              <w:t>7</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4166BE3F">
            <w:pPr>
              <w:pStyle w:val="24"/>
              <w:bidi w:val="0"/>
              <w:jc w:val="both"/>
              <w:rPr>
                <w:rFonts w:hint="default"/>
                <w:color w:val="auto"/>
              </w:rPr>
            </w:pPr>
            <w:r>
              <w:rPr>
                <w:rFonts w:hint="default"/>
                <w:color w:val="auto"/>
              </w:rPr>
              <w:t>电气设备可能被人触及的裸露带电部分，应设置安全防护罩或遮栏及警示牌。</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39EECD40">
            <w:pPr>
              <w:pStyle w:val="24"/>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10.1.6</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3432C7A2">
            <w:pPr>
              <w:pStyle w:val="24"/>
              <w:bidi w:val="0"/>
              <w:rPr>
                <w:rFonts w:hint="default"/>
                <w:color w:val="auto"/>
              </w:rPr>
            </w:pPr>
            <w:r>
              <w:rPr>
                <w:rFonts w:hint="default"/>
                <w:color w:val="auto"/>
              </w:rPr>
              <w:t>带</w:t>
            </w:r>
            <w:r>
              <w:rPr>
                <w:rFonts w:hint="default"/>
                <w:color w:val="auto"/>
                <w:lang w:val="en-US" w:eastAsia="zh-CN"/>
              </w:rPr>
              <w:t>电</w:t>
            </w:r>
            <w:r>
              <w:rPr>
                <w:rFonts w:hint="default"/>
                <w:color w:val="auto"/>
              </w:rPr>
              <w:t>部位</w:t>
            </w:r>
            <w:r>
              <w:rPr>
                <w:rFonts w:hint="default"/>
                <w:color w:val="auto"/>
                <w:lang w:val="en-US" w:eastAsia="zh-CN"/>
              </w:rPr>
              <w:t>及</w:t>
            </w:r>
            <w:r>
              <w:rPr>
                <w:rFonts w:hint="default"/>
                <w:color w:val="auto"/>
              </w:rPr>
              <w:t>能被人触及的地方均设置有防护罩。</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78DF8206">
            <w:pPr>
              <w:pStyle w:val="24"/>
              <w:bidi w:val="0"/>
              <w:rPr>
                <w:rFonts w:hint="default"/>
                <w:color w:val="auto"/>
                <w:lang w:val="zh-CN"/>
              </w:rPr>
            </w:pPr>
            <w:r>
              <w:rPr>
                <w:rFonts w:hint="default"/>
                <w:color w:val="auto"/>
              </w:rPr>
              <w:t>符合</w:t>
            </w:r>
          </w:p>
        </w:tc>
      </w:tr>
      <w:tr w14:paraId="6336EA71">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7CAB1BCC">
            <w:pPr>
              <w:pStyle w:val="24"/>
              <w:bidi w:val="0"/>
              <w:rPr>
                <w:rFonts w:hint="eastAsia" w:eastAsia="宋体"/>
                <w:color w:val="auto"/>
                <w:lang w:eastAsia="zh-CN"/>
              </w:rPr>
            </w:pPr>
            <w:r>
              <w:rPr>
                <w:rFonts w:hint="eastAsia"/>
                <w:color w:val="auto"/>
                <w:lang w:val="en-US" w:eastAsia="zh-CN"/>
              </w:rPr>
              <w:t>8</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6C6FB08F">
            <w:pPr>
              <w:pStyle w:val="24"/>
              <w:bidi w:val="0"/>
              <w:jc w:val="both"/>
              <w:rPr>
                <w:rFonts w:hint="default"/>
                <w:color w:val="auto"/>
              </w:rPr>
            </w:pPr>
            <w:r>
              <w:rPr>
                <w:rFonts w:hint="default"/>
                <w:color w:val="auto"/>
                <w:lang w:val="zh-CN"/>
              </w:rPr>
              <w:t>供电设备和线路的停电和送电，应严格执行操作票制度。</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3C4C3D73">
            <w:pPr>
              <w:pStyle w:val="24"/>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rPr>
              <w:t>10.1.7</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17153285">
            <w:pPr>
              <w:pStyle w:val="24"/>
              <w:bidi w:val="0"/>
              <w:rPr>
                <w:rFonts w:hint="default"/>
                <w:color w:val="auto"/>
              </w:rPr>
            </w:pPr>
            <w:r>
              <w:rPr>
                <w:rFonts w:hint="default"/>
                <w:color w:val="auto"/>
                <w:lang w:val="zh-CN"/>
              </w:rPr>
              <w:t>该项目设置有停送电操作票。</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013F47A1">
            <w:pPr>
              <w:pStyle w:val="24"/>
              <w:bidi w:val="0"/>
              <w:rPr>
                <w:rFonts w:hint="default"/>
                <w:color w:val="auto"/>
                <w:lang w:val="zh-CN"/>
              </w:rPr>
            </w:pPr>
            <w:r>
              <w:rPr>
                <w:rFonts w:hint="default"/>
                <w:color w:val="auto"/>
              </w:rPr>
              <w:t>符合</w:t>
            </w:r>
          </w:p>
        </w:tc>
      </w:tr>
      <w:tr w14:paraId="51282549">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552C2703">
            <w:pPr>
              <w:pStyle w:val="24"/>
              <w:bidi w:val="0"/>
              <w:rPr>
                <w:rFonts w:hint="eastAsia" w:eastAsia="宋体"/>
                <w:color w:val="auto"/>
                <w:lang w:eastAsia="zh-CN"/>
              </w:rPr>
            </w:pPr>
            <w:r>
              <w:rPr>
                <w:rFonts w:hint="eastAsia"/>
                <w:color w:val="auto"/>
                <w:lang w:val="en-US" w:eastAsia="zh-CN"/>
              </w:rPr>
              <w:t>9</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63A3208A">
            <w:pPr>
              <w:pStyle w:val="24"/>
              <w:bidi w:val="0"/>
              <w:jc w:val="both"/>
              <w:rPr>
                <w:rFonts w:hint="default"/>
                <w:color w:val="auto"/>
              </w:rPr>
            </w:pPr>
            <w:r>
              <w:rPr>
                <w:rFonts w:hint="default"/>
                <w:color w:val="auto"/>
              </w:rPr>
              <w:t>在带电的导线、设备、变压器、油开关附近，不应有损坏电气绝缘或引起电气火灾的热源。</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7F964C17">
            <w:pPr>
              <w:pStyle w:val="24"/>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10.1.9</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0899F9C1">
            <w:pPr>
              <w:pStyle w:val="24"/>
              <w:bidi w:val="0"/>
              <w:rPr>
                <w:rFonts w:hint="default"/>
                <w:color w:val="auto"/>
              </w:rPr>
            </w:pPr>
            <w:r>
              <w:rPr>
                <w:rFonts w:hint="default"/>
                <w:color w:val="auto"/>
              </w:rPr>
              <w:t>现场检查</w:t>
            </w:r>
            <w:r>
              <w:rPr>
                <w:rFonts w:hint="default"/>
                <w:color w:val="auto"/>
                <w:lang w:val="zh-CN"/>
              </w:rPr>
              <w:t>带电的导线、设备、变压器附近无热源</w:t>
            </w:r>
            <w:r>
              <w:rPr>
                <w:rFonts w:hint="default"/>
                <w:color w:val="auto"/>
              </w:rPr>
              <w:t>。</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3F71987E">
            <w:pPr>
              <w:pStyle w:val="24"/>
              <w:bidi w:val="0"/>
              <w:rPr>
                <w:rFonts w:hint="default"/>
                <w:color w:val="auto"/>
                <w:lang w:val="zh-CN"/>
              </w:rPr>
            </w:pPr>
            <w:r>
              <w:rPr>
                <w:rFonts w:hint="default"/>
                <w:color w:val="auto"/>
              </w:rPr>
              <w:t>符合</w:t>
            </w:r>
          </w:p>
        </w:tc>
      </w:tr>
      <w:tr w14:paraId="250B3F62">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08D238BF">
            <w:pPr>
              <w:pStyle w:val="24"/>
              <w:bidi w:val="0"/>
              <w:rPr>
                <w:rFonts w:hint="eastAsia" w:eastAsia="宋体"/>
                <w:color w:val="auto"/>
                <w:lang w:eastAsia="zh-CN"/>
              </w:rPr>
            </w:pPr>
            <w:r>
              <w:rPr>
                <w:rFonts w:hint="default"/>
                <w:color w:val="auto"/>
              </w:rPr>
              <w:t>1</w:t>
            </w:r>
            <w:r>
              <w:rPr>
                <w:rFonts w:hint="eastAsia"/>
                <w:color w:val="auto"/>
                <w:lang w:val="en-US" w:eastAsia="zh-CN"/>
              </w:rPr>
              <w:t>0</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7FE35C88">
            <w:pPr>
              <w:pStyle w:val="24"/>
              <w:bidi w:val="0"/>
              <w:jc w:val="both"/>
              <w:rPr>
                <w:rFonts w:hint="default"/>
                <w:color w:val="auto"/>
              </w:rPr>
            </w:pPr>
            <w:r>
              <w:rPr>
                <w:rFonts w:hint="default"/>
                <w:color w:val="auto"/>
              </w:rPr>
              <w:t>熔断器、熔丝、熔片、热继电器等保险装置，使用前应进行核对，不应任意更换或代用。</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1AAEA076">
            <w:pPr>
              <w:pStyle w:val="24"/>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10.1.11</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635324A5">
            <w:pPr>
              <w:pStyle w:val="24"/>
              <w:bidi w:val="0"/>
              <w:rPr>
                <w:rFonts w:hint="default"/>
                <w:color w:val="auto"/>
              </w:rPr>
            </w:pPr>
            <w:r>
              <w:rPr>
                <w:rFonts w:hint="default"/>
                <w:color w:val="auto"/>
              </w:rPr>
              <w:t>管理制度中有规定。</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0BF17A3B">
            <w:pPr>
              <w:pStyle w:val="24"/>
              <w:bidi w:val="0"/>
              <w:rPr>
                <w:rFonts w:hint="default"/>
                <w:color w:val="auto"/>
                <w:lang w:val="zh-CN"/>
              </w:rPr>
            </w:pPr>
            <w:r>
              <w:rPr>
                <w:rFonts w:hint="default"/>
                <w:color w:val="auto"/>
              </w:rPr>
              <w:t>符合</w:t>
            </w:r>
          </w:p>
        </w:tc>
      </w:tr>
      <w:tr w14:paraId="17910295">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5ECDECB2">
            <w:pPr>
              <w:pStyle w:val="24"/>
              <w:bidi w:val="0"/>
              <w:rPr>
                <w:rFonts w:hint="eastAsia" w:eastAsia="宋体"/>
                <w:color w:val="auto"/>
                <w:lang w:eastAsia="zh-CN"/>
              </w:rPr>
            </w:pPr>
            <w:r>
              <w:rPr>
                <w:rFonts w:hint="default"/>
                <w:color w:val="auto"/>
              </w:rPr>
              <w:t>1</w:t>
            </w:r>
            <w:r>
              <w:rPr>
                <w:rFonts w:hint="eastAsia"/>
                <w:color w:val="auto"/>
                <w:lang w:val="en-US" w:eastAsia="zh-CN"/>
              </w:rPr>
              <w:t>1</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7887AE48">
            <w:pPr>
              <w:pStyle w:val="24"/>
              <w:bidi w:val="0"/>
              <w:jc w:val="both"/>
              <w:rPr>
                <w:rFonts w:hint="default"/>
                <w:color w:val="auto"/>
              </w:rPr>
            </w:pPr>
            <w:r>
              <w:rPr>
                <w:rFonts w:hint="default"/>
                <w:color w:val="auto"/>
              </w:rPr>
              <w:t>变压器室的门应上锁，并在室外悬挂</w:t>
            </w:r>
            <w:r>
              <w:rPr>
                <w:rFonts w:hint="eastAsia"/>
                <w:color w:val="auto"/>
                <w:lang w:eastAsia="zh-CN"/>
              </w:rPr>
              <w:t>“</w:t>
            </w:r>
            <w:r>
              <w:rPr>
                <w:rFonts w:hint="default"/>
                <w:color w:val="auto"/>
              </w:rPr>
              <w:t>高压危险</w:t>
            </w:r>
            <w:r>
              <w:rPr>
                <w:rFonts w:hint="eastAsia"/>
                <w:color w:val="auto"/>
                <w:lang w:eastAsia="zh-CN"/>
              </w:rPr>
              <w:t>”</w:t>
            </w:r>
            <w:r>
              <w:rPr>
                <w:rFonts w:hint="default"/>
                <w:color w:val="auto"/>
              </w:rPr>
              <w:t>的标志牌。室外变压器四周应有不低于1.7m的围墙或栅栏，并与变压器保持一定距离。</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25A23D14">
            <w:pPr>
              <w:pStyle w:val="24"/>
              <w:bidi w:val="0"/>
              <w:rPr>
                <w:rFonts w:hint="default"/>
                <w:color w:val="auto"/>
              </w:rPr>
            </w:pPr>
            <w:r>
              <w:rPr>
                <w:rFonts w:hint="default"/>
                <w:color w:val="auto"/>
              </w:rPr>
              <w:t>《选矿安全规程》</w:t>
            </w:r>
          </w:p>
          <w:p w14:paraId="231DC211">
            <w:pPr>
              <w:pStyle w:val="24"/>
              <w:bidi w:val="0"/>
              <w:rPr>
                <w:rFonts w:hint="default"/>
                <w:color w:val="auto"/>
                <w:lang w:val="zh-CN"/>
              </w:rPr>
            </w:pPr>
            <w:r>
              <w:rPr>
                <w:rFonts w:hint="eastAsia"/>
                <w:color w:val="auto"/>
                <w:lang w:eastAsia="zh-CN"/>
              </w:rPr>
              <w:t>（GB/T 18152-2000）</w:t>
            </w:r>
            <w:r>
              <w:rPr>
                <w:rFonts w:hint="default"/>
                <w:color w:val="auto"/>
              </w:rPr>
              <w:t>10.2.5</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6DC09D35">
            <w:pPr>
              <w:pStyle w:val="24"/>
              <w:bidi w:val="0"/>
              <w:rPr>
                <w:rFonts w:hint="default"/>
                <w:color w:val="auto"/>
              </w:rPr>
            </w:pPr>
            <w:r>
              <w:rPr>
                <w:rFonts w:hint="default"/>
                <w:color w:val="auto"/>
                <w:lang w:val="zh-CN"/>
              </w:rPr>
              <w:t>变压器门上</w:t>
            </w:r>
            <w:r>
              <w:rPr>
                <w:rFonts w:hint="default"/>
                <w:color w:val="auto"/>
              </w:rPr>
              <w:t>锁，室外设有</w:t>
            </w:r>
            <w:r>
              <w:rPr>
                <w:rFonts w:hint="eastAsia"/>
                <w:color w:val="auto"/>
                <w:lang w:eastAsia="zh-CN"/>
              </w:rPr>
              <w:t>“</w:t>
            </w:r>
            <w:r>
              <w:rPr>
                <w:rFonts w:hint="default"/>
                <w:color w:val="auto"/>
              </w:rPr>
              <w:t>高压危险</w:t>
            </w:r>
            <w:r>
              <w:rPr>
                <w:rFonts w:hint="eastAsia"/>
                <w:color w:val="auto"/>
                <w:lang w:eastAsia="zh-CN"/>
              </w:rPr>
              <w:t>”</w:t>
            </w:r>
            <w:r>
              <w:rPr>
                <w:rFonts w:hint="default"/>
                <w:color w:val="auto"/>
              </w:rPr>
              <w:t>的标志牌。</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17EE3022">
            <w:pPr>
              <w:pStyle w:val="24"/>
              <w:bidi w:val="0"/>
              <w:rPr>
                <w:rFonts w:hint="default"/>
                <w:color w:val="auto"/>
                <w:lang w:val="zh-CN"/>
              </w:rPr>
            </w:pPr>
            <w:r>
              <w:rPr>
                <w:rFonts w:hint="default"/>
                <w:color w:val="auto"/>
              </w:rPr>
              <w:t>符合</w:t>
            </w:r>
          </w:p>
        </w:tc>
      </w:tr>
      <w:tr w14:paraId="41E61C79">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271C7605">
            <w:pPr>
              <w:pStyle w:val="24"/>
              <w:bidi w:val="0"/>
              <w:rPr>
                <w:rFonts w:hint="eastAsia" w:eastAsia="宋体"/>
                <w:color w:val="auto"/>
                <w:lang w:eastAsia="zh-CN"/>
              </w:rPr>
            </w:pPr>
            <w:r>
              <w:rPr>
                <w:rFonts w:hint="default"/>
                <w:color w:val="auto"/>
              </w:rPr>
              <w:t>1</w:t>
            </w:r>
            <w:r>
              <w:rPr>
                <w:rFonts w:hint="eastAsia"/>
                <w:color w:val="auto"/>
                <w:lang w:val="en-US" w:eastAsia="zh-CN"/>
              </w:rPr>
              <w:t>2</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478E9828">
            <w:pPr>
              <w:pStyle w:val="24"/>
              <w:bidi w:val="0"/>
              <w:jc w:val="both"/>
              <w:rPr>
                <w:rFonts w:hint="default"/>
                <w:color w:val="auto"/>
              </w:rPr>
            </w:pPr>
            <w:r>
              <w:rPr>
                <w:rFonts w:hint="default"/>
                <w:color w:val="auto"/>
              </w:rPr>
              <w:t>电动机应设有短路保护、过载保护与缺相保护。易于过负荷的电动机</w:t>
            </w:r>
            <w:r>
              <w:rPr>
                <w:rFonts w:hint="default"/>
                <w:color w:val="auto"/>
                <w:lang w:eastAsia="zh-CN"/>
              </w:rPr>
              <w:t>（</w:t>
            </w:r>
            <w:r>
              <w:rPr>
                <w:rFonts w:hint="default"/>
                <w:color w:val="auto"/>
              </w:rPr>
              <w:t>如浓缩机</w:t>
            </w:r>
            <w:r>
              <w:rPr>
                <w:rFonts w:hint="eastAsia"/>
                <w:color w:val="auto"/>
                <w:lang w:eastAsia="zh-CN"/>
              </w:rPr>
              <w:t>）</w:t>
            </w:r>
            <w:r>
              <w:rPr>
                <w:rFonts w:hint="default"/>
                <w:color w:val="auto"/>
              </w:rPr>
              <w:t>，应装设过载保护信号；破碎机、磨矿机等高压电机，还应有延时低电压保护。</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1BBC97AD">
            <w:pPr>
              <w:pStyle w:val="24"/>
              <w:bidi w:val="0"/>
              <w:rPr>
                <w:rFonts w:hint="default"/>
                <w:color w:val="auto"/>
              </w:rPr>
            </w:pPr>
            <w:r>
              <w:rPr>
                <w:rFonts w:hint="default"/>
                <w:color w:val="auto"/>
              </w:rPr>
              <w:t>《选矿安全规程》</w:t>
            </w:r>
          </w:p>
          <w:p w14:paraId="38951AE7">
            <w:pPr>
              <w:pStyle w:val="24"/>
              <w:bidi w:val="0"/>
              <w:rPr>
                <w:rFonts w:hint="default"/>
                <w:color w:val="auto"/>
                <w:lang w:val="zh-CN"/>
              </w:rPr>
            </w:pPr>
            <w:r>
              <w:rPr>
                <w:rFonts w:hint="eastAsia"/>
                <w:color w:val="auto"/>
                <w:lang w:eastAsia="zh-CN"/>
              </w:rPr>
              <w:t>（GB/T 18152-2000）</w:t>
            </w:r>
            <w:r>
              <w:rPr>
                <w:rFonts w:hint="default"/>
                <w:color w:val="auto"/>
              </w:rPr>
              <w:t>10.3.3</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4B7ABA51">
            <w:pPr>
              <w:pStyle w:val="24"/>
              <w:bidi w:val="0"/>
              <w:rPr>
                <w:rFonts w:hint="default"/>
                <w:color w:val="auto"/>
              </w:rPr>
            </w:pPr>
            <w:r>
              <w:rPr>
                <w:rFonts w:hint="default"/>
                <w:color w:val="auto"/>
              </w:rPr>
              <w:t>有过载保护器及延时低电压保护。</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2A4553F2">
            <w:pPr>
              <w:pStyle w:val="24"/>
              <w:bidi w:val="0"/>
              <w:rPr>
                <w:rFonts w:hint="default"/>
                <w:color w:val="auto"/>
                <w:lang w:val="zh-CN"/>
              </w:rPr>
            </w:pPr>
            <w:r>
              <w:rPr>
                <w:rFonts w:hint="default"/>
                <w:color w:val="auto"/>
              </w:rPr>
              <w:t>符合</w:t>
            </w:r>
          </w:p>
        </w:tc>
      </w:tr>
      <w:tr w14:paraId="520D1F4A">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3D0F4AAF">
            <w:pPr>
              <w:pStyle w:val="24"/>
              <w:bidi w:val="0"/>
              <w:rPr>
                <w:rFonts w:hint="eastAsia" w:eastAsia="宋体"/>
                <w:color w:val="auto"/>
                <w:lang w:eastAsia="zh-CN"/>
              </w:rPr>
            </w:pPr>
            <w:r>
              <w:rPr>
                <w:rFonts w:hint="default"/>
                <w:color w:val="auto"/>
              </w:rPr>
              <w:t>1</w:t>
            </w:r>
            <w:r>
              <w:rPr>
                <w:rFonts w:hint="eastAsia"/>
                <w:color w:val="auto"/>
                <w:lang w:val="en-US" w:eastAsia="zh-CN"/>
              </w:rPr>
              <w:t>3</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3FB56375">
            <w:pPr>
              <w:pStyle w:val="24"/>
              <w:bidi w:val="0"/>
              <w:jc w:val="both"/>
              <w:rPr>
                <w:rFonts w:hint="default"/>
                <w:color w:val="auto"/>
              </w:rPr>
            </w:pPr>
            <w:r>
              <w:rPr>
                <w:rFonts w:hint="default"/>
                <w:color w:val="auto"/>
              </w:rPr>
              <w:t>贯通多层操作平台的设备，应在各层都能执行停车；若联锁设备开车或停车顺序有误，还应能制动和自动停车。</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31686ADD">
            <w:pPr>
              <w:pStyle w:val="24"/>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10.3.6</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2570D4B3">
            <w:pPr>
              <w:pStyle w:val="24"/>
              <w:bidi w:val="0"/>
              <w:rPr>
                <w:rFonts w:hint="default"/>
                <w:color w:val="auto"/>
              </w:rPr>
            </w:pPr>
            <w:r>
              <w:rPr>
                <w:rFonts w:hint="default"/>
                <w:color w:val="auto"/>
              </w:rPr>
              <w:t>各层均设置有急停按钮。</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2CF73CD5">
            <w:pPr>
              <w:pStyle w:val="24"/>
              <w:bidi w:val="0"/>
              <w:rPr>
                <w:rFonts w:hint="default"/>
                <w:color w:val="auto"/>
                <w:lang w:val="zh-CN"/>
              </w:rPr>
            </w:pPr>
            <w:r>
              <w:rPr>
                <w:rFonts w:hint="default"/>
                <w:color w:val="auto"/>
              </w:rPr>
              <w:t>符合</w:t>
            </w:r>
          </w:p>
        </w:tc>
      </w:tr>
      <w:tr w14:paraId="220CC148">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2320F3BB">
            <w:pPr>
              <w:pStyle w:val="24"/>
              <w:bidi w:val="0"/>
              <w:rPr>
                <w:rFonts w:hint="eastAsia" w:eastAsia="宋体"/>
                <w:color w:val="auto"/>
                <w:lang w:eastAsia="zh-CN"/>
              </w:rPr>
            </w:pPr>
            <w:r>
              <w:rPr>
                <w:rFonts w:hint="default"/>
                <w:color w:val="auto"/>
              </w:rPr>
              <w:t>1</w:t>
            </w:r>
            <w:r>
              <w:rPr>
                <w:rFonts w:hint="eastAsia"/>
                <w:color w:val="auto"/>
                <w:lang w:val="en-US" w:eastAsia="zh-CN"/>
              </w:rPr>
              <w:t>4</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5B27DE0F">
            <w:pPr>
              <w:pStyle w:val="24"/>
              <w:bidi w:val="0"/>
              <w:jc w:val="both"/>
              <w:rPr>
                <w:rFonts w:hint="default"/>
                <w:color w:val="auto"/>
              </w:rPr>
            </w:pPr>
            <w:r>
              <w:rPr>
                <w:rFonts w:hint="default"/>
                <w:color w:val="auto"/>
              </w:rPr>
              <w:t>启动机器的装置，应位于能看到机器周围情况的地点，停车开关应设在该机器附近；如在启动装置处看不到被启动的机器，则应有启动预示信号</w:t>
            </w:r>
            <w:r>
              <w:rPr>
                <w:rFonts w:hint="default"/>
                <w:color w:val="auto"/>
                <w:lang w:eastAsia="zh-CN"/>
              </w:rPr>
              <w:t>（</w:t>
            </w:r>
            <w:r>
              <w:rPr>
                <w:rFonts w:hint="default"/>
                <w:color w:val="auto"/>
              </w:rPr>
              <w:t>电铃或指示灯</w:t>
            </w:r>
            <w:r>
              <w:rPr>
                <w:rFonts w:hint="eastAsia"/>
                <w:color w:val="auto"/>
                <w:lang w:eastAsia="zh-CN"/>
              </w:rPr>
              <w:t>）</w:t>
            </w:r>
            <w:r>
              <w:rPr>
                <w:rFonts w:hint="default"/>
                <w:color w:val="auto"/>
              </w:rPr>
              <w:t>，而且应在得到允许开车的信号后，方可开车。</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7452696F">
            <w:pPr>
              <w:pStyle w:val="24"/>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10.3.7</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236777FF">
            <w:pPr>
              <w:pStyle w:val="24"/>
              <w:bidi w:val="0"/>
              <w:rPr>
                <w:rFonts w:hint="default"/>
                <w:color w:val="auto"/>
              </w:rPr>
            </w:pPr>
            <w:r>
              <w:rPr>
                <w:rFonts w:hint="default"/>
                <w:color w:val="auto"/>
              </w:rPr>
              <w:t>设置有声光信号装置。</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51E664BD">
            <w:pPr>
              <w:pStyle w:val="24"/>
              <w:bidi w:val="0"/>
              <w:rPr>
                <w:rFonts w:hint="default"/>
                <w:color w:val="auto"/>
                <w:lang w:val="zh-CN"/>
              </w:rPr>
            </w:pPr>
            <w:r>
              <w:rPr>
                <w:rFonts w:hint="default"/>
                <w:color w:val="auto"/>
              </w:rPr>
              <w:t>符合</w:t>
            </w:r>
          </w:p>
        </w:tc>
      </w:tr>
      <w:tr w14:paraId="6549F9FB">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4E9B6E67">
            <w:pPr>
              <w:pStyle w:val="24"/>
              <w:bidi w:val="0"/>
              <w:rPr>
                <w:rFonts w:hint="eastAsia" w:eastAsia="宋体"/>
                <w:color w:val="auto"/>
                <w:lang w:eastAsia="zh-CN"/>
              </w:rPr>
            </w:pPr>
            <w:r>
              <w:rPr>
                <w:rFonts w:hint="default"/>
                <w:color w:val="auto"/>
              </w:rPr>
              <w:t>1</w:t>
            </w:r>
            <w:r>
              <w:rPr>
                <w:rFonts w:hint="eastAsia"/>
                <w:color w:val="auto"/>
                <w:lang w:val="en-US" w:eastAsia="zh-CN"/>
              </w:rPr>
              <w:t>5</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24A75898">
            <w:pPr>
              <w:pStyle w:val="24"/>
              <w:bidi w:val="0"/>
              <w:jc w:val="both"/>
              <w:rPr>
                <w:rFonts w:hint="default"/>
                <w:color w:val="auto"/>
              </w:rPr>
            </w:pPr>
            <w:r>
              <w:rPr>
                <w:rFonts w:hint="default"/>
                <w:color w:val="auto"/>
              </w:rPr>
              <w:t>电气设备及装置的金属框架或外壳、电缆的金属包皮，应可靠接地，接地电阻应不超过2Ω。</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45C7A187">
            <w:pPr>
              <w:pStyle w:val="24"/>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10.5.4</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0CFB70CA">
            <w:pPr>
              <w:pStyle w:val="24"/>
              <w:bidi w:val="0"/>
              <w:rPr>
                <w:rFonts w:hint="default"/>
                <w:color w:val="auto"/>
              </w:rPr>
            </w:pPr>
            <w:r>
              <w:rPr>
                <w:rFonts w:hint="default"/>
                <w:color w:val="auto"/>
              </w:rPr>
              <w:t>接地装置可靠。</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081C7BCB">
            <w:pPr>
              <w:pStyle w:val="24"/>
              <w:bidi w:val="0"/>
              <w:rPr>
                <w:rFonts w:hint="default"/>
                <w:color w:val="auto"/>
                <w:lang w:val="zh-CN"/>
              </w:rPr>
            </w:pPr>
            <w:r>
              <w:rPr>
                <w:rFonts w:hint="default"/>
                <w:color w:val="auto"/>
              </w:rPr>
              <w:t>符合</w:t>
            </w:r>
          </w:p>
        </w:tc>
      </w:tr>
      <w:tr w14:paraId="7A28DA93">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3B359936">
            <w:pPr>
              <w:pStyle w:val="24"/>
              <w:bidi w:val="0"/>
              <w:rPr>
                <w:rFonts w:hint="eastAsia" w:eastAsia="宋体"/>
                <w:color w:val="auto"/>
                <w:lang w:eastAsia="zh-CN"/>
              </w:rPr>
            </w:pPr>
            <w:r>
              <w:rPr>
                <w:rFonts w:hint="default"/>
                <w:color w:val="auto"/>
              </w:rPr>
              <w:t>1</w:t>
            </w:r>
            <w:r>
              <w:rPr>
                <w:rFonts w:hint="eastAsia"/>
                <w:color w:val="auto"/>
                <w:lang w:val="en-US" w:eastAsia="zh-CN"/>
              </w:rPr>
              <w:t>6</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0B41AAD1">
            <w:pPr>
              <w:pStyle w:val="24"/>
              <w:bidi w:val="0"/>
              <w:jc w:val="both"/>
              <w:rPr>
                <w:rFonts w:hint="default"/>
                <w:color w:val="auto"/>
              </w:rPr>
            </w:pPr>
            <w:r>
              <w:rPr>
                <w:rFonts w:hint="default"/>
                <w:color w:val="auto"/>
              </w:rPr>
              <w:t>变电所位置应满足下列要求：</w:t>
            </w:r>
            <w:r>
              <w:rPr>
                <w:rFonts w:hint="default"/>
                <w:color w:val="auto"/>
                <w:lang w:eastAsia="zh-CN"/>
              </w:rPr>
              <w:t>（</w:t>
            </w:r>
            <w:r>
              <w:rPr>
                <w:rFonts w:hint="default"/>
                <w:color w:val="auto"/>
              </w:rPr>
              <w:t>1</w:t>
            </w:r>
            <w:r>
              <w:rPr>
                <w:rFonts w:hint="eastAsia"/>
                <w:color w:val="auto"/>
                <w:lang w:eastAsia="zh-CN"/>
              </w:rPr>
              <w:t>）</w:t>
            </w:r>
            <w:r>
              <w:rPr>
                <w:rFonts w:hint="default"/>
                <w:color w:val="auto"/>
              </w:rPr>
              <w:t>接近负荷中心；</w:t>
            </w:r>
            <w:r>
              <w:rPr>
                <w:rFonts w:hint="default"/>
                <w:color w:val="auto"/>
                <w:lang w:eastAsia="zh-CN"/>
              </w:rPr>
              <w:t>（</w:t>
            </w:r>
            <w:r>
              <w:rPr>
                <w:rFonts w:hint="default"/>
                <w:color w:val="auto"/>
              </w:rPr>
              <w:t>2</w:t>
            </w:r>
            <w:r>
              <w:rPr>
                <w:rFonts w:hint="eastAsia"/>
                <w:color w:val="auto"/>
                <w:lang w:eastAsia="zh-CN"/>
              </w:rPr>
              <w:t>）</w:t>
            </w:r>
            <w:r>
              <w:rPr>
                <w:rFonts w:hint="default"/>
                <w:color w:val="auto"/>
              </w:rPr>
              <w:t>进出线方便；</w:t>
            </w:r>
            <w:r>
              <w:rPr>
                <w:rFonts w:hint="default"/>
                <w:color w:val="auto"/>
                <w:lang w:eastAsia="zh-CN"/>
              </w:rPr>
              <w:t>（</w:t>
            </w:r>
            <w:r>
              <w:rPr>
                <w:rFonts w:hint="default"/>
                <w:color w:val="auto"/>
              </w:rPr>
              <w:t>3</w:t>
            </w:r>
            <w:r>
              <w:rPr>
                <w:rFonts w:hint="eastAsia"/>
                <w:color w:val="auto"/>
                <w:lang w:eastAsia="zh-CN"/>
              </w:rPr>
              <w:t>）</w:t>
            </w:r>
            <w:r>
              <w:rPr>
                <w:rFonts w:hint="default"/>
                <w:color w:val="auto"/>
              </w:rPr>
              <w:t>接近电源侧；</w:t>
            </w:r>
            <w:r>
              <w:rPr>
                <w:rFonts w:hint="default"/>
                <w:color w:val="auto"/>
                <w:lang w:eastAsia="zh-CN"/>
              </w:rPr>
              <w:t>（</w:t>
            </w:r>
            <w:r>
              <w:rPr>
                <w:rFonts w:hint="default"/>
                <w:color w:val="auto"/>
              </w:rPr>
              <w:t>4</w:t>
            </w:r>
            <w:r>
              <w:rPr>
                <w:rFonts w:hint="eastAsia"/>
                <w:color w:val="auto"/>
                <w:lang w:eastAsia="zh-CN"/>
              </w:rPr>
              <w:t>）</w:t>
            </w:r>
            <w:r>
              <w:rPr>
                <w:rFonts w:hint="default"/>
                <w:color w:val="auto"/>
              </w:rPr>
              <w:t>设备运输方便；</w:t>
            </w:r>
            <w:r>
              <w:rPr>
                <w:rFonts w:hint="default"/>
                <w:color w:val="auto"/>
                <w:lang w:eastAsia="zh-CN"/>
              </w:rPr>
              <w:t>（</w:t>
            </w:r>
            <w:r>
              <w:rPr>
                <w:rFonts w:hint="default"/>
                <w:color w:val="auto"/>
              </w:rPr>
              <w:t>5</w:t>
            </w:r>
            <w:r>
              <w:rPr>
                <w:rFonts w:hint="eastAsia"/>
                <w:color w:val="auto"/>
                <w:lang w:eastAsia="zh-CN"/>
              </w:rPr>
              <w:t>）</w:t>
            </w:r>
            <w:r>
              <w:rPr>
                <w:rFonts w:hint="default"/>
                <w:color w:val="auto"/>
              </w:rPr>
              <w:t>不应设在有剧烈振动或高温的产所；</w:t>
            </w:r>
            <w:r>
              <w:rPr>
                <w:rFonts w:hint="default"/>
                <w:color w:val="auto"/>
                <w:lang w:eastAsia="zh-CN"/>
              </w:rPr>
              <w:t>（</w:t>
            </w:r>
            <w:r>
              <w:rPr>
                <w:rFonts w:hint="default"/>
                <w:color w:val="auto"/>
              </w:rPr>
              <w:t>6</w:t>
            </w:r>
            <w:r>
              <w:rPr>
                <w:rFonts w:hint="eastAsia"/>
                <w:color w:val="auto"/>
                <w:lang w:eastAsia="zh-CN"/>
              </w:rPr>
              <w:t>）</w:t>
            </w:r>
            <w:r>
              <w:rPr>
                <w:rFonts w:hint="default"/>
                <w:color w:val="auto"/>
              </w:rPr>
              <w:t>不宜设在多尘或有腐蚀性气体的场所，当无法远离时，不应设在污染源盛行风向的下风侧；</w:t>
            </w:r>
            <w:r>
              <w:rPr>
                <w:rFonts w:hint="default"/>
                <w:color w:val="auto"/>
                <w:lang w:eastAsia="zh-CN"/>
              </w:rPr>
              <w:t>（</w:t>
            </w:r>
            <w:r>
              <w:rPr>
                <w:rFonts w:hint="default"/>
                <w:color w:val="auto"/>
              </w:rPr>
              <w:t>7</w:t>
            </w:r>
            <w:r>
              <w:rPr>
                <w:rFonts w:hint="eastAsia"/>
                <w:color w:val="auto"/>
                <w:lang w:eastAsia="zh-CN"/>
              </w:rPr>
              <w:t>）</w:t>
            </w:r>
            <w:r>
              <w:rPr>
                <w:rFonts w:hint="default"/>
                <w:color w:val="auto"/>
              </w:rPr>
              <w:t>不应设在厕所、浴室或其他经常积水场所的正下方，且不宜与上述场所相贴邻；</w:t>
            </w:r>
            <w:r>
              <w:rPr>
                <w:rFonts w:hint="default"/>
                <w:color w:val="auto"/>
                <w:lang w:eastAsia="zh-CN"/>
              </w:rPr>
              <w:t>（</w:t>
            </w:r>
            <w:r>
              <w:rPr>
                <w:rFonts w:hint="default"/>
                <w:color w:val="auto"/>
              </w:rPr>
              <w:t>8</w:t>
            </w:r>
            <w:r>
              <w:rPr>
                <w:rFonts w:hint="eastAsia"/>
                <w:color w:val="auto"/>
                <w:lang w:eastAsia="zh-CN"/>
              </w:rPr>
              <w:t>）</w:t>
            </w:r>
            <w:r>
              <w:rPr>
                <w:rFonts w:hint="default"/>
                <w:color w:val="auto"/>
              </w:rPr>
              <w:t>不应设在有爆炸危险环境的正上方或正下方，且不宜设在有火灾危险环境的正上方或正下方，当与有爆炸或火灾危险环境的建筑物毗连时，应符合现行国家标准《爆炸和火灾危险环境电力装置设计规范》的规定。</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6BA7381C">
            <w:pPr>
              <w:pStyle w:val="24"/>
              <w:bidi w:val="0"/>
              <w:rPr>
                <w:rFonts w:hint="default"/>
                <w:color w:val="auto"/>
                <w:lang w:val="zh-CN"/>
              </w:rPr>
            </w:pPr>
            <w:r>
              <w:rPr>
                <w:rFonts w:hint="default"/>
                <w:color w:val="auto"/>
                <w:lang w:val="zh-CN"/>
              </w:rPr>
              <w:t>《20KV及以下变电所设计规范》</w:t>
            </w:r>
          </w:p>
          <w:p w14:paraId="5A86A61D">
            <w:pPr>
              <w:pStyle w:val="24"/>
              <w:bidi w:val="0"/>
              <w:rPr>
                <w:rFonts w:hint="default"/>
                <w:color w:val="auto"/>
                <w:lang w:val="zh-CN"/>
              </w:rPr>
            </w:pPr>
            <w:r>
              <w:rPr>
                <w:rFonts w:hint="default"/>
                <w:color w:val="auto"/>
                <w:lang w:val="zh-CN"/>
              </w:rPr>
              <w:t>（GB 50053-2013</w:t>
            </w:r>
            <w:r>
              <w:rPr>
                <w:rFonts w:hint="eastAsia"/>
                <w:color w:val="auto"/>
                <w:lang w:val="zh-CN"/>
              </w:rPr>
              <w:t>）</w:t>
            </w:r>
            <w:r>
              <w:rPr>
                <w:rFonts w:hint="default"/>
                <w:color w:val="auto"/>
                <w:lang w:val="zh-CN"/>
              </w:rPr>
              <w:t>2.0.1</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75E21DC7">
            <w:pPr>
              <w:pStyle w:val="24"/>
              <w:bidi w:val="0"/>
              <w:rPr>
                <w:rFonts w:hint="default"/>
                <w:color w:val="auto"/>
                <w:lang w:val="en-US" w:eastAsia="zh-CN"/>
              </w:rPr>
            </w:pPr>
            <w:r>
              <w:rPr>
                <w:rFonts w:hint="default"/>
                <w:color w:val="auto"/>
                <w:lang w:val="zh-CN"/>
              </w:rPr>
              <w:t>变压器设置于</w:t>
            </w:r>
            <w:r>
              <w:rPr>
                <w:rFonts w:hint="eastAsia"/>
                <w:color w:val="auto"/>
                <w:lang w:val="en-US" w:eastAsia="zh-CN"/>
              </w:rPr>
              <w:t>车间</w:t>
            </w:r>
            <w:r>
              <w:rPr>
                <w:rFonts w:hint="default"/>
                <w:color w:val="auto"/>
                <w:lang w:val="zh-CN"/>
              </w:rPr>
              <w:t>旁边</w:t>
            </w:r>
            <w:r>
              <w:rPr>
                <w:rFonts w:hint="default"/>
                <w:color w:val="auto"/>
                <w:lang w:val="zh-CN" w:eastAsia="zh-CN"/>
              </w:rPr>
              <w:t>。</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005E2661">
            <w:pPr>
              <w:pStyle w:val="24"/>
              <w:bidi w:val="0"/>
              <w:rPr>
                <w:rFonts w:hint="default"/>
                <w:color w:val="auto"/>
                <w:lang w:val="zh-CN"/>
              </w:rPr>
            </w:pPr>
            <w:r>
              <w:rPr>
                <w:rFonts w:hint="default"/>
                <w:color w:val="auto"/>
              </w:rPr>
              <w:t>符合</w:t>
            </w:r>
          </w:p>
        </w:tc>
      </w:tr>
      <w:tr w14:paraId="16B82AA0">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5BD932A3">
            <w:pPr>
              <w:pStyle w:val="24"/>
              <w:bidi w:val="0"/>
              <w:rPr>
                <w:rFonts w:hint="default"/>
                <w:color w:val="auto"/>
                <w:lang w:val="en-US"/>
              </w:rPr>
            </w:pPr>
            <w:r>
              <w:rPr>
                <w:rFonts w:hint="eastAsia"/>
                <w:color w:val="auto"/>
                <w:lang w:val="en-US" w:eastAsia="zh-CN"/>
              </w:rPr>
              <w:t>17</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58E33553">
            <w:pPr>
              <w:pStyle w:val="24"/>
              <w:bidi w:val="0"/>
              <w:jc w:val="both"/>
              <w:rPr>
                <w:rFonts w:hint="default"/>
                <w:color w:val="auto"/>
              </w:rPr>
            </w:pPr>
            <w:r>
              <w:rPr>
                <w:rFonts w:hint="eastAsia"/>
                <w:color w:val="auto"/>
                <w:lang w:val="en-US" w:eastAsia="zh-CN"/>
              </w:rPr>
              <w:t>一般条件下，</w:t>
            </w:r>
            <w:r>
              <w:rPr>
                <w:rFonts w:hint="default"/>
                <w:color w:val="auto"/>
              </w:rPr>
              <w:t>用电产品的周围应留有足够的安全通道和工作空间</w:t>
            </w:r>
            <w:r>
              <w:rPr>
                <w:rFonts w:hint="eastAsia"/>
                <w:color w:val="auto"/>
                <w:lang w:eastAsia="zh-CN"/>
              </w:rPr>
              <w:t>，</w:t>
            </w:r>
            <w:r>
              <w:rPr>
                <w:rFonts w:hint="default"/>
                <w:color w:val="auto"/>
              </w:rPr>
              <w:t>且不应堆放易燃、易爆和腐蚀性物品。</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5066779D">
            <w:pPr>
              <w:pStyle w:val="24"/>
              <w:bidi w:val="0"/>
              <w:rPr>
                <w:rFonts w:hint="default" w:eastAsia="宋体"/>
                <w:color w:val="auto"/>
                <w:lang w:val="en-US" w:eastAsia="zh-CN"/>
              </w:rPr>
            </w:pPr>
            <w:r>
              <w:rPr>
                <w:rFonts w:hint="default"/>
                <w:color w:val="auto"/>
              </w:rPr>
              <w:t>《用电安全导则》</w:t>
            </w:r>
            <w:r>
              <w:rPr>
                <w:rFonts w:hint="default"/>
                <w:color w:val="auto"/>
                <w:lang w:eastAsia="zh-CN"/>
              </w:rPr>
              <w:t>（</w:t>
            </w:r>
            <w:r>
              <w:rPr>
                <w:rFonts w:hint="default"/>
                <w:color w:val="auto"/>
              </w:rPr>
              <w:t>GB/T</w:t>
            </w:r>
            <w:r>
              <w:rPr>
                <w:rFonts w:hint="default"/>
                <w:color w:val="auto"/>
                <w:lang w:val="en-US" w:eastAsia="zh-CN"/>
              </w:rPr>
              <w:t xml:space="preserve"> </w:t>
            </w:r>
            <w:r>
              <w:rPr>
                <w:rFonts w:hint="default"/>
                <w:color w:val="auto"/>
              </w:rPr>
              <w:t>13869-20</w:t>
            </w:r>
            <w:r>
              <w:rPr>
                <w:rFonts w:hint="eastAsia"/>
                <w:color w:val="auto"/>
                <w:lang w:val="en-US" w:eastAsia="zh-CN"/>
              </w:rPr>
              <w:t>17</w:t>
            </w:r>
            <w:r>
              <w:rPr>
                <w:rFonts w:hint="eastAsia"/>
                <w:color w:val="auto"/>
                <w:lang w:eastAsia="zh-CN"/>
              </w:rPr>
              <w:t>）</w:t>
            </w:r>
            <w:r>
              <w:rPr>
                <w:rFonts w:hint="eastAsia"/>
                <w:color w:val="auto"/>
                <w:lang w:val="en-US" w:eastAsia="zh-CN"/>
              </w:rPr>
              <w:t>5.1.1</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2B913224">
            <w:pPr>
              <w:pStyle w:val="24"/>
              <w:bidi w:val="0"/>
              <w:rPr>
                <w:rFonts w:hint="default"/>
                <w:color w:val="auto"/>
                <w:lang w:eastAsia="zh-CN"/>
              </w:rPr>
            </w:pPr>
            <w:r>
              <w:rPr>
                <w:rFonts w:hint="default"/>
                <w:color w:val="auto"/>
              </w:rPr>
              <w:t>现场检查时符合要求。</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54CBEB63">
            <w:pPr>
              <w:pStyle w:val="24"/>
              <w:bidi w:val="0"/>
              <w:rPr>
                <w:rFonts w:hint="default"/>
                <w:color w:val="auto"/>
              </w:rPr>
            </w:pPr>
            <w:r>
              <w:rPr>
                <w:rFonts w:hint="default"/>
                <w:color w:val="auto"/>
              </w:rPr>
              <w:t>符合</w:t>
            </w:r>
          </w:p>
        </w:tc>
      </w:tr>
      <w:tr w14:paraId="69C3094F">
        <w:tblPrEx>
          <w:tblCellMar>
            <w:top w:w="0" w:type="dxa"/>
            <w:left w:w="108" w:type="dxa"/>
            <w:bottom w:w="0" w:type="dxa"/>
            <w:right w:w="108" w:type="dxa"/>
          </w:tblCellMar>
        </w:tblPrEx>
        <w:trPr>
          <w:trHeight w:val="567"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4391D226">
            <w:pPr>
              <w:pStyle w:val="24"/>
              <w:bidi w:val="0"/>
              <w:rPr>
                <w:rFonts w:hint="default" w:eastAsia="宋体"/>
                <w:color w:val="auto"/>
                <w:lang w:val="en-US" w:eastAsia="zh-CN"/>
              </w:rPr>
            </w:pPr>
            <w:r>
              <w:rPr>
                <w:rFonts w:hint="eastAsia"/>
                <w:color w:val="auto"/>
                <w:lang w:val="en-US" w:eastAsia="zh-CN"/>
              </w:rPr>
              <w:t>18</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75E7648E">
            <w:pPr>
              <w:pStyle w:val="24"/>
              <w:bidi w:val="0"/>
              <w:jc w:val="both"/>
              <w:rPr>
                <w:rFonts w:hint="default"/>
                <w:color w:val="auto"/>
              </w:rPr>
            </w:pPr>
            <w:r>
              <w:rPr>
                <w:rFonts w:hint="default"/>
                <w:color w:val="auto"/>
              </w:rPr>
              <w:t>电气线路</w:t>
            </w:r>
            <w:r>
              <w:rPr>
                <w:rFonts w:hint="eastAsia"/>
                <w:color w:val="auto"/>
                <w:lang w:val="en-US" w:eastAsia="zh-CN"/>
              </w:rPr>
              <w:t>应</w:t>
            </w:r>
            <w:r>
              <w:rPr>
                <w:rFonts w:hint="default"/>
                <w:color w:val="auto"/>
              </w:rPr>
              <w:t>具有足够的绝缘强度、机械强度和导电能力</w:t>
            </w:r>
            <w:r>
              <w:rPr>
                <w:rFonts w:hint="eastAsia"/>
                <w:color w:val="auto"/>
                <w:lang w:eastAsia="zh-CN"/>
              </w:rPr>
              <w:t>，</w:t>
            </w:r>
            <w:r>
              <w:rPr>
                <w:rFonts w:hint="eastAsia"/>
                <w:color w:val="auto"/>
                <w:lang w:val="en-US" w:eastAsia="zh-CN"/>
              </w:rPr>
              <w:t>其安装应符合相应产品标准的规定</w:t>
            </w:r>
            <w:r>
              <w:rPr>
                <w:rFonts w:hint="default"/>
                <w:color w:val="auto"/>
              </w:rPr>
              <w:t>。</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0F0D67F5">
            <w:pPr>
              <w:pStyle w:val="24"/>
              <w:bidi w:val="0"/>
              <w:rPr>
                <w:rFonts w:hint="default" w:eastAsia="宋体"/>
                <w:color w:val="auto"/>
                <w:lang w:val="en-US" w:eastAsia="zh-CN"/>
              </w:rPr>
            </w:pPr>
            <w:r>
              <w:rPr>
                <w:rFonts w:hint="default"/>
                <w:color w:val="auto"/>
              </w:rPr>
              <w:t>《用电安全导则》</w:t>
            </w:r>
            <w:r>
              <w:rPr>
                <w:rFonts w:hint="eastAsia"/>
                <w:color w:val="auto"/>
                <w:lang w:eastAsia="zh-CN"/>
              </w:rPr>
              <w:t>（</w:t>
            </w:r>
            <w:r>
              <w:rPr>
                <w:rFonts w:hint="default"/>
                <w:color w:val="auto"/>
              </w:rPr>
              <w:t>GB/T</w:t>
            </w:r>
            <w:r>
              <w:rPr>
                <w:rFonts w:hint="default"/>
                <w:color w:val="auto"/>
                <w:lang w:val="en-US" w:eastAsia="zh-CN"/>
              </w:rPr>
              <w:t xml:space="preserve"> </w:t>
            </w:r>
            <w:r>
              <w:rPr>
                <w:rFonts w:hint="default"/>
                <w:color w:val="auto"/>
              </w:rPr>
              <w:t>13869-20</w:t>
            </w:r>
            <w:r>
              <w:rPr>
                <w:rFonts w:hint="eastAsia"/>
                <w:color w:val="auto"/>
                <w:lang w:val="en-US" w:eastAsia="zh-CN"/>
              </w:rPr>
              <w:t>17</w:t>
            </w:r>
            <w:r>
              <w:rPr>
                <w:rFonts w:hint="eastAsia"/>
                <w:color w:val="auto"/>
                <w:lang w:eastAsia="zh-CN"/>
              </w:rPr>
              <w:t>）</w:t>
            </w:r>
            <w:r>
              <w:rPr>
                <w:rFonts w:hint="eastAsia"/>
                <w:color w:val="auto"/>
                <w:lang w:val="en-US" w:eastAsia="zh-CN"/>
              </w:rPr>
              <w:t>5.1.2</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7A7537BE">
            <w:pPr>
              <w:pStyle w:val="24"/>
              <w:bidi w:val="0"/>
              <w:rPr>
                <w:rFonts w:hint="default"/>
                <w:color w:val="auto"/>
              </w:rPr>
            </w:pPr>
            <w:r>
              <w:rPr>
                <w:rFonts w:hint="default"/>
                <w:color w:val="auto"/>
              </w:rPr>
              <w:t>电气线路有足够的绝缘强度、机械强度和导电能力。</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139C26A6">
            <w:pPr>
              <w:pStyle w:val="24"/>
              <w:bidi w:val="0"/>
              <w:rPr>
                <w:rFonts w:hint="default"/>
                <w:color w:val="auto"/>
              </w:rPr>
            </w:pPr>
            <w:r>
              <w:rPr>
                <w:rFonts w:hint="default"/>
                <w:color w:val="auto"/>
              </w:rPr>
              <w:t>符合</w:t>
            </w:r>
          </w:p>
        </w:tc>
      </w:tr>
    </w:tbl>
    <w:p w14:paraId="47C31810">
      <w:pPr>
        <w:pStyle w:val="4"/>
        <w:bidi w:val="0"/>
        <w:rPr>
          <w:color w:val="auto"/>
        </w:rPr>
      </w:pPr>
      <w:bookmarkStart w:id="162" w:name="_Toc17903"/>
      <w:bookmarkStart w:id="163" w:name="_Toc8457"/>
      <w:r>
        <w:rPr>
          <w:rFonts w:hint="eastAsia"/>
          <w:color w:val="auto"/>
        </w:rPr>
        <w:t>5.4.2</w:t>
      </w:r>
      <w:r>
        <w:rPr>
          <w:rFonts w:hint="eastAsia"/>
          <w:color w:val="auto"/>
          <w:lang w:val="en-US" w:eastAsia="zh-CN"/>
        </w:rPr>
        <w:t xml:space="preserve"> </w:t>
      </w:r>
      <w:r>
        <w:rPr>
          <w:rFonts w:hint="eastAsia"/>
          <w:color w:val="auto"/>
        </w:rPr>
        <w:t>给排水系统分析评价</w:t>
      </w:r>
      <w:bookmarkEnd w:id="162"/>
      <w:bookmarkEnd w:id="163"/>
    </w:p>
    <w:p w14:paraId="318C8B57">
      <w:pPr>
        <w:bidi w:val="0"/>
        <w:rPr>
          <w:rFonts w:hint="eastAsia"/>
          <w:color w:val="auto"/>
        </w:rPr>
      </w:pPr>
      <w:r>
        <w:rPr>
          <w:rFonts w:hint="eastAsia"/>
          <w:color w:val="auto"/>
        </w:rPr>
        <w:t>依据《工业企业总平面设计规范》（GB 50187-2012）等标准规范的要求，对该厂的给排水进行安全检查。检查结果见下表。</w:t>
      </w:r>
    </w:p>
    <w:p w14:paraId="482B9EFC">
      <w:pPr>
        <w:pStyle w:val="23"/>
        <w:bidi w:val="0"/>
        <w:rPr>
          <w:color w:val="auto"/>
        </w:rPr>
      </w:pPr>
      <w:r>
        <w:rPr>
          <w:rFonts w:hint="eastAsia"/>
          <w:color w:val="auto"/>
        </w:rPr>
        <w:t>表5.</w:t>
      </w:r>
      <w:r>
        <w:rPr>
          <w:rFonts w:hint="eastAsia"/>
          <w:color w:val="auto"/>
          <w:lang w:val="en-US" w:eastAsia="zh-CN"/>
        </w:rPr>
        <w:t>4</w:t>
      </w:r>
      <w:r>
        <w:rPr>
          <w:rFonts w:hint="eastAsia"/>
          <w:color w:val="auto"/>
        </w:rPr>
        <w:t>-2  给排水安全检查表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3402"/>
        <w:gridCol w:w="2126"/>
        <w:gridCol w:w="1953"/>
        <w:gridCol w:w="884"/>
      </w:tblGrid>
      <w:tr w14:paraId="155E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99" w:type="dxa"/>
            <w:noWrap w:val="0"/>
            <w:vAlign w:val="center"/>
          </w:tcPr>
          <w:p w14:paraId="19DD881B">
            <w:pPr>
              <w:pStyle w:val="24"/>
              <w:bidi w:val="0"/>
              <w:rPr>
                <w:rFonts w:hint="default"/>
                <w:b/>
                <w:bCs/>
                <w:color w:val="auto"/>
              </w:rPr>
            </w:pPr>
            <w:r>
              <w:rPr>
                <w:rFonts w:hint="default"/>
                <w:b/>
                <w:bCs/>
                <w:color w:val="auto"/>
              </w:rPr>
              <w:t>序号</w:t>
            </w:r>
          </w:p>
        </w:tc>
        <w:tc>
          <w:tcPr>
            <w:tcW w:w="3402" w:type="dxa"/>
            <w:noWrap w:val="0"/>
            <w:vAlign w:val="center"/>
          </w:tcPr>
          <w:p w14:paraId="0405E45A">
            <w:pPr>
              <w:pStyle w:val="24"/>
              <w:bidi w:val="0"/>
              <w:rPr>
                <w:rFonts w:hint="default"/>
                <w:b/>
                <w:bCs/>
                <w:color w:val="auto"/>
              </w:rPr>
            </w:pPr>
            <w:r>
              <w:rPr>
                <w:rFonts w:hint="default"/>
                <w:b/>
                <w:bCs/>
                <w:color w:val="auto"/>
              </w:rPr>
              <w:t>检查内容</w:t>
            </w:r>
          </w:p>
        </w:tc>
        <w:tc>
          <w:tcPr>
            <w:tcW w:w="2126" w:type="dxa"/>
            <w:noWrap w:val="0"/>
            <w:vAlign w:val="center"/>
          </w:tcPr>
          <w:p w14:paraId="052A0C87">
            <w:pPr>
              <w:pStyle w:val="24"/>
              <w:bidi w:val="0"/>
              <w:rPr>
                <w:rFonts w:hint="default"/>
                <w:b/>
                <w:bCs/>
                <w:color w:val="auto"/>
              </w:rPr>
            </w:pPr>
            <w:r>
              <w:rPr>
                <w:rFonts w:hint="default"/>
                <w:b/>
                <w:bCs/>
                <w:color w:val="auto"/>
              </w:rPr>
              <w:t>依据标准</w:t>
            </w:r>
          </w:p>
        </w:tc>
        <w:tc>
          <w:tcPr>
            <w:tcW w:w="1953" w:type="dxa"/>
            <w:noWrap w:val="0"/>
            <w:vAlign w:val="center"/>
          </w:tcPr>
          <w:p w14:paraId="6A8C2526">
            <w:pPr>
              <w:pStyle w:val="24"/>
              <w:bidi w:val="0"/>
              <w:rPr>
                <w:rFonts w:hint="default"/>
                <w:b/>
                <w:bCs/>
                <w:color w:val="auto"/>
              </w:rPr>
            </w:pPr>
            <w:r>
              <w:rPr>
                <w:rFonts w:hint="default"/>
                <w:b/>
                <w:bCs/>
                <w:color w:val="auto"/>
              </w:rPr>
              <w:t>检查情况</w:t>
            </w:r>
          </w:p>
        </w:tc>
        <w:tc>
          <w:tcPr>
            <w:tcW w:w="884" w:type="dxa"/>
            <w:noWrap w:val="0"/>
            <w:vAlign w:val="center"/>
          </w:tcPr>
          <w:p w14:paraId="32329317">
            <w:pPr>
              <w:pStyle w:val="24"/>
              <w:bidi w:val="0"/>
              <w:rPr>
                <w:rFonts w:hint="default"/>
                <w:b/>
                <w:bCs/>
                <w:color w:val="auto"/>
              </w:rPr>
            </w:pPr>
            <w:r>
              <w:rPr>
                <w:rFonts w:hint="default"/>
                <w:b/>
                <w:bCs/>
                <w:color w:val="auto"/>
              </w:rPr>
              <w:t>结论</w:t>
            </w:r>
          </w:p>
        </w:tc>
      </w:tr>
      <w:tr w14:paraId="507C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CF2AA5A">
            <w:pPr>
              <w:pStyle w:val="24"/>
              <w:bidi w:val="0"/>
              <w:rPr>
                <w:rFonts w:hint="default"/>
                <w:color w:val="auto"/>
              </w:rPr>
            </w:pPr>
            <w:r>
              <w:rPr>
                <w:rFonts w:hint="default"/>
                <w:color w:val="auto"/>
              </w:rPr>
              <w:t>1</w:t>
            </w:r>
          </w:p>
        </w:tc>
        <w:tc>
          <w:tcPr>
            <w:tcW w:w="3402" w:type="dxa"/>
            <w:noWrap w:val="0"/>
            <w:vAlign w:val="center"/>
          </w:tcPr>
          <w:p w14:paraId="7955DBF6">
            <w:pPr>
              <w:pStyle w:val="24"/>
              <w:bidi w:val="0"/>
              <w:jc w:val="both"/>
              <w:rPr>
                <w:rFonts w:hint="default"/>
                <w:color w:val="auto"/>
              </w:rPr>
            </w:pPr>
            <w:r>
              <w:rPr>
                <w:rFonts w:hint="default"/>
                <w:color w:val="auto"/>
              </w:rPr>
              <w:t>场地应有完整、有效的雨水排水系统。场地雨水的排除方式，应结合工业企业所在地区的雨水排除方式、建筑密度、环境卫生要求、地质和气候条件等因素，合理选择暗管、明沟或地面自然排渗等方式。</w:t>
            </w:r>
          </w:p>
        </w:tc>
        <w:tc>
          <w:tcPr>
            <w:tcW w:w="2126" w:type="dxa"/>
            <w:noWrap w:val="0"/>
            <w:vAlign w:val="center"/>
          </w:tcPr>
          <w:p w14:paraId="6DABC603">
            <w:pPr>
              <w:pStyle w:val="24"/>
              <w:bidi w:val="0"/>
              <w:rPr>
                <w:rFonts w:hint="default"/>
                <w:color w:val="auto"/>
              </w:rPr>
            </w:pPr>
            <w:r>
              <w:rPr>
                <w:rFonts w:hint="default"/>
                <w:color w:val="auto"/>
              </w:rPr>
              <w:t>《工业企业总平面设计规范》（GB50187-2012）</w:t>
            </w:r>
          </w:p>
          <w:p w14:paraId="1A7AD001">
            <w:pPr>
              <w:pStyle w:val="24"/>
              <w:bidi w:val="0"/>
              <w:rPr>
                <w:rFonts w:hint="default"/>
                <w:color w:val="auto"/>
              </w:rPr>
            </w:pPr>
            <w:r>
              <w:rPr>
                <w:rFonts w:hint="default"/>
                <w:color w:val="auto"/>
              </w:rPr>
              <w:t>第7.4.1条</w:t>
            </w:r>
          </w:p>
        </w:tc>
        <w:tc>
          <w:tcPr>
            <w:tcW w:w="1953" w:type="dxa"/>
            <w:noWrap w:val="0"/>
            <w:vAlign w:val="center"/>
          </w:tcPr>
          <w:p w14:paraId="00A989D0">
            <w:pPr>
              <w:pStyle w:val="24"/>
              <w:bidi w:val="0"/>
              <w:rPr>
                <w:rFonts w:hint="default"/>
                <w:color w:val="auto"/>
              </w:rPr>
            </w:pPr>
            <w:r>
              <w:rPr>
                <w:rFonts w:hint="default"/>
                <w:color w:val="auto"/>
              </w:rPr>
              <w:t>厂区雨污分流，不产生生产废水。</w:t>
            </w:r>
          </w:p>
        </w:tc>
        <w:tc>
          <w:tcPr>
            <w:tcW w:w="884" w:type="dxa"/>
            <w:noWrap w:val="0"/>
            <w:vAlign w:val="center"/>
          </w:tcPr>
          <w:p w14:paraId="2C3D09B2">
            <w:pPr>
              <w:pStyle w:val="24"/>
              <w:bidi w:val="0"/>
              <w:rPr>
                <w:rFonts w:hint="default"/>
                <w:color w:val="auto"/>
              </w:rPr>
            </w:pPr>
            <w:r>
              <w:rPr>
                <w:rFonts w:hint="default"/>
                <w:color w:val="auto"/>
              </w:rPr>
              <w:t>符合</w:t>
            </w:r>
          </w:p>
        </w:tc>
      </w:tr>
      <w:tr w14:paraId="6E5F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3B3FBC08">
            <w:pPr>
              <w:pStyle w:val="24"/>
              <w:bidi w:val="0"/>
              <w:rPr>
                <w:rFonts w:hint="default"/>
                <w:color w:val="auto"/>
              </w:rPr>
            </w:pPr>
            <w:r>
              <w:rPr>
                <w:rFonts w:hint="default"/>
                <w:color w:val="auto"/>
              </w:rPr>
              <w:t>2</w:t>
            </w:r>
          </w:p>
        </w:tc>
        <w:tc>
          <w:tcPr>
            <w:tcW w:w="3402" w:type="dxa"/>
            <w:noWrap w:val="0"/>
            <w:vAlign w:val="center"/>
          </w:tcPr>
          <w:p w14:paraId="1FBDFFDE">
            <w:pPr>
              <w:pStyle w:val="24"/>
              <w:bidi w:val="0"/>
              <w:jc w:val="both"/>
              <w:rPr>
                <w:rFonts w:hint="default"/>
                <w:color w:val="auto"/>
              </w:rPr>
            </w:pPr>
            <w:r>
              <w:rPr>
                <w:rFonts w:hint="default"/>
                <w:color w:val="auto"/>
              </w:rPr>
              <w:t>场地雨水排水设计流量计算，应符合现行国家标准《室外排水设计规范》GB 50014 的有关规定。</w:t>
            </w:r>
          </w:p>
        </w:tc>
        <w:tc>
          <w:tcPr>
            <w:tcW w:w="2126" w:type="dxa"/>
            <w:noWrap w:val="0"/>
            <w:vAlign w:val="center"/>
          </w:tcPr>
          <w:p w14:paraId="1C0C8B85">
            <w:pPr>
              <w:pStyle w:val="24"/>
              <w:bidi w:val="0"/>
              <w:rPr>
                <w:rFonts w:hint="default"/>
                <w:color w:val="auto"/>
              </w:rPr>
            </w:pPr>
            <w:r>
              <w:rPr>
                <w:rFonts w:hint="default"/>
                <w:color w:val="auto"/>
              </w:rPr>
              <w:t>《工业企业总平面设计规范》（GB50187-2012）</w:t>
            </w:r>
          </w:p>
          <w:p w14:paraId="77B5FD3B">
            <w:pPr>
              <w:pStyle w:val="24"/>
              <w:bidi w:val="0"/>
              <w:rPr>
                <w:rFonts w:hint="default"/>
                <w:color w:val="auto"/>
              </w:rPr>
            </w:pPr>
            <w:r>
              <w:rPr>
                <w:rFonts w:hint="default"/>
                <w:color w:val="auto"/>
              </w:rPr>
              <w:t>第7.4.2条</w:t>
            </w:r>
          </w:p>
        </w:tc>
        <w:tc>
          <w:tcPr>
            <w:tcW w:w="1953" w:type="dxa"/>
            <w:noWrap w:val="0"/>
            <w:vAlign w:val="center"/>
          </w:tcPr>
          <w:p w14:paraId="764C9B34">
            <w:pPr>
              <w:pStyle w:val="24"/>
              <w:bidi w:val="0"/>
              <w:rPr>
                <w:rFonts w:hint="default"/>
                <w:color w:val="auto"/>
              </w:rPr>
            </w:pPr>
            <w:r>
              <w:rPr>
                <w:rFonts w:hint="default"/>
                <w:color w:val="auto"/>
              </w:rPr>
              <w:t>按当地暴雨强度公式计算雨水流量。</w:t>
            </w:r>
          </w:p>
        </w:tc>
        <w:tc>
          <w:tcPr>
            <w:tcW w:w="884" w:type="dxa"/>
            <w:noWrap w:val="0"/>
            <w:vAlign w:val="center"/>
          </w:tcPr>
          <w:p w14:paraId="233439A2">
            <w:pPr>
              <w:pStyle w:val="24"/>
              <w:bidi w:val="0"/>
              <w:rPr>
                <w:rFonts w:hint="default"/>
                <w:color w:val="auto"/>
              </w:rPr>
            </w:pPr>
            <w:r>
              <w:rPr>
                <w:rFonts w:hint="default"/>
                <w:color w:val="auto"/>
              </w:rPr>
              <w:t>符合</w:t>
            </w:r>
          </w:p>
        </w:tc>
      </w:tr>
    </w:tbl>
    <w:p w14:paraId="0CCB7BCE">
      <w:pPr>
        <w:pStyle w:val="4"/>
        <w:bidi w:val="0"/>
        <w:rPr>
          <w:rFonts w:hint="eastAsia"/>
          <w:color w:val="auto"/>
        </w:rPr>
      </w:pPr>
      <w:bookmarkStart w:id="164" w:name="_Toc3620"/>
      <w:bookmarkStart w:id="165" w:name="_Toc12324"/>
      <w:r>
        <w:rPr>
          <w:rFonts w:hint="eastAsia"/>
          <w:color w:val="auto"/>
        </w:rPr>
        <w:t>5.4.3</w:t>
      </w:r>
      <w:r>
        <w:rPr>
          <w:rFonts w:hint="eastAsia"/>
          <w:color w:val="auto"/>
          <w:lang w:val="en-US" w:eastAsia="zh-CN"/>
        </w:rPr>
        <w:t xml:space="preserve"> </w:t>
      </w:r>
      <w:r>
        <w:rPr>
          <w:rFonts w:hint="eastAsia"/>
          <w:color w:val="auto"/>
        </w:rPr>
        <w:t>消防设施分析评价</w:t>
      </w:r>
      <w:bookmarkEnd w:id="164"/>
      <w:bookmarkEnd w:id="165"/>
    </w:p>
    <w:p w14:paraId="786FCD6B">
      <w:pPr>
        <w:bidi w:val="0"/>
        <w:rPr>
          <w:rFonts w:hint="eastAsia"/>
          <w:color w:val="auto"/>
        </w:rPr>
      </w:pPr>
      <w:r>
        <w:rPr>
          <w:rFonts w:hint="eastAsia"/>
          <w:color w:val="auto"/>
        </w:rPr>
        <w:t>采用安全检查表法（SCL）对该单元进行符合性评价，见表5.4-</w:t>
      </w:r>
      <w:r>
        <w:rPr>
          <w:rFonts w:hint="eastAsia"/>
          <w:color w:val="auto"/>
          <w:lang w:val="en-US" w:eastAsia="zh-CN"/>
        </w:rPr>
        <w:t>3</w:t>
      </w:r>
      <w:r>
        <w:rPr>
          <w:rFonts w:hint="eastAsia"/>
          <w:color w:val="auto"/>
        </w:rPr>
        <w:t>。</w:t>
      </w:r>
    </w:p>
    <w:p w14:paraId="341D3375">
      <w:pPr>
        <w:pStyle w:val="23"/>
        <w:bidi w:val="0"/>
        <w:rPr>
          <w:rFonts w:hint="eastAsia"/>
          <w:color w:val="auto"/>
        </w:rPr>
      </w:pPr>
    </w:p>
    <w:p w14:paraId="715B0116">
      <w:pPr>
        <w:pStyle w:val="23"/>
        <w:bidi w:val="0"/>
        <w:rPr>
          <w:rFonts w:hint="eastAsia"/>
          <w:color w:val="auto"/>
        </w:rPr>
      </w:pPr>
    </w:p>
    <w:p w14:paraId="6971B607">
      <w:pPr>
        <w:pStyle w:val="23"/>
        <w:bidi w:val="0"/>
        <w:rPr>
          <w:rFonts w:hint="eastAsia"/>
          <w:color w:val="auto"/>
        </w:rPr>
      </w:pPr>
    </w:p>
    <w:p w14:paraId="6F2F7A24">
      <w:pPr>
        <w:pStyle w:val="23"/>
        <w:bidi w:val="0"/>
        <w:rPr>
          <w:color w:val="auto"/>
        </w:rPr>
      </w:pPr>
      <w:r>
        <w:rPr>
          <w:rFonts w:hint="eastAsia"/>
          <w:color w:val="auto"/>
        </w:rPr>
        <w:t>表5.4-</w:t>
      </w:r>
      <w:r>
        <w:rPr>
          <w:rFonts w:hint="eastAsia"/>
          <w:color w:val="auto"/>
          <w:lang w:val="en-US" w:eastAsia="zh-CN"/>
        </w:rPr>
        <w:t>3</w:t>
      </w:r>
      <w:r>
        <w:rPr>
          <w:rFonts w:hint="eastAsia"/>
          <w:color w:val="auto"/>
        </w:rPr>
        <w:t xml:space="preserve">  消防设备及系统单元安全检查表</w:t>
      </w:r>
    </w:p>
    <w:tbl>
      <w:tblPr>
        <w:tblStyle w:val="18"/>
        <w:tblW w:w="920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63"/>
        <w:gridCol w:w="4733"/>
        <w:gridCol w:w="1718"/>
        <w:gridCol w:w="1501"/>
        <w:gridCol w:w="686"/>
      </w:tblGrid>
      <w:tr w14:paraId="7B4C1F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blHeader/>
          <w:jc w:val="center"/>
        </w:trPr>
        <w:tc>
          <w:tcPr>
            <w:tcW w:w="563" w:type="dxa"/>
            <w:noWrap w:val="0"/>
            <w:vAlign w:val="center"/>
          </w:tcPr>
          <w:p w14:paraId="7D8C3203">
            <w:pPr>
              <w:pStyle w:val="24"/>
              <w:bidi w:val="0"/>
              <w:rPr>
                <w:rFonts w:hint="default"/>
                <w:b/>
                <w:bCs/>
                <w:color w:val="auto"/>
              </w:rPr>
            </w:pPr>
            <w:r>
              <w:rPr>
                <w:rFonts w:hint="default"/>
                <w:b/>
                <w:bCs/>
                <w:color w:val="auto"/>
              </w:rPr>
              <w:t>序号</w:t>
            </w:r>
          </w:p>
        </w:tc>
        <w:tc>
          <w:tcPr>
            <w:tcW w:w="4733" w:type="dxa"/>
            <w:noWrap w:val="0"/>
            <w:vAlign w:val="center"/>
          </w:tcPr>
          <w:p w14:paraId="71D05EA2">
            <w:pPr>
              <w:pStyle w:val="24"/>
              <w:bidi w:val="0"/>
              <w:jc w:val="center"/>
              <w:rPr>
                <w:rFonts w:hint="default"/>
                <w:b/>
                <w:bCs/>
                <w:color w:val="auto"/>
              </w:rPr>
            </w:pPr>
            <w:r>
              <w:rPr>
                <w:rFonts w:hint="default"/>
                <w:b/>
                <w:bCs/>
                <w:color w:val="auto"/>
              </w:rPr>
              <w:t>检查项目和内容</w:t>
            </w:r>
          </w:p>
        </w:tc>
        <w:tc>
          <w:tcPr>
            <w:tcW w:w="1718" w:type="dxa"/>
            <w:noWrap w:val="0"/>
            <w:vAlign w:val="center"/>
          </w:tcPr>
          <w:p w14:paraId="24C68476">
            <w:pPr>
              <w:pStyle w:val="24"/>
              <w:bidi w:val="0"/>
              <w:rPr>
                <w:rFonts w:hint="default"/>
                <w:b/>
                <w:bCs/>
                <w:color w:val="auto"/>
              </w:rPr>
            </w:pPr>
            <w:r>
              <w:rPr>
                <w:rFonts w:hint="default"/>
                <w:b/>
                <w:bCs/>
                <w:color w:val="auto"/>
              </w:rPr>
              <w:t>检查依据</w:t>
            </w:r>
          </w:p>
        </w:tc>
        <w:tc>
          <w:tcPr>
            <w:tcW w:w="1501" w:type="dxa"/>
            <w:noWrap w:val="0"/>
            <w:vAlign w:val="center"/>
          </w:tcPr>
          <w:p w14:paraId="32EBBB98">
            <w:pPr>
              <w:pStyle w:val="24"/>
              <w:bidi w:val="0"/>
              <w:rPr>
                <w:rFonts w:hint="default"/>
                <w:b/>
                <w:bCs/>
                <w:color w:val="auto"/>
              </w:rPr>
            </w:pPr>
            <w:r>
              <w:rPr>
                <w:rFonts w:hint="default"/>
                <w:b/>
                <w:bCs/>
                <w:color w:val="auto"/>
              </w:rPr>
              <w:t>检查记录</w:t>
            </w:r>
          </w:p>
        </w:tc>
        <w:tc>
          <w:tcPr>
            <w:tcW w:w="686" w:type="dxa"/>
            <w:noWrap w:val="0"/>
            <w:vAlign w:val="center"/>
          </w:tcPr>
          <w:p w14:paraId="4FD7D0B2">
            <w:pPr>
              <w:pStyle w:val="24"/>
              <w:bidi w:val="0"/>
              <w:rPr>
                <w:rFonts w:hint="default"/>
                <w:b/>
                <w:bCs/>
                <w:color w:val="auto"/>
              </w:rPr>
            </w:pPr>
            <w:r>
              <w:rPr>
                <w:rFonts w:hint="default"/>
                <w:b/>
                <w:bCs/>
                <w:color w:val="auto"/>
              </w:rPr>
              <w:t>检查</w:t>
            </w:r>
          </w:p>
          <w:p w14:paraId="37E6D168">
            <w:pPr>
              <w:pStyle w:val="24"/>
              <w:bidi w:val="0"/>
              <w:rPr>
                <w:rFonts w:hint="default"/>
                <w:b/>
                <w:bCs/>
                <w:color w:val="auto"/>
              </w:rPr>
            </w:pPr>
            <w:r>
              <w:rPr>
                <w:rFonts w:hint="default"/>
                <w:b/>
                <w:bCs/>
                <w:color w:val="auto"/>
              </w:rPr>
              <w:t>结果</w:t>
            </w:r>
          </w:p>
        </w:tc>
      </w:tr>
      <w:tr w14:paraId="160B49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563" w:type="dxa"/>
            <w:noWrap w:val="0"/>
            <w:vAlign w:val="center"/>
          </w:tcPr>
          <w:p w14:paraId="547C69B1">
            <w:pPr>
              <w:pStyle w:val="24"/>
              <w:bidi w:val="0"/>
              <w:rPr>
                <w:rFonts w:hint="default"/>
                <w:color w:val="auto"/>
                <w:lang w:val="en-US" w:eastAsia="zh-CN"/>
              </w:rPr>
            </w:pPr>
            <w:r>
              <w:rPr>
                <w:rFonts w:hint="default"/>
                <w:color w:val="auto"/>
                <w:lang w:val="en-US" w:eastAsia="zh-CN"/>
              </w:rPr>
              <w:t>1</w:t>
            </w:r>
          </w:p>
        </w:tc>
        <w:tc>
          <w:tcPr>
            <w:tcW w:w="4733" w:type="dxa"/>
            <w:noWrap w:val="0"/>
            <w:vAlign w:val="center"/>
          </w:tcPr>
          <w:p w14:paraId="692D102F">
            <w:pPr>
              <w:pStyle w:val="24"/>
              <w:bidi w:val="0"/>
              <w:jc w:val="both"/>
              <w:rPr>
                <w:rFonts w:hint="default"/>
                <w:color w:val="auto"/>
              </w:rPr>
            </w:pPr>
            <w:r>
              <w:rPr>
                <w:rFonts w:hint="default"/>
                <w:color w:val="auto"/>
              </w:rPr>
              <w:t>厂区各建筑物内配置一定数量的手提式干粉灭火器。</w:t>
            </w:r>
          </w:p>
          <w:p w14:paraId="37856DFB">
            <w:pPr>
              <w:pStyle w:val="24"/>
              <w:bidi w:val="0"/>
              <w:jc w:val="both"/>
              <w:rPr>
                <w:rFonts w:hint="default"/>
                <w:color w:val="auto"/>
              </w:rPr>
            </w:pPr>
            <w:r>
              <w:rPr>
                <w:rFonts w:hint="default"/>
                <w:color w:val="auto"/>
              </w:rPr>
              <w:t>灭火器设置在位置明显、便于取用的地点，且不影响安全疏散。对有视线障碍的灭火器设置点，设置指示其位置的发光标志。</w:t>
            </w:r>
          </w:p>
          <w:p w14:paraId="0AD3F938">
            <w:pPr>
              <w:pStyle w:val="24"/>
              <w:bidi w:val="0"/>
              <w:jc w:val="both"/>
              <w:rPr>
                <w:rFonts w:hint="default"/>
                <w:color w:val="auto"/>
              </w:rPr>
            </w:pPr>
            <w:r>
              <w:rPr>
                <w:rFonts w:hint="default"/>
                <w:color w:val="auto"/>
              </w:rPr>
              <w:t>灭火器的摆放应稳固，其铭牌应朝外。手提式灭火器宜设置在灭火器箱内或挂钩、托架上，其顶部离地面高度不应大于1.50m；底部离地面不宜小于0.08m。灭火器箱不得上锁。</w:t>
            </w:r>
          </w:p>
          <w:p w14:paraId="49E29CB4">
            <w:pPr>
              <w:pStyle w:val="24"/>
              <w:bidi w:val="0"/>
              <w:jc w:val="both"/>
              <w:rPr>
                <w:rFonts w:hint="default"/>
                <w:color w:val="auto"/>
              </w:rPr>
            </w:pPr>
            <w:r>
              <w:rPr>
                <w:rFonts w:hint="default"/>
                <w:color w:val="auto"/>
              </w:rPr>
              <w:t>灭火救援用水泵接合器、室外消火栓等室外消防设施，应设置在距离建筑外墙相对安全的位置或采取安全防护措施；</w:t>
            </w:r>
          </w:p>
          <w:p w14:paraId="72E10A38">
            <w:pPr>
              <w:pStyle w:val="24"/>
              <w:bidi w:val="0"/>
              <w:jc w:val="both"/>
              <w:rPr>
                <w:rFonts w:hint="default"/>
                <w:color w:val="auto"/>
              </w:rPr>
            </w:pPr>
            <w:r>
              <w:rPr>
                <w:rFonts w:hint="default"/>
                <w:color w:val="auto"/>
              </w:rPr>
              <w:t>设置在建构筑物内外、供人员操作或使用的消防设施，区别于环境的明显标志。</w:t>
            </w:r>
          </w:p>
        </w:tc>
        <w:tc>
          <w:tcPr>
            <w:tcW w:w="1718" w:type="dxa"/>
            <w:noWrap w:val="0"/>
            <w:vAlign w:val="center"/>
          </w:tcPr>
          <w:p w14:paraId="7CA7552B">
            <w:pPr>
              <w:pStyle w:val="24"/>
              <w:bidi w:val="0"/>
              <w:rPr>
                <w:rFonts w:hint="default"/>
                <w:color w:val="auto"/>
                <w:lang w:val="zh-CN"/>
              </w:rPr>
            </w:pPr>
            <w:r>
              <w:rPr>
                <w:rFonts w:hint="default"/>
                <w:color w:val="auto"/>
                <w:lang w:val="zh-CN"/>
              </w:rPr>
              <w:t>《安全设施设计》</w:t>
            </w:r>
          </w:p>
          <w:p w14:paraId="285D640D">
            <w:pPr>
              <w:pStyle w:val="24"/>
              <w:bidi w:val="0"/>
              <w:rPr>
                <w:rFonts w:hint="default"/>
                <w:color w:val="auto"/>
              </w:rPr>
            </w:pPr>
            <w:r>
              <w:rPr>
                <w:rFonts w:hint="default"/>
                <w:color w:val="auto"/>
                <w:lang w:val="zh-CN"/>
              </w:rPr>
              <w:t>第</w:t>
            </w:r>
            <w:r>
              <w:rPr>
                <w:rFonts w:hint="default"/>
                <w:color w:val="auto"/>
              </w:rPr>
              <w:t>5.</w:t>
            </w:r>
            <w:r>
              <w:rPr>
                <w:rFonts w:hint="default"/>
                <w:color w:val="auto"/>
                <w:lang w:val="en-US" w:eastAsia="zh-CN"/>
              </w:rPr>
              <w:t>6.3</w:t>
            </w:r>
            <w:r>
              <w:rPr>
                <w:rFonts w:hint="default"/>
                <w:color w:val="auto"/>
                <w:lang w:val="zh-CN"/>
              </w:rPr>
              <w:t>节</w:t>
            </w:r>
          </w:p>
        </w:tc>
        <w:tc>
          <w:tcPr>
            <w:tcW w:w="1501" w:type="dxa"/>
            <w:noWrap w:val="0"/>
            <w:vAlign w:val="center"/>
          </w:tcPr>
          <w:p w14:paraId="73FED216">
            <w:pPr>
              <w:pStyle w:val="24"/>
              <w:bidi w:val="0"/>
              <w:rPr>
                <w:rFonts w:hint="default"/>
                <w:color w:val="auto"/>
              </w:rPr>
            </w:pPr>
            <w:r>
              <w:rPr>
                <w:rFonts w:hint="default"/>
                <w:color w:val="auto"/>
              </w:rPr>
              <w:t>项目已按照《安全设施设计》</w:t>
            </w:r>
            <w:r>
              <w:rPr>
                <w:rFonts w:hint="default"/>
                <w:color w:val="auto"/>
                <w:lang w:val="en-US" w:eastAsia="zh-CN"/>
              </w:rPr>
              <w:t>的要求</w:t>
            </w:r>
            <w:r>
              <w:rPr>
                <w:rFonts w:hint="default"/>
                <w:color w:val="auto"/>
              </w:rPr>
              <w:t>配置</w:t>
            </w:r>
            <w:r>
              <w:rPr>
                <w:rFonts w:hint="default"/>
                <w:color w:val="auto"/>
                <w:lang w:val="en-US" w:eastAsia="zh-CN"/>
              </w:rPr>
              <w:t>了</w:t>
            </w:r>
            <w:r>
              <w:rPr>
                <w:rFonts w:hint="default"/>
                <w:color w:val="auto"/>
              </w:rPr>
              <w:t>灭火器。</w:t>
            </w:r>
          </w:p>
        </w:tc>
        <w:tc>
          <w:tcPr>
            <w:tcW w:w="686" w:type="dxa"/>
            <w:noWrap w:val="0"/>
            <w:vAlign w:val="center"/>
          </w:tcPr>
          <w:p w14:paraId="16303C34">
            <w:pPr>
              <w:pStyle w:val="24"/>
              <w:bidi w:val="0"/>
              <w:rPr>
                <w:rFonts w:hint="default"/>
                <w:color w:val="auto"/>
              </w:rPr>
            </w:pPr>
            <w:r>
              <w:rPr>
                <w:rFonts w:hint="default"/>
                <w:color w:val="auto"/>
              </w:rPr>
              <w:t>符合</w:t>
            </w:r>
          </w:p>
        </w:tc>
      </w:tr>
      <w:tr w14:paraId="2AA6B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563" w:type="dxa"/>
            <w:noWrap w:val="0"/>
            <w:vAlign w:val="center"/>
          </w:tcPr>
          <w:p w14:paraId="3DEEE9AB">
            <w:pPr>
              <w:pStyle w:val="24"/>
              <w:bidi w:val="0"/>
              <w:rPr>
                <w:rFonts w:hint="default"/>
                <w:color w:val="auto"/>
                <w:lang w:val="en-US" w:eastAsia="zh-CN"/>
              </w:rPr>
            </w:pPr>
            <w:r>
              <w:rPr>
                <w:rFonts w:hint="default"/>
                <w:color w:val="auto"/>
                <w:lang w:val="en-US" w:eastAsia="zh-CN"/>
              </w:rPr>
              <w:t>2</w:t>
            </w:r>
          </w:p>
        </w:tc>
        <w:tc>
          <w:tcPr>
            <w:tcW w:w="4733" w:type="dxa"/>
            <w:noWrap w:val="0"/>
            <w:vAlign w:val="center"/>
          </w:tcPr>
          <w:p w14:paraId="090C0D0D">
            <w:pPr>
              <w:pStyle w:val="24"/>
              <w:bidi w:val="0"/>
              <w:jc w:val="both"/>
              <w:rPr>
                <w:rFonts w:hint="default"/>
                <w:color w:val="auto"/>
                <w:lang w:val="en-GB"/>
              </w:rPr>
            </w:pPr>
            <w:r>
              <w:rPr>
                <w:rFonts w:hint="default"/>
                <w:color w:val="auto"/>
                <w:lang w:val="en-GB"/>
              </w:rPr>
              <w:t>国务院住房和城乡建设主管部门规定应当申请消防验收的建设工程竣工，建设单位应当向住房和城乡建设主管部门申请消防验收。</w:t>
            </w:r>
          </w:p>
          <w:p w14:paraId="6979BDFE">
            <w:pPr>
              <w:pStyle w:val="24"/>
              <w:bidi w:val="0"/>
              <w:jc w:val="both"/>
              <w:rPr>
                <w:rFonts w:hint="default"/>
                <w:color w:val="auto"/>
                <w:lang w:val="en-GB"/>
              </w:rPr>
            </w:pPr>
            <w:r>
              <w:rPr>
                <w:rFonts w:hint="default"/>
                <w:color w:val="auto"/>
                <w:lang w:val="en-GB"/>
              </w:rPr>
              <w:t>前款规定以外的其他建设工程，建设单位在验收后应当报住房和城乡建设主管部门备案，住房和城乡建设主管部门应当进行抽查。</w:t>
            </w:r>
          </w:p>
          <w:p w14:paraId="661F7436">
            <w:pPr>
              <w:pStyle w:val="24"/>
              <w:bidi w:val="0"/>
              <w:jc w:val="both"/>
              <w:rPr>
                <w:rFonts w:hint="default"/>
                <w:color w:val="auto"/>
                <w:lang w:val="en-GB"/>
              </w:rPr>
            </w:pPr>
            <w:r>
              <w:rPr>
                <w:rFonts w:hint="default"/>
                <w:color w:val="auto"/>
                <w:lang w:val="en-GB"/>
              </w:rPr>
              <w:t>依法应当进行消防验收的建设工程，未经消防验收或者消防验收不合格的，禁止投入使用；其他建设工程经依法抽查不合格的，应当停止使用。</w:t>
            </w:r>
          </w:p>
        </w:tc>
        <w:tc>
          <w:tcPr>
            <w:tcW w:w="1718" w:type="dxa"/>
            <w:noWrap w:val="0"/>
            <w:vAlign w:val="center"/>
          </w:tcPr>
          <w:p w14:paraId="72911A88">
            <w:pPr>
              <w:pStyle w:val="24"/>
              <w:bidi w:val="0"/>
              <w:rPr>
                <w:rFonts w:hint="default"/>
                <w:color w:val="auto"/>
                <w:lang w:val="zh-CN"/>
              </w:rPr>
            </w:pPr>
            <w:r>
              <w:rPr>
                <w:rFonts w:hint="default"/>
                <w:color w:val="auto"/>
                <w:lang w:val="zh-CN"/>
              </w:rPr>
              <w:t>《中华人民共和国消防法》（国家主席令[2008]第6号，2021年4月29中华人民共和国主席令第81号修订</w:t>
            </w:r>
            <w:r>
              <w:rPr>
                <w:rFonts w:hint="eastAsia"/>
                <w:color w:val="auto"/>
                <w:lang w:val="zh-CN"/>
              </w:rPr>
              <w:t>）</w:t>
            </w:r>
          </w:p>
          <w:p w14:paraId="3B79FBCC">
            <w:pPr>
              <w:pStyle w:val="24"/>
              <w:bidi w:val="0"/>
              <w:rPr>
                <w:rFonts w:hint="default"/>
                <w:color w:val="auto"/>
                <w:lang w:val="zh-CN"/>
              </w:rPr>
            </w:pPr>
            <w:r>
              <w:rPr>
                <w:rFonts w:hint="default"/>
                <w:color w:val="auto"/>
                <w:lang w:val="zh-CN"/>
              </w:rPr>
              <w:t>第13条</w:t>
            </w:r>
          </w:p>
        </w:tc>
        <w:tc>
          <w:tcPr>
            <w:tcW w:w="1501" w:type="dxa"/>
            <w:noWrap w:val="0"/>
            <w:vAlign w:val="center"/>
          </w:tcPr>
          <w:p w14:paraId="64D1BEEB">
            <w:pPr>
              <w:pStyle w:val="24"/>
              <w:bidi w:val="0"/>
              <w:rPr>
                <w:rFonts w:hint="default"/>
                <w:color w:val="auto"/>
              </w:rPr>
            </w:pPr>
            <w:r>
              <w:rPr>
                <w:rFonts w:hint="eastAsia"/>
                <w:color w:val="auto"/>
                <w:lang w:val="en-US" w:eastAsia="zh-CN"/>
              </w:rPr>
              <w:t>本项目属技改项目，厂内工艺及火灾危险性类别未改变，不涉及消防设施的改造</w:t>
            </w:r>
            <w:r>
              <w:rPr>
                <w:rFonts w:hint="default"/>
                <w:color w:val="auto"/>
                <w:lang w:val="en-GB"/>
              </w:rPr>
              <w:t>。</w:t>
            </w:r>
          </w:p>
        </w:tc>
        <w:tc>
          <w:tcPr>
            <w:tcW w:w="686" w:type="dxa"/>
            <w:noWrap w:val="0"/>
            <w:vAlign w:val="center"/>
          </w:tcPr>
          <w:p w14:paraId="6F43178C">
            <w:pPr>
              <w:pStyle w:val="24"/>
              <w:bidi w:val="0"/>
              <w:rPr>
                <w:rFonts w:hint="eastAsia"/>
                <w:color w:val="auto"/>
                <w:lang w:eastAsia="zh-CN"/>
              </w:rPr>
            </w:pPr>
            <w:r>
              <w:rPr>
                <w:rFonts w:hint="eastAsia"/>
                <w:color w:val="auto"/>
                <w:lang w:val="en-US" w:eastAsia="zh-CN"/>
              </w:rPr>
              <w:t>不涉及</w:t>
            </w:r>
          </w:p>
        </w:tc>
      </w:tr>
      <w:tr w14:paraId="21E54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563" w:type="dxa"/>
            <w:noWrap w:val="0"/>
            <w:vAlign w:val="center"/>
          </w:tcPr>
          <w:p w14:paraId="591A33DC">
            <w:pPr>
              <w:pStyle w:val="24"/>
              <w:bidi w:val="0"/>
              <w:rPr>
                <w:rFonts w:hint="default"/>
                <w:color w:val="auto"/>
                <w:lang w:val="en-US" w:eastAsia="zh-CN"/>
              </w:rPr>
            </w:pPr>
            <w:r>
              <w:rPr>
                <w:rFonts w:hint="default"/>
                <w:color w:val="auto"/>
                <w:lang w:val="en-US" w:eastAsia="zh-CN"/>
              </w:rPr>
              <w:t>3</w:t>
            </w:r>
          </w:p>
        </w:tc>
        <w:tc>
          <w:tcPr>
            <w:tcW w:w="4733" w:type="dxa"/>
            <w:noWrap w:val="0"/>
            <w:vAlign w:val="center"/>
          </w:tcPr>
          <w:p w14:paraId="5ED3F636">
            <w:pPr>
              <w:pStyle w:val="24"/>
              <w:bidi w:val="0"/>
              <w:jc w:val="both"/>
              <w:rPr>
                <w:rFonts w:hint="default"/>
                <w:color w:val="auto"/>
                <w:lang w:val="en-GB"/>
              </w:rPr>
            </w:pPr>
            <w:r>
              <w:rPr>
                <w:rFonts w:hint="default"/>
                <w:color w:val="auto"/>
                <w:lang w:val="en-GB"/>
              </w:rPr>
              <w:t>第十四条具有下列情形之一的建设工程是特殊建设工程：</w:t>
            </w:r>
          </w:p>
          <w:p w14:paraId="6A342A9A">
            <w:pPr>
              <w:pStyle w:val="24"/>
              <w:bidi w:val="0"/>
              <w:jc w:val="both"/>
              <w:rPr>
                <w:rFonts w:hint="default"/>
                <w:color w:val="auto"/>
                <w:lang w:val="en-GB"/>
              </w:rPr>
            </w:pPr>
            <w:r>
              <w:rPr>
                <w:rFonts w:hint="default"/>
                <w:color w:val="auto"/>
                <w:lang w:val="en-GB" w:eastAsia="zh-CN"/>
              </w:rPr>
              <w:t>（</w:t>
            </w:r>
            <w:r>
              <w:rPr>
                <w:rFonts w:hint="default"/>
                <w:color w:val="auto"/>
                <w:lang w:val="en-GB"/>
              </w:rPr>
              <w:t>一</w:t>
            </w:r>
            <w:r>
              <w:rPr>
                <w:rFonts w:hint="eastAsia"/>
                <w:color w:val="auto"/>
                <w:lang w:val="en-GB" w:eastAsia="zh-CN"/>
              </w:rPr>
              <w:t>）</w:t>
            </w:r>
            <w:r>
              <w:rPr>
                <w:rFonts w:hint="default"/>
                <w:color w:val="auto"/>
                <w:lang w:val="en-GB"/>
              </w:rPr>
              <w:t>总建筑面积大于二万平方米的体育场馆、会堂，公共展览馆、博物馆的展示厅；</w:t>
            </w:r>
          </w:p>
          <w:p w14:paraId="200A86D7">
            <w:pPr>
              <w:pStyle w:val="24"/>
              <w:bidi w:val="0"/>
              <w:jc w:val="both"/>
              <w:rPr>
                <w:rFonts w:hint="default"/>
                <w:color w:val="auto"/>
                <w:lang w:val="en-GB"/>
              </w:rPr>
            </w:pPr>
            <w:r>
              <w:rPr>
                <w:rFonts w:hint="default"/>
                <w:color w:val="auto"/>
                <w:lang w:val="en-GB" w:eastAsia="zh-CN"/>
              </w:rPr>
              <w:t>（</w:t>
            </w:r>
            <w:r>
              <w:rPr>
                <w:rFonts w:hint="default"/>
                <w:color w:val="auto"/>
                <w:lang w:val="en-GB"/>
              </w:rPr>
              <w:t>二</w:t>
            </w:r>
            <w:r>
              <w:rPr>
                <w:rFonts w:hint="eastAsia"/>
                <w:color w:val="auto"/>
                <w:lang w:val="en-GB" w:eastAsia="zh-CN"/>
              </w:rPr>
              <w:t>）</w:t>
            </w:r>
            <w:r>
              <w:rPr>
                <w:rFonts w:hint="default"/>
                <w:color w:val="auto"/>
                <w:lang w:val="en-GB"/>
              </w:rPr>
              <w:t>总建筑面积大于一万五千平方米的民用机场航站楼、客运车站候车室、客运码头候船厅；</w:t>
            </w:r>
          </w:p>
          <w:p w14:paraId="7152FA62">
            <w:pPr>
              <w:pStyle w:val="24"/>
              <w:bidi w:val="0"/>
              <w:jc w:val="both"/>
              <w:rPr>
                <w:rFonts w:hint="default"/>
                <w:color w:val="auto"/>
                <w:lang w:val="en-GB"/>
              </w:rPr>
            </w:pPr>
            <w:r>
              <w:rPr>
                <w:rFonts w:hint="default"/>
                <w:color w:val="auto"/>
                <w:lang w:val="en-GB" w:eastAsia="zh-CN"/>
              </w:rPr>
              <w:t>（</w:t>
            </w:r>
            <w:r>
              <w:rPr>
                <w:rFonts w:hint="default"/>
                <w:color w:val="auto"/>
                <w:lang w:val="en-GB"/>
              </w:rPr>
              <w:t>三</w:t>
            </w:r>
            <w:r>
              <w:rPr>
                <w:rFonts w:hint="eastAsia"/>
                <w:color w:val="auto"/>
                <w:lang w:val="en-GB" w:eastAsia="zh-CN"/>
              </w:rPr>
              <w:t>）</w:t>
            </w:r>
            <w:r>
              <w:rPr>
                <w:rFonts w:hint="default"/>
                <w:color w:val="auto"/>
                <w:lang w:val="en-GB"/>
              </w:rPr>
              <w:t>总建筑面积大于一万平方米的宾馆、饭店、商场、市场；</w:t>
            </w:r>
          </w:p>
          <w:p w14:paraId="14046E83">
            <w:pPr>
              <w:pStyle w:val="24"/>
              <w:bidi w:val="0"/>
              <w:jc w:val="both"/>
              <w:rPr>
                <w:rFonts w:hint="default"/>
                <w:color w:val="auto"/>
                <w:lang w:val="en-GB"/>
              </w:rPr>
            </w:pPr>
            <w:r>
              <w:rPr>
                <w:rFonts w:hint="default"/>
                <w:color w:val="auto"/>
                <w:lang w:val="en-GB" w:eastAsia="zh-CN"/>
              </w:rPr>
              <w:t>（</w:t>
            </w:r>
            <w:r>
              <w:rPr>
                <w:rFonts w:hint="default"/>
                <w:color w:val="auto"/>
                <w:lang w:val="en-GB"/>
              </w:rPr>
              <w:t>四</w:t>
            </w:r>
            <w:r>
              <w:rPr>
                <w:rFonts w:hint="eastAsia"/>
                <w:color w:val="auto"/>
                <w:lang w:val="en-GB" w:eastAsia="zh-CN"/>
              </w:rPr>
              <w:t>）</w:t>
            </w:r>
            <w:r>
              <w:rPr>
                <w:rFonts w:hint="default"/>
                <w:color w:val="auto"/>
                <w:lang w:val="en-GB"/>
              </w:rPr>
              <w:t>总建筑面积大于二千五百平方米的影剧院，公共图书馆的阅览室，营业性室内健身、休闲场馆，医院的门诊楼，大学的教学楼、图书馆、食堂，劳动密集型企业的生产加工车间，寺庙、教堂；</w:t>
            </w:r>
          </w:p>
          <w:p w14:paraId="63DBA9DB">
            <w:pPr>
              <w:pStyle w:val="24"/>
              <w:bidi w:val="0"/>
              <w:jc w:val="both"/>
              <w:rPr>
                <w:rFonts w:hint="default"/>
                <w:color w:val="auto"/>
                <w:lang w:val="en-GB"/>
              </w:rPr>
            </w:pPr>
            <w:r>
              <w:rPr>
                <w:rFonts w:hint="default"/>
                <w:color w:val="auto"/>
                <w:lang w:val="en-GB" w:eastAsia="zh-CN"/>
              </w:rPr>
              <w:t>（</w:t>
            </w:r>
            <w:r>
              <w:rPr>
                <w:rFonts w:hint="default"/>
                <w:color w:val="auto"/>
                <w:lang w:val="en-GB"/>
              </w:rPr>
              <w:t>五</w:t>
            </w:r>
            <w:r>
              <w:rPr>
                <w:rFonts w:hint="eastAsia"/>
                <w:color w:val="auto"/>
                <w:lang w:val="en-GB" w:eastAsia="zh-CN"/>
              </w:rPr>
              <w:t>）</w:t>
            </w:r>
            <w:r>
              <w:rPr>
                <w:rFonts w:hint="default"/>
                <w:color w:val="auto"/>
                <w:lang w:val="en-GB"/>
              </w:rPr>
              <w:t>总建筑面积大于一千平方米的托儿所、幼儿园的儿童用房，儿童游乐厅等室内儿童活动场所，养老院、福利院，医院、疗养院的病房楼，中小学校的教学楼、图书馆、食堂，学校的集体宿舍，劳动密集型企业的员工集体宿舍；</w:t>
            </w:r>
          </w:p>
          <w:p w14:paraId="25C02357">
            <w:pPr>
              <w:pStyle w:val="24"/>
              <w:bidi w:val="0"/>
              <w:jc w:val="both"/>
              <w:rPr>
                <w:rFonts w:hint="default"/>
                <w:color w:val="auto"/>
                <w:lang w:val="en-GB"/>
              </w:rPr>
            </w:pPr>
            <w:r>
              <w:rPr>
                <w:rFonts w:hint="default"/>
                <w:color w:val="auto"/>
                <w:lang w:val="en-GB" w:eastAsia="zh-CN"/>
              </w:rPr>
              <w:t>（</w:t>
            </w:r>
            <w:r>
              <w:rPr>
                <w:rFonts w:hint="default"/>
                <w:color w:val="auto"/>
                <w:lang w:val="en-GB"/>
              </w:rPr>
              <w:t>六</w:t>
            </w:r>
            <w:r>
              <w:rPr>
                <w:rFonts w:hint="eastAsia"/>
                <w:color w:val="auto"/>
                <w:lang w:val="en-GB" w:eastAsia="zh-CN"/>
              </w:rPr>
              <w:t>）</w:t>
            </w:r>
            <w:r>
              <w:rPr>
                <w:rFonts w:hint="default"/>
                <w:color w:val="auto"/>
                <w:lang w:val="en-GB"/>
              </w:rPr>
              <w:t>总建筑面积大于五百平方米的歌舞厅、录像厅、放映厅、卡拉ＯＫ厅、夜总会、游艺厅、桑拿浴室、网吧、酒吧，具有娱乐功能的餐馆、茶馆、咖啡厅；</w:t>
            </w:r>
          </w:p>
          <w:p w14:paraId="12681E88">
            <w:pPr>
              <w:pStyle w:val="24"/>
              <w:bidi w:val="0"/>
              <w:jc w:val="both"/>
              <w:rPr>
                <w:rFonts w:hint="default"/>
                <w:color w:val="auto"/>
                <w:lang w:val="en-GB"/>
              </w:rPr>
            </w:pPr>
            <w:r>
              <w:rPr>
                <w:rFonts w:hint="default"/>
                <w:color w:val="auto"/>
                <w:lang w:val="en-GB" w:eastAsia="zh-CN"/>
              </w:rPr>
              <w:t>（</w:t>
            </w:r>
            <w:r>
              <w:rPr>
                <w:rFonts w:hint="default"/>
                <w:color w:val="auto"/>
                <w:lang w:val="en-GB"/>
              </w:rPr>
              <w:t>七</w:t>
            </w:r>
            <w:r>
              <w:rPr>
                <w:rFonts w:hint="eastAsia"/>
                <w:color w:val="auto"/>
                <w:lang w:val="en-GB" w:eastAsia="zh-CN"/>
              </w:rPr>
              <w:t>）</w:t>
            </w:r>
            <w:r>
              <w:rPr>
                <w:rFonts w:hint="default"/>
                <w:color w:val="auto"/>
                <w:lang w:val="en-GB"/>
              </w:rPr>
              <w:t>国家工程建设消防技术标准规定的一类高层住宅建筑；</w:t>
            </w:r>
          </w:p>
          <w:p w14:paraId="30B7EE00">
            <w:pPr>
              <w:pStyle w:val="24"/>
              <w:bidi w:val="0"/>
              <w:jc w:val="both"/>
              <w:rPr>
                <w:rFonts w:hint="default"/>
                <w:color w:val="auto"/>
                <w:lang w:val="en-GB"/>
              </w:rPr>
            </w:pPr>
            <w:r>
              <w:rPr>
                <w:rFonts w:hint="default"/>
                <w:color w:val="auto"/>
                <w:lang w:val="en-GB" w:eastAsia="zh-CN"/>
              </w:rPr>
              <w:t>（</w:t>
            </w:r>
            <w:r>
              <w:rPr>
                <w:rFonts w:hint="default"/>
                <w:color w:val="auto"/>
                <w:lang w:val="en-GB"/>
              </w:rPr>
              <w:t>八</w:t>
            </w:r>
            <w:r>
              <w:rPr>
                <w:rFonts w:hint="eastAsia"/>
                <w:color w:val="auto"/>
                <w:lang w:val="en-GB" w:eastAsia="zh-CN"/>
              </w:rPr>
              <w:t>）</w:t>
            </w:r>
            <w:r>
              <w:rPr>
                <w:rFonts w:hint="default"/>
                <w:color w:val="auto"/>
                <w:lang w:val="en-GB"/>
              </w:rPr>
              <w:t>城市轨道交通、隧道工程，大型发电、变配电工程；</w:t>
            </w:r>
          </w:p>
          <w:p w14:paraId="12D8B077">
            <w:pPr>
              <w:pStyle w:val="24"/>
              <w:bidi w:val="0"/>
              <w:jc w:val="both"/>
              <w:rPr>
                <w:rFonts w:hint="default"/>
                <w:color w:val="auto"/>
                <w:lang w:val="en-GB"/>
              </w:rPr>
            </w:pPr>
            <w:r>
              <w:rPr>
                <w:rFonts w:hint="default"/>
                <w:color w:val="auto"/>
                <w:lang w:val="en-GB" w:eastAsia="zh-CN"/>
              </w:rPr>
              <w:t>（</w:t>
            </w:r>
            <w:r>
              <w:rPr>
                <w:rFonts w:hint="default"/>
                <w:color w:val="auto"/>
                <w:lang w:val="en-GB"/>
              </w:rPr>
              <w:t>九</w:t>
            </w:r>
            <w:r>
              <w:rPr>
                <w:rFonts w:hint="eastAsia"/>
                <w:color w:val="auto"/>
                <w:lang w:val="en-GB" w:eastAsia="zh-CN"/>
              </w:rPr>
              <w:t>）</w:t>
            </w:r>
            <w:r>
              <w:rPr>
                <w:rFonts w:hint="default"/>
                <w:color w:val="auto"/>
                <w:lang w:val="en-GB"/>
              </w:rPr>
              <w:t>生产、储存、装卸易燃易爆危险物品的工厂、仓库和专用车站、码头，易燃易爆气体和液体的充装站、供应站、调压站；</w:t>
            </w:r>
          </w:p>
          <w:p w14:paraId="184C2DAD">
            <w:pPr>
              <w:pStyle w:val="24"/>
              <w:bidi w:val="0"/>
              <w:jc w:val="both"/>
              <w:rPr>
                <w:rFonts w:hint="default"/>
                <w:color w:val="auto"/>
                <w:lang w:val="en-GB"/>
              </w:rPr>
            </w:pPr>
            <w:r>
              <w:rPr>
                <w:rFonts w:hint="default"/>
                <w:color w:val="auto"/>
                <w:lang w:val="en-GB" w:eastAsia="zh-CN"/>
              </w:rPr>
              <w:t>（</w:t>
            </w:r>
            <w:r>
              <w:rPr>
                <w:rFonts w:hint="default"/>
                <w:color w:val="auto"/>
                <w:lang w:val="en-GB"/>
              </w:rPr>
              <w:t>十</w:t>
            </w:r>
            <w:r>
              <w:rPr>
                <w:rFonts w:hint="eastAsia"/>
                <w:color w:val="auto"/>
                <w:lang w:val="en-GB" w:eastAsia="zh-CN"/>
              </w:rPr>
              <w:t>）</w:t>
            </w:r>
            <w:r>
              <w:rPr>
                <w:rFonts w:hint="default"/>
                <w:color w:val="auto"/>
                <w:lang w:val="en-GB"/>
              </w:rPr>
              <w:t>国家机关办公楼、电力调度楼、电信楼、邮政楼、防灾指挥调度楼、广播电视楼、档案楼；</w:t>
            </w:r>
          </w:p>
          <w:p w14:paraId="68709323">
            <w:pPr>
              <w:pStyle w:val="24"/>
              <w:bidi w:val="0"/>
              <w:jc w:val="both"/>
              <w:rPr>
                <w:rFonts w:hint="default"/>
                <w:color w:val="auto"/>
                <w:lang w:val="en-GB"/>
              </w:rPr>
            </w:pPr>
            <w:r>
              <w:rPr>
                <w:rFonts w:hint="default"/>
                <w:color w:val="auto"/>
                <w:lang w:val="en-GB" w:eastAsia="zh-CN"/>
              </w:rPr>
              <w:t>（</w:t>
            </w:r>
            <w:r>
              <w:rPr>
                <w:rFonts w:hint="default"/>
                <w:color w:val="auto"/>
                <w:lang w:val="en-GB"/>
              </w:rPr>
              <w:t>十一</w:t>
            </w:r>
            <w:r>
              <w:rPr>
                <w:rFonts w:hint="eastAsia"/>
                <w:color w:val="auto"/>
                <w:lang w:val="en-GB" w:eastAsia="zh-CN"/>
              </w:rPr>
              <w:t>）</w:t>
            </w:r>
            <w:r>
              <w:rPr>
                <w:rFonts w:hint="default"/>
                <w:color w:val="auto"/>
                <w:lang w:val="en-GB"/>
              </w:rPr>
              <w:t>设有本条第一项至第六项所列情形的建设工程；</w:t>
            </w:r>
          </w:p>
          <w:p w14:paraId="67C4A45D">
            <w:pPr>
              <w:pStyle w:val="24"/>
              <w:bidi w:val="0"/>
              <w:jc w:val="both"/>
              <w:rPr>
                <w:rFonts w:hint="default"/>
                <w:color w:val="auto"/>
                <w:lang w:val="en-GB"/>
              </w:rPr>
            </w:pPr>
            <w:r>
              <w:rPr>
                <w:rFonts w:hint="default"/>
                <w:color w:val="auto"/>
                <w:lang w:val="en-GB" w:eastAsia="zh-CN"/>
              </w:rPr>
              <w:t>（</w:t>
            </w:r>
            <w:r>
              <w:rPr>
                <w:rFonts w:hint="default"/>
                <w:color w:val="auto"/>
                <w:lang w:val="en-GB"/>
              </w:rPr>
              <w:t>十二</w:t>
            </w:r>
            <w:r>
              <w:rPr>
                <w:rFonts w:hint="eastAsia"/>
                <w:color w:val="auto"/>
                <w:lang w:val="en-GB" w:eastAsia="zh-CN"/>
              </w:rPr>
              <w:t>）</w:t>
            </w:r>
            <w:r>
              <w:rPr>
                <w:rFonts w:hint="default"/>
                <w:color w:val="auto"/>
                <w:lang w:val="en-GB"/>
              </w:rPr>
              <w:t>本条第十项、第十一项规定以外的单体建筑面积大于四万平方米或者建筑高度超过五十米的公共建筑。</w:t>
            </w:r>
          </w:p>
          <w:p w14:paraId="4522BF9D">
            <w:pPr>
              <w:pStyle w:val="24"/>
              <w:bidi w:val="0"/>
              <w:jc w:val="both"/>
              <w:rPr>
                <w:rFonts w:hint="default"/>
                <w:color w:val="auto"/>
                <w:lang w:val="en-GB"/>
              </w:rPr>
            </w:pPr>
            <w:r>
              <w:rPr>
                <w:rFonts w:hint="default"/>
                <w:color w:val="auto"/>
                <w:lang w:val="en-GB"/>
              </w:rPr>
              <w:t>第二十六条对特殊建设工程实行消防验收制度。</w:t>
            </w:r>
          </w:p>
          <w:p w14:paraId="39EF29A9">
            <w:pPr>
              <w:pStyle w:val="24"/>
              <w:bidi w:val="0"/>
              <w:jc w:val="both"/>
              <w:rPr>
                <w:rFonts w:hint="default"/>
                <w:color w:val="auto"/>
                <w:lang w:val="en-GB"/>
              </w:rPr>
            </w:pPr>
            <w:r>
              <w:rPr>
                <w:rFonts w:hint="default"/>
                <w:color w:val="auto"/>
                <w:lang w:val="en-GB"/>
              </w:rPr>
              <w:t>特殊建设工程竣工验收后，建设单位应当向消防设计审查验收主管部门申请消防验收；未经消防验收或者消防验收不合格的，禁止投入使用。</w:t>
            </w:r>
          </w:p>
        </w:tc>
        <w:tc>
          <w:tcPr>
            <w:tcW w:w="1718" w:type="dxa"/>
            <w:noWrap w:val="0"/>
            <w:vAlign w:val="center"/>
          </w:tcPr>
          <w:p w14:paraId="06C69598">
            <w:pPr>
              <w:pStyle w:val="24"/>
              <w:bidi w:val="0"/>
              <w:rPr>
                <w:rFonts w:hint="default"/>
                <w:color w:val="auto"/>
                <w:lang w:val="zh-CN"/>
              </w:rPr>
            </w:pPr>
            <w:r>
              <w:rPr>
                <w:rFonts w:hint="default"/>
                <w:color w:val="auto"/>
                <w:lang w:val="zh-CN"/>
              </w:rPr>
              <w:t>《建设工程消防设计审查验收管理暂行规定》（中华人民共和国住房和城乡建设部令第51号，</w:t>
            </w:r>
            <w:r>
              <w:rPr>
                <w:rFonts w:hint="default"/>
                <w:color w:val="auto"/>
                <w:lang w:val="zh-CN"/>
              </w:rPr>
              <w:tab/>
            </w:r>
            <w:r>
              <w:rPr>
                <w:rFonts w:hint="default"/>
                <w:color w:val="auto"/>
                <w:lang w:val="zh-CN"/>
              </w:rPr>
              <w:t>2020年06月01日生效</w:t>
            </w:r>
            <w:r>
              <w:rPr>
                <w:rFonts w:hint="eastAsia"/>
                <w:color w:val="auto"/>
                <w:lang w:val="zh-CN"/>
              </w:rPr>
              <w:t>）</w:t>
            </w:r>
          </w:p>
        </w:tc>
        <w:tc>
          <w:tcPr>
            <w:tcW w:w="1501" w:type="dxa"/>
            <w:noWrap w:val="0"/>
            <w:vAlign w:val="center"/>
          </w:tcPr>
          <w:p w14:paraId="257F1B5C">
            <w:pPr>
              <w:pStyle w:val="24"/>
              <w:bidi w:val="0"/>
              <w:rPr>
                <w:rFonts w:hint="default"/>
                <w:color w:val="auto"/>
              </w:rPr>
            </w:pPr>
            <w:r>
              <w:rPr>
                <w:rFonts w:hint="default"/>
                <w:color w:val="auto"/>
              </w:rPr>
              <w:t>项目不属</w:t>
            </w:r>
            <w:r>
              <w:rPr>
                <w:rFonts w:hint="eastAsia"/>
                <w:color w:val="auto"/>
                <w:lang w:val="en-US" w:eastAsia="zh-CN"/>
              </w:rPr>
              <w:t>于</w:t>
            </w:r>
            <w:r>
              <w:rPr>
                <w:rFonts w:hint="default"/>
                <w:color w:val="auto"/>
                <w:lang w:val="en-GB"/>
              </w:rPr>
              <w:t>特殊建设工程。</w:t>
            </w:r>
          </w:p>
        </w:tc>
        <w:tc>
          <w:tcPr>
            <w:tcW w:w="686" w:type="dxa"/>
            <w:noWrap w:val="0"/>
            <w:vAlign w:val="center"/>
          </w:tcPr>
          <w:p w14:paraId="348C4E59">
            <w:pPr>
              <w:pStyle w:val="24"/>
              <w:bidi w:val="0"/>
              <w:rPr>
                <w:rFonts w:hint="eastAsia"/>
                <w:color w:val="auto"/>
                <w:lang w:val="en-US" w:eastAsia="zh-CN"/>
              </w:rPr>
            </w:pPr>
            <w:r>
              <w:rPr>
                <w:rFonts w:hint="eastAsia"/>
                <w:color w:val="auto"/>
                <w:lang w:val="en-US" w:eastAsia="zh-CN"/>
              </w:rPr>
              <w:t>不涉及</w:t>
            </w:r>
          </w:p>
        </w:tc>
      </w:tr>
      <w:tr w14:paraId="72807B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563" w:type="dxa"/>
            <w:noWrap w:val="0"/>
            <w:vAlign w:val="center"/>
          </w:tcPr>
          <w:p w14:paraId="14883661">
            <w:pPr>
              <w:pStyle w:val="24"/>
              <w:bidi w:val="0"/>
              <w:rPr>
                <w:rFonts w:hint="default"/>
                <w:color w:val="auto"/>
                <w:lang w:val="en-US" w:eastAsia="zh-CN"/>
              </w:rPr>
            </w:pPr>
            <w:r>
              <w:rPr>
                <w:rFonts w:hint="default"/>
                <w:color w:val="auto"/>
                <w:lang w:val="en-US" w:eastAsia="zh-CN"/>
              </w:rPr>
              <w:t>4</w:t>
            </w:r>
          </w:p>
        </w:tc>
        <w:tc>
          <w:tcPr>
            <w:tcW w:w="4733" w:type="dxa"/>
            <w:noWrap w:val="0"/>
            <w:vAlign w:val="center"/>
          </w:tcPr>
          <w:p w14:paraId="3E056C6E">
            <w:pPr>
              <w:pStyle w:val="24"/>
              <w:bidi w:val="0"/>
              <w:jc w:val="both"/>
              <w:rPr>
                <w:rFonts w:hint="default"/>
                <w:color w:val="auto"/>
                <w:lang w:val="en-GB"/>
              </w:rPr>
            </w:pPr>
            <w:r>
              <w:rPr>
                <w:rFonts w:hint="default"/>
                <w:color w:val="auto"/>
                <w:lang w:val="en-GB"/>
              </w:rPr>
              <w:t>第三十三条对其他建设工程实行备案抽查制度。</w:t>
            </w:r>
          </w:p>
          <w:p w14:paraId="3CAE4F22">
            <w:pPr>
              <w:pStyle w:val="24"/>
              <w:bidi w:val="0"/>
              <w:jc w:val="both"/>
              <w:rPr>
                <w:rFonts w:hint="default"/>
                <w:color w:val="auto"/>
                <w:lang w:val="en-GB"/>
              </w:rPr>
            </w:pPr>
            <w:r>
              <w:rPr>
                <w:rFonts w:hint="default"/>
                <w:color w:val="auto"/>
                <w:lang w:val="en-GB"/>
              </w:rPr>
              <w:t>其他建设工程经依法抽查不合格的，应当停止使用。</w:t>
            </w:r>
          </w:p>
        </w:tc>
        <w:tc>
          <w:tcPr>
            <w:tcW w:w="1718" w:type="dxa"/>
            <w:noWrap w:val="0"/>
            <w:vAlign w:val="center"/>
          </w:tcPr>
          <w:p w14:paraId="4B003B85">
            <w:pPr>
              <w:pStyle w:val="24"/>
              <w:bidi w:val="0"/>
              <w:rPr>
                <w:rFonts w:hint="default"/>
                <w:color w:val="auto"/>
                <w:lang w:val="zh-CN"/>
              </w:rPr>
            </w:pPr>
            <w:r>
              <w:rPr>
                <w:rFonts w:hint="default"/>
                <w:color w:val="auto"/>
                <w:lang w:val="zh-CN"/>
              </w:rPr>
              <w:t>《建设工程消防设计审查验收管理暂行规定》</w:t>
            </w:r>
          </w:p>
          <w:p w14:paraId="16A3076E">
            <w:pPr>
              <w:pStyle w:val="24"/>
              <w:bidi w:val="0"/>
              <w:rPr>
                <w:rFonts w:hint="default"/>
                <w:color w:val="auto"/>
                <w:lang w:val="zh-CN"/>
              </w:rPr>
            </w:pPr>
            <w:r>
              <w:rPr>
                <w:rFonts w:hint="default"/>
                <w:color w:val="auto"/>
                <w:lang w:val="zh-CN"/>
              </w:rPr>
              <w:t>（中华人民共和国住房和城乡建设部令第51号，</w:t>
            </w:r>
            <w:r>
              <w:rPr>
                <w:rFonts w:hint="default"/>
                <w:color w:val="auto"/>
                <w:lang w:val="zh-CN"/>
              </w:rPr>
              <w:tab/>
            </w:r>
            <w:r>
              <w:rPr>
                <w:rFonts w:hint="default"/>
                <w:color w:val="auto"/>
                <w:lang w:val="zh-CN"/>
              </w:rPr>
              <w:t>2020年06月01日生效</w:t>
            </w:r>
            <w:r>
              <w:rPr>
                <w:rFonts w:hint="eastAsia"/>
                <w:color w:val="auto"/>
                <w:lang w:val="zh-CN"/>
              </w:rPr>
              <w:t>）</w:t>
            </w:r>
          </w:p>
        </w:tc>
        <w:tc>
          <w:tcPr>
            <w:tcW w:w="1501" w:type="dxa"/>
            <w:noWrap w:val="0"/>
            <w:vAlign w:val="center"/>
          </w:tcPr>
          <w:p w14:paraId="1F44D83F">
            <w:pPr>
              <w:pStyle w:val="24"/>
              <w:bidi w:val="0"/>
              <w:rPr>
                <w:rFonts w:hint="default"/>
                <w:color w:val="auto"/>
              </w:rPr>
            </w:pPr>
            <w:r>
              <w:rPr>
                <w:rFonts w:hint="eastAsia"/>
                <w:color w:val="auto"/>
                <w:lang w:val="en-US" w:eastAsia="zh-CN"/>
              </w:rPr>
              <w:t>本项目属技改项目，厂内工艺及火灾危险性类别未改变，不涉及消防设施的改造</w:t>
            </w:r>
            <w:r>
              <w:rPr>
                <w:rFonts w:hint="default"/>
                <w:color w:val="auto"/>
                <w:lang w:val="en-GB"/>
              </w:rPr>
              <w:t>。</w:t>
            </w:r>
          </w:p>
        </w:tc>
        <w:tc>
          <w:tcPr>
            <w:tcW w:w="686" w:type="dxa"/>
            <w:noWrap w:val="0"/>
            <w:vAlign w:val="center"/>
          </w:tcPr>
          <w:p w14:paraId="22967F1F">
            <w:pPr>
              <w:pStyle w:val="24"/>
              <w:bidi w:val="0"/>
              <w:rPr>
                <w:rFonts w:hint="eastAsia"/>
                <w:color w:val="auto"/>
                <w:lang w:eastAsia="zh-CN"/>
              </w:rPr>
            </w:pPr>
            <w:r>
              <w:rPr>
                <w:rFonts w:hint="eastAsia"/>
                <w:color w:val="auto"/>
                <w:lang w:val="en-US" w:eastAsia="zh-CN"/>
              </w:rPr>
              <w:t>不涉及</w:t>
            </w:r>
          </w:p>
        </w:tc>
      </w:tr>
      <w:tr w14:paraId="103043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563" w:type="dxa"/>
            <w:noWrap w:val="0"/>
            <w:vAlign w:val="center"/>
          </w:tcPr>
          <w:p w14:paraId="14A45A5A">
            <w:pPr>
              <w:pStyle w:val="24"/>
              <w:bidi w:val="0"/>
              <w:rPr>
                <w:rFonts w:hint="default"/>
                <w:color w:val="auto"/>
                <w:lang w:val="en-US" w:eastAsia="zh-CN"/>
              </w:rPr>
            </w:pPr>
            <w:r>
              <w:rPr>
                <w:rFonts w:hint="default"/>
                <w:color w:val="auto"/>
                <w:lang w:val="en-US" w:eastAsia="zh-CN"/>
              </w:rPr>
              <w:t>5</w:t>
            </w:r>
          </w:p>
        </w:tc>
        <w:tc>
          <w:tcPr>
            <w:tcW w:w="4733" w:type="dxa"/>
            <w:noWrap w:val="0"/>
            <w:vAlign w:val="center"/>
          </w:tcPr>
          <w:p w14:paraId="3D76978E">
            <w:pPr>
              <w:pStyle w:val="24"/>
              <w:bidi w:val="0"/>
              <w:jc w:val="both"/>
              <w:rPr>
                <w:rFonts w:hint="default"/>
                <w:color w:val="auto"/>
                <w:lang w:val="zh-CN"/>
              </w:rPr>
            </w:pPr>
            <w:r>
              <w:rPr>
                <w:rFonts w:hint="default"/>
                <w:color w:val="auto"/>
                <w:lang w:val="zh-CN"/>
              </w:rPr>
              <w:t>灭火器应设置在位置明显和便于取用的地点，且不得影响安全疏散。</w:t>
            </w:r>
          </w:p>
        </w:tc>
        <w:tc>
          <w:tcPr>
            <w:tcW w:w="1718" w:type="dxa"/>
            <w:noWrap w:val="0"/>
            <w:vAlign w:val="center"/>
          </w:tcPr>
          <w:p w14:paraId="7BAFB255">
            <w:pPr>
              <w:pStyle w:val="24"/>
              <w:bidi w:val="0"/>
              <w:rPr>
                <w:rFonts w:hint="default"/>
                <w:color w:val="auto"/>
                <w:lang w:val="zh-CN"/>
              </w:rPr>
            </w:pPr>
            <w:r>
              <w:rPr>
                <w:rFonts w:hint="default"/>
                <w:color w:val="auto"/>
                <w:lang w:val="zh-CN"/>
              </w:rPr>
              <w:t>《</w:t>
            </w:r>
            <w:r>
              <w:rPr>
                <w:rFonts w:hint="default"/>
                <w:color w:val="auto"/>
              </w:rPr>
              <w:t>建筑设计防火规范</w:t>
            </w:r>
            <w:r>
              <w:rPr>
                <w:rFonts w:hint="default"/>
                <w:color w:val="auto"/>
                <w:lang w:eastAsia="zh-CN"/>
              </w:rPr>
              <w:t>（</w:t>
            </w:r>
            <w:r>
              <w:rPr>
                <w:rFonts w:hint="default"/>
                <w:color w:val="auto"/>
              </w:rPr>
              <w:t>2018</w:t>
            </w:r>
            <w:r>
              <w:rPr>
                <w:rFonts w:hint="eastAsia"/>
                <w:color w:val="auto"/>
                <w:lang w:eastAsia="zh-CN"/>
              </w:rPr>
              <w:t>）</w:t>
            </w:r>
            <w:r>
              <w:rPr>
                <w:rFonts w:hint="default"/>
                <w:color w:val="auto"/>
                <w:lang w:val="zh-CN"/>
              </w:rPr>
              <w:t>（GB</w:t>
            </w:r>
            <w:r>
              <w:rPr>
                <w:rFonts w:hint="default"/>
                <w:color w:val="auto"/>
                <w:lang w:val="en-US" w:eastAsia="zh-CN"/>
              </w:rPr>
              <w:t xml:space="preserve"> </w:t>
            </w:r>
            <w:r>
              <w:rPr>
                <w:rFonts w:hint="default"/>
                <w:color w:val="auto"/>
                <w:lang w:val="zh-CN"/>
              </w:rPr>
              <w:t>50016-2014</w:t>
            </w:r>
            <w:r>
              <w:rPr>
                <w:rFonts w:hint="eastAsia"/>
                <w:color w:val="auto"/>
                <w:lang w:val="zh-CN"/>
              </w:rPr>
              <w:t>）</w:t>
            </w:r>
          </w:p>
          <w:p w14:paraId="3F97DB88">
            <w:pPr>
              <w:pStyle w:val="24"/>
              <w:bidi w:val="0"/>
              <w:rPr>
                <w:rFonts w:hint="default"/>
                <w:color w:val="auto"/>
                <w:lang w:val="en-US" w:eastAsia="zh-CN"/>
              </w:rPr>
            </w:pPr>
            <w:r>
              <w:rPr>
                <w:rFonts w:hint="default"/>
                <w:color w:val="auto"/>
                <w:lang w:val="en-US" w:eastAsia="zh-CN"/>
              </w:rPr>
              <w:t>第5.1.1条</w:t>
            </w:r>
          </w:p>
        </w:tc>
        <w:tc>
          <w:tcPr>
            <w:tcW w:w="1501" w:type="dxa"/>
            <w:noWrap w:val="0"/>
            <w:vAlign w:val="center"/>
          </w:tcPr>
          <w:p w14:paraId="5B006705">
            <w:pPr>
              <w:pStyle w:val="24"/>
              <w:bidi w:val="0"/>
              <w:rPr>
                <w:rFonts w:hint="default"/>
                <w:color w:val="auto"/>
                <w:lang w:val="zh-CN"/>
              </w:rPr>
            </w:pPr>
            <w:r>
              <w:rPr>
                <w:rFonts w:hint="default"/>
                <w:color w:val="auto"/>
                <w:lang w:val="zh-CN"/>
              </w:rPr>
              <w:t>灭火器设置在位置明显和便于取用的地点，且不影响安全疏散。</w:t>
            </w:r>
          </w:p>
        </w:tc>
        <w:tc>
          <w:tcPr>
            <w:tcW w:w="686" w:type="dxa"/>
            <w:noWrap w:val="0"/>
            <w:vAlign w:val="center"/>
          </w:tcPr>
          <w:p w14:paraId="513AC217">
            <w:pPr>
              <w:pStyle w:val="24"/>
              <w:bidi w:val="0"/>
              <w:rPr>
                <w:rFonts w:hint="default"/>
                <w:color w:val="auto"/>
              </w:rPr>
            </w:pPr>
            <w:r>
              <w:rPr>
                <w:rFonts w:hint="default"/>
                <w:color w:val="auto"/>
              </w:rPr>
              <w:t>符合</w:t>
            </w:r>
          </w:p>
        </w:tc>
      </w:tr>
      <w:tr w14:paraId="340F9D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563" w:type="dxa"/>
            <w:noWrap w:val="0"/>
            <w:vAlign w:val="center"/>
          </w:tcPr>
          <w:p w14:paraId="00C41234">
            <w:pPr>
              <w:pStyle w:val="24"/>
              <w:bidi w:val="0"/>
              <w:rPr>
                <w:rFonts w:hint="default"/>
                <w:color w:val="auto"/>
                <w:lang w:val="en-US" w:eastAsia="zh-CN"/>
              </w:rPr>
            </w:pPr>
            <w:r>
              <w:rPr>
                <w:rFonts w:hint="eastAsia"/>
                <w:color w:val="auto"/>
                <w:lang w:val="en-US" w:eastAsia="zh-CN"/>
              </w:rPr>
              <w:t>6</w:t>
            </w:r>
          </w:p>
        </w:tc>
        <w:tc>
          <w:tcPr>
            <w:tcW w:w="4733" w:type="dxa"/>
            <w:noWrap w:val="0"/>
            <w:vAlign w:val="center"/>
          </w:tcPr>
          <w:p w14:paraId="68DB62C1">
            <w:pPr>
              <w:pStyle w:val="24"/>
              <w:bidi w:val="0"/>
              <w:jc w:val="both"/>
              <w:rPr>
                <w:rFonts w:hint="default"/>
                <w:color w:val="auto"/>
                <w:lang w:val="en-US" w:eastAsia="zh-CN"/>
              </w:rPr>
            </w:pPr>
            <w:r>
              <w:rPr>
                <w:rFonts w:hint="default"/>
                <w:color w:val="auto"/>
                <w:lang w:val="en-US" w:eastAsia="zh-CN"/>
              </w:rPr>
              <w:t>灭火器应设置在明显和便于取用的地点且应不影响人员安全疏散。</w:t>
            </w:r>
          </w:p>
        </w:tc>
        <w:tc>
          <w:tcPr>
            <w:tcW w:w="1718" w:type="dxa"/>
            <w:noWrap w:val="0"/>
            <w:vAlign w:val="center"/>
          </w:tcPr>
          <w:p w14:paraId="5F6B5B30">
            <w:pPr>
              <w:pStyle w:val="24"/>
              <w:bidi w:val="0"/>
              <w:rPr>
                <w:rFonts w:hint="eastAsia"/>
                <w:color w:val="auto"/>
                <w:lang w:eastAsia="zh-CN"/>
              </w:rPr>
            </w:pPr>
            <w:r>
              <w:rPr>
                <w:rFonts w:hint="default"/>
                <w:color w:val="auto"/>
                <w:lang w:val="zh-CN"/>
              </w:rPr>
              <w:t>《</w:t>
            </w:r>
            <w:r>
              <w:rPr>
                <w:rFonts w:hint="default"/>
                <w:color w:val="auto"/>
                <w:lang w:val="en-US" w:eastAsia="zh-CN"/>
              </w:rPr>
              <w:t>消防设施通用规范</w:t>
            </w:r>
            <w:r>
              <w:rPr>
                <w:rFonts w:hint="default"/>
                <w:color w:val="auto"/>
                <w:lang w:val="zh-CN"/>
              </w:rPr>
              <w:t>》</w:t>
            </w:r>
            <w:r>
              <w:rPr>
                <w:rFonts w:hint="default"/>
                <w:color w:val="auto"/>
                <w:lang w:eastAsia="zh-CN"/>
              </w:rPr>
              <w:t>（</w:t>
            </w:r>
            <w:r>
              <w:rPr>
                <w:rFonts w:hint="default"/>
                <w:color w:val="auto"/>
              </w:rPr>
              <w:t>GB</w:t>
            </w:r>
            <w:r>
              <w:rPr>
                <w:rFonts w:hint="default"/>
                <w:color w:val="auto"/>
                <w:lang w:val="en-US" w:eastAsia="zh-CN"/>
              </w:rPr>
              <w:t xml:space="preserve"> </w:t>
            </w:r>
            <w:r>
              <w:rPr>
                <w:rFonts w:hint="default"/>
                <w:color w:val="auto"/>
              </w:rPr>
              <w:t>5</w:t>
            </w:r>
            <w:r>
              <w:rPr>
                <w:rFonts w:hint="eastAsia"/>
                <w:color w:val="auto"/>
                <w:lang w:val="en-US" w:eastAsia="zh-CN"/>
              </w:rPr>
              <w:t>5</w:t>
            </w:r>
            <w:r>
              <w:rPr>
                <w:rFonts w:hint="default"/>
                <w:color w:val="auto"/>
              </w:rPr>
              <w:t>0</w:t>
            </w:r>
            <w:r>
              <w:rPr>
                <w:rFonts w:hint="default"/>
                <w:color w:val="auto"/>
                <w:lang w:val="en-US" w:eastAsia="zh-CN"/>
              </w:rPr>
              <w:t>3</w:t>
            </w:r>
            <w:r>
              <w:rPr>
                <w:rFonts w:hint="default"/>
                <w:color w:val="auto"/>
              </w:rPr>
              <w:t>6-20</w:t>
            </w:r>
            <w:r>
              <w:rPr>
                <w:rFonts w:hint="default"/>
                <w:color w:val="auto"/>
                <w:lang w:val="en-US" w:eastAsia="zh-CN"/>
              </w:rPr>
              <w:t>22</w:t>
            </w:r>
            <w:r>
              <w:rPr>
                <w:rFonts w:hint="eastAsia"/>
                <w:color w:val="auto"/>
                <w:lang w:eastAsia="zh-CN"/>
              </w:rPr>
              <w:t>）</w:t>
            </w:r>
          </w:p>
          <w:p w14:paraId="4BB2659E">
            <w:pPr>
              <w:pStyle w:val="24"/>
              <w:bidi w:val="0"/>
              <w:rPr>
                <w:rFonts w:hint="default"/>
                <w:color w:val="auto"/>
                <w:lang w:val="en-US" w:eastAsia="zh-CN"/>
              </w:rPr>
            </w:pPr>
            <w:r>
              <w:rPr>
                <w:rFonts w:hint="default"/>
                <w:color w:val="auto"/>
                <w:lang w:val="en-US" w:eastAsia="zh-CN"/>
              </w:rPr>
              <w:t>10.0.4</w:t>
            </w:r>
          </w:p>
        </w:tc>
        <w:tc>
          <w:tcPr>
            <w:tcW w:w="1501" w:type="dxa"/>
            <w:noWrap w:val="0"/>
            <w:vAlign w:val="center"/>
          </w:tcPr>
          <w:p w14:paraId="190A0442">
            <w:pPr>
              <w:pStyle w:val="24"/>
              <w:bidi w:val="0"/>
              <w:rPr>
                <w:rFonts w:hint="default"/>
                <w:color w:val="auto"/>
                <w:lang w:val="en-US" w:eastAsia="zh-CN"/>
              </w:rPr>
            </w:pPr>
            <w:r>
              <w:rPr>
                <w:rFonts w:hint="default"/>
                <w:color w:val="auto"/>
                <w:lang w:val="en-US" w:eastAsia="zh-CN"/>
              </w:rPr>
              <w:t>灭火器的设置位置明显，均不影响人员疏散。</w:t>
            </w:r>
          </w:p>
        </w:tc>
        <w:tc>
          <w:tcPr>
            <w:tcW w:w="686" w:type="dxa"/>
            <w:noWrap w:val="0"/>
            <w:vAlign w:val="center"/>
          </w:tcPr>
          <w:p w14:paraId="5D049FCC">
            <w:pPr>
              <w:pStyle w:val="24"/>
              <w:bidi w:val="0"/>
              <w:rPr>
                <w:rFonts w:hint="default"/>
                <w:color w:val="auto"/>
              </w:rPr>
            </w:pPr>
            <w:r>
              <w:rPr>
                <w:rFonts w:hint="default"/>
                <w:color w:val="auto"/>
              </w:rPr>
              <w:t>符合</w:t>
            </w:r>
          </w:p>
        </w:tc>
      </w:tr>
      <w:tr w14:paraId="5C56B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563" w:type="dxa"/>
            <w:noWrap w:val="0"/>
            <w:vAlign w:val="center"/>
          </w:tcPr>
          <w:p w14:paraId="7EDD1F3D">
            <w:pPr>
              <w:pStyle w:val="24"/>
              <w:bidi w:val="0"/>
              <w:rPr>
                <w:rFonts w:hint="eastAsia" w:eastAsia="宋体"/>
                <w:color w:val="auto"/>
                <w:lang w:eastAsia="zh-CN"/>
              </w:rPr>
            </w:pPr>
            <w:r>
              <w:rPr>
                <w:rFonts w:hint="eastAsia"/>
                <w:color w:val="auto"/>
                <w:lang w:val="en-US" w:eastAsia="zh-CN"/>
              </w:rPr>
              <w:t>7</w:t>
            </w:r>
          </w:p>
        </w:tc>
        <w:tc>
          <w:tcPr>
            <w:tcW w:w="4733" w:type="dxa"/>
            <w:noWrap w:val="0"/>
            <w:vAlign w:val="center"/>
          </w:tcPr>
          <w:p w14:paraId="22583492">
            <w:pPr>
              <w:pStyle w:val="24"/>
              <w:bidi w:val="0"/>
              <w:jc w:val="both"/>
              <w:rPr>
                <w:rFonts w:hint="default"/>
                <w:color w:val="auto"/>
              </w:rPr>
            </w:pPr>
            <w:r>
              <w:rPr>
                <w:rFonts w:hint="default"/>
                <w:color w:val="auto"/>
              </w:rPr>
              <w:t>按照国家标准、行业标准配置消防设施、器材，设置消防安全标志，并定期组织检验、维修，确保完好有效。</w:t>
            </w:r>
          </w:p>
        </w:tc>
        <w:tc>
          <w:tcPr>
            <w:tcW w:w="1718" w:type="dxa"/>
            <w:noWrap w:val="0"/>
            <w:vAlign w:val="center"/>
          </w:tcPr>
          <w:p w14:paraId="676E3EA7">
            <w:pPr>
              <w:pStyle w:val="24"/>
              <w:bidi w:val="0"/>
              <w:rPr>
                <w:rFonts w:hint="default"/>
                <w:color w:val="auto"/>
              </w:rPr>
            </w:pPr>
            <w:r>
              <w:rPr>
                <w:rFonts w:hint="default"/>
                <w:color w:val="auto"/>
                <w:lang w:val="en-GB"/>
              </w:rPr>
              <w:t>《中华人民共和国消防法》</w:t>
            </w:r>
            <w:r>
              <w:rPr>
                <w:rFonts w:hint="eastAsia"/>
                <w:color w:val="auto"/>
                <w:lang w:val="en-GB" w:eastAsia="zh-CN"/>
              </w:rPr>
              <w:t>（</w:t>
            </w:r>
            <w:r>
              <w:rPr>
                <w:rFonts w:hint="default"/>
                <w:color w:val="auto"/>
                <w:lang w:val="en-GB"/>
              </w:rPr>
              <w:t>国家主席令[2008]第6号，2021年4月29中华人民共和国主席令第81号修订</w:t>
            </w:r>
            <w:r>
              <w:rPr>
                <w:rFonts w:hint="eastAsia"/>
                <w:color w:val="auto"/>
                <w:lang w:val="en-GB" w:eastAsia="zh-CN"/>
              </w:rPr>
              <w:t>）</w:t>
            </w:r>
            <w:r>
              <w:rPr>
                <w:rFonts w:hint="default"/>
                <w:color w:val="auto"/>
                <w:lang w:val="en-GB"/>
              </w:rPr>
              <w:t>第16.2条</w:t>
            </w:r>
          </w:p>
        </w:tc>
        <w:tc>
          <w:tcPr>
            <w:tcW w:w="1501" w:type="dxa"/>
            <w:noWrap w:val="0"/>
            <w:vAlign w:val="center"/>
          </w:tcPr>
          <w:p w14:paraId="4606FFCB">
            <w:pPr>
              <w:pStyle w:val="24"/>
              <w:bidi w:val="0"/>
              <w:rPr>
                <w:rFonts w:hint="default"/>
                <w:color w:val="auto"/>
              </w:rPr>
            </w:pPr>
            <w:r>
              <w:rPr>
                <w:rFonts w:hint="default"/>
                <w:color w:val="auto"/>
                <w:lang w:val="en-GB"/>
              </w:rPr>
              <w:t>按</w:t>
            </w:r>
            <w:r>
              <w:rPr>
                <w:rFonts w:hint="default"/>
                <w:color w:val="auto"/>
              </w:rPr>
              <w:t>照国家标准、行业标准配置消防设施、器材</w:t>
            </w:r>
            <w:r>
              <w:rPr>
                <w:rFonts w:hint="default"/>
                <w:color w:val="auto"/>
                <w:lang w:val="en-GB"/>
              </w:rPr>
              <w:t>。</w:t>
            </w:r>
          </w:p>
        </w:tc>
        <w:tc>
          <w:tcPr>
            <w:tcW w:w="686" w:type="dxa"/>
            <w:noWrap w:val="0"/>
            <w:vAlign w:val="center"/>
          </w:tcPr>
          <w:p w14:paraId="543EB4B1">
            <w:pPr>
              <w:pStyle w:val="24"/>
              <w:bidi w:val="0"/>
              <w:rPr>
                <w:rFonts w:hint="default"/>
                <w:color w:val="auto"/>
              </w:rPr>
            </w:pPr>
            <w:r>
              <w:rPr>
                <w:rFonts w:hint="default"/>
                <w:color w:val="auto"/>
              </w:rPr>
              <w:t>符合</w:t>
            </w:r>
          </w:p>
        </w:tc>
      </w:tr>
      <w:tr w14:paraId="7B2989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563" w:type="dxa"/>
            <w:noWrap w:val="0"/>
            <w:vAlign w:val="center"/>
          </w:tcPr>
          <w:p w14:paraId="252ACB9C">
            <w:pPr>
              <w:pStyle w:val="24"/>
              <w:bidi w:val="0"/>
              <w:rPr>
                <w:rFonts w:hint="default"/>
                <w:color w:val="auto"/>
                <w:lang w:val="en-US" w:eastAsia="zh-CN"/>
              </w:rPr>
            </w:pPr>
            <w:bookmarkStart w:id="166" w:name="_Toc13245"/>
            <w:r>
              <w:rPr>
                <w:rFonts w:hint="eastAsia"/>
                <w:color w:val="auto"/>
                <w:lang w:val="en-US" w:eastAsia="zh-CN"/>
              </w:rPr>
              <w:t>8</w:t>
            </w:r>
          </w:p>
        </w:tc>
        <w:tc>
          <w:tcPr>
            <w:tcW w:w="4733" w:type="dxa"/>
            <w:noWrap w:val="0"/>
            <w:vAlign w:val="center"/>
          </w:tcPr>
          <w:p w14:paraId="0289B1C5">
            <w:pPr>
              <w:pStyle w:val="24"/>
              <w:bidi w:val="0"/>
              <w:jc w:val="left"/>
              <w:rPr>
                <w:rFonts w:hint="eastAsia" w:eastAsia="宋体"/>
                <w:color w:val="auto"/>
                <w:lang w:eastAsia="zh-CN"/>
              </w:rPr>
            </w:pPr>
            <w:r>
              <w:rPr>
                <w:rFonts w:hint="default"/>
                <w:color w:val="auto"/>
              </w:rPr>
              <w:t>城镇</w:t>
            </w:r>
            <w:r>
              <w:rPr>
                <w:rFonts w:hint="eastAsia"/>
                <w:color w:val="auto"/>
                <w:lang w:eastAsia="zh-CN"/>
              </w:rPr>
              <w:t>（</w:t>
            </w:r>
            <w:r>
              <w:rPr>
                <w:rFonts w:hint="default"/>
                <w:color w:val="auto"/>
              </w:rPr>
              <w:t>包括居住区、商业区、开发区、工业区等</w:t>
            </w:r>
            <w:r>
              <w:rPr>
                <w:rFonts w:hint="eastAsia"/>
                <w:color w:val="auto"/>
                <w:lang w:eastAsia="zh-CN"/>
              </w:rPr>
              <w:t>）</w:t>
            </w:r>
            <w:r>
              <w:rPr>
                <w:rFonts w:hint="default"/>
                <w:color w:val="auto"/>
              </w:rPr>
              <w:t>应沿可通行消防车的街道设置市政消火栓系统</w:t>
            </w:r>
            <w:r>
              <w:rPr>
                <w:rFonts w:hint="eastAsia"/>
                <w:color w:val="auto"/>
                <w:lang w:eastAsia="zh-CN"/>
              </w:rPr>
              <w:t>。</w:t>
            </w:r>
          </w:p>
          <w:p w14:paraId="5B0D229A">
            <w:pPr>
              <w:pStyle w:val="24"/>
              <w:bidi w:val="0"/>
              <w:jc w:val="left"/>
              <w:rPr>
                <w:rFonts w:hint="default"/>
                <w:color w:val="auto"/>
              </w:rPr>
            </w:pPr>
            <w:r>
              <w:rPr>
                <w:rFonts w:hint="default"/>
                <w:color w:val="auto"/>
              </w:rPr>
              <w:t>民用建筑、厂房、仓库、储罐</w:t>
            </w:r>
            <w:r>
              <w:rPr>
                <w:rFonts w:hint="eastAsia"/>
                <w:color w:val="auto"/>
                <w:lang w:eastAsia="zh-CN"/>
              </w:rPr>
              <w:t>（</w:t>
            </w:r>
            <w:r>
              <w:rPr>
                <w:rFonts w:hint="default"/>
                <w:color w:val="auto"/>
              </w:rPr>
              <w:t>区</w:t>
            </w:r>
            <w:r>
              <w:rPr>
                <w:rFonts w:hint="eastAsia"/>
                <w:color w:val="auto"/>
                <w:lang w:eastAsia="zh-CN"/>
              </w:rPr>
              <w:t>）</w:t>
            </w:r>
            <w:r>
              <w:rPr>
                <w:rFonts w:hint="default"/>
                <w:color w:val="auto"/>
              </w:rPr>
              <w:t>和堆场周围应设置室外消火栓系统。</w:t>
            </w:r>
          </w:p>
          <w:p w14:paraId="76CDBA3B">
            <w:pPr>
              <w:pStyle w:val="24"/>
              <w:bidi w:val="0"/>
              <w:jc w:val="left"/>
              <w:rPr>
                <w:rFonts w:hint="default"/>
                <w:color w:val="auto"/>
              </w:rPr>
            </w:pPr>
            <w:r>
              <w:rPr>
                <w:rFonts w:hint="default"/>
                <w:color w:val="auto"/>
              </w:rPr>
              <w:t>用于消防救援和消防车停靠的屋面上，应设置室外消火栓系统。</w:t>
            </w:r>
          </w:p>
          <w:p w14:paraId="4F71B482">
            <w:pPr>
              <w:pStyle w:val="24"/>
              <w:bidi w:val="0"/>
              <w:jc w:val="left"/>
              <w:rPr>
                <w:rFonts w:hint="default"/>
                <w:color w:val="auto"/>
              </w:rPr>
            </w:pPr>
            <w:r>
              <w:rPr>
                <w:rFonts w:hint="default"/>
                <w:color w:val="auto"/>
              </w:rPr>
              <w:t>注</w:t>
            </w:r>
            <w:r>
              <w:rPr>
                <w:rFonts w:hint="eastAsia"/>
                <w:color w:val="auto"/>
                <w:lang w:eastAsia="zh-CN"/>
              </w:rPr>
              <w:t>：</w:t>
            </w:r>
            <w:r>
              <w:rPr>
                <w:rFonts w:hint="default"/>
                <w:color w:val="auto"/>
              </w:rPr>
              <w:t>耐火等级不低于二级且建筑体积不大于3000</w:t>
            </w:r>
            <w:r>
              <w:rPr>
                <w:rFonts w:hint="eastAsia"/>
                <w:color w:val="auto"/>
                <w:lang w:val="en-US" w:eastAsia="zh-CN"/>
              </w:rPr>
              <w:t>m</w:t>
            </w:r>
            <w:r>
              <w:rPr>
                <w:rFonts w:hint="eastAsia"/>
                <w:color w:val="auto"/>
                <w:vertAlign w:val="superscript"/>
                <w:lang w:val="en-US" w:eastAsia="zh-CN"/>
              </w:rPr>
              <w:t>3</w:t>
            </w:r>
            <w:r>
              <w:rPr>
                <w:rFonts w:hint="default"/>
                <w:color w:val="auto"/>
              </w:rPr>
              <w:t>的戊类厂房</w:t>
            </w:r>
            <w:r>
              <w:rPr>
                <w:rFonts w:hint="eastAsia"/>
                <w:color w:val="auto"/>
                <w:lang w:eastAsia="zh-CN"/>
              </w:rPr>
              <w:t>，</w:t>
            </w:r>
            <w:r>
              <w:rPr>
                <w:rFonts w:hint="default"/>
                <w:color w:val="auto"/>
              </w:rPr>
              <w:t>居住区人数不超过500人且建筑层数不超过两层的居住区</w:t>
            </w:r>
            <w:r>
              <w:rPr>
                <w:rFonts w:hint="eastAsia"/>
                <w:color w:val="auto"/>
                <w:lang w:eastAsia="zh-CN"/>
              </w:rPr>
              <w:t>，</w:t>
            </w:r>
            <w:r>
              <w:rPr>
                <w:rFonts w:hint="default"/>
                <w:color w:val="auto"/>
              </w:rPr>
              <w:t>可不设置室外消火栓系统。</w:t>
            </w:r>
          </w:p>
        </w:tc>
        <w:tc>
          <w:tcPr>
            <w:tcW w:w="1718" w:type="dxa"/>
            <w:noWrap w:val="0"/>
            <w:vAlign w:val="center"/>
          </w:tcPr>
          <w:p w14:paraId="2D0EB45E">
            <w:pPr>
              <w:pStyle w:val="24"/>
              <w:bidi w:val="0"/>
              <w:rPr>
                <w:rFonts w:hint="default"/>
                <w:color w:val="auto"/>
                <w:lang w:val="en-GB"/>
              </w:rPr>
            </w:pPr>
            <w:r>
              <w:rPr>
                <w:rFonts w:hint="default"/>
                <w:color w:val="auto"/>
              </w:rPr>
              <w:t>《建筑设计防火规范[2018版]》（GB50016-2014）8.1.2</w:t>
            </w:r>
          </w:p>
        </w:tc>
        <w:tc>
          <w:tcPr>
            <w:tcW w:w="1501" w:type="dxa"/>
            <w:noWrap w:val="0"/>
            <w:vAlign w:val="center"/>
          </w:tcPr>
          <w:p w14:paraId="3F6A0123">
            <w:pPr>
              <w:pStyle w:val="24"/>
              <w:bidi w:val="0"/>
              <w:jc w:val="left"/>
              <w:rPr>
                <w:rFonts w:hint="default"/>
                <w:color w:val="auto"/>
                <w:lang w:val="en-GB"/>
              </w:rPr>
            </w:pPr>
            <w:r>
              <w:rPr>
                <w:rFonts w:hint="eastAsia"/>
                <w:color w:val="auto"/>
                <w:lang w:val="en-US" w:eastAsia="zh-CN"/>
              </w:rPr>
              <w:t>厂区设置了室外消防管网（与室外生产新水给水管网合用）、室外消火栓，火灾时，由选厂新水池、手抬式消防机动泵满足消防要求。</w:t>
            </w:r>
          </w:p>
        </w:tc>
        <w:tc>
          <w:tcPr>
            <w:tcW w:w="686" w:type="dxa"/>
            <w:noWrap w:val="0"/>
            <w:vAlign w:val="center"/>
          </w:tcPr>
          <w:p w14:paraId="01E8BB7C">
            <w:pPr>
              <w:pStyle w:val="24"/>
              <w:bidi w:val="0"/>
              <w:rPr>
                <w:rFonts w:hint="default"/>
                <w:color w:val="auto"/>
              </w:rPr>
            </w:pPr>
            <w:r>
              <w:rPr>
                <w:rFonts w:hint="eastAsia"/>
                <w:color w:val="auto"/>
                <w:lang w:val="en-US" w:eastAsia="zh-CN"/>
              </w:rPr>
              <w:t>符合</w:t>
            </w:r>
          </w:p>
        </w:tc>
      </w:tr>
      <w:tr w14:paraId="4F2062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563" w:type="dxa"/>
            <w:noWrap w:val="0"/>
            <w:vAlign w:val="center"/>
          </w:tcPr>
          <w:p w14:paraId="46A77081">
            <w:pPr>
              <w:pStyle w:val="24"/>
              <w:bidi w:val="0"/>
              <w:rPr>
                <w:rFonts w:hint="default"/>
                <w:color w:val="auto"/>
                <w:lang w:val="en-US" w:eastAsia="zh-CN"/>
              </w:rPr>
            </w:pPr>
            <w:r>
              <w:rPr>
                <w:rFonts w:hint="eastAsia"/>
                <w:color w:val="auto"/>
                <w:lang w:val="en-US" w:eastAsia="zh-CN"/>
              </w:rPr>
              <w:t>9</w:t>
            </w:r>
          </w:p>
        </w:tc>
        <w:tc>
          <w:tcPr>
            <w:tcW w:w="4733" w:type="dxa"/>
            <w:noWrap w:val="0"/>
            <w:vAlign w:val="center"/>
          </w:tcPr>
          <w:p w14:paraId="3A33AB7A">
            <w:pPr>
              <w:pStyle w:val="24"/>
              <w:bidi w:val="0"/>
              <w:jc w:val="both"/>
              <w:rPr>
                <w:rFonts w:hint="default"/>
                <w:color w:val="auto"/>
              </w:rPr>
            </w:pPr>
            <w:r>
              <w:rPr>
                <w:rFonts w:hint="default"/>
                <w:color w:val="auto"/>
                <w:lang w:val="en-US" w:eastAsia="zh-CN"/>
              </w:rPr>
              <w:t>8.2.1</w:t>
            </w:r>
            <w:r>
              <w:rPr>
                <w:rFonts w:hint="default"/>
                <w:color w:val="auto"/>
              </w:rPr>
              <w:t>下列建筑或场所应</w:t>
            </w:r>
            <w:r>
              <w:rPr>
                <w:rFonts w:hint="default"/>
                <w:color w:val="auto"/>
                <w:lang w:val="en-US" w:eastAsia="zh-CN"/>
              </w:rPr>
              <w:t>设置室内</w:t>
            </w:r>
            <w:r>
              <w:rPr>
                <w:rFonts w:hint="default"/>
                <w:color w:val="auto"/>
              </w:rPr>
              <w:t>消火栓系统：</w:t>
            </w:r>
          </w:p>
          <w:p w14:paraId="45BD2EF9">
            <w:pPr>
              <w:pStyle w:val="24"/>
              <w:bidi w:val="0"/>
              <w:jc w:val="both"/>
              <w:rPr>
                <w:rFonts w:hint="default"/>
                <w:color w:val="auto"/>
                <w:lang w:eastAsia="zh-CN"/>
              </w:rPr>
            </w:pPr>
            <w:r>
              <w:rPr>
                <w:rFonts w:hint="default"/>
                <w:color w:val="auto"/>
              </w:rPr>
              <w:t>1</w:t>
            </w:r>
            <w:r>
              <w:rPr>
                <w:rFonts w:hint="default"/>
                <w:color w:val="auto"/>
                <w:lang w:val="en-US" w:eastAsia="zh-CN"/>
              </w:rPr>
              <w:t>.</w:t>
            </w:r>
            <w:r>
              <w:rPr>
                <w:rFonts w:hint="default"/>
                <w:color w:val="auto"/>
              </w:rPr>
              <w:t>建筑占地面积大于300m²的厂房和仓库；</w:t>
            </w:r>
          </w:p>
          <w:p w14:paraId="2EA0A487">
            <w:pPr>
              <w:pStyle w:val="24"/>
              <w:bidi w:val="0"/>
              <w:jc w:val="both"/>
              <w:rPr>
                <w:rFonts w:hint="default"/>
                <w:color w:val="auto"/>
                <w:lang w:eastAsia="zh-CN"/>
              </w:rPr>
            </w:pPr>
            <w:r>
              <w:rPr>
                <w:rFonts w:hint="default"/>
                <w:color w:val="auto"/>
              </w:rPr>
              <w:t>2高层公共建筑和建筑高度大于21m的住宅建筑；</w:t>
            </w:r>
          </w:p>
          <w:p w14:paraId="7F9CD655">
            <w:pPr>
              <w:pStyle w:val="24"/>
              <w:bidi w:val="0"/>
              <w:jc w:val="both"/>
              <w:rPr>
                <w:rFonts w:hint="default"/>
                <w:color w:val="auto"/>
                <w:lang w:eastAsia="zh-CN"/>
              </w:rPr>
            </w:pPr>
            <w:r>
              <w:rPr>
                <w:rFonts w:hint="default"/>
                <w:color w:val="auto"/>
              </w:rPr>
              <w:t>注：建筑高度不大于27m的住宅建筑，设置室内消火栓系统确有困难时，可只设置干式消防竖管和不带消火栓箱的DN65的室内消火栓。</w:t>
            </w:r>
          </w:p>
          <w:p w14:paraId="45EEAE28">
            <w:pPr>
              <w:pStyle w:val="24"/>
              <w:bidi w:val="0"/>
              <w:jc w:val="both"/>
              <w:rPr>
                <w:rFonts w:hint="default"/>
                <w:color w:val="auto"/>
                <w:lang w:eastAsia="zh-CN"/>
              </w:rPr>
            </w:pPr>
            <w:r>
              <w:rPr>
                <w:rFonts w:hint="default"/>
                <w:color w:val="auto"/>
              </w:rPr>
              <w:t>3</w:t>
            </w:r>
            <w:r>
              <w:rPr>
                <w:rFonts w:hint="default"/>
                <w:color w:val="auto"/>
                <w:lang w:val="en-US" w:eastAsia="zh-CN"/>
              </w:rPr>
              <w:t>.</w:t>
            </w:r>
            <w:r>
              <w:rPr>
                <w:rFonts w:hint="default"/>
                <w:color w:val="auto"/>
              </w:rPr>
              <w:t>体积大于5000m³的车站、码头、机场的候车（船、机）建筑、展览建筑、商店建筑、旅馆建筑、医疗建筑、老年人照料设施和图书馆建筑等单、多层建筑；</w:t>
            </w:r>
          </w:p>
          <w:p w14:paraId="12CF7299">
            <w:pPr>
              <w:pStyle w:val="24"/>
              <w:bidi w:val="0"/>
              <w:jc w:val="both"/>
              <w:rPr>
                <w:rFonts w:hint="default"/>
                <w:color w:val="auto"/>
                <w:lang w:eastAsia="zh-CN"/>
              </w:rPr>
            </w:pPr>
            <w:r>
              <w:rPr>
                <w:rFonts w:hint="default"/>
                <w:color w:val="auto"/>
              </w:rPr>
              <w:t>4</w:t>
            </w:r>
            <w:r>
              <w:rPr>
                <w:rFonts w:hint="default"/>
                <w:color w:val="auto"/>
                <w:lang w:val="en-US" w:eastAsia="zh-CN"/>
              </w:rPr>
              <w:t>.</w:t>
            </w:r>
            <w:r>
              <w:rPr>
                <w:rFonts w:hint="default"/>
                <w:color w:val="auto"/>
              </w:rPr>
              <w:t>特等、甲等剧场，超过800个座位的其他等级的剧场和电影院等以及超过1200个座位的礼堂、体育馆等单、多层建筑；</w:t>
            </w:r>
          </w:p>
          <w:p w14:paraId="5E21ED84">
            <w:pPr>
              <w:pStyle w:val="24"/>
              <w:bidi w:val="0"/>
              <w:jc w:val="both"/>
              <w:rPr>
                <w:rFonts w:hint="default"/>
                <w:color w:val="auto"/>
              </w:rPr>
            </w:pPr>
            <w:r>
              <w:rPr>
                <w:rFonts w:hint="default"/>
                <w:color w:val="auto"/>
              </w:rPr>
              <w:t>5</w:t>
            </w:r>
            <w:r>
              <w:rPr>
                <w:rFonts w:hint="default"/>
                <w:color w:val="auto"/>
                <w:lang w:val="en-US" w:eastAsia="zh-CN"/>
              </w:rPr>
              <w:t>.</w:t>
            </w:r>
            <w:r>
              <w:rPr>
                <w:rFonts w:hint="default"/>
                <w:color w:val="auto"/>
              </w:rPr>
              <w:t>建筑高度大于15m或体积大于10000m³的办公建筑、教学建筑和其他单、多层民用建筑。</w:t>
            </w:r>
          </w:p>
          <w:p w14:paraId="42C797C8">
            <w:pPr>
              <w:pStyle w:val="24"/>
              <w:bidi w:val="0"/>
              <w:jc w:val="both"/>
              <w:rPr>
                <w:rFonts w:hint="eastAsia" w:eastAsia="宋体"/>
                <w:color w:val="auto"/>
                <w:lang w:eastAsia="zh-CN"/>
              </w:rPr>
            </w:pPr>
            <w:r>
              <w:rPr>
                <w:rFonts w:hint="default"/>
                <w:color w:val="auto"/>
                <w:lang w:val="en-US" w:eastAsia="zh-CN"/>
              </w:rPr>
              <w:t>8.2.2</w:t>
            </w:r>
            <w:r>
              <w:rPr>
                <w:rFonts w:hint="default"/>
                <w:color w:val="auto"/>
              </w:rPr>
              <w:t>本规范第8.2.1条未规定的建筑或场所和符合本规范第8.2.1条规定的下列建筑或场所，可不设置室内消火栓系统，但宜设置消防软管卷盘或轻便消防水龙：</w:t>
            </w:r>
          </w:p>
          <w:p w14:paraId="53F53F2B">
            <w:pPr>
              <w:pStyle w:val="24"/>
              <w:bidi w:val="0"/>
              <w:ind w:firstLine="0" w:firstLineChars="0"/>
              <w:jc w:val="both"/>
              <w:rPr>
                <w:rFonts w:hint="default"/>
                <w:color w:val="auto"/>
              </w:rPr>
            </w:pPr>
            <w:r>
              <w:rPr>
                <w:rFonts w:hint="eastAsia"/>
                <w:color w:val="auto"/>
                <w:lang w:val="en-US" w:eastAsia="zh-CN"/>
              </w:rPr>
              <w:t>1.</w:t>
            </w:r>
            <w:r>
              <w:rPr>
                <w:rFonts w:hint="default"/>
                <w:color w:val="auto"/>
              </w:rPr>
              <w:t>耐火等级为一、二级且可燃物较少的单、多层丁、戊类厂房（仓库）。</w:t>
            </w:r>
          </w:p>
        </w:tc>
        <w:tc>
          <w:tcPr>
            <w:tcW w:w="1718" w:type="dxa"/>
            <w:noWrap w:val="0"/>
            <w:vAlign w:val="center"/>
          </w:tcPr>
          <w:p w14:paraId="218DC31B">
            <w:pPr>
              <w:pStyle w:val="24"/>
              <w:bidi w:val="0"/>
              <w:ind w:firstLine="0" w:firstLineChars="0"/>
              <w:rPr>
                <w:rFonts w:hint="default"/>
                <w:color w:val="auto"/>
              </w:rPr>
            </w:pPr>
            <w:r>
              <w:rPr>
                <w:rFonts w:hint="default"/>
                <w:color w:val="auto"/>
              </w:rPr>
              <w:t>《建筑设计防火规范[2018版]》（GB50016-2014）8.2.1</w:t>
            </w:r>
            <w:r>
              <w:rPr>
                <w:rFonts w:hint="eastAsia"/>
                <w:color w:val="auto"/>
                <w:lang w:eastAsia="zh-CN"/>
              </w:rPr>
              <w:t>、</w:t>
            </w:r>
            <w:r>
              <w:rPr>
                <w:rFonts w:hint="eastAsia"/>
                <w:color w:val="auto"/>
                <w:lang w:val="en-US" w:eastAsia="zh-CN"/>
              </w:rPr>
              <w:t>8.2.2</w:t>
            </w:r>
          </w:p>
        </w:tc>
        <w:tc>
          <w:tcPr>
            <w:tcW w:w="1501" w:type="dxa"/>
            <w:noWrap w:val="0"/>
            <w:vAlign w:val="center"/>
          </w:tcPr>
          <w:p w14:paraId="74D41832">
            <w:pPr>
              <w:pStyle w:val="24"/>
              <w:bidi w:val="0"/>
              <w:ind w:firstLine="0" w:firstLineChars="0"/>
              <w:rPr>
                <w:rFonts w:hint="eastAsia"/>
                <w:color w:val="auto"/>
                <w:lang w:val="en-US" w:eastAsia="zh-CN"/>
              </w:rPr>
            </w:pPr>
            <w:r>
              <w:rPr>
                <w:rFonts w:hint="eastAsia"/>
                <w:color w:val="auto"/>
                <w:lang w:val="en-US" w:eastAsia="zh-CN"/>
              </w:rPr>
              <w:t>厂房耐火等级为戊类，</w:t>
            </w:r>
            <w:r>
              <w:rPr>
                <w:rFonts w:hint="default"/>
                <w:color w:val="auto"/>
              </w:rPr>
              <w:t>可不设置室内消火栓系统，但设置</w:t>
            </w:r>
            <w:r>
              <w:rPr>
                <w:rFonts w:hint="eastAsia"/>
                <w:color w:val="auto"/>
                <w:lang w:eastAsia="zh-CN"/>
              </w:rPr>
              <w:t>了</w:t>
            </w:r>
            <w:r>
              <w:rPr>
                <w:rFonts w:hint="default"/>
                <w:color w:val="auto"/>
              </w:rPr>
              <w:t>消防软管</w:t>
            </w:r>
            <w:r>
              <w:rPr>
                <w:rFonts w:hint="eastAsia"/>
                <w:color w:val="auto"/>
                <w:lang w:eastAsia="zh-CN"/>
              </w:rPr>
              <w:t>。</w:t>
            </w:r>
          </w:p>
        </w:tc>
        <w:tc>
          <w:tcPr>
            <w:tcW w:w="686" w:type="dxa"/>
            <w:noWrap w:val="0"/>
            <w:vAlign w:val="center"/>
          </w:tcPr>
          <w:p w14:paraId="61536B8A">
            <w:pPr>
              <w:pStyle w:val="24"/>
              <w:bidi w:val="0"/>
              <w:ind w:firstLine="0" w:firstLineChars="0"/>
              <w:rPr>
                <w:rFonts w:hint="eastAsia"/>
                <w:color w:val="auto"/>
                <w:lang w:val="en-US" w:eastAsia="zh-CN"/>
              </w:rPr>
            </w:pPr>
            <w:r>
              <w:rPr>
                <w:rFonts w:hint="default"/>
                <w:color w:val="auto"/>
              </w:rPr>
              <w:t>符合</w:t>
            </w:r>
          </w:p>
        </w:tc>
      </w:tr>
    </w:tbl>
    <w:p w14:paraId="78FD503B">
      <w:pPr>
        <w:pStyle w:val="4"/>
        <w:bidi w:val="0"/>
        <w:rPr>
          <w:rFonts w:hint="default" w:eastAsia="宋体"/>
          <w:color w:val="auto"/>
          <w:lang w:val="en-US" w:eastAsia="zh-CN"/>
        </w:rPr>
      </w:pPr>
      <w:bookmarkStart w:id="167" w:name="_Toc29604"/>
      <w:r>
        <w:rPr>
          <w:rFonts w:hint="eastAsia"/>
          <w:color w:val="auto"/>
        </w:rPr>
        <w:t>5.4.4</w:t>
      </w:r>
      <w:r>
        <w:rPr>
          <w:rFonts w:hint="eastAsia"/>
          <w:color w:val="auto"/>
          <w:lang w:val="en-US" w:eastAsia="zh-CN"/>
        </w:rPr>
        <w:t xml:space="preserve"> </w:t>
      </w:r>
      <w:r>
        <w:rPr>
          <w:rFonts w:hint="eastAsia"/>
          <w:color w:val="auto"/>
        </w:rPr>
        <w:t>通风、采光</w:t>
      </w:r>
      <w:bookmarkEnd w:id="166"/>
      <w:r>
        <w:rPr>
          <w:rFonts w:hint="eastAsia"/>
          <w:color w:val="auto"/>
          <w:lang w:eastAsia="zh-CN"/>
        </w:rPr>
        <w:t>、</w:t>
      </w:r>
      <w:r>
        <w:rPr>
          <w:rFonts w:hint="eastAsia"/>
          <w:color w:val="auto"/>
          <w:lang w:val="en-US" w:eastAsia="zh-CN"/>
        </w:rPr>
        <w:t>除尘</w:t>
      </w:r>
      <w:bookmarkEnd w:id="167"/>
    </w:p>
    <w:p w14:paraId="174AE49C">
      <w:pPr>
        <w:bidi w:val="0"/>
        <w:rPr>
          <w:rFonts w:hint="eastAsia"/>
          <w:color w:val="auto"/>
        </w:rPr>
      </w:pPr>
      <w:r>
        <w:rPr>
          <w:rFonts w:hint="eastAsia"/>
          <w:color w:val="auto"/>
        </w:rPr>
        <w:t>根据《工业企业总平面设计规范》（GB 50187-2012）、《选矿安全规程》（GB/T 18152-2000）等规范标准，编制如下安全检查表进行现状检查评价。</w:t>
      </w:r>
    </w:p>
    <w:p w14:paraId="6E91BD9F">
      <w:pPr>
        <w:pStyle w:val="23"/>
        <w:bidi w:val="0"/>
        <w:rPr>
          <w:color w:val="auto"/>
        </w:rPr>
      </w:pPr>
      <w:r>
        <w:rPr>
          <w:rFonts w:hint="eastAsia"/>
          <w:color w:val="auto"/>
        </w:rPr>
        <w:t>表5.4-3  通风、采光</w:t>
      </w:r>
      <w:r>
        <w:rPr>
          <w:rFonts w:hint="eastAsia"/>
          <w:color w:val="auto"/>
          <w:lang w:eastAsia="zh-CN"/>
        </w:rPr>
        <w:t>、</w:t>
      </w:r>
      <w:r>
        <w:rPr>
          <w:rFonts w:hint="eastAsia"/>
          <w:color w:val="auto"/>
          <w:lang w:val="en-US" w:eastAsia="zh-CN"/>
        </w:rPr>
        <w:t>除尘</w:t>
      </w:r>
      <w:r>
        <w:rPr>
          <w:rFonts w:hint="eastAsia"/>
          <w:color w:val="auto"/>
        </w:rPr>
        <w:t>设施安全检查表</w:t>
      </w:r>
    </w:p>
    <w:tbl>
      <w:tblPr>
        <w:tblStyle w:val="18"/>
        <w:tblW w:w="0" w:type="auto"/>
        <w:jc w:val="center"/>
        <w:tblLayout w:type="fixed"/>
        <w:tblCellMar>
          <w:top w:w="0" w:type="dxa"/>
          <w:left w:w="108" w:type="dxa"/>
          <w:bottom w:w="0" w:type="dxa"/>
          <w:right w:w="108" w:type="dxa"/>
        </w:tblCellMar>
      </w:tblPr>
      <w:tblGrid>
        <w:gridCol w:w="672"/>
        <w:gridCol w:w="2828"/>
        <w:gridCol w:w="2111"/>
        <w:gridCol w:w="2494"/>
        <w:gridCol w:w="1076"/>
      </w:tblGrid>
      <w:tr w14:paraId="0FFEA11F">
        <w:tblPrEx>
          <w:tblCellMar>
            <w:top w:w="0" w:type="dxa"/>
            <w:left w:w="108" w:type="dxa"/>
            <w:bottom w:w="0" w:type="dxa"/>
            <w:right w:w="108" w:type="dxa"/>
          </w:tblCellMar>
        </w:tblPrEx>
        <w:trPr>
          <w:trHeight w:val="567" w:hRule="atLeast"/>
          <w:tblHeader/>
          <w:jc w:val="center"/>
        </w:trPr>
        <w:tc>
          <w:tcPr>
            <w:tcW w:w="672" w:type="dxa"/>
            <w:tcBorders>
              <w:top w:val="single" w:color="auto" w:sz="6" w:space="0"/>
              <w:left w:val="single" w:color="auto" w:sz="6" w:space="0"/>
              <w:bottom w:val="single" w:color="auto" w:sz="6" w:space="0"/>
              <w:right w:val="single" w:color="auto" w:sz="6" w:space="0"/>
            </w:tcBorders>
            <w:noWrap w:val="0"/>
            <w:vAlign w:val="center"/>
          </w:tcPr>
          <w:p w14:paraId="4F845F6C">
            <w:pPr>
              <w:pStyle w:val="24"/>
              <w:bidi w:val="0"/>
              <w:rPr>
                <w:rFonts w:hint="default"/>
                <w:b/>
                <w:bCs/>
                <w:color w:val="auto"/>
              </w:rPr>
            </w:pPr>
            <w:r>
              <w:rPr>
                <w:rFonts w:hint="default"/>
                <w:b/>
                <w:bCs/>
                <w:color w:val="auto"/>
                <w:lang w:val="zh-CN"/>
              </w:rPr>
              <w:t>序号</w:t>
            </w:r>
          </w:p>
        </w:tc>
        <w:tc>
          <w:tcPr>
            <w:tcW w:w="2828" w:type="dxa"/>
            <w:tcBorders>
              <w:top w:val="single" w:color="auto" w:sz="6" w:space="0"/>
              <w:left w:val="single" w:color="auto" w:sz="6" w:space="0"/>
              <w:bottom w:val="single" w:color="auto" w:sz="6" w:space="0"/>
              <w:right w:val="single" w:color="auto" w:sz="6" w:space="0"/>
            </w:tcBorders>
            <w:noWrap w:val="0"/>
            <w:vAlign w:val="center"/>
          </w:tcPr>
          <w:p w14:paraId="41019BE5">
            <w:pPr>
              <w:pStyle w:val="24"/>
              <w:bidi w:val="0"/>
              <w:rPr>
                <w:rFonts w:hint="default"/>
                <w:b/>
                <w:bCs/>
                <w:color w:val="auto"/>
              </w:rPr>
            </w:pPr>
            <w:r>
              <w:rPr>
                <w:rFonts w:hint="default"/>
                <w:b/>
                <w:bCs/>
                <w:color w:val="auto"/>
                <w:lang w:val="zh-CN"/>
              </w:rPr>
              <w:t>检查内容</w:t>
            </w:r>
          </w:p>
        </w:tc>
        <w:tc>
          <w:tcPr>
            <w:tcW w:w="2111" w:type="dxa"/>
            <w:tcBorders>
              <w:top w:val="single" w:color="auto" w:sz="6" w:space="0"/>
              <w:left w:val="single" w:color="auto" w:sz="6" w:space="0"/>
              <w:bottom w:val="single" w:color="auto" w:sz="6" w:space="0"/>
              <w:right w:val="single" w:color="auto" w:sz="6" w:space="0"/>
            </w:tcBorders>
            <w:noWrap w:val="0"/>
            <w:vAlign w:val="center"/>
          </w:tcPr>
          <w:p w14:paraId="25BF7A15">
            <w:pPr>
              <w:pStyle w:val="24"/>
              <w:bidi w:val="0"/>
              <w:rPr>
                <w:rFonts w:hint="default"/>
                <w:b/>
                <w:bCs/>
                <w:color w:val="auto"/>
              </w:rPr>
            </w:pPr>
            <w:r>
              <w:rPr>
                <w:rFonts w:hint="default"/>
                <w:b/>
                <w:bCs/>
                <w:color w:val="auto"/>
                <w:lang w:val="zh-CN"/>
              </w:rPr>
              <w:t>标准依据</w:t>
            </w:r>
          </w:p>
        </w:tc>
        <w:tc>
          <w:tcPr>
            <w:tcW w:w="2494" w:type="dxa"/>
            <w:tcBorders>
              <w:top w:val="single" w:color="auto" w:sz="6" w:space="0"/>
              <w:left w:val="single" w:color="auto" w:sz="6" w:space="0"/>
              <w:bottom w:val="single" w:color="auto" w:sz="6" w:space="0"/>
              <w:right w:val="single" w:color="auto" w:sz="6" w:space="0"/>
            </w:tcBorders>
            <w:noWrap w:val="0"/>
            <w:vAlign w:val="center"/>
          </w:tcPr>
          <w:p w14:paraId="4BF6C243">
            <w:pPr>
              <w:pStyle w:val="24"/>
              <w:bidi w:val="0"/>
              <w:rPr>
                <w:rFonts w:hint="default"/>
                <w:b/>
                <w:bCs/>
                <w:color w:val="auto"/>
              </w:rPr>
            </w:pPr>
            <w:r>
              <w:rPr>
                <w:rFonts w:hint="default"/>
                <w:b/>
                <w:bCs/>
                <w:color w:val="auto"/>
                <w:lang w:val="zh-CN"/>
              </w:rPr>
              <w:t>检查记录</w:t>
            </w:r>
          </w:p>
        </w:tc>
        <w:tc>
          <w:tcPr>
            <w:tcW w:w="1076" w:type="dxa"/>
            <w:tcBorders>
              <w:top w:val="single" w:color="auto" w:sz="6" w:space="0"/>
              <w:left w:val="single" w:color="auto" w:sz="6" w:space="0"/>
              <w:bottom w:val="single" w:color="auto" w:sz="6" w:space="0"/>
              <w:right w:val="single" w:color="auto" w:sz="6" w:space="0"/>
            </w:tcBorders>
            <w:noWrap w:val="0"/>
            <w:vAlign w:val="center"/>
          </w:tcPr>
          <w:p w14:paraId="38F30021">
            <w:pPr>
              <w:pStyle w:val="24"/>
              <w:bidi w:val="0"/>
              <w:rPr>
                <w:rFonts w:hint="default"/>
                <w:b/>
                <w:bCs/>
                <w:color w:val="auto"/>
              </w:rPr>
            </w:pPr>
            <w:r>
              <w:rPr>
                <w:rFonts w:hint="default"/>
                <w:b/>
                <w:bCs/>
                <w:color w:val="auto"/>
                <w:lang w:val="zh-CN"/>
              </w:rPr>
              <w:t>评价结论</w:t>
            </w:r>
          </w:p>
        </w:tc>
      </w:tr>
      <w:tr w14:paraId="3FA88046">
        <w:tblPrEx>
          <w:tblCellMar>
            <w:top w:w="0" w:type="dxa"/>
            <w:left w:w="108" w:type="dxa"/>
            <w:bottom w:w="0" w:type="dxa"/>
            <w:right w:w="108" w:type="dxa"/>
          </w:tblCellMar>
        </w:tblPrEx>
        <w:trPr>
          <w:trHeight w:val="567" w:hRule="atLeast"/>
          <w:jc w:val="center"/>
        </w:trPr>
        <w:tc>
          <w:tcPr>
            <w:tcW w:w="672" w:type="dxa"/>
            <w:tcBorders>
              <w:top w:val="single" w:color="auto" w:sz="6" w:space="0"/>
              <w:left w:val="single" w:color="auto" w:sz="6" w:space="0"/>
              <w:bottom w:val="single" w:color="auto" w:sz="6" w:space="0"/>
              <w:right w:val="single" w:color="auto" w:sz="6" w:space="0"/>
            </w:tcBorders>
            <w:noWrap w:val="0"/>
            <w:vAlign w:val="center"/>
          </w:tcPr>
          <w:p w14:paraId="2DFF1CCF">
            <w:pPr>
              <w:pStyle w:val="24"/>
              <w:bidi w:val="0"/>
              <w:rPr>
                <w:rFonts w:hint="default"/>
                <w:color w:val="auto"/>
                <w:lang w:val="zh-CN"/>
              </w:rPr>
            </w:pPr>
            <w:r>
              <w:rPr>
                <w:rFonts w:hint="default"/>
                <w:color w:val="auto"/>
                <w:lang w:val="zh-CN"/>
              </w:rPr>
              <w:t>1</w:t>
            </w:r>
          </w:p>
        </w:tc>
        <w:tc>
          <w:tcPr>
            <w:tcW w:w="2828" w:type="dxa"/>
            <w:tcBorders>
              <w:top w:val="single" w:color="auto" w:sz="6" w:space="0"/>
              <w:left w:val="single" w:color="auto" w:sz="6" w:space="0"/>
              <w:bottom w:val="single" w:color="auto" w:sz="6" w:space="0"/>
              <w:right w:val="single" w:color="auto" w:sz="6" w:space="0"/>
            </w:tcBorders>
            <w:noWrap w:val="0"/>
            <w:vAlign w:val="center"/>
          </w:tcPr>
          <w:p w14:paraId="14EEBB92">
            <w:pPr>
              <w:pStyle w:val="24"/>
              <w:bidi w:val="0"/>
              <w:rPr>
                <w:rFonts w:hint="default"/>
                <w:color w:val="auto"/>
                <w:lang w:val="zh-CN"/>
              </w:rPr>
            </w:pPr>
            <w:r>
              <w:rPr>
                <w:rFonts w:hint="default"/>
                <w:color w:val="auto"/>
                <w:lang w:val="zh-CN"/>
              </w:rPr>
              <w:t>在居民区建厂时，厂址应位于居民区常年最小风频方向的上风侧。在山区建厂时，应根据当地小区气象，确定厂区与居民区的位置。</w:t>
            </w:r>
          </w:p>
        </w:tc>
        <w:tc>
          <w:tcPr>
            <w:tcW w:w="2111" w:type="dxa"/>
            <w:tcBorders>
              <w:top w:val="single" w:color="auto" w:sz="6" w:space="0"/>
              <w:left w:val="single" w:color="auto" w:sz="6" w:space="0"/>
              <w:bottom w:val="single" w:color="auto" w:sz="6" w:space="0"/>
              <w:right w:val="single" w:color="auto" w:sz="6" w:space="0"/>
            </w:tcBorders>
            <w:noWrap w:val="0"/>
            <w:vAlign w:val="center"/>
          </w:tcPr>
          <w:p w14:paraId="44ACF77A">
            <w:pPr>
              <w:pStyle w:val="24"/>
              <w:bidi w:val="0"/>
              <w:rPr>
                <w:rFonts w:hint="eastAsia"/>
                <w:color w:val="auto"/>
                <w:lang w:eastAsia="zh-CN"/>
              </w:rPr>
            </w:pPr>
            <w:r>
              <w:rPr>
                <w:rFonts w:hint="default"/>
                <w:color w:val="auto"/>
              </w:rPr>
              <w:t>《选矿安全规程》</w:t>
            </w:r>
            <w:r>
              <w:rPr>
                <w:rFonts w:hint="eastAsia"/>
                <w:color w:val="auto"/>
                <w:lang w:eastAsia="zh-CN"/>
              </w:rPr>
              <w:t>（GB/T 18152-2000）</w:t>
            </w:r>
          </w:p>
          <w:p w14:paraId="168A9FF7">
            <w:pPr>
              <w:pStyle w:val="24"/>
              <w:bidi w:val="0"/>
              <w:rPr>
                <w:rFonts w:hint="default"/>
                <w:color w:val="auto"/>
              </w:rPr>
            </w:pPr>
            <w:r>
              <w:rPr>
                <w:rFonts w:hint="default"/>
                <w:color w:val="auto"/>
              </w:rPr>
              <w:t>5.1.6</w:t>
            </w:r>
          </w:p>
        </w:tc>
        <w:tc>
          <w:tcPr>
            <w:tcW w:w="2494" w:type="dxa"/>
            <w:tcBorders>
              <w:top w:val="single" w:color="auto" w:sz="6" w:space="0"/>
              <w:left w:val="single" w:color="auto" w:sz="6" w:space="0"/>
              <w:bottom w:val="single" w:color="auto" w:sz="6" w:space="0"/>
              <w:right w:val="single" w:color="auto" w:sz="6" w:space="0"/>
            </w:tcBorders>
            <w:noWrap w:val="0"/>
            <w:vAlign w:val="center"/>
          </w:tcPr>
          <w:p w14:paraId="21EFE8E5">
            <w:pPr>
              <w:pStyle w:val="24"/>
              <w:bidi w:val="0"/>
              <w:rPr>
                <w:rFonts w:hint="default"/>
                <w:color w:val="auto"/>
                <w:lang w:val="zh-CN"/>
              </w:rPr>
            </w:pPr>
            <w:r>
              <w:rPr>
                <w:rFonts w:hint="default"/>
                <w:color w:val="auto"/>
                <w:lang w:val="zh-CN"/>
              </w:rPr>
              <w:t>该区域常年主导风向为西南风，附近的村庄位于</w:t>
            </w:r>
            <w:r>
              <w:rPr>
                <w:rFonts w:hint="default"/>
                <w:color w:val="auto"/>
                <w:lang w:val="en-US" w:eastAsia="zh-CN"/>
              </w:rPr>
              <w:t>西</w:t>
            </w:r>
            <w:r>
              <w:rPr>
                <w:rFonts w:hint="eastAsia"/>
                <w:color w:val="auto"/>
                <w:lang w:val="en-US" w:eastAsia="zh-CN"/>
              </w:rPr>
              <w:t>南</w:t>
            </w:r>
            <w:r>
              <w:rPr>
                <w:rFonts w:hint="default"/>
                <w:color w:val="auto"/>
                <w:lang w:val="en-US" w:eastAsia="zh-CN"/>
              </w:rPr>
              <w:t>侧</w:t>
            </w:r>
            <w:r>
              <w:rPr>
                <w:rFonts w:hint="default"/>
                <w:color w:val="auto"/>
                <w:lang w:val="zh-CN"/>
              </w:rPr>
              <w:t>，符合选址要求。</w:t>
            </w:r>
          </w:p>
        </w:tc>
        <w:tc>
          <w:tcPr>
            <w:tcW w:w="1076" w:type="dxa"/>
            <w:tcBorders>
              <w:top w:val="single" w:color="auto" w:sz="6" w:space="0"/>
              <w:left w:val="single" w:color="auto" w:sz="6" w:space="0"/>
              <w:bottom w:val="single" w:color="auto" w:sz="6" w:space="0"/>
              <w:right w:val="single" w:color="auto" w:sz="6" w:space="0"/>
            </w:tcBorders>
            <w:noWrap w:val="0"/>
            <w:vAlign w:val="center"/>
          </w:tcPr>
          <w:p w14:paraId="58547E42">
            <w:pPr>
              <w:pStyle w:val="24"/>
              <w:bidi w:val="0"/>
              <w:rPr>
                <w:rFonts w:hint="default"/>
                <w:color w:val="auto"/>
                <w:lang w:val="zh-CN"/>
              </w:rPr>
            </w:pPr>
            <w:r>
              <w:rPr>
                <w:rFonts w:hint="default"/>
                <w:color w:val="auto"/>
                <w:lang w:val="zh-CN"/>
              </w:rPr>
              <w:t>符合</w:t>
            </w:r>
          </w:p>
        </w:tc>
      </w:tr>
      <w:tr w14:paraId="00882FF6">
        <w:tblPrEx>
          <w:tblCellMar>
            <w:top w:w="0" w:type="dxa"/>
            <w:left w:w="108" w:type="dxa"/>
            <w:bottom w:w="0" w:type="dxa"/>
            <w:right w:w="108" w:type="dxa"/>
          </w:tblCellMar>
        </w:tblPrEx>
        <w:trPr>
          <w:trHeight w:val="567" w:hRule="atLeast"/>
          <w:jc w:val="center"/>
        </w:trPr>
        <w:tc>
          <w:tcPr>
            <w:tcW w:w="672" w:type="dxa"/>
            <w:tcBorders>
              <w:top w:val="single" w:color="auto" w:sz="6" w:space="0"/>
              <w:left w:val="single" w:color="auto" w:sz="6" w:space="0"/>
              <w:bottom w:val="single" w:color="auto" w:sz="6" w:space="0"/>
              <w:right w:val="single" w:color="auto" w:sz="6" w:space="0"/>
            </w:tcBorders>
            <w:noWrap w:val="0"/>
            <w:vAlign w:val="center"/>
          </w:tcPr>
          <w:p w14:paraId="0ECB4581">
            <w:pPr>
              <w:pStyle w:val="24"/>
              <w:bidi w:val="0"/>
              <w:rPr>
                <w:rFonts w:hint="default"/>
                <w:color w:val="auto"/>
              </w:rPr>
            </w:pPr>
            <w:r>
              <w:rPr>
                <w:rFonts w:hint="default"/>
                <w:color w:val="auto"/>
              </w:rPr>
              <w:t>2</w:t>
            </w:r>
          </w:p>
        </w:tc>
        <w:tc>
          <w:tcPr>
            <w:tcW w:w="2828" w:type="dxa"/>
            <w:tcBorders>
              <w:top w:val="single" w:color="auto" w:sz="6" w:space="0"/>
              <w:left w:val="single" w:color="auto" w:sz="6" w:space="0"/>
              <w:bottom w:val="single" w:color="auto" w:sz="6" w:space="0"/>
              <w:right w:val="single" w:color="auto" w:sz="6" w:space="0"/>
            </w:tcBorders>
            <w:noWrap w:val="0"/>
            <w:vAlign w:val="center"/>
          </w:tcPr>
          <w:p w14:paraId="0E7E689B">
            <w:pPr>
              <w:pStyle w:val="24"/>
              <w:bidi w:val="0"/>
              <w:rPr>
                <w:rFonts w:hint="default"/>
                <w:color w:val="auto"/>
              </w:rPr>
            </w:pPr>
            <w:r>
              <w:rPr>
                <w:rFonts w:hint="default"/>
                <w:color w:val="auto"/>
                <w:lang w:val="zh-CN"/>
              </w:rPr>
              <w:t>总平面布置，应结合当地气象条件，使建筑物具有良好的朝向、采光和自然通风条件。高温、热加工、有特殊要求和人员较多的建筑物，应避免西晒 。</w:t>
            </w:r>
          </w:p>
        </w:tc>
        <w:tc>
          <w:tcPr>
            <w:tcW w:w="2111" w:type="dxa"/>
            <w:tcBorders>
              <w:top w:val="single" w:color="auto" w:sz="6" w:space="0"/>
              <w:left w:val="single" w:color="auto" w:sz="6" w:space="0"/>
              <w:bottom w:val="single" w:color="auto" w:sz="6" w:space="0"/>
              <w:right w:val="single" w:color="auto" w:sz="6" w:space="0"/>
            </w:tcBorders>
            <w:noWrap w:val="0"/>
            <w:vAlign w:val="center"/>
          </w:tcPr>
          <w:p w14:paraId="340524C7">
            <w:pPr>
              <w:pStyle w:val="24"/>
              <w:bidi w:val="0"/>
              <w:rPr>
                <w:rFonts w:hint="default"/>
                <w:color w:val="auto"/>
                <w:lang w:val="zh-CN"/>
              </w:rPr>
            </w:pPr>
            <w:r>
              <w:rPr>
                <w:rFonts w:hint="default"/>
                <w:color w:val="auto"/>
                <w:lang w:val="zh-CN"/>
              </w:rPr>
              <w:t>《工业企业总平面设计规范》</w:t>
            </w:r>
          </w:p>
          <w:p w14:paraId="3646B3DD">
            <w:pPr>
              <w:pStyle w:val="24"/>
              <w:bidi w:val="0"/>
              <w:rPr>
                <w:rFonts w:hint="default"/>
                <w:color w:val="auto"/>
                <w:lang w:val="zh-CN"/>
              </w:rPr>
            </w:pPr>
            <w:r>
              <w:rPr>
                <w:rFonts w:hint="default"/>
                <w:color w:val="auto"/>
                <w:lang w:val="zh-CN"/>
              </w:rPr>
              <w:t>（GB</w:t>
            </w:r>
            <w:r>
              <w:rPr>
                <w:rFonts w:hint="default"/>
                <w:color w:val="auto"/>
                <w:lang w:val="en-US" w:eastAsia="zh-CN"/>
              </w:rPr>
              <w:t xml:space="preserve"> </w:t>
            </w:r>
            <w:r>
              <w:rPr>
                <w:rFonts w:hint="default"/>
                <w:color w:val="auto"/>
                <w:lang w:val="zh-CN"/>
              </w:rPr>
              <w:t>50187</w:t>
            </w:r>
            <w:r>
              <w:rPr>
                <w:rFonts w:hint="default"/>
                <w:color w:val="auto"/>
                <w:lang w:val="en-US" w:eastAsia="zh-CN"/>
              </w:rPr>
              <w:t>-</w:t>
            </w:r>
            <w:r>
              <w:rPr>
                <w:rFonts w:hint="default"/>
                <w:color w:val="auto"/>
                <w:lang w:val="zh-CN"/>
              </w:rPr>
              <w:t>2012</w:t>
            </w:r>
            <w:r>
              <w:rPr>
                <w:rFonts w:hint="eastAsia"/>
                <w:color w:val="auto"/>
                <w:lang w:val="zh-CN"/>
              </w:rPr>
              <w:t>）</w:t>
            </w:r>
          </w:p>
          <w:p w14:paraId="39DAED20">
            <w:pPr>
              <w:pStyle w:val="24"/>
              <w:bidi w:val="0"/>
              <w:rPr>
                <w:rFonts w:hint="default"/>
                <w:color w:val="auto"/>
                <w:lang w:val="zh-CN"/>
              </w:rPr>
            </w:pPr>
            <w:r>
              <w:rPr>
                <w:rFonts w:hint="default"/>
                <w:color w:val="auto"/>
                <w:lang w:val="zh-CN"/>
              </w:rPr>
              <w:t>5.1.6</w:t>
            </w:r>
          </w:p>
        </w:tc>
        <w:tc>
          <w:tcPr>
            <w:tcW w:w="2494" w:type="dxa"/>
            <w:tcBorders>
              <w:top w:val="single" w:color="auto" w:sz="6" w:space="0"/>
              <w:left w:val="single" w:color="auto" w:sz="6" w:space="0"/>
              <w:bottom w:val="single" w:color="auto" w:sz="6" w:space="0"/>
              <w:right w:val="single" w:color="auto" w:sz="6" w:space="0"/>
            </w:tcBorders>
            <w:noWrap w:val="0"/>
            <w:vAlign w:val="center"/>
          </w:tcPr>
          <w:p w14:paraId="1C827F62">
            <w:pPr>
              <w:pStyle w:val="24"/>
              <w:bidi w:val="0"/>
              <w:rPr>
                <w:rFonts w:hint="default"/>
                <w:color w:val="auto"/>
                <w:lang w:val="zh-CN"/>
              </w:rPr>
            </w:pPr>
            <w:r>
              <w:rPr>
                <w:rFonts w:hint="default"/>
                <w:color w:val="auto"/>
                <w:lang w:val="zh-CN"/>
              </w:rPr>
              <w:t>选厂主要建筑物室内有良好的朝向、采光和自然通风条件。</w:t>
            </w:r>
          </w:p>
        </w:tc>
        <w:tc>
          <w:tcPr>
            <w:tcW w:w="1076" w:type="dxa"/>
            <w:tcBorders>
              <w:top w:val="single" w:color="auto" w:sz="6" w:space="0"/>
              <w:left w:val="single" w:color="auto" w:sz="6" w:space="0"/>
              <w:bottom w:val="single" w:color="auto" w:sz="6" w:space="0"/>
              <w:right w:val="single" w:color="auto" w:sz="6" w:space="0"/>
            </w:tcBorders>
            <w:noWrap w:val="0"/>
            <w:vAlign w:val="center"/>
          </w:tcPr>
          <w:p w14:paraId="26F8E139">
            <w:pPr>
              <w:pStyle w:val="24"/>
              <w:bidi w:val="0"/>
              <w:rPr>
                <w:rFonts w:hint="default"/>
                <w:color w:val="auto"/>
              </w:rPr>
            </w:pPr>
            <w:r>
              <w:rPr>
                <w:rFonts w:hint="default"/>
                <w:color w:val="auto"/>
              </w:rPr>
              <w:t>符合</w:t>
            </w:r>
          </w:p>
        </w:tc>
      </w:tr>
      <w:tr w14:paraId="00D16693">
        <w:tblPrEx>
          <w:tblCellMar>
            <w:top w:w="0" w:type="dxa"/>
            <w:left w:w="108" w:type="dxa"/>
            <w:bottom w:w="0" w:type="dxa"/>
            <w:right w:w="108" w:type="dxa"/>
          </w:tblCellMar>
        </w:tblPrEx>
        <w:trPr>
          <w:trHeight w:val="567" w:hRule="atLeast"/>
          <w:jc w:val="center"/>
        </w:trPr>
        <w:tc>
          <w:tcPr>
            <w:tcW w:w="672" w:type="dxa"/>
            <w:tcBorders>
              <w:top w:val="single" w:color="auto" w:sz="6" w:space="0"/>
              <w:left w:val="single" w:color="auto" w:sz="6" w:space="0"/>
              <w:bottom w:val="single" w:color="auto" w:sz="6" w:space="0"/>
              <w:right w:val="single" w:color="auto" w:sz="6" w:space="0"/>
            </w:tcBorders>
            <w:noWrap w:val="0"/>
            <w:vAlign w:val="center"/>
          </w:tcPr>
          <w:p w14:paraId="5134F215">
            <w:pPr>
              <w:pStyle w:val="24"/>
              <w:bidi w:val="0"/>
              <w:rPr>
                <w:rFonts w:hint="default"/>
                <w:color w:val="auto"/>
                <w:lang w:val="en-US" w:eastAsia="zh-CN"/>
              </w:rPr>
            </w:pPr>
            <w:r>
              <w:rPr>
                <w:rFonts w:hint="default"/>
                <w:color w:val="auto"/>
                <w:lang w:val="en-US" w:eastAsia="zh-CN"/>
              </w:rPr>
              <w:t>4</w:t>
            </w:r>
          </w:p>
        </w:tc>
        <w:tc>
          <w:tcPr>
            <w:tcW w:w="2828" w:type="dxa"/>
            <w:tcBorders>
              <w:top w:val="single" w:color="auto" w:sz="6" w:space="0"/>
              <w:left w:val="single" w:color="auto" w:sz="6" w:space="0"/>
              <w:bottom w:val="single" w:color="auto" w:sz="6" w:space="0"/>
              <w:right w:val="single" w:color="auto" w:sz="6" w:space="0"/>
            </w:tcBorders>
            <w:noWrap w:val="0"/>
            <w:vAlign w:val="top"/>
          </w:tcPr>
          <w:p w14:paraId="64FA0DDC">
            <w:pPr>
              <w:pStyle w:val="24"/>
              <w:bidi w:val="0"/>
              <w:rPr>
                <w:rFonts w:hint="default"/>
                <w:color w:val="auto"/>
                <w:lang w:val="zh-CN"/>
              </w:rPr>
            </w:pPr>
            <w:r>
              <w:rPr>
                <w:rFonts w:hint="default"/>
                <w:color w:val="auto"/>
                <w:lang w:val="zh-CN"/>
              </w:rPr>
              <w:t>使用有毒、易燃、易爆、易挥发、麻醉性和有刺激性气味的药品，应遵守下列规定：应事先了解其化学性质、使用方法和注意事项，并掌握操作方法；开瓶口应朝向无人处，以防药品崩溅伤人；对剧毒、刺激性和麻醉性以及挥发性的药品，应在通风条件良好的通风橱内操作；取用有毒或剧毒液体药品时，应使用移液管，不应用口直接吸取；加热或配制易燃、易爆药品时，应在安全地点进行；使用有毒、剧毒药品时，操作结束，应立即将器皿冲洗干净，擦净试验台。</w:t>
            </w:r>
          </w:p>
        </w:tc>
        <w:tc>
          <w:tcPr>
            <w:tcW w:w="2111" w:type="dxa"/>
            <w:tcBorders>
              <w:top w:val="single" w:color="auto" w:sz="6" w:space="0"/>
              <w:left w:val="single" w:color="auto" w:sz="6" w:space="0"/>
              <w:bottom w:val="single" w:color="auto" w:sz="6" w:space="0"/>
              <w:right w:val="single" w:color="auto" w:sz="6" w:space="0"/>
            </w:tcBorders>
            <w:noWrap w:val="0"/>
            <w:vAlign w:val="center"/>
          </w:tcPr>
          <w:p w14:paraId="5F12BB12">
            <w:pPr>
              <w:pStyle w:val="24"/>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lang w:val="zh-CN"/>
              </w:rPr>
              <w:t>7.5.6.9</w:t>
            </w:r>
          </w:p>
        </w:tc>
        <w:tc>
          <w:tcPr>
            <w:tcW w:w="2494" w:type="dxa"/>
            <w:tcBorders>
              <w:top w:val="single" w:color="auto" w:sz="6" w:space="0"/>
              <w:left w:val="single" w:color="auto" w:sz="6" w:space="0"/>
              <w:bottom w:val="single" w:color="auto" w:sz="6" w:space="0"/>
              <w:right w:val="single" w:color="auto" w:sz="6" w:space="0"/>
            </w:tcBorders>
            <w:noWrap w:val="0"/>
            <w:vAlign w:val="center"/>
          </w:tcPr>
          <w:p w14:paraId="5B4A90DD">
            <w:pPr>
              <w:pStyle w:val="24"/>
              <w:bidi w:val="0"/>
              <w:rPr>
                <w:rFonts w:hint="default"/>
                <w:color w:val="auto"/>
                <w:lang w:val="zh-CN"/>
              </w:rPr>
            </w:pPr>
            <w:r>
              <w:rPr>
                <w:rFonts w:hint="default"/>
                <w:color w:val="auto"/>
                <w:lang w:val="zh-CN"/>
              </w:rPr>
              <w:t>该选厂不使用</w:t>
            </w:r>
            <w:r>
              <w:rPr>
                <w:rFonts w:hint="eastAsia"/>
                <w:color w:val="auto"/>
                <w:lang w:val="zh-CN"/>
              </w:rPr>
              <w:t>有毒、易燃、易</w:t>
            </w:r>
            <w:r>
              <w:rPr>
                <w:rFonts w:hint="eastAsia"/>
                <w:color w:val="auto"/>
                <w:lang w:val="zh-CN" w:eastAsia="zh-CN"/>
              </w:rPr>
              <w:t>爆、</w:t>
            </w:r>
            <w:r>
              <w:rPr>
                <w:rFonts w:hint="eastAsia"/>
                <w:color w:val="auto"/>
                <w:lang w:val="zh-CN"/>
              </w:rPr>
              <w:t>易挥发、麻醉性和有刺激性气味的</w:t>
            </w:r>
            <w:r>
              <w:rPr>
                <w:rFonts w:hint="default"/>
                <w:color w:val="auto"/>
                <w:lang w:val="zh-CN"/>
              </w:rPr>
              <w:t>药品。</w:t>
            </w:r>
          </w:p>
        </w:tc>
        <w:tc>
          <w:tcPr>
            <w:tcW w:w="1076" w:type="dxa"/>
            <w:tcBorders>
              <w:top w:val="single" w:color="auto" w:sz="6" w:space="0"/>
              <w:left w:val="single" w:color="auto" w:sz="6" w:space="0"/>
              <w:bottom w:val="single" w:color="auto" w:sz="6" w:space="0"/>
              <w:right w:val="single" w:color="auto" w:sz="6" w:space="0"/>
            </w:tcBorders>
            <w:noWrap w:val="0"/>
            <w:vAlign w:val="center"/>
          </w:tcPr>
          <w:p w14:paraId="7A1F1251">
            <w:pPr>
              <w:pStyle w:val="24"/>
              <w:bidi w:val="0"/>
              <w:rPr>
                <w:rFonts w:hint="default"/>
                <w:color w:val="auto"/>
                <w:lang w:val="zh-CN"/>
              </w:rPr>
            </w:pPr>
            <w:r>
              <w:rPr>
                <w:rFonts w:hint="default"/>
                <w:color w:val="auto"/>
                <w:lang w:val="zh-CN"/>
              </w:rPr>
              <w:t>不涉及</w:t>
            </w:r>
          </w:p>
        </w:tc>
      </w:tr>
      <w:tr w14:paraId="15EE1C84">
        <w:tblPrEx>
          <w:tblCellMar>
            <w:top w:w="0" w:type="dxa"/>
            <w:left w:w="108" w:type="dxa"/>
            <w:bottom w:w="0" w:type="dxa"/>
            <w:right w:w="108" w:type="dxa"/>
          </w:tblCellMar>
        </w:tblPrEx>
        <w:trPr>
          <w:trHeight w:val="567" w:hRule="atLeast"/>
          <w:jc w:val="center"/>
        </w:trPr>
        <w:tc>
          <w:tcPr>
            <w:tcW w:w="672" w:type="dxa"/>
            <w:tcBorders>
              <w:top w:val="single" w:color="auto" w:sz="6" w:space="0"/>
              <w:left w:val="single" w:color="auto" w:sz="6" w:space="0"/>
              <w:bottom w:val="single" w:color="auto" w:sz="6" w:space="0"/>
              <w:right w:val="single" w:color="auto" w:sz="6" w:space="0"/>
            </w:tcBorders>
            <w:noWrap w:val="0"/>
            <w:vAlign w:val="center"/>
          </w:tcPr>
          <w:p w14:paraId="4D281509">
            <w:pPr>
              <w:pStyle w:val="24"/>
              <w:bidi w:val="0"/>
              <w:rPr>
                <w:rFonts w:hint="default"/>
                <w:color w:val="auto"/>
                <w:lang w:val="en-US" w:eastAsia="zh-CN"/>
              </w:rPr>
            </w:pPr>
            <w:bookmarkStart w:id="168" w:name="_Toc30390"/>
            <w:r>
              <w:rPr>
                <w:rFonts w:hint="eastAsia"/>
                <w:color w:val="auto"/>
                <w:lang w:val="en-US" w:eastAsia="zh-CN"/>
              </w:rPr>
              <w:t>5</w:t>
            </w:r>
          </w:p>
        </w:tc>
        <w:tc>
          <w:tcPr>
            <w:tcW w:w="2828" w:type="dxa"/>
            <w:tcBorders>
              <w:top w:val="single" w:color="auto" w:sz="6" w:space="0"/>
              <w:left w:val="single" w:color="auto" w:sz="6" w:space="0"/>
              <w:bottom w:val="single" w:color="auto" w:sz="6" w:space="0"/>
              <w:right w:val="single" w:color="auto" w:sz="6" w:space="0"/>
            </w:tcBorders>
            <w:noWrap w:val="0"/>
            <w:vAlign w:val="top"/>
          </w:tcPr>
          <w:p w14:paraId="5C0CCC1F">
            <w:pPr>
              <w:pStyle w:val="24"/>
              <w:bidi w:val="0"/>
              <w:rPr>
                <w:rFonts w:hint="default"/>
                <w:color w:val="auto"/>
                <w:lang w:val="zh-CN"/>
              </w:rPr>
            </w:pPr>
            <w:r>
              <w:rPr>
                <w:rFonts w:hint="default"/>
                <w:color w:val="auto"/>
                <w:lang w:val="zh-CN"/>
              </w:rPr>
              <w:t>对产尘作业点应采取密闭除尘、喷雾洒水、湿式作业等综合防尘措施。</w:t>
            </w:r>
          </w:p>
        </w:tc>
        <w:tc>
          <w:tcPr>
            <w:tcW w:w="2111" w:type="dxa"/>
            <w:tcBorders>
              <w:top w:val="single" w:color="auto" w:sz="6" w:space="0"/>
              <w:left w:val="single" w:color="auto" w:sz="6" w:space="0"/>
              <w:bottom w:val="single" w:color="auto" w:sz="6" w:space="0"/>
              <w:right w:val="single" w:color="auto" w:sz="6" w:space="0"/>
            </w:tcBorders>
            <w:noWrap w:val="0"/>
            <w:vAlign w:val="center"/>
          </w:tcPr>
          <w:p w14:paraId="086B562C">
            <w:pPr>
              <w:pStyle w:val="24"/>
              <w:bidi w:val="0"/>
              <w:rPr>
                <w:rFonts w:hint="default" w:eastAsia="宋体"/>
                <w:color w:val="auto"/>
                <w:lang w:val="en-US" w:eastAsia="zh-CN"/>
              </w:rPr>
            </w:pPr>
            <w:r>
              <w:rPr>
                <w:rFonts w:hint="default"/>
                <w:color w:val="auto"/>
                <w:lang w:val="zh-CN"/>
              </w:rPr>
              <w:t>《选矿安全规程》</w:t>
            </w:r>
            <w:r>
              <w:rPr>
                <w:rFonts w:hint="eastAsia"/>
                <w:color w:val="auto"/>
                <w:lang w:val="zh-CN"/>
              </w:rPr>
              <w:t>（GB/T 18152-2000）</w:t>
            </w:r>
            <w:r>
              <w:rPr>
                <w:rFonts w:hint="eastAsia"/>
                <w:color w:val="auto"/>
                <w:lang w:val="en-US" w:eastAsia="zh-CN"/>
              </w:rPr>
              <w:t>12.4</w:t>
            </w:r>
          </w:p>
        </w:tc>
        <w:tc>
          <w:tcPr>
            <w:tcW w:w="2494" w:type="dxa"/>
            <w:tcBorders>
              <w:top w:val="single" w:color="auto" w:sz="6" w:space="0"/>
              <w:left w:val="single" w:color="auto" w:sz="6" w:space="0"/>
              <w:bottom w:val="single" w:color="auto" w:sz="6" w:space="0"/>
              <w:right w:val="single" w:color="auto" w:sz="6" w:space="0"/>
            </w:tcBorders>
            <w:noWrap w:val="0"/>
            <w:vAlign w:val="center"/>
          </w:tcPr>
          <w:p w14:paraId="69B7F4FE">
            <w:pPr>
              <w:pStyle w:val="24"/>
              <w:bidi w:val="0"/>
              <w:rPr>
                <w:rFonts w:hint="default" w:eastAsia="宋体"/>
                <w:color w:val="auto"/>
                <w:lang w:val="en-US" w:eastAsia="zh-CN"/>
              </w:rPr>
            </w:pPr>
            <w:r>
              <w:rPr>
                <w:rFonts w:hint="default"/>
                <w:color w:val="auto"/>
                <w:lang w:val="zh-CN"/>
              </w:rPr>
              <w:t>对排矿至</w:t>
            </w:r>
            <w:r>
              <w:rPr>
                <w:rFonts w:hint="eastAsia"/>
                <w:color w:val="auto"/>
                <w:lang w:val="en-US" w:eastAsia="zh-CN"/>
              </w:rPr>
              <w:t>皮</w:t>
            </w:r>
            <w:r>
              <w:rPr>
                <w:rFonts w:hint="default"/>
                <w:color w:val="auto"/>
                <w:lang w:val="zh-CN"/>
              </w:rPr>
              <w:t>带输送机所产生的粉尘，设置密闭罩进行机械抽风，含尘气体经2台ZHD10型除尘机组净化排空</w:t>
            </w:r>
            <w:r>
              <w:rPr>
                <w:rFonts w:hint="eastAsia"/>
                <w:color w:val="auto"/>
                <w:lang w:val="zh-CN"/>
              </w:rPr>
              <w:t>。其它产尘点采用喷淋水除尘。</w:t>
            </w:r>
            <w:r>
              <w:rPr>
                <w:rFonts w:hint="eastAsia"/>
                <w:color w:val="auto"/>
                <w:lang w:val="en-US" w:eastAsia="zh-CN"/>
              </w:rPr>
              <w:t>道路采用洒水除尘。值班室、休息室采用通风除尘。</w:t>
            </w:r>
          </w:p>
        </w:tc>
        <w:tc>
          <w:tcPr>
            <w:tcW w:w="1076" w:type="dxa"/>
            <w:tcBorders>
              <w:top w:val="single" w:color="auto" w:sz="6" w:space="0"/>
              <w:left w:val="single" w:color="auto" w:sz="6" w:space="0"/>
              <w:bottom w:val="single" w:color="auto" w:sz="6" w:space="0"/>
              <w:right w:val="single" w:color="auto" w:sz="6" w:space="0"/>
            </w:tcBorders>
            <w:noWrap w:val="0"/>
            <w:vAlign w:val="center"/>
          </w:tcPr>
          <w:p w14:paraId="2E230BB1">
            <w:pPr>
              <w:pStyle w:val="24"/>
              <w:bidi w:val="0"/>
              <w:rPr>
                <w:rFonts w:hint="eastAsia" w:eastAsia="宋体"/>
                <w:color w:val="auto"/>
                <w:lang w:val="en-US" w:eastAsia="zh-CN"/>
              </w:rPr>
            </w:pPr>
            <w:r>
              <w:rPr>
                <w:rFonts w:hint="eastAsia"/>
                <w:color w:val="auto"/>
                <w:lang w:val="en-US" w:eastAsia="zh-CN"/>
              </w:rPr>
              <w:t>符合</w:t>
            </w:r>
          </w:p>
        </w:tc>
      </w:tr>
    </w:tbl>
    <w:p w14:paraId="2F783AEB">
      <w:pPr>
        <w:pStyle w:val="4"/>
        <w:bidi w:val="0"/>
        <w:rPr>
          <w:rFonts w:hint="eastAsia"/>
          <w:color w:val="auto"/>
        </w:rPr>
      </w:pPr>
      <w:bookmarkStart w:id="169" w:name="_Toc17884"/>
      <w:r>
        <w:rPr>
          <w:rFonts w:hint="eastAsia"/>
          <w:color w:val="auto"/>
        </w:rPr>
        <w:t>5.4.5</w:t>
      </w:r>
      <w:r>
        <w:rPr>
          <w:rFonts w:hint="eastAsia"/>
          <w:color w:val="auto"/>
          <w:lang w:val="en-US" w:eastAsia="zh-CN"/>
        </w:rPr>
        <w:t xml:space="preserve"> </w:t>
      </w:r>
      <w:r>
        <w:rPr>
          <w:rFonts w:hint="eastAsia"/>
          <w:color w:val="auto"/>
        </w:rPr>
        <w:t>单元评价小结</w:t>
      </w:r>
      <w:bookmarkEnd w:id="168"/>
      <w:bookmarkEnd w:id="169"/>
    </w:p>
    <w:p w14:paraId="4DF452B0">
      <w:pPr>
        <w:bidi w:val="0"/>
        <w:rPr>
          <w:rFonts w:hint="default" w:eastAsia="宋体"/>
          <w:color w:val="auto"/>
          <w:lang w:val="en-US" w:eastAsia="zh-CN"/>
        </w:rPr>
      </w:pPr>
      <w:r>
        <w:rPr>
          <w:rFonts w:hint="eastAsia"/>
          <w:color w:val="auto"/>
        </w:rPr>
        <w:t>该项目供配电系统、给排水系统及灭火器配置均按《安全设施设计》要求建设，满足《选矿安全规程》（GB/T 18152-2000）等规范的要求。同时，该项目为湿式作业，原料、产品均为不燃物质；电气设施场所等危险区域配置相应的消防设施</w:t>
      </w:r>
      <w:r>
        <w:rPr>
          <w:rFonts w:hint="eastAsia"/>
          <w:color w:val="auto"/>
          <w:lang w:eastAsia="zh-CN"/>
        </w:rPr>
        <w:t>；</w:t>
      </w:r>
      <w:r>
        <w:rPr>
          <w:rFonts w:hint="eastAsia"/>
          <w:color w:val="auto"/>
          <w:lang w:val="en-US" w:eastAsia="zh-CN"/>
        </w:rPr>
        <w:t>采取了除尘措施，</w:t>
      </w:r>
      <w:r>
        <w:rPr>
          <w:rFonts w:hint="eastAsia"/>
          <w:color w:val="auto"/>
        </w:rPr>
        <w:t>具备安全验收条件。</w:t>
      </w:r>
    </w:p>
    <w:p w14:paraId="082FD5AD">
      <w:pPr>
        <w:pStyle w:val="3"/>
        <w:bidi w:val="0"/>
        <w:rPr>
          <w:rFonts w:hint="eastAsia"/>
          <w:color w:val="auto"/>
        </w:rPr>
      </w:pPr>
      <w:bookmarkStart w:id="170" w:name="_Toc18219"/>
      <w:bookmarkStart w:id="171" w:name="_Toc27512"/>
      <w:r>
        <w:rPr>
          <w:rFonts w:hint="eastAsia"/>
          <w:color w:val="auto"/>
        </w:rPr>
        <w:t>5.5 安全设施单元分析评价</w:t>
      </w:r>
      <w:bookmarkEnd w:id="170"/>
      <w:bookmarkEnd w:id="171"/>
    </w:p>
    <w:p w14:paraId="7E25B63A">
      <w:pPr>
        <w:pStyle w:val="4"/>
        <w:bidi w:val="0"/>
        <w:rPr>
          <w:rFonts w:hint="eastAsia"/>
          <w:color w:val="auto"/>
        </w:rPr>
      </w:pPr>
      <w:bookmarkStart w:id="172" w:name="_Toc11165"/>
      <w:bookmarkStart w:id="173" w:name="_Toc3725"/>
      <w:r>
        <w:rPr>
          <w:rFonts w:hint="eastAsia"/>
          <w:color w:val="auto"/>
        </w:rPr>
        <w:t>5.5.1</w:t>
      </w:r>
      <w:r>
        <w:rPr>
          <w:rFonts w:hint="eastAsia"/>
          <w:color w:val="auto"/>
          <w:lang w:val="en-US" w:eastAsia="zh-CN"/>
        </w:rPr>
        <w:t xml:space="preserve"> </w:t>
      </w:r>
      <w:r>
        <w:rPr>
          <w:rFonts w:hint="eastAsia"/>
          <w:color w:val="auto"/>
        </w:rPr>
        <w:t>常规防护设施分析评价</w:t>
      </w:r>
      <w:bookmarkEnd w:id="172"/>
      <w:bookmarkEnd w:id="173"/>
    </w:p>
    <w:p w14:paraId="59BB9B9C">
      <w:pPr>
        <w:bidi w:val="0"/>
        <w:rPr>
          <w:rFonts w:hint="eastAsia"/>
          <w:color w:val="auto"/>
        </w:rPr>
      </w:pPr>
      <w:r>
        <w:rPr>
          <w:rFonts w:hint="eastAsia"/>
          <w:color w:val="auto"/>
        </w:rPr>
        <w:t>该项目建设的主要常规防护设施如下：</w:t>
      </w:r>
    </w:p>
    <w:p w14:paraId="77D12115">
      <w:pPr>
        <w:bidi w:val="0"/>
        <w:rPr>
          <w:rFonts w:hint="eastAsia"/>
          <w:color w:val="auto"/>
        </w:rPr>
      </w:pPr>
      <w:r>
        <w:rPr>
          <w:rFonts w:hint="eastAsia"/>
          <w:color w:val="auto"/>
        </w:rPr>
        <w:t>1、设置防护装置</w:t>
      </w:r>
    </w:p>
    <w:p w14:paraId="0CD6C252">
      <w:pPr>
        <w:bidi w:val="0"/>
        <w:rPr>
          <w:rFonts w:hint="eastAsia"/>
          <w:color w:val="auto"/>
        </w:rPr>
      </w:pPr>
      <w:r>
        <w:rPr>
          <w:rFonts w:hint="eastAsia"/>
          <w:color w:val="auto"/>
        </w:rPr>
        <w:t>以操作人员的操作位置所在平面为基准，凡高度在2m之内的所有传动带、转动轴、齿轮、飞轮等危险零部件及危险部位均设计安装防护装置。</w:t>
      </w:r>
    </w:p>
    <w:p w14:paraId="58C27170">
      <w:pPr>
        <w:bidi w:val="0"/>
        <w:rPr>
          <w:rFonts w:hint="eastAsia"/>
          <w:color w:val="auto"/>
        </w:rPr>
      </w:pPr>
      <w:r>
        <w:rPr>
          <w:rFonts w:hint="eastAsia"/>
          <w:color w:val="auto"/>
        </w:rPr>
        <w:t>2、使用安全色</w:t>
      </w:r>
    </w:p>
    <w:p w14:paraId="68C21901">
      <w:pPr>
        <w:bidi w:val="0"/>
        <w:rPr>
          <w:rFonts w:hint="eastAsia"/>
          <w:color w:val="auto"/>
        </w:rPr>
      </w:pPr>
      <w:r>
        <w:rPr>
          <w:rFonts w:hint="eastAsia"/>
          <w:color w:val="auto"/>
        </w:rPr>
        <w:t>易发生危险的部位，设计安全标志，安全色和安全标志需保持颜色鲜明、清晰、持久。如胶带运输机头尾轮，电气设备的操作箱等。</w:t>
      </w:r>
    </w:p>
    <w:p w14:paraId="4726AF3B">
      <w:pPr>
        <w:bidi w:val="0"/>
        <w:rPr>
          <w:rFonts w:hint="eastAsia"/>
          <w:color w:val="auto"/>
        </w:rPr>
      </w:pPr>
      <w:r>
        <w:rPr>
          <w:rFonts w:hint="eastAsia"/>
          <w:color w:val="auto"/>
        </w:rPr>
        <w:t>3、设置栏杆、扶手</w:t>
      </w:r>
    </w:p>
    <w:p w14:paraId="092B11C8">
      <w:pPr>
        <w:bidi w:val="0"/>
        <w:rPr>
          <w:rFonts w:hint="eastAsia"/>
          <w:color w:val="auto"/>
        </w:rPr>
      </w:pPr>
      <w:r>
        <w:rPr>
          <w:rFonts w:hint="eastAsia"/>
          <w:color w:val="auto"/>
        </w:rPr>
        <w:t>在机械设备的操作位置高出地面0.6m以上的所有位置，均设计安装栏杆、扶手等。</w:t>
      </w:r>
    </w:p>
    <w:p w14:paraId="7F149F64">
      <w:pPr>
        <w:bidi w:val="0"/>
        <w:rPr>
          <w:rFonts w:hint="eastAsia"/>
          <w:color w:val="auto"/>
        </w:rPr>
      </w:pPr>
      <w:r>
        <w:rPr>
          <w:rFonts w:hint="eastAsia"/>
          <w:color w:val="auto"/>
        </w:rPr>
        <w:t>4、设置制动装置</w:t>
      </w:r>
    </w:p>
    <w:p w14:paraId="003EC31B">
      <w:pPr>
        <w:bidi w:val="0"/>
        <w:rPr>
          <w:rFonts w:hint="eastAsia"/>
          <w:color w:val="auto"/>
        </w:rPr>
      </w:pPr>
      <w:r>
        <w:rPr>
          <w:rFonts w:hint="eastAsia"/>
          <w:color w:val="auto"/>
        </w:rPr>
        <w:t>给必要的机械设备设置制动装置，控制装置安装在操作者能看到整个设备的操作位置上，在操作台处不能看到所控制设备的全部时，要在设备的适当位置装设紧急事故开关。例如胶带运输机等设备。</w:t>
      </w:r>
    </w:p>
    <w:p w14:paraId="67393D1A">
      <w:pPr>
        <w:bidi w:val="0"/>
        <w:rPr>
          <w:rFonts w:hint="eastAsia"/>
          <w:color w:val="auto"/>
        </w:rPr>
      </w:pPr>
      <w:r>
        <w:rPr>
          <w:rFonts w:hint="eastAsia"/>
          <w:color w:val="auto"/>
        </w:rPr>
        <w:t>5、加强日常维护保养</w:t>
      </w:r>
    </w:p>
    <w:p w14:paraId="5D80F166">
      <w:pPr>
        <w:bidi w:val="0"/>
        <w:rPr>
          <w:rFonts w:hint="eastAsia"/>
          <w:color w:val="auto"/>
        </w:rPr>
      </w:pPr>
      <w:r>
        <w:rPr>
          <w:rFonts w:hint="eastAsia"/>
          <w:color w:val="auto"/>
        </w:rPr>
        <w:t>设计要求操作工人认真检查设备，使设备经常保持清洁、润滑，良好；建立二级保养制度；一级保养以操作工人为主、维修工人配合；二级保养以维修工人为主，操作工人参与。</w:t>
      </w:r>
    </w:p>
    <w:p w14:paraId="077837FD">
      <w:pPr>
        <w:bidi w:val="0"/>
        <w:rPr>
          <w:rFonts w:hint="eastAsia"/>
          <w:color w:val="auto"/>
        </w:rPr>
      </w:pPr>
      <w:r>
        <w:rPr>
          <w:rFonts w:hint="eastAsia"/>
          <w:color w:val="auto"/>
        </w:rPr>
        <w:t>6、改善作业环境</w:t>
      </w:r>
    </w:p>
    <w:p w14:paraId="69F5BE96">
      <w:pPr>
        <w:bidi w:val="0"/>
        <w:rPr>
          <w:rFonts w:hint="eastAsia"/>
          <w:color w:val="auto"/>
        </w:rPr>
      </w:pPr>
      <w:r>
        <w:rPr>
          <w:rFonts w:hint="eastAsia"/>
          <w:color w:val="auto"/>
        </w:rPr>
        <w:t>作业场所保的地面保持平坦清洁、不得有水渍油污等，以防绊倒、滑到。作业地点除采用总体照明外，还需根据不同操作条件增设照明足够的局部照明装置。</w:t>
      </w:r>
    </w:p>
    <w:p w14:paraId="1054A9A4">
      <w:pPr>
        <w:bidi w:val="0"/>
        <w:rPr>
          <w:rFonts w:hint="eastAsia"/>
          <w:color w:val="auto"/>
        </w:rPr>
      </w:pPr>
      <w:r>
        <w:rPr>
          <w:rFonts w:hint="eastAsia"/>
          <w:color w:val="auto"/>
        </w:rPr>
        <w:t>为了避免和杜绝发生事故。设计规定：操作人员不得乘坐、跨越、钻爬带式输送机，不得运送规定物料以外的其他物料；输送带、传动轮和改向轮上有杂物时，必须及时停车清除；不应在运行的输送带下清矿。运行中的胶带输送机，严禁进行检修、打扫和注油，严禁用手触摸托辊、头尾轮等转动部件。更换栏板、清扫器（刮泥板）和托辊，必须停车切断电源进行，并有专人监护。胶带输送机启动或打滑时，严禁用脚蹬踩、用手推拉或压杠子等办法处理，可通过调节拉紧装置来完成；并在皮带运输机相应部位设置了逆止器。</w:t>
      </w:r>
    </w:p>
    <w:p w14:paraId="4EEE704B">
      <w:pPr>
        <w:bidi w:val="0"/>
        <w:rPr>
          <w:rFonts w:hint="eastAsia"/>
          <w:color w:val="auto"/>
        </w:rPr>
      </w:pPr>
      <w:r>
        <w:rPr>
          <w:rFonts w:hint="eastAsia"/>
          <w:color w:val="auto"/>
        </w:rPr>
        <w:t>根据《生产过程安全卫生要求总则》（GB/T 12801-2008）、《生产设备安全卫生设计总则》（GB 5083-</w:t>
      </w:r>
      <w:r>
        <w:rPr>
          <w:rFonts w:hint="eastAsia"/>
          <w:color w:val="auto"/>
          <w:lang w:val="en-US" w:eastAsia="zh-CN"/>
        </w:rPr>
        <w:t>2023</w:t>
      </w:r>
      <w:r>
        <w:rPr>
          <w:rFonts w:hint="eastAsia"/>
          <w:color w:val="auto"/>
        </w:rPr>
        <w:t>）、《固定式钢梯及平台安全要求第2部分：钢斜梯》（GB 4053.2-2009）、《机械安全 防护装置 固定式和活动式防护装置设计与制造一般要求》（GB/T 8196-2018）、《选矿安全规程》（GB/T 18152-2000）等规范的要求，编制了常规防护设施和措施检查表，对该项目的常规防护设施进行检查，其检查结果见表5.5-1。</w:t>
      </w:r>
    </w:p>
    <w:p w14:paraId="75165338">
      <w:pPr>
        <w:pStyle w:val="23"/>
        <w:bidi w:val="0"/>
        <w:rPr>
          <w:color w:val="auto"/>
        </w:rPr>
      </w:pPr>
      <w:r>
        <w:rPr>
          <w:rFonts w:hint="eastAsia"/>
          <w:color w:val="auto"/>
        </w:rPr>
        <w:t>表5.5-1  常规防护设施安全检查表</w:t>
      </w:r>
    </w:p>
    <w:tbl>
      <w:tblPr>
        <w:tblStyle w:val="18"/>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869"/>
        <w:gridCol w:w="1969"/>
        <w:gridCol w:w="2864"/>
        <w:gridCol w:w="854"/>
      </w:tblGrid>
      <w:tr w14:paraId="53EF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47" w:type="dxa"/>
            <w:noWrap w:val="0"/>
            <w:vAlign w:val="center"/>
          </w:tcPr>
          <w:p w14:paraId="15B9BAE1">
            <w:pPr>
              <w:pStyle w:val="24"/>
              <w:bidi w:val="0"/>
              <w:rPr>
                <w:rFonts w:hint="default"/>
                <w:b/>
                <w:bCs/>
                <w:color w:val="auto"/>
              </w:rPr>
            </w:pPr>
            <w:r>
              <w:rPr>
                <w:rFonts w:hint="default"/>
                <w:b/>
                <w:bCs/>
                <w:color w:val="auto"/>
              </w:rPr>
              <w:t>序号</w:t>
            </w:r>
          </w:p>
        </w:tc>
        <w:tc>
          <w:tcPr>
            <w:tcW w:w="2869" w:type="dxa"/>
            <w:noWrap w:val="0"/>
            <w:vAlign w:val="center"/>
          </w:tcPr>
          <w:p w14:paraId="41505792">
            <w:pPr>
              <w:pStyle w:val="24"/>
              <w:bidi w:val="0"/>
              <w:rPr>
                <w:rFonts w:hint="default"/>
                <w:b/>
                <w:bCs/>
                <w:color w:val="auto"/>
              </w:rPr>
            </w:pPr>
            <w:r>
              <w:rPr>
                <w:rFonts w:hint="default"/>
                <w:b/>
                <w:bCs/>
                <w:color w:val="auto"/>
              </w:rPr>
              <w:t>检查内容</w:t>
            </w:r>
          </w:p>
        </w:tc>
        <w:tc>
          <w:tcPr>
            <w:tcW w:w="1969" w:type="dxa"/>
            <w:noWrap w:val="0"/>
            <w:vAlign w:val="center"/>
          </w:tcPr>
          <w:p w14:paraId="217716CA">
            <w:pPr>
              <w:pStyle w:val="24"/>
              <w:bidi w:val="0"/>
              <w:rPr>
                <w:rFonts w:hint="default"/>
                <w:b/>
                <w:bCs/>
                <w:color w:val="auto"/>
              </w:rPr>
            </w:pPr>
            <w:r>
              <w:rPr>
                <w:rFonts w:hint="default"/>
                <w:b/>
                <w:bCs/>
                <w:color w:val="auto"/>
              </w:rPr>
              <w:t>检查依据</w:t>
            </w:r>
          </w:p>
        </w:tc>
        <w:tc>
          <w:tcPr>
            <w:tcW w:w="2864" w:type="dxa"/>
            <w:noWrap w:val="0"/>
            <w:vAlign w:val="center"/>
          </w:tcPr>
          <w:p w14:paraId="3D401230">
            <w:pPr>
              <w:pStyle w:val="24"/>
              <w:bidi w:val="0"/>
              <w:rPr>
                <w:rFonts w:hint="default"/>
                <w:b/>
                <w:bCs/>
                <w:color w:val="auto"/>
              </w:rPr>
            </w:pPr>
            <w:r>
              <w:rPr>
                <w:rFonts w:hint="default"/>
                <w:b/>
                <w:bCs/>
                <w:color w:val="auto"/>
              </w:rPr>
              <w:t>检查情况</w:t>
            </w:r>
          </w:p>
        </w:tc>
        <w:tc>
          <w:tcPr>
            <w:tcW w:w="854" w:type="dxa"/>
            <w:noWrap w:val="0"/>
            <w:vAlign w:val="center"/>
          </w:tcPr>
          <w:p w14:paraId="4789E702">
            <w:pPr>
              <w:pStyle w:val="24"/>
              <w:bidi w:val="0"/>
              <w:rPr>
                <w:rFonts w:hint="default"/>
                <w:b/>
                <w:bCs/>
                <w:color w:val="auto"/>
              </w:rPr>
            </w:pPr>
            <w:r>
              <w:rPr>
                <w:rFonts w:hint="default"/>
                <w:b/>
                <w:bCs/>
                <w:color w:val="auto"/>
              </w:rPr>
              <w:t>结论</w:t>
            </w:r>
          </w:p>
        </w:tc>
      </w:tr>
      <w:tr w14:paraId="6D81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45EF64E6">
            <w:pPr>
              <w:pStyle w:val="24"/>
              <w:bidi w:val="0"/>
              <w:rPr>
                <w:rFonts w:hint="default"/>
                <w:color w:val="auto"/>
              </w:rPr>
            </w:pPr>
            <w:r>
              <w:rPr>
                <w:rFonts w:hint="default"/>
                <w:color w:val="auto"/>
              </w:rPr>
              <w:t>1</w:t>
            </w:r>
          </w:p>
        </w:tc>
        <w:tc>
          <w:tcPr>
            <w:tcW w:w="2869" w:type="dxa"/>
            <w:noWrap w:val="0"/>
            <w:vAlign w:val="center"/>
          </w:tcPr>
          <w:p w14:paraId="3F6EA6F9">
            <w:pPr>
              <w:pStyle w:val="24"/>
              <w:bidi w:val="0"/>
              <w:rPr>
                <w:rFonts w:hint="default"/>
                <w:color w:val="auto"/>
              </w:rPr>
            </w:pPr>
            <w:r>
              <w:rPr>
                <w:rFonts w:hint="default"/>
                <w:color w:val="auto"/>
              </w:rPr>
              <w:t>危险性作业场所，应设置安全通道；应设应急照明、安全标志和疏散指示标志；门窗应向外开启；通道和出口应保持畅通；出入口的设置应符合有关规定。</w:t>
            </w:r>
          </w:p>
        </w:tc>
        <w:tc>
          <w:tcPr>
            <w:tcW w:w="1969" w:type="dxa"/>
            <w:noWrap w:val="0"/>
            <w:vAlign w:val="center"/>
          </w:tcPr>
          <w:p w14:paraId="2A29BB3F">
            <w:pPr>
              <w:pStyle w:val="24"/>
              <w:bidi w:val="0"/>
              <w:rPr>
                <w:rFonts w:hint="default"/>
                <w:color w:val="auto"/>
              </w:rPr>
            </w:pPr>
            <w:r>
              <w:rPr>
                <w:rFonts w:hint="default"/>
                <w:color w:val="auto"/>
              </w:rPr>
              <w:t>《生产过程安全卫生要求总则》</w:t>
            </w:r>
          </w:p>
          <w:p w14:paraId="0BD928E8">
            <w:pPr>
              <w:pStyle w:val="24"/>
              <w:bidi w:val="0"/>
              <w:rPr>
                <w:rFonts w:hint="eastAsia"/>
                <w:color w:val="auto"/>
                <w:lang w:eastAsia="zh-CN"/>
              </w:rPr>
            </w:pPr>
            <w:r>
              <w:rPr>
                <w:rFonts w:hint="default"/>
                <w:color w:val="auto"/>
                <w:lang w:eastAsia="zh-CN"/>
              </w:rPr>
              <w:t>（</w:t>
            </w:r>
            <w:r>
              <w:rPr>
                <w:rFonts w:hint="default"/>
                <w:color w:val="auto"/>
              </w:rPr>
              <w:t>GB/T 12801-2008</w:t>
            </w:r>
            <w:r>
              <w:rPr>
                <w:rFonts w:hint="eastAsia"/>
                <w:color w:val="auto"/>
                <w:lang w:eastAsia="zh-CN"/>
              </w:rPr>
              <w:t>）</w:t>
            </w:r>
          </w:p>
          <w:p w14:paraId="17ADC81B">
            <w:pPr>
              <w:pStyle w:val="24"/>
              <w:bidi w:val="0"/>
              <w:rPr>
                <w:rFonts w:hint="default"/>
                <w:color w:val="auto"/>
              </w:rPr>
            </w:pPr>
            <w:r>
              <w:rPr>
                <w:rFonts w:hint="default"/>
                <w:color w:val="auto"/>
              </w:rPr>
              <w:t>5.4.6</w:t>
            </w:r>
          </w:p>
        </w:tc>
        <w:tc>
          <w:tcPr>
            <w:tcW w:w="2864" w:type="dxa"/>
            <w:noWrap w:val="0"/>
            <w:vAlign w:val="center"/>
          </w:tcPr>
          <w:p w14:paraId="7451D133">
            <w:pPr>
              <w:pStyle w:val="24"/>
              <w:bidi w:val="0"/>
              <w:rPr>
                <w:rFonts w:hint="default"/>
                <w:color w:val="auto"/>
              </w:rPr>
            </w:pPr>
            <w:r>
              <w:rPr>
                <w:rFonts w:hint="default"/>
                <w:color w:val="auto"/>
              </w:rPr>
              <w:t>厂区内作业场所设有安全通道，通道出口畅通，经整改后已设应急照明、安全标志和疏散指示标志。</w:t>
            </w:r>
          </w:p>
        </w:tc>
        <w:tc>
          <w:tcPr>
            <w:tcW w:w="854" w:type="dxa"/>
            <w:noWrap w:val="0"/>
            <w:vAlign w:val="center"/>
          </w:tcPr>
          <w:p w14:paraId="54B0F763">
            <w:pPr>
              <w:pStyle w:val="24"/>
              <w:bidi w:val="0"/>
              <w:rPr>
                <w:rFonts w:hint="default"/>
                <w:color w:val="auto"/>
              </w:rPr>
            </w:pPr>
            <w:r>
              <w:rPr>
                <w:rFonts w:hint="default"/>
                <w:color w:val="auto"/>
              </w:rPr>
              <w:t>符合</w:t>
            </w:r>
          </w:p>
        </w:tc>
      </w:tr>
      <w:tr w14:paraId="34B0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6AE95059">
            <w:pPr>
              <w:pStyle w:val="24"/>
              <w:bidi w:val="0"/>
              <w:rPr>
                <w:rFonts w:hint="default"/>
                <w:color w:val="auto"/>
              </w:rPr>
            </w:pPr>
            <w:r>
              <w:rPr>
                <w:rFonts w:hint="default"/>
                <w:color w:val="auto"/>
              </w:rPr>
              <w:t>2</w:t>
            </w:r>
          </w:p>
        </w:tc>
        <w:tc>
          <w:tcPr>
            <w:tcW w:w="2869" w:type="dxa"/>
            <w:noWrap w:val="0"/>
            <w:vAlign w:val="center"/>
          </w:tcPr>
          <w:p w14:paraId="77A127DD">
            <w:pPr>
              <w:pStyle w:val="24"/>
              <w:bidi w:val="0"/>
              <w:rPr>
                <w:rFonts w:hint="default"/>
                <w:color w:val="auto"/>
              </w:rPr>
            </w:pPr>
            <w:r>
              <w:rPr>
                <w:rFonts w:hint="default"/>
                <w:color w:val="auto"/>
              </w:rPr>
              <w:t>凡容易发生事故的地方，应按GB</w:t>
            </w:r>
            <w:r>
              <w:rPr>
                <w:rFonts w:hint="default"/>
                <w:color w:val="auto"/>
                <w:lang w:val="en-US" w:eastAsia="zh-CN"/>
              </w:rPr>
              <w:t xml:space="preserve"> </w:t>
            </w:r>
            <w:r>
              <w:rPr>
                <w:rFonts w:hint="default"/>
                <w:color w:val="auto"/>
              </w:rPr>
              <w:t>2894的要求设置安全标志，或在建构筑物及设备上按GB</w:t>
            </w:r>
            <w:r>
              <w:rPr>
                <w:rFonts w:hint="default"/>
                <w:color w:val="auto"/>
                <w:lang w:val="en-US" w:eastAsia="zh-CN"/>
              </w:rPr>
              <w:t xml:space="preserve"> </w:t>
            </w:r>
            <w:r>
              <w:rPr>
                <w:rFonts w:hint="default"/>
                <w:color w:val="auto"/>
              </w:rPr>
              <w:t>2893的要求涂安全色。</w:t>
            </w:r>
          </w:p>
        </w:tc>
        <w:tc>
          <w:tcPr>
            <w:tcW w:w="1969" w:type="dxa"/>
            <w:noWrap w:val="0"/>
            <w:vAlign w:val="center"/>
          </w:tcPr>
          <w:p w14:paraId="4ADE6DDE">
            <w:pPr>
              <w:pStyle w:val="24"/>
              <w:bidi w:val="0"/>
              <w:rPr>
                <w:rFonts w:hint="default"/>
                <w:color w:val="auto"/>
              </w:rPr>
            </w:pPr>
            <w:r>
              <w:rPr>
                <w:rFonts w:hint="default"/>
                <w:color w:val="auto"/>
              </w:rPr>
              <w:t>《生产过程安全卫生要求总则》</w:t>
            </w:r>
          </w:p>
          <w:p w14:paraId="79CE64A8">
            <w:pPr>
              <w:pStyle w:val="24"/>
              <w:bidi w:val="0"/>
              <w:rPr>
                <w:rFonts w:hint="eastAsia"/>
                <w:color w:val="auto"/>
                <w:lang w:eastAsia="zh-CN"/>
              </w:rPr>
            </w:pPr>
            <w:r>
              <w:rPr>
                <w:rFonts w:hint="default"/>
                <w:color w:val="auto"/>
                <w:lang w:eastAsia="zh-CN"/>
              </w:rPr>
              <w:t>（</w:t>
            </w:r>
            <w:r>
              <w:rPr>
                <w:rFonts w:hint="default"/>
                <w:color w:val="auto"/>
              </w:rPr>
              <w:t>GB/T 12801-2008</w:t>
            </w:r>
            <w:r>
              <w:rPr>
                <w:rFonts w:hint="eastAsia"/>
                <w:color w:val="auto"/>
                <w:lang w:eastAsia="zh-CN"/>
              </w:rPr>
              <w:t>）</w:t>
            </w:r>
          </w:p>
          <w:p w14:paraId="0D567085">
            <w:pPr>
              <w:pStyle w:val="24"/>
              <w:bidi w:val="0"/>
              <w:rPr>
                <w:rFonts w:hint="default"/>
                <w:color w:val="auto"/>
              </w:rPr>
            </w:pPr>
            <w:r>
              <w:rPr>
                <w:rFonts w:hint="default"/>
                <w:color w:val="auto"/>
              </w:rPr>
              <w:t>6.8.1</w:t>
            </w:r>
          </w:p>
        </w:tc>
        <w:tc>
          <w:tcPr>
            <w:tcW w:w="2864" w:type="dxa"/>
            <w:noWrap w:val="0"/>
            <w:vAlign w:val="center"/>
          </w:tcPr>
          <w:p w14:paraId="2D10565A">
            <w:pPr>
              <w:pStyle w:val="24"/>
              <w:bidi w:val="0"/>
              <w:rPr>
                <w:rFonts w:hint="default"/>
                <w:color w:val="auto"/>
              </w:rPr>
            </w:pPr>
            <w:r>
              <w:rPr>
                <w:rFonts w:hint="eastAsia"/>
                <w:color w:val="auto"/>
                <w:lang w:val="en-US" w:eastAsia="zh-CN"/>
              </w:rPr>
              <w:t>现场调查时</w:t>
            </w:r>
            <w:r>
              <w:rPr>
                <w:rFonts w:hint="default"/>
                <w:color w:val="auto"/>
                <w:lang w:val="en-US" w:eastAsia="zh-CN"/>
              </w:rPr>
              <w:t>厂内</w:t>
            </w:r>
            <w:r>
              <w:rPr>
                <w:rFonts w:hint="default"/>
                <w:color w:val="auto"/>
              </w:rPr>
              <w:t>安全标志</w:t>
            </w:r>
            <w:r>
              <w:rPr>
                <w:rFonts w:hint="eastAsia"/>
                <w:color w:val="auto"/>
                <w:lang w:val="en-US" w:eastAsia="zh-CN"/>
              </w:rPr>
              <w:t>不</w:t>
            </w:r>
            <w:r>
              <w:rPr>
                <w:rFonts w:hint="default"/>
                <w:color w:val="auto"/>
              </w:rPr>
              <w:t>全</w:t>
            </w:r>
            <w:r>
              <w:rPr>
                <w:rFonts w:hint="eastAsia"/>
                <w:color w:val="auto"/>
                <w:lang w:eastAsia="zh-CN"/>
              </w:rPr>
              <w:t>，</w:t>
            </w:r>
            <w:r>
              <w:rPr>
                <w:rFonts w:hint="eastAsia"/>
                <w:color w:val="auto"/>
                <w:lang w:val="en-US" w:eastAsia="zh-CN"/>
              </w:rPr>
              <w:t>经企业整改后符合</w:t>
            </w:r>
            <w:r>
              <w:rPr>
                <w:rFonts w:hint="default"/>
                <w:color w:val="auto"/>
              </w:rPr>
              <w:t>。</w:t>
            </w:r>
          </w:p>
        </w:tc>
        <w:tc>
          <w:tcPr>
            <w:tcW w:w="854" w:type="dxa"/>
            <w:noWrap w:val="0"/>
            <w:vAlign w:val="center"/>
          </w:tcPr>
          <w:p w14:paraId="73BA91A1">
            <w:pPr>
              <w:pStyle w:val="24"/>
              <w:bidi w:val="0"/>
              <w:rPr>
                <w:rFonts w:hint="default"/>
                <w:color w:val="auto"/>
              </w:rPr>
            </w:pPr>
            <w:r>
              <w:rPr>
                <w:rFonts w:hint="default"/>
                <w:color w:val="auto"/>
              </w:rPr>
              <w:t>符合</w:t>
            </w:r>
          </w:p>
        </w:tc>
      </w:tr>
      <w:tr w14:paraId="0C31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5A0CAB03">
            <w:pPr>
              <w:pStyle w:val="24"/>
              <w:bidi w:val="0"/>
              <w:rPr>
                <w:rFonts w:hint="default"/>
                <w:color w:val="auto"/>
              </w:rPr>
            </w:pPr>
            <w:r>
              <w:rPr>
                <w:rFonts w:hint="default"/>
                <w:color w:val="auto"/>
              </w:rPr>
              <w:t>3</w:t>
            </w:r>
          </w:p>
        </w:tc>
        <w:tc>
          <w:tcPr>
            <w:tcW w:w="2869" w:type="dxa"/>
            <w:noWrap w:val="0"/>
            <w:vAlign w:val="center"/>
          </w:tcPr>
          <w:p w14:paraId="606C372D">
            <w:pPr>
              <w:pStyle w:val="24"/>
              <w:bidi w:val="0"/>
              <w:rPr>
                <w:rFonts w:hint="default"/>
                <w:color w:val="auto"/>
              </w:rPr>
            </w:pPr>
            <w:r>
              <w:rPr>
                <w:rFonts w:hint="default"/>
                <w:color w:val="auto"/>
              </w:rPr>
              <w:t>供作业人员进行操作、维护和调节的工作平台、通道或工作面</w:t>
            </w:r>
            <w:r>
              <w:rPr>
                <w:rFonts w:hint="eastAsia"/>
                <w:color w:val="auto"/>
                <w:lang w:eastAsia="zh-CN"/>
              </w:rPr>
              <w:t>，</w:t>
            </w:r>
            <w:r>
              <w:rPr>
                <w:rFonts w:hint="default"/>
                <w:color w:val="auto"/>
              </w:rPr>
              <w:t>距坠落基准面1.2m及以上时</w:t>
            </w:r>
            <w:r>
              <w:rPr>
                <w:rFonts w:hint="eastAsia"/>
                <w:color w:val="auto"/>
                <w:lang w:eastAsia="zh-CN"/>
              </w:rPr>
              <w:t>，</w:t>
            </w:r>
            <w:r>
              <w:rPr>
                <w:rFonts w:hint="default"/>
                <w:color w:val="auto"/>
              </w:rPr>
              <w:t>其所有敞开边缘应设置防护栏杆。钢梯、钢平台和防护栏杆的设计应按GB4053.1、GB4053.2和GB4053.3的规定执行。</w:t>
            </w:r>
          </w:p>
        </w:tc>
        <w:tc>
          <w:tcPr>
            <w:tcW w:w="1969" w:type="dxa"/>
            <w:noWrap w:val="0"/>
            <w:vAlign w:val="center"/>
          </w:tcPr>
          <w:p w14:paraId="3F7C140B">
            <w:pPr>
              <w:pStyle w:val="24"/>
              <w:bidi w:val="0"/>
              <w:rPr>
                <w:rFonts w:hint="default"/>
                <w:color w:val="auto"/>
              </w:rPr>
            </w:pPr>
            <w:r>
              <w:rPr>
                <w:rFonts w:hint="default"/>
                <w:color w:val="auto"/>
              </w:rPr>
              <w:t>《生产设备安全卫生设计总则》</w:t>
            </w:r>
          </w:p>
          <w:p w14:paraId="61BBB457">
            <w:pPr>
              <w:pStyle w:val="24"/>
              <w:bidi w:val="0"/>
              <w:rPr>
                <w:rFonts w:hint="eastAsia"/>
                <w:color w:val="auto"/>
                <w:lang w:eastAsia="zh-CN"/>
              </w:rPr>
            </w:pPr>
            <w:r>
              <w:rPr>
                <w:rFonts w:hint="default"/>
                <w:color w:val="auto"/>
                <w:lang w:eastAsia="zh-CN"/>
              </w:rPr>
              <w:t>（</w:t>
            </w:r>
            <w:r>
              <w:rPr>
                <w:rFonts w:hint="default"/>
                <w:color w:val="auto"/>
              </w:rPr>
              <w:t>GB 5083-2023</w:t>
            </w:r>
            <w:r>
              <w:rPr>
                <w:rFonts w:hint="eastAsia"/>
                <w:color w:val="auto"/>
                <w:lang w:eastAsia="zh-CN"/>
              </w:rPr>
              <w:t>）</w:t>
            </w:r>
          </w:p>
          <w:p w14:paraId="670C1FE8">
            <w:pPr>
              <w:pStyle w:val="24"/>
              <w:bidi w:val="0"/>
              <w:rPr>
                <w:rFonts w:hint="default"/>
                <w:color w:val="auto"/>
              </w:rPr>
            </w:pPr>
            <w:r>
              <w:rPr>
                <w:rFonts w:hint="default"/>
                <w:color w:val="auto"/>
              </w:rPr>
              <w:t>5.7.4.</w:t>
            </w:r>
            <w:r>
              <w:rPr>
                <w:rFonts w:hint="eastAsia"/>
                <w:color w:val="auto"/>
                <w:lang w:val="en-US" w:eastAsia="zh-CN"/>
              </w:rPr>
              <w:t xml:space="preserve">5 </w:t>
            </w:r>
            <w:r>
              <w:rPr>
                <w:rFonts w:hint="default"/>
                <w:color w:val="auto"/>
              </w:rPr>
              <w:t>b</w:t>
            </w:r>
          </w:p>
        </w:tc>
        <w:tc>
          <w:tcPr>
            <w:tcW w:w="2864" w:type="dxa"/>
            <w:noWrap w:val="0"/>
            <w:vAlign w:val="center"/>
          </w:tcPr>
          <w:p w14:paraId="1B766E59">
            <w:pPr>
              <w:pStyle w:val="24"/>
              <w:bidi w:val="0"/>
              <w:rPr>
                <w:rFonts w:hint="default"/>
                <w:color w:val="auto"/>
              </w:rPr>
            </w:pPr>
            <w:r>
              <w:rPr>
                <w:rFonts w:hint="default"/>
                <w:color w:val="auto"/>
              </w:rPr>
              <w:t>梯子、平台和栏杆满足GB</w:t>
            </w:r>
            <w:r>
              <w:rPr>
                <w:rFonts w:hint="default"/>
                <w:color w:val="auto"/>
                <w:lang w:val="en-US" w:eastAsia="zh-CN"/>
              </w:rPr>
              <w:t xml:space="preserve"> </w:t>
            </w:r>
            <w:r>
              <w:rPr>
                <w:rFonts w:hint="default"/>
                <w:color w:val="auto"/>
              </w:rPr>
              <w:t>4053.1</w:t>
            </w:r>
            <w:r>
              <w:rPr>
                <w:rFonts w:hint="eastAsia"/>
                <w:color w:val="auto"/>
                <w:lang w:eastAsia="zh-CN"/>
              </w:rPr>
              <w:t>、</w:t>
            </w:r>
            <w:r>
              <w:rPr>
                <w:rFonts w:hint="default"/>
                <w:color w:val="auto"/>
              </w:rPr>
              <w:t>GB</w:t>
            </w:r>
            <w:r>
              <w:rPr>
                <w:rFonts w:hint="default"/>
                <w:color w:val="auto"/>
                <w:lang w:val="en-US" w:eastAsia="zh-CN"/>
              </w:rPr>
              <w:t xml:space="preserve"> </w:t>
            </w:r>
            <w:r>
              <w:rPr>
                <w:rFonts w:hint="default"/>
                <w:color w:val="auto"/>
              </w:rPr>
              <w:t>4053.2、GB</w:t>
            </w:r>
            <w:r>
              <w:rPr>
                <w:rFonts w:hint="default"/>
                <w:color w:val="auto"/>
                <w:lang w:val="en-US" w:eastAsia="zh-CN"/>
              </w:rPr>
              <w:t xml:space="preserve"> </w:t>
            </w:r>
            <w:r>
              <w:rPr>
                <w:rFonts w:hint="default"/>
                <w:color w:val="auto"/>
              </w:rPr>
              <w:t>4053.3和GB</w:t>
            </w:r>
            <w:r>
              <w:rPr>
                <w:rFonts w:hint="default"/>
                <w:color w:val="auto"/>
                <w:lang w:val="en-US" w:eastAsia="zh-CN"/>
              </w:rPr>
              <w:t xml:space="preserve"> </w:t>
            </w:r>
            <w:r>
              <w:rPr>
                <w:rFonts w:hint="default"/>
                <w:color w:val="auto"/>
              </w:rPr>
              <w:t>4053.4的要求。</w:t>
            </w:r>
          </w:p>
        </w:tc>
        <w:tc>
          <w:tcPr>
            <w:tcW w:w="854" w:type="dxa"/>
            <w:noWrap w:val="0"/>
            <w:vAlign w:val="center"/>
          </w:tcPr>
          <w:p w14:paraId="47671D3E">
            <w:pPr>
              <w:pStyle w:val="24"/>
              <w:bidi w:val="0"/>
              <w:rPr>
                <w:rFonts w:hint="default"/>
                <w:color w:val="auto"/>
              </w:rPr>
            </w:pPr>
            <w:r>
              <w:rPr>
                <w:rFonts w:hint="default"/>
                <w:color w:val="auto"/>
              </w:rPr>
              <w:t>符合</w:t>
            </w:r>
          </w:p>
        </w:tc>
      </w:tr>
      <w:tr w14:paraId="385E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050E80AF">
            <w:pPr>
              <w:pStyle w:val="24"/>
              <w:bidi w:val="0"/>
              <w:rPr>
                <w:rFonts w:hint="default"/>
                <w:color w:val="auto"/>
              </w:rPr>
            </w:pPr>
            <w:r>
              <w:rPr>
                <w:rFonts w:hint="default"/>
                <w:color w:val="auto"/>
              </w:rPr>
              <w:t>4</w:t>
            </w:r>
          </w:p>
        </w:tc>
        <w:tc>
          <w:tcPr>
            <w:tcW w:w="2869" w:type="dxa"/>
            <w:noWrap w:val="0"/>
            <w:vAlign w:val="center"/>
          </w:tcPr>
          <w:p w14:paraId="74A68097">
            <w:pPr>
              <w:pStyle w:val="24"/>
              <w:bidi w:val="0"/>
              <w:rPr>
                <w:rFonts w:hint="default"/>
                <w:color w:val="auto"/>
              </w:rPr>
            </w:pPr>
            <w:r>
              <w:rPr>
                <w:rFonts w:hint="default"/>
                <w:color w:val="auto"/>
              </w:rPr>
              <w:t>生产设备运行时可能触及并易造成人身伤害的可动零部件应配置安全卫生防护装置。</w:t>
            </w:r>
          </w:p>
        </w:tc>
        <w:tc>
          <w:tcPr>
            <w:tcW w:w="1969" w:type="dxa"/>
            <w:noWrap w:val="0"/>
            <w:vAlign w:val="center"/>
          </w:tcPr>
          <w:p w14:paraId="245AEE01">
            <w:pPr>
              <w:pStyle w:val="24"/>
              <w:bidi w:val="0"/>
              <w:rPr>
                <w:rFonts w:hint="default"/>
                <w:color w:val="auto"/>
              </w:rPr>
            </w:pPr>
            <w:r>
              <w:rPr>
                <w:rFonts w:hint="default"/>
                <w:color w:val="auto"/>
              </w:rPr>
              <w:t>《生产设备安全卫生设计总则》</w:t>
            </w:r>
          </w:p>
          <w:p w14:paraId="0EC1F7EB">
            <w:pPr>
              <w:pStyle w:val="24"/>
              <w:bidi w:val="0"/>
              <w:rPr>
                <w:rFonts w:hint="eastAsia"/>
                <w:color w:val="auto"/>
                <w:lang w:eastAsia="zh-CN"/>
              </w:rPr>
            </w:pPr>
            <w:r>
              <w:rPr>
                <w:rFonts w:hint="default"/>
                <w:color w:val="auto"/>
                <w:lang w:eastAsia="zh-CN"/>
              </w:rPr>
              <w:t>（</w:t>
            </w:r>
            <w:r>
              <w:rPr>
                <w:rFonts w:hint="default"/>
                <w:color w:val="auto"/>
              </w:rPr>
              <w:t>GB 5083-2023</w:t>
            </w:r>
            <w:r>
              <w:rPr>
                <w:rFonts w:hint="eastAsia"/>
                <w:color w:val="auto"/>
                <w:lang w:eastAsia="zh-CN"/>
              </w:rPr>
              <w:t>）</w:t>
            </w:r>
          </w:p>
          <w:p w14:paraId="17B0104F">
            <w:pPr>
              <w:pStyle w:val="24"/>
              <w:bidi w:val="0"/>
              <w:rPr>
                <w:rFonts w:hint="eastAsia" w:eastAsia="宋体"/>
                <w:color w:val="auto"/>
                <w:lang w:eastAsia="zh-CN"/>
              </w:rPr>
            </w:pPr>
            <w:r>
              <w:rPr>
                <w:rFonts w:hint="default"/>
                <w:color w:val="auto"/>
              </w:rPr>
              <w:t>6.1.</w:t>
            </w:r>
            <w:r>
              <w:rPr>
                <w:rFonts w:hint="eastAsia"/>
                <w:color w:val="auto"/>
                <w:lang w:val="en-US" w:eastAsia="zh-CN"/>
              </w:rPr>
              <w:t>1</w:t>
            </w:r>
          </w:p>
        </w:tc>
        <w:tc>
          <w:tcPr>
            <w:tcW w:w="2864" w:type="dxa"/>
            <w:noWrap w:val="0"/>
            <w:vAlign w:val="center"/>
          </w:tcPr>
          <w:p w14:paraId="531FBF32">
            <w:pPr>
              <w:pStyle w:val="24"/>
              <w:bidi w:val="0"/>
              <w:rPr>
                <w:rFonts w:hint="default"/>
                <w:color w:val="auto"/>
                <w:lang w:val="en-US" w:eastAsia="zh-CN"/>
              </w:rPr>
            </w:pPr>
            <w:r>
              <w:rPr>
                <w:rFonts w:hint="default"/>
                <w:color w:val="auto"/>
                <w:lang w:val="en-US" w:eastAsia="zh-CN"/>
              </w:rPr>
              <w:t>已安装</w:t>
            </w:r>
            <w:r>
              <w:rPr>
                <w:rFonts w:hint="eastAsia"/>
                <w:color w:val="auto"/>
                <w:lang w:val="en-US" w:eastAsia="zh-CN"/>
              </w:rPr>
              <w:t>防护罩</w:t>
            </w:r>
            <w:r>
              <w:rPr>
                <w:rFonts w:hint="default"/>
                <w:color w:val="auto"/>
                <w:lang w:val="en-US" w:eastAsia="zh-CN"/>
              </w:rPr>
              <w:t>。</w:t>
            </w:r>
          </w:p>
        </w:tc>
        <w:tc>
          <w:tcPr>
            <w:tcW w:w="854" w:type="dxa"/>
            <w:noWrap w:val="0"/>
            <w:vAlign w:val="center"/>
          </w:tcPr>
          <w:p w14:paraId="791C2965">
            <w:pPr>
              <w:pStyle w:val="24"/>
              <w:bidi w:val="0"/>
              <w:rPr>
                <w:rFonts w:hint="default"/>
                <w:color w:val="auto"/>
              </w:rPr>
            </w:pPr>
            <w:r>
              <w:rPr>
                <w:rFonts w:hint="default"/>
                <w:color w:val="auto"/>
              </w:rPr>
              <w:t>符合</w:t>
            </w:r>
          </w:p>
        </w:tc>
      </w:tr>
      <w:tr w14:paraId="7DFB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27370EEE">
            <w:pPr>
              <w:pStyle w:val="24"/>
              <w:bidi w:val="0"/>
              <w:rPr>
                <w:rFonts w:hint="eastAsia" w:eastAsia="宋体"/>
                <w:color w:val="auto"/>
                <w:lang w:eastAsia="zh-CN"/>
              </w:rPr>
            </w:pPr>
            <w:r>
              <w:rPr>
                <w:rFonts w:hint="eastAsia"/>
                <w:color w:val="auto"/>
                <w:lang w:val="en-US" w:eastAsia="zh-CN"/>
              </w:rPr>
              <w:t>5</w:t>
            </w:r>
          </w:p>
        </w:tc>
        <w:tc>
          <w:tcPr>
            <w:tcW w:w="2869" w:type="dxa"/>
            <w:noWrap w:val="0"/>
            <w:vAlign w:val="center"/>
          </w:tcPr>
          <w:p w14:paraId="510284A0">
            <w:pPr>
              <w:pStyle w:val="24"/>
              <w:bidi w:val="0"/>
              <w:rPr>
                <w:rFonts w:hint="default"/>
                <w:color w:val="auto"/>
              </w:rPr>
            </w:pPr>
            <w:r>
              <w:rPr>
                <w:rFonts w:hint="default"/>
                <w:color w:val="auto"/>
              </w:rPr>
              <w:t>梯高宜不大于5m，大于5m时，宜设梯间平台</w:t>
            </w:r>
            <w:r>
              <w:rPr>
                <w:rFonts w:hint="default"/>
                <w:color w:val="auto"/>
                <w:lang w:eastAsia="zh-CN"/>
              </w:rPr>
              <w:t>（</w:t>
            </w:r>
            <w:r>
              <w:rPr>
                <w:rFonts w:hint="default"/>
                <w:color w:val="auto"/>
              </w:rPr>
              <w:t>休息平台</w:t>
            </w:r>
            <w:r>
              <w:rPr>
                <w:rFonts w:hint="eastAsia"/>
                <w:color w:val="auto"/>
                <w:lang w:eastAsia="zh-CN"/>
              </w:rPr>
              <w:t>）</w:t>
            </w:r>
            <w:r>
              <w:rPr>
                <w:rFonts w:hint="default"/>
                <w:color w:val="auto"/>
              </w:rPr>
              <w:t>，分段设梯。</w:t>
            </w:r>
          </w:p>
        </w:tc>
        <w:tc>
          <w:tcPr>
            <w:tcW w:w="1969" w:type="dxa"/>
            <w:noWrap w:val="0"/>
            <w:vAlign w:val="center"/>
          </w:tcPr>
          <w:p w14:paraId="4B8ADCB6">
            <w:pPr>
              <w:pStyle w:val="24"/>
              <w:bidi w:val="0"/>
              <w:rPr>
                <w:rFonts w:hint="default"/>
                <w:color w:val="auto"/>
              </w:rPr>
            </w:pPr>
            <w:r>
              <w:rPr>
                <w:rFonts w:hint="default"/>
                <w:color w:val="auto"/>
              </w:rPr>
              <w:t>《固定式钢梯及平台安全要求 第2部分：钢斜梯》</w:t>
            </w:r>
          </w:p>
          <w:p w14:paraId="0599C053">
            <w:pPr>
              <w:pStyle w:val="24"/>
              <w:bidi w:val="0"/>
              <w:rPr>
                <w:rFonts w:hint="default"/>
                <w:color w:val="auto"/>
                <w:lang w:eastAsia="zh-CN"/>
              </w:rPr>
            </w:pPr>
            <w:r>
              <w:rPr>
                <w:rFonts w:hint="default"/>
                <w:color w:val="auto"/>
                <w:lang w:eastAsia="zh-CN"/>
              </w:rPr>
              <w:t>（</w:t>
            </w:r>
            <w:r>
              <w:rPr>
                <w:rFonts w:hint="default"/>
                <w:color w:val="auto"/>
              </w:rPr>
              <w:t>GB 4053.2-2009</w:t>
            </w:r>
            <w:r>
              <w:rPr>
                <w:rFonts w:hint="eastAsia"/>
                <w:color w:val="auto"/>
                <w:lang w:eastAsia="zh-CN"/>
              </w:rPr>
              <w:t>）</w:t>
            </w:r>
          </w:p>
          <w:p w14:paraId="04B3A863">
            <w:pPr>
              <w:pStyle w:val="24"/>
              <w:bidi w:val="0"/>
              <w:rPr>
                <w:rFonts w:hint="default"/>
                <w:color w:val="auto"/>
              </w:rPr>
            </w:pPr>
            <w:r>
              <w:rPr>
                <w:rFonts w:hint="default"/>
                <w:color w:val="auto"/>
              </w:rPr>
              <w:t>第5.1.1条</w:t>
            </w:r>
          </w:p>
        </w:tc>
        <w:tc>
          <w:tcPr>
            <w:tcW w:w="2864" w:type="dxa"/>
            <w:noWrap w:val="0"/>
            <w:vAlign w:val="center"/>
          </w:tcPr>
          <w:p w14:paraId="6E5D8393">
            <w:pPr>
              <w:pStyle w:val="24"/>
              <w:bidi w:val="0"/>
              <w:rPr>
                <w:rFonts w:hint="default"/>
                <w:color w:val="auto"/>
              </w:rPr>
            </w:pPr>
            <w:r>
              <w:rPr>
                <w:rFonts w:hint="default"/>
                <w:color w:val="auto"/>
                <w:lang w:val="en-US" w:eastAsia="zh-CN"/>
              </w:rPr>
              <w:t>项目梯高均未大于5m。</w:t>
            </w:r>
          </w:p>
        </w:tc>
        <w:tc>
          <w:tcPr>
            <w:tcW w:w="854" w:type="dxa"/>
            <w:noWrap w:val="0"/>
            <w:vAlign w:val="center"/>
          </w:tcPr>
          <w:p w14:paraId="4A833874">
            <w:pPr>
              <w:pStyle w:val="24"/>
              <w:bidi w:val="0"/>
              <w:rPr>
                <w:rFonts w:hint="default"/>
                <w:color w:val="auto"/>
              </w:rPr>
            </w:pPr>
            <w:r>
              <w:rPr>
                <w:rFonts w:hint="default"/>
                <w:color w:val="auto"/>
                <w:lang w:val="en-US" w:eastAsia="zh-CN"/>
              </w:rPr>
              <w:t>符合</w:t>
            </w:r>
          </w:p>
        </w:tc>
      </w:tr>
      <w:tr w14:paraId="1F0B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2538587B">
            <w:pPr>
              <w:pStyle w:val="24"/>
              <w:bidi w:val="0"/>
              <w:rPr>
                <w:rFonts w:hint="eastAsia" w:eastAsia="宋体"/>
                <w:color w:val="auto"/>
                <w:lang w:eastAsia="zh-CN"/>
              </w:rPr>
            </w:pPr>
            <w:r>
              <w:rPr>
                <w:rFonts w:hint="eastAsia"/>
                <w:color w:val="auto"/>
                <w:lang w:val="en-US" w:eastAsia="zh-CN"/>
              </w:rPr>
              <w:t>6</w:t>
            </w:r>
          </w:p>
        </w:tc>
        <w:tc>
          <w:tcPr>
            <w:tcW w:w="2869" w:type="dxa"/>
            <w:noWrap w:val="0"/>
            <w:vAlign w:val="center"/>
          </w:tcPr>
          <w:p w14:paraId="124D80AF">
            <w:pPr>
              <w:pStyle w:val="24"/>
              <w:bidi w:val="0"/>
              <w:rPr>
                <w:rFonts w:hint="default"/>
                <w:color w:val="auto"/>
              </w:rPr>
            </w:pPr>
            <w:r>
              <w:rPr>
                <w:rFonts w:hint="default"/>
                <w:color w:val="auto"/>
              </w:rPr>
              <w:t>连接牢固性：焊接、粘接或机械式紧固连接应有足够的强度，以承受正常的可预见的载荷。在使用粘接剂的场合，应使其与所采用的工艺和使用的材料相匹配。在使用机械紧固件的场合，其强度、数量和位置应足以保证防护装置的稳定性和刚度。</w:t>
            </w:r>
          </w:p>
        </w:tc>
        <w:tc>
          <w:tcPr>
            <w:tcW w:w="1969" w:type="dxa"/>
            <w:noWrap w:val="0"/>
            <w:vAlign w:val="center"/>
          </w:tcPr>
          <w:p w14:paraId="52E208A8">
            <w:pPr>
              <w:pStyle w:val="24"/>
              <w:bidi w:val="0"/>
              <w:rPr>
                <w:rFonts w:hint="default"/>
                <w:color w:val="auto"/>
              </w:rPr>
            </w:pPr>
            <w:r>
              <w:rPr>
                <w:rFonts w:hint="default"/>
                <w:color w:val="auto"/>
              </w:rPr>
              <w:t>《机械安全 防护装置 固定式和活动式防护装置设计与制造一般要求》</w:t>
            </w:r>
          </w:p>
          <w:p w14:paraId="279ACE76">
            <w:pPr>
              <w:pStyle w:val="24"/>
              <w:bidi w:val="0"/>
              <w:rPr>
                <w:rFonts w:hint="eastAsia"/>
                <w:color w:val="auto"/>
                <w:lang w:eastAsia="zh-CN"/>
              </w:rPr>
            </w:pPr>
            <w:r>
              <w:rPr>
                <w:rFonts w:hint="default"/>
                <w:color w:val="auto"/>
                <w:lang w:eastAsia="zh-CN"/>
              </w:rPr>
              <w:t>（</w:t>
            </w:r>
            <w:r>
              <w:rPr>
                <w:rFonts w:hint="default"/>
                <w:color w:val="auto"/>
              </w:rPr>
              <w:t>GB</w:t>
            </w:r>
            <w:r>
              <w:rPr>
                <w:rFonts w:hint="default"/>
                <w:color w:val="auto"/>
                <w:lang w:val="en-US" w:eastAsia="zh-CN"/>
              </w:rPr>
              <w:t xml:space="preserve">/T </w:t>
            </w:r>
            <w:r>
              <w:rPr>
                <w:rFonts w:hint="default"/>
                <w:color w:val="auto"/>
              </w:rPr>
              <w:t>8196-20</w:t>
            </w:r>
            <w:r>
              <w:rPr>
                <w:rFonts w:hint="default"/>
                <w:color w:val="auto"/>
                <w:lang w:val="en-US" w:eastAsia="zh-CN"/>
              </w:rPr>
              <w:t>18</w:t>
            </w:r>
            <w:r>
              <w:rPr>
                <w:rFonts w:hint="eastAsia"/>
                <w:color w:val="auto"/>
                <w:lang w:eastAsia="zh-CN"/>
              </w:rPr>
              <w:t>）</w:t>
            </w:r>
          </w:p>
          <w:p w14:paraId="6076060F">
            <w:pPr>
              <w:pStyle w:val="24"/>
              <w:bidi w:val="0"/>
              <w:rPr>
                <w:rFonts w:hint="default"/>
                <w:color w:val="auto"/>
              </w:rPr>
            </w:pPr>
            <w:r>
              <w:rPr>
                <w:rFonts w:hint="default"/>
                <w:color w:val="auto"/>
              </w:rPr>
              <w:t>第5.4.2条</w:t>
            </w:r>
          </w:p>
        </w:tc>
        <w:tc>
          <w:tcPr>
            <w:tcW w:w="2864" w:type="dxa"/>
            <w:noWrap w:val="0"/>
            <w:vAlign w:val="center"/>
          </w:tcPr>
          <w:p w14:paraId="4DC39215">
            <w:pPr>
              <w:pStyle w:val="24"/>
              <w:bidi w:val="0"/>
              <w:rPr>
                <w:rFonts w:hint="default"/>
                <w:color w:val="auto"/>
              </w:rPr>
            </w:pPr>
            <w:r>
              <w:rPr>
                <w:rFonts w:hint="default"/>
                <w:color w:val="auto"/>
              </w:rPr>
              <w:t>现场供电电缆电线敷设符合设计要求。</w:t>
            </w:r>
          </w:p>
        </w:tc>
        <w:tc>
          <w:tcPr>
            <w:tcW w:w="854" w:type="dxa"/>
            <w:noWrap w:val="0"/>
            <w:vAlign w:val="center"/>
          </w:tcPr>
          <w:p w14:paraId="543EF215">
            <w:pPr>
              <w:pStyle w:val="24"/>
              <w:bidi w:val="0"/>
              <w:rPr>
                <w:rFonts w:hint="default"/>
                <w:color w:val="auto"/>
              </w:rPr>
            </w:pPr>
            <w:r>
              <w:rPr>
                <w:rFonts w:hint="default"/>
                <w:color w:val="auto"/>
              </w:rPr>
              <w:t>符合</w:t>
            </w:r>
          </w:p>
        </w:tc>
      </w:tr>
      <w:tr w14:paraId="6FAA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112E6006">
            <w:pPr>
              <w:pStyle w:val="24"/>
              <w:bidi w:val="0"/>
              <w:rPr>
                <w:rFonts w:hint="eastAsia" w:eastAsia="宋体"/>
                <w:color w:val="auto"/>
                <w:lang w:eastAsia="zh-CN"/>
              </w:rPr>
            </w:pPr>
            <w:r>
              <w:rPr>
                <w:rFonts w:hint="eastAsia"/>
                <w:color w:val="auto"/>
                <w:lang w:val="en-US" w:eastAsia="zh-CN"/>
              </w:rPr>
              <w:t>7</w:t>
            </w:r>
          </w:p>
        </w:tc>
        <w:tc>
          <w:tcPr>
            <w:tcW w:w="2869" w:type="dxa"/>
            <w:noWrap w:val="0"/>
            <w:vAlign w:val="center"/>
          </w:tcPr>
          <w:p w14:paraId="0A1A07F3">
            <w:pPr>
              <w:pStyle w:val="24"/>
              <w:bidi w:val="0"/>
              <w:rPr>
                <w:rFonts w:hint="default"/>
                <w:color w:val="auto"/>
              </w:rPr>
            </w:pPr>
            <w:r>
              <w:rPr>
                <w:rFonts w:hint="default"/>
                <w:color w:val="auto"/>
              </w:rPr>
              <w:t>通道的坡度达到6~12°时，应加防滑条；坡度大于12°时，应设踏步。经常有水、油脂等易滑物质的地坪，应采取防滑措施。</w:t>
            </w:r>
          </w:p>
        </w:tc>
        <w:tc>
          <w:tcPr>
            <w:tcW w:w="1969" w:type="dxa"/>
            <w:noWrap w:val="0"/>
            <w:vAlign w:val="center"/>
          </w:tcPr>
          <w:p w14:paraId="27EB879A">
            <w:pPr>
              <w:pStyle w:val="24"/>
              <w:bidi w:val="0"/>
              <w:rPr>
                <w:rFonts w:hint="default"/>
                <w:color w:val="auto"/>
              </w:rPr>
            </w:pPr>
            <w:r>
              <w:rPr>
                <w:rFonts w:hint="default"/>
                <w:color w:val="auto"/>
              </w:rPr>
              <w:t>《</w:t>
            </w:r>
            <w:r>
              <w:rPr>
                <w:rFonts w:hint="default"/>
                <w:color w:val="auto"/>
              </w:rPr>
              <w:fldChar w:fldCharType="begin"/>
            </w:r>
            <w:r>
              <w:rPr>
                <w:rFonts w:hint="default"/>
                <w:color w:val="auto"/>
              </w:rPr>
              <w:instrText xml:space="preserve"> HYPERLINK "http://wenku.baidu.com/view/800a2575a417866fb84a8e22.html" \t "_blank" </w:instrText>
            </w:r>
            <w:r>
              <w:rPr>
                <w:rFonts w:hint="default"/>
                <w:color w:val="auto"/>
              </w:rPr>
              <w:fldChar w:fldCharType="separate"/>
            </w:r>
            <w:r>
              <w:rPr>
                <w:rFonts w:hint="default"/>
                <w:color w:val="auto"/>
              </w:rPr>
              <w:t>选矿安全规程</w:t>
            </w:r>
            <w:r>
              <w:rPr>
                <w:rFonts w:hint="default"/>
                <w:color w:val="auto"/>
              </w:rPr>
              <w:fldChar w:fldCharType="end"/>
            </w:r>
            <w:r>
              <w:rPr>
                <w:rFonts w:hint="default"/>
                <w:color w:val="auto"/>
              </w:rPr>
              <w:t>》</w:t>
            </w:r>
            <w:r>
              <w:rPr>
                <w:rFonts w:hint="eastAsia"/>
                <w:color w:val="auto"/>
                <w:lang w:eastAsia="zh-CN"/>
              </w:rPr>
              <w:t>（GB/T 18152-2000）</w:t>
            </w:r>
            <w:r>
              <w:rPr>
                <w:rFonts w:hint="default"/>
                <w:color w:val="auto"/>
              </w:rPr>
              <w:t>6.10</w:t>
            </w:r>
          </w:p>
        </w:tc>
        <w:tc>
          <w:tcPr>
            <w:tcW w:w="2864" w:type="dxa"/>
            <w:noWrap w:val="0"/>
            <w:vAlign w:val="center"/>
          </w:tcPr>
          <w:p w14:paraId="317DE54D">
            <w:pPr>
              <w:pStyle w:val="24"/>
              <w:bidi w:val="0"/>
              <w:rPr>
                <w:rFonts w:hint="default"/>
                <w:color w:val="auto"/>
              </w:rPr>
            </w:pPr>
            <w:r>
              <w:rPr>
                <w:rFonts w:hint="default"/>
                <w:color w:val="auto"/>
              </w:rPr>
              <w:t>该项目通道的踏步符合相关要求，且设有防滑措施。</w:t>
            </w:r>
          </w:p>
        </w:tc>
        <w:tc>
          <w:tcPr>
            <w:tcW w:w="854" w:type="dxa"/>
            <w:noWrap w:val="0"/>
            <w:vAlign w:val="center"/>
          </w:tcPr>
          <w:p w14:paraId="43FAB0F6">
            <w:pPr>
              <w:pStyle w:val="24"/>
              <w:bidi w:val="0"/>
              <w:rPr>
                <w:rFonts w:hint="default"/>
                <w:color w:val="auto"/>
              </w:rPr>
            </w:pPr>
            <w:r>
              <w:rPr>
                <w:rFonts w:hint="default"/>
                <w:color w:val="auto"/>
              </w:rPr>
              <w:t>符合</w:t>
            </w:r>
          </w:p>
        </w:tc>
      </w:tr>
      <w:tr w14:paraId="464A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163F6859">
            <w:pPr>
              <w:pStyle w:val="24"/>
              <w:bidi w:val="0"/>
              <w:rPr>
                <w:rFonts w:hint="eastAsia" w:eastAsia="宋体"/>
                <w:color w:val="auto"/>
                <w:lang w:eastAsia="zh-CN"/>
              </w:rPr>
            </w:pPr>
            <w:r>
              <w:rPr>
                <w:rFonts w:hint="eastAsia"/>
                <w:color w:val="auto"/>
                <w:lang w:val="en-US" w:eastAsia="zh-CN"/>
              </w:rPr>
              <w:t>8</w:t>
            </w:r>
          </w:p>
        </w:tc>
        <w:tc>
          <w:tcPr>
            <w:tcW w:w="2869" w:type="dxa"/>
            <w:noWrap w:val="0"/>
            <w:vAlign w:val="center"/>
          </w:tcPr>
          <w:p w14:paraId="61909883">
            <w:pPr>
              <w:pStyle w:val="24"/>
              <w:bidi w:val="0"/>
              <w:rPr>
                <w:rFonts w:hint="default"/>
                <w:color w:val="auto"/>
              </w:rPr>
            </w:pPr>
            <w:r>
              <w:rPr>
                <w:rFonts w:hint="default"/>
                <w:color w:val="auto"/>
              </w:rPr>
              <w:t>厂内各类管线、溜槽，不应妨碍操作和行走。</w:t>
            </w:r>
          </w:p>
        </w:tc>
        <w:tc>
          <w:tcPr>
            <w:tcW w:w="1969" w:type="dxa"/>
            <w:noWrap w:val="0"/>
            <w:vAlign w:val="center"/>
          </w:tcPr>
          <w:p w14:paraId="34728A5B">
            <w:pPr>
              <w:pStyle w:val="24"/>
              <w:bidi w:val="0"/>
              <w:rPr>
                <w:rFonts w:hint="default"/>
                <w:color w:val="auto"/>
              </w:rPr>
            </w:pPr>
            <w:r>
              <w:rPr>
                <w:rFonts w:hint="default"/>
                <w:color w:val="auto"/>
              </w:rPr>
              <w:t>《</w:t>
            </w:r>
            <w:r>
              <w:rPr>
                <w:rFonts w:hint="default"/>
                <w:color w:val="auto"/>
              </w:rPr>
              <w:fldChar w:fldCharType="begin"/>
            </w:r>
            <w:r>
              <w:rPr>
                <w:rFonts w:hint="default"/>
                <w:color w:val="auto"/>
              </w:rPr>
              <w:instrText xml:space="preserve"> HYPERLINK "http://wenku.baidu.com/view/800a2575a417866fb84a8e22.html" \t "_blank" </w:instrText>
            </w:r>
            <w:r>
              <w:rPr>
                <w:rFonts w:hint="default"/>
                <w:color w:val="auto"/>
              </w:rPr>
              <w:fldChar w:fldCharType="separate"/>
            </w:r>
            <w:r>
              <w:rPr>
                <w:rFonts w:hint="default"/>
                <w:color w:val="auto"/>
              </w:rPr>
              <w:t>选矿安全规程</w:t>
            </w:r>
            <w:r>
              <w:rPr>
                <w:rFonts w:hint="default"/>
                <w:color w:val="auto"/>
              </w:rPr>
              <w:fldChar w:fldCharType="end"/>
            </w:r>
            <w:r>
              <w:rPr>
                <w:rFonts w:hint="default"/>
                <w:color w:val="auto"/>
              </w:rPr>
              <w:t>》</w:t>
            </w:r>
            <w:r>
              <w:rPr>
                <w:rFonts w:hint="eastAsia"/>
                <w:color w:val="auto"/>
                <w:lang w:eastAsia="zh-CN"/>
              </w:rPr>
              <w:t>（GB/T 18152-2000）</w:t>
            </w:r>
            <w:r>
              <w:rPr>
                <w:rFonts w:hint="default"/>
                <w:color w:val="auto"/>
              </w:rPr>
              <w:t>6.18</w:t>
            </w:r>
          </w:p>
        </w:tc>
        <w:tc>
          <w:tcPr>
            <w:tcW w:w="2864" w:type="dxa"/>
            <w:noWrap w:val="0"/>
            <w:vAlign w:val="center"/>
          </w:tcPr>
          <w:p w14:paraId="5A87EF8E">
            <w:pPr>
              <w:pStyle w:val="24"/>
              <w:bidi w:val="0"/>
              <w:rPr>
                <w:rFonts w:hint="default"/>
                <w:color w:val="auto"/>
                <w:lang w:eastAsia="zh-CN"/>
              </w:rPr>
            </w:pPr>
            <w:r>
              <w:rPr>
                <w:rFonts w:hint="default"/>
                <w:color w:val="auto"/>
              </w:rPr>
              <w:t>厂内管线的安装</w:t>
            </w:r>
            <w:r>
              <w:rPr>
                <w:rFonts w:hint="default"/>
                <w:color w:val="auto"/>
                <w:lang w:val="en-US" w:eastAsia="zh-CN"/>
              </w:rPr>
              <w:t>不</w:t>
            </w:r>
            <w:r>
              <w:rPr>
                <w:rFonts w:hint="default"/>
                <w:color w:val="auto"/>
              </w:rPr>
              <w:t>妨碍操作和行走</w:t>
            </w:r>
            <w:r>
              <w:rPr>
                <w:rFonts w:hint="default"/>
                <w:color w:val="auto"/>
                <w:lang w:eastAsia="zh-CN"/>
              </w:rPr>
              <w:t>。</w:t>
            </w:r>
          </w:p>
        </w:tc>
        <w:tc>
          <w:tcPr>
            <w:tcW w:w="854" w:type="dxa"/>
            <w:noWrap w:val="0"/>
            <w:vAlign w:val="center"/>
          </w:tcPr>
          <w:p w14:paraId="7C85A6B5">
            <w:pPr>
              <w:pStyle w:val="24"/>
              <w:bidi w:val="0"/>
              <w:rPr>
                <w:rFonts w:hint="default"/>
                <w:color w:val="auto"/>
              </w:rPr>
            </w:pPr>
            <w:r>
              <w:rPr>
                <w:rFonts w:hint="default"/>
                <w:color w:val="auto"/>
              </w:rPr>
              <w:t>符合</w:t>
            </w:r>
          </w:p>
        </w:tc>
      </w:tr>
      <w:tr w14:paraId="32B0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noWrap w:val="0"/>
            <w:vAlign w:val="center"/>
          </w:tcPr>
          <w:p w14:paraId="3CACAFD5">
            <w:pPr>
              <w:pStyle w:val="24"/>
              <w:bidi w:val="0"/>
              <w:rPr>
                <w:rFonts w:hint="eastAsia" w:eastAsia="宋体"/>
                <w:color w:val="auto"/>
                <w:lang w:eastAsia="zh-CN"/>
              </w:rPr>
            </w:pPr>
            <w:r>
              <w:rPr>
                <w:rFonts w:hint="eastAsia"/>
                <w:color w:val="auto"/>
                <w:lang w:val="en-US" w:eastAsia="zh-CN"/>
              </w:rPr>
              <w:t>9</w:t>
            </w:r>
          </w:p>
        </w:tc>
        <w:tc>
          <w:tcPr>
            <w:tcW w:w="2869" w:type="dxa"/>
            <w:noWrap w:val="0"/>
            <w:vAlign w:val="center"/>
          </w:tcPr>
          <w:p w14:paraId="04E90539">
            <w:pPr>
              <w:pStyle w:val="24"/>
              <w:bidi w:val="0"/>
              <w:rPr>
                <w:rFonts w:hint="default"/>
                <w:color w:val="auto"/>
              </w:rPr>
            </w:pPr>
            <w:r>
              <w:rPr>
                <w:rFonts w:hint="default"/>
                <w:color w:val="auto"/>
              </w:rPr>
              <w:t>（3）在高压线路，高压电线杆，高压设备，雷击高危区及有害危险气体和液体存放处等危险部位，设置明显的安全警示标志。</w:t>
            </w:r>
          </w:p>
          <w:p w14:paraId="0C41604D">
            <w:pPr>
              <w:pStyle w:val="24"/>
              <w:bidi w:val="0"/>
              <w:rPr>
                <w:rFonts w:hint="default"/>
                <w:color w:val="auto"/>
              </w:rPr>
            </w:pPr>
            <w:r>
              <w:rPr>
                <w:rFonts w:hint="default"/>
                <w:color w:val="auto"/>
              </w:rPr>
              <w:t>（4）在道路或其它非施工人员经常路过的地方施工时，应当依照相关交通法规设置恰当的安全警示标识。</w:t>
            </w:r>
          </w:p>
          <w:p w14:paraId="45D43421">
            <w:pPr>
              <w:pStyle w:val="24"/>
              <w:bidi w:val="0"/>
              <w:rPr>
                <w:rFonts w:hint="default"/>
                <w:color w:val="auto"/>
              </w:rPr>
            </w:pPr>
            <w:r>
              <w:rPr>
                <w:rFonts w:hint="default"/>
                <w:color w:val="auto"/>
              </w:rPr>
              <w:t>（5）临时用电的标准设置应符合用电有关规范的标准。</w:t>
            </w:r>
          </w:p>
          <w:p w14:paraId="12AE1EE1">
            <w:pPr>
              <w:pStyle w:val="24"/>
              <w:bidi w:val="0"/>
              <w:rPr>
                <w:rFonts w:hint="default"/>
                <w:color w:val="auto"/>
              </w:rPr>
            </w:pPr>
            <w:r>
              <w:rPr>
                <w:rFonts w:hint="default"/>
                <w:color w:val="auto"/>
              </w:rPr>
              <w:t>（6）所有机械的标志设置应符合有关专门机械的规定。</w:t>
            </w:r>
          </w:p>
          <w:p w14:paraId="116E6E24">
            <w:pPr>
              <w:pStyle w:val="24"/>
              <w:bidi w:val="0"/>
              <w:rPr>
                <w:rFonts w:hint="default"/>
                <w:color w:val="auto"/>
              </w:rPr>
            </w:pPr>
            <w:r>
              <w:rPr>
                <w:rFonts w:hint="default"/>
                <w:color w:val="auto"/>
              </w:rPr>
              <w:t>（7）安全标志应设在与安全有关的醒目的位置。标志的正面或其邻近不得有妨碍公共视线的障碍物。道路上施工设置警示标识时必须考虑道路拐弯和晚间的光线等因素。</w:t>
            </w:r>
          </w:p>
          <w:p w14:paraId="126CAD21">
            <w:pPr>
              <w:pStyle w:val="24"/>
              <w:bidi w:val="0"/>
              <w:rPr>
                <w:rFonts w:hint="default"/>
                <w:color w:val="auto"/>
              </w:rPr>
            </w:pPr>
            <w:r>
              <w:rPr>
                <w:rFonts w:hint="default"/>
                <w:color w:val="auto"/>
              </w:rPr>
              <w:t>（8）除必须外，标志一般不应设置在门、窗、架等可移动的物体上，也不应设置在经常被其它物体遮挡的地方。</w:t>
            </w:r>
          </w:p>
          <w:p w14:paraId="1307410F">
            <w:pPr>
              <w:pStyle w:val="24"/>
              <w:bidi w:val="0"/>
              <w:rPr>
                <w:rFonts w:hint="default"/>
                <w:color w:val="auto"/>
              </w:rPr>
            </w:pPr>
            <w:r>
              <w:rPr>
                <w:rFonts w:hint="default"/>
                <w:color w:val="auto"/>
              </w:rPr>
              <w:t>（9）方向辅助标志应设置在公众选择方向的通道处，并接通向目标的最短路线设置。</w:t>
            </w:r>
          </w:p>
          <w:p w14:paraId="4EEBD338">
            <w:pPr>
              <w:pStyle w:val="24"/>
              <w:bidi w:val="0"/>
              <w:rPr>
                <w:rFonts w:hint="default"/>
                <w:color w:val="auto"/>
              </w:rPr>
            </w:pPr>
            <w:r>
              <w:rPr>
                <w:rFonts w:hint="default"/>
                <w:color w:val="auto"/>
              </w:rPr>
              <w:t>（10）在运输车辆出入口处设置明显的安全警示标志。</w:t>
            </w:r>
          </w:p>
          <w:p w14:paraId="3FF49ADD">
            <w:pPr>
              <w:pStyle w:val="24"/>
              <w:bidi w:val="0"/>
              <w:rPr>
                <w:rFonts w:hint="default"/>
                <w:color w:val="auto"/>
              </w:rPr>
            </w:pPr>
            <w:r>
              <w:rPr>
                <w:rFonts w:hint="default"/>
                <w:color w:val="auto"/>
              </w:rPr>
              <w:t>（11）安全标志的尺寸应符合标志相关标准的要求。</w:t>
            </w:r>
          </w:p>
        </w:tc>
        <w:tc>
          <w:tcPr>
            <w:tcW w:w="1969" w:type="dxa"/>
            <w:noWrap w:val="0"/>
            <w:vAlign w:val="center"/>
          </w:tcPr>
          <w:p w14:paraId="782491F5">
            <w:pPr>
              <w:pStyle w:val="24"/>
              <w:bidi w:val="0"/>
              <w:rPr>
                <w:rFonts w:hint="default"/>
                <w:color w:val="auto"/>
                <w:lang w:eastAsia="zh-CN"/>
              </w:rPr>
            </w:pPr>
            <w:r>
              <w:rPr>
                <w:rFonts w:hint="default"/>
                <w:color w:val="auto"/>
                <w:lang w:eastAsia="zh-CN"/>
              </w:rPr>
              <w:t>《</w:t>
            </w:r>
            <w:r>
              <w:rPr>
                <w:rFonts w:hint="default"/>
                <w:color w:val="auto"/>
                <w:lang w:val="en-US" w:eastAsia="zh-CN"/>
              </w:rPr>
              <w:t>安全设施设计</w:t>
            </w:r>
            <w:r>
              <w:rPr>
                <w:rFonts w:hint="default"/>
                <w:color w:val="auto"/>
                <w:lang w:eastAsia="zh-CN"/>
              </w:rPr>
              <w:t>》</w:t>
            </w:r>
          </w:p>
          <w:p w14:paraId="7CA2FDDC">
            <w:pPr>
              <w:pStyle w:val="24"/>
              <w:bidi w:val="0"/>
              <w:rPr>
                <w:rFonts w:hint="default"/>
                <w:color w:val="auto"/>
                <w:lang w:val="en-US"/>
              </w:rPr>
            </w:pPr>
            <w:r>
              <w:rPr>
                <w:rFonts w:hint="default"/>
                <w:color w:val="auto"/>
                <w:lang w:val="en-US" w:eastAsia="zh-CN"/>
              </w:rPr>
              <w:t>第5.10.1</w:t>
            </w:r>
            <w:r>
              <w:rPr>
                <w:rFonts w:hint="eastAsia"/>
                <w:color w:val="auto"/>
                <w:lang w:val="en-US" w:eastAsia="zh-CN"/>
              </w:rPr>
              <w:t>2</w:t>
            </w:r>
            <w:r>
              <w:rPr>
                <w:rFonts w:hint="default"/>
                <w:color w:val="auto"/>
                <w:lang w:val="en-US" w:eastAsia="zh-CN"/>
              </w:rPr>
              <w:t>节</w:t>
            </w:r>
          </w:p>
        </w:tc>
        <w:tc>
          <w:tcPr>
            <w:tcW w:w="2864" w:type="dxa"/>
            <w:noWrap w:val="0"/>
            <w:vAlign w:val="center"/>
          </w:tcPr>
          <w:p w14:paraId="177909DE">
            <w:pPr>
              <w:pStyle w:val="24"/>
              <w:bidi w:val="0"/>
              <w:rPr>
                <w:rFonts w:hint="default"/>
                <w:color w:val="auto"/>
              </w:rPr>
            </w:pPr>
            <w:r>
              <w:rPr>
                <w:rFonts w:hint="default"/>
                <w:color w:val="auto"/>
                <w:lang w:val="en-US" w:eastAsia="zh-CN"/>
              </w:rPr>
              <w:t>厂内各危险部位均使用了安全标志。</w:t>
            </w:r>
          </w:p>
        </w:tc>
        <w:tc>
          <w:tcPr>
            <w:tcW w:w="854" w:type="dxa"/>
            <w:noWrap w:val="0"/>
            <w:vAlign w:val="center"/>
          </w:tcPr>
          <w:p w14:paraId="5C43844D">
            <w:pPr>
              <w:pStyle w:val="24"/>
              <w:bidi w:val="0"/>
              <w:rPr>
                <w:rFonts w:hint="default"/>
                <w:color w:val="auto"/>
              </w:rPr>
            </w:pPr>
            <w:r>
              <w:rPr>
                <w:rFonts w:hint="default"/>
                <w:color w:val="auto"/>
                <w:lang w:val="en-US" w:eastAsia="zh-CN"/>
              </w:rPr>
              <w:t>符合</w:t>
            </w:r>
          </w:p>
        </w:tc>
      </w:tr>
    </w:tbl>
    <w:p w14:paraId="538FEC73">
      <w:pPr>
        <w:pStyle w:val="4"/>
        <w:bidi w:val="0"/>
        <w:rPr>
          <w:rFonts w:hint="eastAsia"/>
          <w:color w:val="auto"/>
        </w:rPr>
      </w:pPr>
      <w:bookmarkStart w:id="174" w:name="_Toc28549"/>
      <w:bookmarkStart w:id="175" w:name="_Toc22276"/>
      <w:r>
        <w:rPr>
          <w:rFonts w:hint="eastAsia"/>
          <w:color w:val="auto"/>
        </w:rPr>
        <w:t>5.5.2</w:t>
      </w:r>
      <w:r>
        <w:rPr>
          <w:rFonts w:hint="eastAsia"/>
          <w:color w:val="auto"/>
          <w:lang w:val="en-US" w:eastAsia="zh-CN"/>
        </w:rPr>
        <w:t xml:space="preserve"> </w:t>
      </w:r>
      <w:r>
        <w:rPr>
          <w:rFonts w:hint="eastAsia"/>
          <w:color w:val="auto"/>
        </w:rPr>
        <w:t>应急设施分析评价</w:t>
      </w:r>
      <w:bookmarkEnd w:id="174"/>
      <w:bookmarkEnd w:id="175"/>
    </w:p>
    <w:p w14:paraId="25A1FC52">
      <w:pPr>
        <w:bidi w:val="0"/>
        <w:rPr>
          <w:rFonts w:hint="eastAsia"/>
          <w:color w:val="auto"/>
        </w:rPr>
      </w:pPr>
      <w:r>
        <w:rPr>
          <w:rFonts w:hint="eastAsia"/>
          <w:color w:val="auto"/>
        </w:rPr>
        <w:t>该项目配置的主要应急设施有灭火器，备用泵及管道等，同时该项目编制了生产安全事故应急预案并在</w:t>
      </w:r>
      <w:r>
        <w:rPr>
          <w:rFonts w:hint="eastAsia"/>
          <w:color w:val="auto"/>
          <w:lang w:val="en-US" w:eastAsia="zh-CN"/>
        </w:rPr>
        <w:t>寻甸回族彝族自治县</w:t>
      </w:r>
      <w:r>
        <w:rPr>
          <w:rFonts w:hint="eastAsia"/>
          <w:color w:val="auto"/>
        </w:rPr>
        <w:t>应急管理局备案，配置了相应的应急救援器材，该项目的应急设施能满足该项目应急需求。</w:t>
      </w:r>
    </w:p>
    <w:p w14:paraId="5DCF45B6">
      <w:pPr>
        <w:pStyle w:val="4"/>
        <w:bidi w:val="0"/>
        <w:rPr>
          <w:rFonts w:hint="eastAsia"/>
          <w:color w:val="auto"/>
        </w:rPr>
      </w:pPr>
      <w:bookmarkStart w:id="176" w:name="_Toc31752"/>
      <w:bookmarkStart w:id="177" w:name="_Toc7211"/>
      <w:r>
        <w:rPr>
          <w:rFonts w:hint="eastAsia"/>
          <w:color w:val="auto"/>
        </w:rPr>
        <w:t>5.5.3</w:t>
      </w:r>
      <w:r>
        <w:rPr>
          <w:rFonts w:hint="eastAsia"/>
          <w:color w:val="auto"/>
          <w:lang w:val="en-US" w:eastAsia="zh-CN"/>
        </w:rPr>
        <w:t xml:space="preserve"> </w:t>
      </w:r>
      <w:r>
        <w:rPr>
          <w:rFonts w:hint="eastAsia"/>
          <w:color w:val="auto"/>
        </w:rPr>
        <w:t>个体防护设施</w:t>
      </w:r>
      <w:bookmarkEnd w:id="176"/>
      <w:bookmarkEnd w:id="177"/>
    </w:p>
    <w:p w14:paraId="69BE8FC4">
      <w:pPr>
        <w:bidi w:val="0"/>
        <w:rPr>
          <w:rFonts w:hint="eastAsia"/>
          <w:color w:val="auto"/>
        </w:rPr>
      </w:pPr>
      <w:r>
        <w:rPr>
          <w:rFonts w:hint="eastAsia"/>
          <w:color w:val="auto"/>
        </w:rPr>
        <w:t>该项目企业为从业人员配发了劳动防护用品，如防尘口罩、手套、劳保服、耳塞等，特殊工作岗位配备了相应的特种防护用具，该项目的个体防护设施能满足防护要求。</w:t>
      </w:r>
    </w:p>
    <w:p w14:paraId="5C426FDB">
      <w:pPr>
        <w:pStyle w:val="4"/>
        <w:bidi w:val="0"/>
        <w:rPr>
          <w:rFonts w:hint="eastAsia"/>
          <w:color w:val="auto"/>
        </w:rPr>
      </w:pPr>
      <w:bookmarkStart w:id="178" w:name="_Toc23803"/>
      <w:bookmarkStart w:id="179" w:name="_Toc17157"/>
      <w:r>
        <w:rPr>
          <w:rFonts w:hint="eastAsia"/>
          <w:color w:val="auto"/>
        </w:rPr>
        <w:t>5.5.4</w:t>
      </w:r>
      <w:r>
        <w:rPr>
          <w:rFonts w:hint="eastAsia"/>
          <w:color w:val="auto"/>
          <w:lang w:val="en-US" w:eastAsia="zh-CN"/>
        </w:rPr>
        <w:t xml:space="preserve"> </w:t>
      </w:r>
      <w:r>
        <w:rPr>
          <w:rFonts w:hint="eastAsia"/>
          <w:color w:val="auto"/>
        </w:rPr>
        <w:t>单元评价小结</w:t>
      </w:r>
      <w:bookmarkEnd w:id="178"/>
      <w:bookmarkEnd w:id="179"/>
    </w:p>
    <w:p w14:paraId="66B78D71">
      <w:pPr>
        <w:bidi w:val="0"/>
        <w:rPr>
          <w:rFonts w:hint="eastAsia"/>
          <w:color w:val="auto"/>
        </w:rPr>
      </w:pPr>
      <w:r>
        <w:rPr>
          <w:rFonts w:hint="eastAsia"/>
          <w:color w:val="auto"/>
        </w:rPr>
        <w:t>该项目建设的主要常规防护设施如下：</w:t>
      </w:r>
    </w:p>
    <w:p w14:paraId="5E0611B0">
      <w:pPr>
        <w:bidi w:val="0"/>
        <w:rPr>
          <w:rFonts w:hint="eastAsia"/>
          <w:color w:val="auto"/>
        </w:rPr>
      </w:pPr>
      <w:r>
        <w:rPr>
          <w:rFonts w:hint="eastAsia"/>
          <w:color w:val="auto"/>
        </w:rPr>
        <w:t>1、凡高度在2m之内的所有传动带、转动轴、齿轮、飞轮等危险零部件及危险部位均安装了防护装置。</w:t>
      </w:r>
    </w:p>
    <w:p w14:paraId="0669A635">
      <w:pPr>
        <w:bidi w:val="0"/>
        <w:rPr>
          <w:rFonts w:hint="eastAsia"/>
          <w:color w:val="auto"/>
        </w:rPr>
      </w:pPr>
      <w:r>
        <w:rPr>
          <w:rFonts w:hint="eastAsia"/>
          <w:color w:val="auto"/>
        </w:rPr>
        <w:t>2、易发生危险的部位，如胶带运输机头尾轮，电气设备的操作箱，悬挂了警示标志，车间入口等设置了安全色。</w:t>
      </w:r>
    </w:p>
    <w:p w14:paraId="6872F3FD">
      <w:pPr>
        <w:bidi w:val="0"/>
        <w:rPr>
          <w:rFonts w:hint="eastAsia"/>
          <w:color w:val="auto"/>
        </w:rPr>
      </w:pPr>
      <w:r>
        <w:rPr>
          <w:rFonts w:hint="eastAsia"/>
          <w:color w:val="auto"/>
        </w:rPr>
        <w:t>3、在机械设备的操作位置高出地面0.6m以上的所有位置，均安装了栏杆、扶手等。</w:t>
      </w:r>
    </w:p>
    <w:p w14:paraId="1130E226">
      <w:pPr>
        <w:bidi w:val="0"/>
        <w:rPr>
          <w:rFonts w:hint="eastAsia"/>
          <w:color w:val="auto"/>
        </w:rPr>
      </w:pPr>
      <w:r>
        <w:rPr>
          <w:rFonts w:hint="eastAsia"/>
          <w:color w:val="auto"/>
        </w:rPr>
        <w:t>4、操作工人认真检查设备，使设备经常保持清洁、润滑，良好；建立了二级保养制度；一级保养以操作工人为主、维修工人配合；二级保养以维修工人为主，操作工人参与。</w:t>
      </w:r>
    </w:p>
    <w:p w14:paraId="1C805322">
      <w:pPr>
        <w:bidi w:val="0"/>
        <w:rPr>
          <w:rFonts w:hint="eastAsia"/>
          <w:color w:val="auto"/>
        </w:rPr>
      </w:pPr>
      <w:r>
        <w:rPr>
          <w:rFonts w:hint="eastAsia"/>
          <w:color w:val="auto"/>
        </w:rPr>
        <w:t>5、作业场所保的地面保持平坦清洁、不得有水渍油污等，以防绊倒、滑到。作业地点除采用总体照明外，还需根据不同操作条件增设照明足够的局部照明装置。</w:t>
      </w:r>
    </w:p>
    <w:p w14:paraId="669FD5DE">
      <w:pPr>
        <w:bidi w:val="0"/>
        <w:rPr>
          <w:rFonts w:hint="eastAsia"/>
          <w:color w:val="auto"/>
        </w:rPr>
      </w:pPr>
      <w:r>
        <w:rPr>
          <w:rFonts w:hint="eastAsia"/>
          <w:color w:val="auto"/>
        </w:rPr>
        <w:t>该项目配置的主要应急设施有手灭火器，备用泵及管道等，同时该项目编制了生产安全事故应急预案并于</w:t>
      </w:r>
      <w:r>
        <w:rPr>
          <w:rFonts w:hint="eastAsia"/>
          <w:color w:val="auto"/>
          <w:lang w:val="en-US" w:eastAsia="zh-CN"/>
        </w:rPr>
        <w:t>寻甸</w:t>
      </w:r>
      <w:r>
        <w:rPr>
          <w:rFonts w:hint="eastAsia"/>
          <w:color w:val="auto"/>
        </w:rPr>
        <w:t>县应急管理局备案，配置了相应的应急救援器材，该项目的应急设施能满足该项目应急需求。</w:t>
      </w:r>
    </w:p>
    <w:p w14:paraId="476EEB31">
      <w:pPr>
        <w:bidi w:val="0"/>
        <w:rPr>
          <w:rFonts w:hint="eastAsia"/>
          <w:color w:val="auto"/>
        </w:rPr>
      </w:pPr>
      <w:r>
        <w:rPr>
          <w:rFonts w:hint="eastAsia"/>
          <w:color w:val="auto"/>
        </w:rPr>
        <w:t>该项目企业为从业人员配发了劳动防护用品，如防尘口罩、手套、劳保服、耳塞等，特殊工作岗位配备了相应的特种防护用具，该项目的个体防护设施能满足防护要求。</w:t>
      </w:r>
    </w:p>
    <w:p w14:paraId="0633B05E">
      <w:pPr>
        <w:bidi w:val="0"/>
        <w:rPr>
          <w:rFonts w:hint="eastAsia"/>
          <w:color w:val="auto"/>
        </w:rPr>
      </w:pPr>
      <w:r>
        <w:rPr>
          <w:rFonts w:hint="eastAsia"/>
          <w:color w:val="auto"/>
        </w:rPr>
        <w:t>安全设施按照安全设施设计的要求设置，安全设施单元具备安全验收条件。但存在以下不足之处：厂内部分管线的安装会妨碍操作和行走，建议规范管线的设置。</w:t>
      </w:r>
    </w:p>
    <w:p w14:paraId="61E6778E">
      <w:pPr>
        <w:pStyle w:val="3"/>
        <w:bidi w:val="0"/>
        <w:rPr>
          <w:rFonts w:hint="eastAsia"/>
          <w:color w:val="auto"/>
        </w:rPr>
      </w:pPr>
      <w:bookmarkStart w:id="180" w:name="_Toc2272"/>
      <w:bookmarkStart w:id="181" w:name="_Toc26094"/>
      <w:r>
        <w:rPr>
          <w:rFonts w:hint="eastAsia"/>
          <w:color w:val="auto"/>
        </w:rPr>
        <w:t>5.6 安全管理单元分析评价</w:t>
      </w:r>
      <w:bookmarkEnd w:id="180"/>
      <w:bookmarkEnd w:id="181"/>
    </w:p>
    <w:p w14:paraId="72FFB46D">
      <w:pPr>
        <w:pStyle w:val="4"/>
        <w:bidi w:val="0"/>
        <w:rPr>
          <w:rFonts w:hint="eastAsia"/>
          <w:color w:val="auto"/>
        </w:rPr>
      </w:pPr>
      <w:bookmarkStart w:id="182" w:name="_Toc28685"/>
      <w:bookmarkStart w:id="183" w:name="_Toc18907"/>
      <w:r>
        <w:rPr>
          <w:rFonts w:hint="eastAsia"/>
          <w:color w:val="auto"/>
        </w:rPr>
        <w:t>5.6.1</w:t>
      </w:r>
      <w:r>
        <w:rPr>
          <w:rFonts w:hint="eastAsia"/>
          <w:color w:val="auto"/>
          <w:lang w:val="en-US" w:eastAsia="zh-CN"/>
        </w:rPr>
        <w:t xml:space="preserve"> </w:t>
      </w:r>
      <w:r>
        <w:rPr>
          <w:rFonts w:hint="eastAsia"/>
          <w:color w:val="auto"/>
        </w:rPr>
        <w:t>安全生产管理检查表</w:t>
      </w:r>
      <w:bookmarkEnd w:id="182"/>
      <w:bookmarkEnd w:id="183"/>
    </w:p>
    <w:p w14:paraId="2F60CAA7">
      <w:pPr>
        <w:bidi w:val="0"/>
        <w:rPr>
          <w:rFonts w:hint="eastAsia"/>
          <w:color w:val="auto"/>
        </w:rPr>
      </w:pPr>
      <w:r>
        <w:rPr>
          <w:rFonts w:hint="eastAsia"/>
          <w:color w:val="auto"/>
        </w:rPr>
        <w:t>本单元根据《中华人民共和国安全生产法》等相关要求对该项目安全管理进行安全检查，其检查情况如下表所示：</w:t>
      </w:r>
    </w:p>
    <w:p w14:paraId="15FDF334">
      <w:pPr>
        <w:pStyle w:val="23"/>
        <w:bidi w:val="0"/>
        <w:rPr>
          <w:color w:val="auto"/>
        </w:rPr>
      </w:pPr>
      <w:r>
        <w:rPr>
          <w:rFonts w:hint="eastAsia"/>
          <w:color w:val="auto"/>
        </w:rPr>
        <w:t>表5.6-1  安全管理安全检查表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4"/>
        <w:gridCol w:w="2051"/>
        <w:gridCol w:w="2571"/>
        <w:gridCol w:w="717"/>
      </w:tblGrid>
      <w:tr w14:paraId="3412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064" w:type="dxa"/>
            <w:noWrap w:val="0"/>
            <w:vAlign w:val="center"/>
          </w:tcPr>
          <w:p w14:paraId="2F4DE770">
            <w:pPr>
              <w:pStyle w:val="24"/>
              <w:bidi w:val="0"/>
              <w:jc w:val="center"/>
              <w:rPr>
                <w:rFonts w:hint="default"/>
                <w:b/>
                <w:bCs/>
                <w:color w:val="auto"/>
              </w:rPr>
            </w:pPr>
            <w:r>
              <w:rPr>
                <w:rFonts w:hint="default"/>
                <w:b/>
                <w:bCs/>
                <w:color w:val="auto"/>
              </w:rPr>
              <w:t>检查内容</w:t>
            </w:r>
          </w:p>
        </w:tc>
        <w:tc>
          <w:tcPr>
            <w:tcW w:w="2051" w:type="dxa"/>
            <w:noWrap w:val="0"/>
            <w:vAlign w:val="center"/>
          </w:tcPr>
          <w:p w14:paraId="6689E93D">
            <w:pPr>
              <w:pStyle w:val="24"/>
              <w:bidi w:val="0"/>
              <w:rPr>
                <w:rFonts w:hint="default"/>
                <w:b/>
                <w:bCs/>
                <w:color w:val="auto"/>
              </w:rPr>
            </w:pPr>
            <w:r>
              <w:rPr>
                <w:rFonts w:hint="default"/>
                <w:b/>
                <w:bCs/>
                <w:color w:val="auto"/>
              </w:rPr>
              <w:t>检查依据</w:t>
            </w:r>
          </w:p>
        </w:tc>
        <w:tc>
          <w:tcPr>
            <w:tcW w:w="2571" w:type="dxa"/>
            <w:noWrap w:val="0"/>
            <w:vAlign w:val="center"/>
          </w:tcPr>
          <w:p w14:paraId="3C5EFD57">
            <w:pPr>
              <w:pStyle w:val="24"/>
              <w:bidi w:val="0"/>
              <w:rPr>
                <w:rFonts w:hint="default"/>
                <w:b/>
                <w:bCs/>
                <w:color w:val="auto"/>
              </w:rPr>
            </w:pPr>
            <w:r>
              <w:rPr>
                <w:rFonts w:hint="default"/>
                <w:b/>
                <w:bCs/>
                <w:color w:val="auto"/>
              </w:rPr>
              <w:t>检查情况</w:t>
            </w:r>
          </w:p>
        </w:tc>
        <w:tc>
          <w:tcPr>
            <w:tcW w:w="717" w:type="dxa"/>
            <w:noWrap w:val="0"/>
            <w:vAlign w:val="center"/>
          </w:tcPr>
          <w:p w14:paraId="5F75DA6B">
            <w:pPr>
              <w:pStyle w:val="24"/>
              <w:bidi w:val="0"/>
              <w:rPr>
                <w:rFonts w:hint="default"/>
                <w:b/>
                <w:bCs/>
                <w:color w:val="auto"/>
              </w:rPr>
            </w:pPr>
            <w:r>
              <w:rPr>
                <w:rFonts w:hint="default"/>
                <w:b/>
                <w:bCs/>
                <w:color w:val="auto"/>
              </w:rPr>
              <w:t>结论</w:t>
            </w:r>
          </w:p>
        </w:tc>
      </w:tr>
      <w:tr w14:paraId="3E78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03" w:type="dxa"/>
            <w:gridSpan w:val="4"/>
            <w:noWrap w:val="0"/>
            <w:vAlign w:val="center"/>
          </w:tcPr>
          <w:p w14:paraId="32DF9616">
            <w:pPr>
              <w:pStyle w:val="24"/>
              <w:bidi w:val="0"/>
              <w:jc w:val="center"/>
              <w:rPr>
                <w:rFonts w:hint="default"/>
                <w:color w:val="auto"/>
              </w:rPr>
            </w:pPr>
            <w:r>
              <w:rPr>
                <w:rFonts w:hint="default"/>
                <w:color w:val="auto"/>
              </w:rPr>
              <w:t>1、安全管理组织机构</w:t>
            </w:r>
          </w:p>
        </w:tc>
      </w:tr>
      <w:tr w14:paraId="5847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380F118C">
            <w:pPr>
              <w:pStyle w:val="24"/>
              <w:bidi w:val="0"/>
              <w:jc w:val="both"/>
              <w:rPr>
                <w:rFonts w:hint="default"/>
                <w:color w:val="auto"/>
              </w:rPr>
            </w:pPr>
            <w:r>
              <w:rPr>
                <w:rFonts w:hint="default"/>
                <w:color w:val="auto"/>
              </w:rPr>
              <w:t>市场主体应当依照本条例办理登记。未经登记，不得以市场主体名义从事经营活动。法律、行政法规规定无需办理登记的除外。</w:t>
            </w:r>
          </w:p>
        </w:tc>
        <w:tc>
          <w:tcPr>
            <w:tcW w:w="2051" w:type="dxa"/>
            <w:noWrap w:val="0"/>
            <w:vAlign w:val="center"/>
          </w:tcPr>
          <w:p w14:paraId="5AAA9752">
            <w:pPr>
              <w:pStyle w:val="24"/>
              <w:bidi w:val="0"/>
              <w:rPr>
                <w:rFonts w:hint="default"/>
                <w:color w:val="auto"/>
              </w:rPr>
            </w:pPr>
            <w:r>
              <w:rPr>
                <w:rFonts w:hint="default"/>
                <w:color w:val="auto"/>
              </w:rPr>
              <w:t>《中华人民共和国市场主体登记管理条例》第</w:t>
            </w:r>
            <w:r>
              <w:rPr>
                <w:rFonts w:hint="eastAsia"/>
                <w:color w:val="auto"/>
                <w:lang w:val="en-US" w:eastAsia="zh-CN"/>
              </w:rPr>
              <w:t>三</w:t>
            </w:r>
            <w:r>
              <w:rPr>
                <w:rFonts w:hint="default"/>
                <w:color w:val="auto"/>
              </w:rPr>
              <w:t>条</w:t>
            </w:r>
          </w:p>
        </w:tc>
        <w:tc>
          <w:tcPr>
            <w:tcW w:w="2571" w:type="dxa"/>
            <w:noWrap w:val="0"/>
            <w:vAlign w:val="center"/>
          </w:tcPr>
          <w:p w14:paraId="3D73C1B8">
            <w:pPr>
              <w:pStyle w:val="24"/>
              <w:bidi w:val="0"/>
              <w:rPr>
                <w:rFonts w:hint="default"/>
                <w:color w:val="auto"/>
              </w:rPr>
            </w:pPr>
            <w:r>
              <w:rPr>
                <w:rFonts w:hint="default"/>
                <w:color w:val="auto"/>
              </w:rPr>
              <w:t>企业依法进行了营业登记，取得了营业执照。</w:t>
            </w:r>
          </w:p>
        </w:tc>
        <w:tc>
          <w:tcPr>
            <w:tcW w:w="717" w:type="dxa"/>
            <w:noWrap w:val="0"/>
            <w:vAlign w:val="center"/>
          </w:tcPr>
          <w:p w14:paraId="560951CC">
            <w:pPr>
              <w:pStyle w:val="24"/>
              <w:bidi w:val="0"/>
              <w:rPr>
                <w:rFonts w:hint="default"/>
                <w:color w:val="auto"/>
              </w:rPr>
            </w:pPr>
            <w:r>
              <w:rPr>
                <w:rFonts w:hint="default"/>
                <w:color w:val="auto"/>
              </w:rPr>
              <w:t>符合</w:t>
            </w:r>
          </w:p>
        </w:tc>
      </w:tr>
      <w:tr w14:paraId="3211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599E72CF">
            <w:pPr>
              <w:pStyle w:val="24"/>
              <w:bidi w:val="0"/>
              <w:jc w:val="both"/>
              <w:rPr>
                <w:rFonts w:hint="default"/>
                <w:color w:val="auto"/>
              </w:rPr>
            </w:pPr>
            <w:r>
              <w:rPr>
                <w:rFonts w:hint="default"/>
                <w:color w:val="auto"/>
              </w:rPr>
              <w:t>矿山、金属冶炼、建筑施工、运输单位和危险物品的生产、经营、储存、装卸单位，应当设置安全生产管理机构或者配备专职安全生产管理人员。</w:t>
            </w:r>
          </w:p>
          <w:p w14:paraId="09AC269B">
            <w:pPr>
              <w:pStyle w:val="24"/>
              <w:bidi w:val="0"/>
              <w:jc w:val="both"/>
              <w:rPr>
                <w:rFonts w:hint="default"/>
                <w:color w:val="auto"/>
              </w:rPr>
            </w:pPr>
            <w:r>
              <w:rPr>
                <w:rFonts w:hint="default"/>
                <w:color w:val="auto"/>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2051" w:type="dxa"/>
            <w:noWrap w:val="0"/>
            <w:vAlign w:val="center"/>
          </w:tcPr>
          <w:p w14:paraId="2FDD52E9">
            <w:pPr>
              <w:pStyle w:val="24"/>
              <w:bidi w:val="0"/>
              <w:rPr>
                <w:rFonts w:hint="default"/>
                <w:color w:val="auto"/>
              </w:rPr>
            </w:pPr>
            <w:r>
              <w:rPr>
                <w:rFonts w:hint="default"/>
                <w:color w:val="auto"/>
              </w:rPr>
              <w:t>《中华人民共和国安全生产法》</w:t>
            </w:r>
          </w:p>
          <w:p w14:paraId="6E2F9241">
            <w:pPr>
              <w:pStyle w:val="24"/>
              <w:bidi w:val="0"/>
              <w:rPr>
                <w:rFonts w:hint="default"/>
                <w:color w:val="auto"/>
              </w:rPr>
            </w:pPr>
            <w:r>
              <w:rPr>
                <w:rFonts w:hint="default"/>
                <w:color w:val="auto"/>
              </w:rPr>
              <w:t>第二十四条</w:t>
            </w:r>
          </w:p>
        </w:tc>
        <w:tc>
          <w:tcPr>
            <w:tcW w:w="2571" w:type="dxa"/>
            <w:noWrap w:val="0"/>
            <w:vAlign w:val="center"/>
          </w:tcPr>
          <w:p w14:paraId="0BAEB0CD">
            <w:pPr>
              <w:pStyle w:val="24"/>
              <w:bidi w:val="0"/>
              <w:rPr>
                <w:rFonts w:hint="default"/>
                <w:color w:val="auto"/>
              </w:rPr>
            </w:pPr>
            <w:r>
              <w:rPr>
                <w:rFonts w:hint="default"/>
                <w:color w:val="auto"/>
              </w:rPr>
              <w:t>该项目建设单位成立</w:t>
            </w:r>
            <w:r>
              <w:rPr>
                <w:rFonts w:hint="default"/>
                <w:color w:val="auto"/>
                <w:lang w:eastAsia="zh-CN"/>
              </w:rPr>
              <w:t>了</w:t>
            </w:r>
            <w:r>
              <w:rPr>
                <w:rFonts w:hint="default"/>
                <w:color w:val="auto"/>
                <w:lang w:val="en-US" w:eastAsia="zh-CN"/>
              </w:rPr>
              <w:t>安环部，有安全生产管理人员。</w:t>
            </w:r>
          </w:p>
        </w:tc>
        <w:tc>
          <w:tcPr>
            <w:tcW w:w="717" w:type="dxa"/>
            <w:noWrap w:val="0"/>
            <w:vAlign w:val="center"/>
          </w:tcPr>
          <w:p w14:paraId="1CFCFAA9">
            <w:pPr>
              <w:pStyle w:val="24"/>
              <w:bidi w:val="0"/>
              <w:rPr>
                <w:rFonts w:hint="default"/>
                <w:color w:val="auto"/>
              </w:rPr>
            </w:pPr>
            <w:r>
              <w:rPr>
                <w:rFonts w:hint="default"/>
                <w:color w:val="auto"/>
              </w:rPr>
              <w:t>符合</w:t>
            </w:r>
          </w:p>
        </w:tc>
      </w:tr>
      <w:tr w14:paraId="1CBA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5DCE058F">
            <w:pPr>
              <w:pStyle w:val="24"/>
              <w:bidi w:val="0"/>
              <w:jc w:val="both"/>
              <w:rPr>
                <w:rFonts w:hint="default"/>
                <w:color w:val="auto"/>
              </w:rPr>
            </w:pPr>
            <w:r>
              <w:rPr>
                <w:rFonts w:hint="default"/>
                <w:color w:val="auto"/>
              </w:rPr>
              <w:t>用人单位应当设置或指定职业卫生管理机构或组织，配备专职或者兼职的职业卫生专业人员，负责本单位的职业病防治工作。</w:t>
            </w:r>
          </w:p>
        </w:tc>
        <w:tc>
          <w:tcPr>
            <w:tcW w:w="2051" w:type="dxa"/>
            <w:noWrap w:val="0"/>
            <w:vAlign w:val="center"/>
          </w:tcPr>
          <w:p w14:paraId="7751CEC0">
            <w:pPr>
              <w:pStyle w:val="24"/>
              <w:bidi w:val="0"/>
              <w:rPr>
                <w:rFonts w:hint="default"/>
                <w:color w:val="auto"/>
              </w:rPr>
            </w:pPr>
            <w:r>
              <w:rPr>
                <w:rFonts w:hint="default"/>
                <w:color w:val="auto"/>
              </w:rPr>
              <w:t>《职业病防治法》</w:t>
            </w:r>
          </w:p>
          <w:p w14:paraId="2609656A">
            <w:pPr>
              <w:pStyle w:val="24"/>
              <w:bidi w:val="0"/>
              <w:rPr>
                <w:rFonts w:hint="default"/>
                <w:color w:val="auto"/>
              </w:rPr>
            </w:pPr>
            <w:r>
              <w:rPr>
                <w:rFonts w:hint="default"/>
                <w:color w:val="auto"/>
              </w:rPr>
              <w:t>第十九条</w:t>
            </w:r>
          </w:p>
        </w:tc>
        <w:tc>
          <w:tcPr>
            <w:tcW w:w="2571" w:type="dxa"/>
            <w:noWrap w:val="0"/>
            <w:vAlign w:val="center"/>
          </w:tcPr>
          <w:p w14:paraId="33BA8707">
            <w:pPr>
              <w:pStyle w:val="24"/>
              <w:bidi w:val="0"/>
              <w:rPr>
                <w:rFonts w:hint="default"/>
                <w:color w:val="auto"/>
              </w:rPr>
            </w:pPr>
            <w:r>
              <w:rPr>
                <w:rFonts w:hint="default"/>
                <w:color w:val="auto"/>
              </w:rPr>
              <w:t>企业成立有安全环保部，由安全管理员负责职业卫生管理工作。</w:t>
            </w:r>
          </w:p>
        </w:tc>
        <w:tc>
          <w:tcPr>
            <w:tcW w:w="717" w:type="dxa"/>
            <w:noWrap w:val="0"/>
            <w:vAlign w:val="center"/>
          </w:tcPr>
          <w:p w14:paraId="3BF967B1">
            <w:pPr>
              <w:pStyle w:val="24"/>
              <w:bidi w:val="0"/>
              <w:rPr>
                <w:rFonts w:hint="default"/>
                <w:color w:val="auto"/>
              </w:rPr>
            </w:pPr>
            <w:r>
              <w:rPr>
                <w:rFonts w:hint="default"/>
                <w:color w:val="auto"/>
              </w:rPr>
              <w:t>符合</w:t>
            </w:r>
          </w:p>
        </w:tc>
      </w:tr>
      <w:tr w14:paraId="6730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17C7FA09">
            <w:pPr>
              <w:pStyle w:val="24"/>
              <w:bidi w:val="0"/>
              <w:jc w:val="both"/>
              <w:rPr>
                <w:rFonts w:hint="default"/>
                <w:color w:val="auto"/>
              </w:rPr>
            </w:pPr>
            <w:r>
              <w:rPr>
                <w:rFonts w:hint="default"/>
                <w:color w:val="auto"/>
              </w:rPr>
              <w:t>危险物品的生产、经营、储存单位以及矿山、金属冶炼、城市轨道交通运营、建筑施工单位应当建立应急救援组织；生产经营规模较小的，可以不建立应急救援组织，但应当指定兼职的应急救援人员。</w:t>
            </w:r>
          </w:p>
          <w:p w14:paraId="3B160B38">
            <w:pPr>
              <w:pStyle w:val="24"/>
              <w:bidi w:val="0"/>
              <w:jc w:val="both"/>
              <w:rPr>
                <w:rFonts w:hint="default"/>
                <w:color w:val="auto"/>
              </w:rPr>
            </w:pPr>
            <w:r>
              <w:rPr>
                <w:rFonts w:hint="default"/>
                <w:color w:val="auto"/>
              </w:rPr>
              <w:t>危险物品的生产、经营、储存、运输单位以及矿山、金属冶炼、城市轨道交通运营、建筑施工单位应当配备必要的应急救援器材、设备和物资，并进行经常性维护、保养，保证正常运转。</w:t>
            </w:r>
          </w:p>
        </w:tc>
        <w:tc>
          <w:tcPr>
            <w:tcW w:w="2051" w:type="dxa"/>
            <w:noWrap w:val="0"/>
            <w:vAlign w:val="center"/>
          </w:tcPr>
          <w:p w14:paraId="69022DE9">
            <w:pPr>
              <w:pStyle w:val="24"/>
              <w:bidi w:val="0"/>
              <w:rPr>
                <w:rFonts w:hint="default"/>
                <w:color w:val="auto"/>
              </w:rPr>
            </w:pPr>
            <w:r>
              <w:rPr>
                <w:rFonts w:hint="default"/>
                <w:color w:val="auto"/>
              </w:rPr>
              <w:t>《中华人民共和国安全生产法》</w:t>
            </w:r>
          </w:p>
          <w:p w14:paraId="42396566">
            <w:pPr>
              <w:pStyle w:val="24"/>
              <w:bidi w:val="0"/>
              <w:rPr>
                <w:rFonts w:hint="default"/>
                <w:color w:val="auto"/>
              </w:rPr>
            </w:pPr>
            <w:r>
              <w:rPr>
                <w:rFonts w:hint="default"/>
                <w:color w:val="auto"/>
              </w:rPr>
              <w:t>第八十二条</w:t>
            </w:r>
          </w:p>
        </w:tc>
        <w:tc>
          <w:tcPr>
            <w:tcW w:w="2571" w:type="dxa"/>
            <w:noWrap w:val="0"/>
            <w:vAlign w:val="center"/>
          </w:tcPr>
          <w:p w14:paraId="65193AC7">
            <w:pPr>
              <w:pStyle w:val="24"/>
              <w:bidi w:val="0"/>
              <w:rPr>
                <w:rFonts w:hint="default"/>
                <w:color w:val="auto"/>
              </w:rPr>
            </w:pPr>
            <w:r>
              <w:rPr>
                <w:rFonts w:hint="default"/>
                <w:color w:val="auto"/>
              </w:rPr>
              <w:t>建设单位建立</w:t>
            </w:r>
            <w:r>
              <w:rPr>
                <w:rFonts w:hint="default"/>
                <w:color w:val="auto"/>
                <w:lang w:val="en-US" w:eastAsia="zh-CN"/>
              </w:rPr>
              <w:t>了兼职</w:t>
            </w:r>
            <w:r>
              <w:rPr>
                <w:rFonts w:hint="default"/>
                <w:color w:val="auto"/>
              </w:rPr>
              <w:t>应急救援组织，配备有</w:t>
            </w:r>
            <w:r>
              <w:rPr>
                <w:rFonts w:hint="default"/>
                <w:color w:val="auto"/>
                <w:lang w:val="en-US" w:eastAsia="zh-CN"/>
              </w:rPr>
              <w:t>兼职</w:t>
            </w:r>
            <w:r>
              <w:rPr>
                <w:rFonts w:hint="default"/>
                <w:color w:val="auto"/>
              </w:rPr>
              <w:t>应急救援人员。</w:t>
            </w:r>
          </w:p>
        </w:tc>
        <w:tc>
          <w:tcPr>
            <w:tcW w:w="717" w:type="dxa"/>
            <w:noWrap w:val="0"/>
            <w:vAlign w:val="center"/>
          </w:tcPr>
          <w:p w14:paraId="63C64C9E">
            <w:pPr>
              <w:pStyle w:val="24"/>
              <w:bidi w:val="0"/>
              <w:rPr>
                <w:rFonts w:hint="default"/>
                <w:color w:val="auto"/>
              </w:rPr>
            </w:pPr>
            <w:r>
              <w:rPr>
                <w:rFonts w:hint="default"/>
                <w:color w:val="auto"/>
              </w:rPr>
              <w:t>符合</w:t>
            </w:r>
          </w:p>
        </w:tc>
      </w:tr>
      <w:tr w14:paraId="068F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03" w:type="dxa"/>
            <w:gridSpan w:val="4"/>
            <w:noWrap w:val="0"/>
            <w:vAlign w:val="center"/>
          </w:tcPr>
          <w:p w14:paraId="3C21EB12">
            <w:pPr>
              <w:pStyle w:val="24"/>
              <w:bidi w:val="0"/>
              <w:jc w:val="center"/>
              <w:rPr>
                <w:rFonts w:hint="default"/>
                <w:color w:val="auto"/>
              </w:rPr>
            </w:pPr>
            <w:r>
              <w:rPr>
                <w:rFonts w:hint="default"/>
                <w:color w:val="auto"/>
              </w:rPr>
              <w:t>2、安全技术规程和作业安全规程</w:t>
            </w:r>
          </w:p>
        </w:tc>
      </w:tr>
      <w:tr w14:paraId="1D5B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7961A45C">
            <w:pPr>
              <w:pStyle w:val="24"/>
              <w:bidi w:val="0"/>
              <w:jc w:val="both"/>
              <w:rPr>
                <w:rFonts w:hint="default"/>
                <w:color w:val="auto"/>
              </w:rPr>
            </w:pPr>
            <w:r>
              <w:rPr>
                <w:rFonts w:hint="default"/>
                <w:color w:val="auto"/>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1215CDE4">
            <w:pPr>
              <w:pStyle w:val="24"/>
              <w:bidi w:val="0"/>
              <w:jc w:val="both"/>
              <w:rPr>
                <w:rFonts w:hint="default"/>
                <w:color w:val="auto"/>
              </w:rPr>
            </w:pPr>
            <w:r>
              <w:rPr>
                <w:rFonts w:hint="default"/>
                <w:color w:val="auto"/>
              </w:rPr>
              <w:t>平台经济等新兴行业、领域的生产经营单位应当根据本行业、领域的特点，建立健全并落实全员安全生产责任制，加强从业人员安全生产教育和培训，履行本法和其他法律、法规规定的有关安全生产义务。</w:t>
            </w:r>
          </w:p>
        </w:tc>
        <w:tc>
          <w:tcPr>
            <w:tcW w:w="2051" w:type="dxa"/>
            <w:noWrap w:val="0"/>
            <w:vAlign w:val="center"/>
          </w:tcPr>
          <w:p w14:paraId="0F6AA8AA">
            <w:pPr>
              <w:pStyle w:val="24"/>
              <w:bidi w:val="0"/>
              <w:rPr>
                <w:rFonts w:hint="default"/>
                <w:color w:val="auto"/>
              </w:rPr>
            </w:pPr>
            <w:r>
              <w:rPr>
                <w:rFonts w:hint="default"/>
                <w:color w:val="auto"/>
              </w:rPr>
              <w:t>《中华人民共和国安全生产法》</w:t>
            </w:r>
          </w:p>
          <w:p w14:paraId="7C9F50DD">
            <w:pPr>
              <w:pStyle w:val="24"/>
              <w:bidi w:val="0"/>
              <w:rPr>
                <w:rFonts w:hint="default"/>
                <w:color w:val="auto"/>
              </w:rPr>
            </w:pPr>
            <w:r>
              <w:rPr>
                <w:rFonts w:hint="default"/>
                <w:color w:val="auto"/>
              </w:rPr>
              <w:t>第四条</w:t>
            </w:r>
          </w:p>
        </w:tc>
        <w:tc>
          <w:tcPr>
            <w:tcW w:w="2571" w:type="dxa"/>
            <w:noWrap w:val="0"/>
            <w:vAlign w:val="center"/>
          </w:tcPr>
          <w:p w14:paraId="16898639">
            <w:pPr>
              <w:pStyle w:val="24"/>
              <w:bidi w:val="0"/>
              <w:rPr>
                <w:rFonts w:hint="default"/>
                <w:color w:val="auto"/>
              </w:rPr>
            </w:pPr>
            <w:r>
              <w:rPr>
                <w:rFonts w:hint="default"/>
                <w:color w:val="auto"/>
              </w:rPr>
              <w:t>该企业已建立了相关制度和操作规程以及安全生产责任制，但未构建安全风险分级管控和隐患排查治理双重预防机制。</w:t>
            </w:r>
          </w:p>
        </w:tc>
        <w:tc>
          <w:tcPr>
            <w:tcW w:w="717" w:type="dxa"/>
            <w:noWrap w:val="0"/>
            <w:vAlign w:val="center"/>
          </w:tcPr>
          <w:p w14:paraId="52A0D498">
            <w:pPr>
              <w:pStyle w:val="24"/>
              <w:bidi w:val="0"/>
              <w:rPr>
                <w:rFonts w:hint="default"/>
                <w:color w:val="auto"/>
              </w:rPr>
            </w:pPr>
            <w:r>
              <w:rPr>
                <w:rFonts w:hint="default"/>
                <w:color w:val="auto"/>
              </w:rPr>
              <w:t>不符合</w:t>
            </w:r>
          </w:p>
        </w:tc>
      </w:tr>
      <w:tr w14:paraId="1B99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03" w:type="dxa"/>
            <w:gridSpan w:val="4"/>
            <w:noWrap w:val="0"/>
            <w:vAlign w:val="center"/>
          </w:tcPr>
          <w:p w14:paraId="413216B8">
            <w:pPr>
              <w:pStyle w:val="24"/>
              <w:bidi w:val="0"/>
              <w:jc w:val="center"/>
              <w:rPr>
                <w:rFonts w:hint="default"/>
                <w:color w:val="auto"/>
              </w:rPr>
            </w:pPr>
            <w:r>
              <w:rPr>
                <w:rFonts w:hint="default"/>
                <w:color w:val="auto"/>
              </w:rPr>
              <w:t>3</w:t>
            </w:r>
            <w:r>
              <w:rPr>
                <w:rFonts w:hint="default"/>
                <w:color w:val="auto"/>
                <w:lang w:eastAsia="zh-CN"/>
              </w:rPr>
              <w:t>、</w:t>
            </w:r>
            <w:r>
              <w:rPr>
                <w:rFonts w:hint="default"/>
                <w:color w:val="auto"/>
              </w:rPr>
              <w:t>管理制度执行情况</w:t>
            </w:r>
          </w:p>
        </w:tc>
      </w:tr>
      <w:tr w14:paraId="03CF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03241C84">
            <w:pPr>
              <w:pStyle w:val="24"/>
              <w:bidi w:val="0"/>
              <w:jc w:val="both"/>
              <w:rPr>
                <w:rFonts w:hint="default"/>
                <w:color w:val="auto"/>
              </w:rPr>
            </w:pPr>
            <w:r>
              <w:rPr>
                <w:rFonts w:hint="default"/>
                <w:color w:val="auto"/>
              </w:rPr>
              <w:t>生产经营单位应当教育和督促从业人员严格执行本单位的安全生产规章制度和安全操作规程；并向从业人员如实告知作业场所和工作岗位存在的危险因素、防范措施以及事故应急措施。</w:t>
            </w:r>
          </w:p>
          <w:p w14:paraId="1BA39BAE">
            <w:pPr>
              <w:pStyle w:val="24"/>
              <w:bidi w:val="0"/>
              <w:jc w:val="both"/>
              <w:rPr>
                <w:rFonts w:hint="default"/>
                <w:color w:val="auto"/>
              </w:rPr>
            </w:pPr>
            <w:r>
              <w:rPr>
                <w:rFonts w:hint="default"/>
                <w:color w:val="auto"/>
              </w:rPr>
              <w:t>生产经营单位应当关注从业人员的身体、心理状况和行为习惯，加强对从业人员的心理疏导、精神慰藉，严格落实岗位安全生产责任，防范从业人员行为异常导致事故发生。</w:t>
            </w:r>
          </w:p>
        </w:tc>
        <w:tc>
          <w:tcPr>
            <w:tcW w:w="2051" w:type="dxa"/>
            <w:noWrap w:val="0"/>
            <w:vAlign w:val="center"/>
          </w:tcPr>
          <w:p w14:paraId="223CA26F">
            <w:pPr>
              <w:pStyle w:val="24"/>
              <w:bidi w:val="0"/>
              <w:rPr>
                <w:rFonts w:hint="default"/>
                <w:color w:val="auto"/>
              </w:rPr>
            </w:pPr>
            <w:r>
              <w:rPr>
                <w:rFonts w:hint="default"/>
                <w:color w:val="auto"/>
              </w:rPr>
              <w:t>《中华人民共和国安全生产法》</w:t>
            </w:r>
          </w:p>
          <w:p w14:paraId="3BDF39A6">
            <w:pPr>
              <w:pStyle w:val="24"/>
              <w:bidi w:val="0"/>
              <w:rPr>
                <w:rFonts w:hint="default"/>
                <w:color w:val="auto"/>
              </w:rPr>
            </w:pPr>
            <w:r>
              <w:rPr>
                <w:rFonts w:hint="default"/>
                <w:color w:val="auto"/>
              </w:rPr>
              <w:t>第四十四条</w:t>
            </w:r>
          </w:p>
        </w:tc>
        <w:tc>
          <w:tcPr>
            <w:tcW w:w="2571" w:type="dxa"/>
            <w:noWrap w:val="0"/>
            <w:vAlign w:val="center"/>
          </w:tcPr>
          <w:p w14:paraId="526072AA">
            <w:pPr>
              <w:pStyle w:val="24"/>
              <w:bidi w:val="0"/>
              <w:rPr>
                <w:rFonts w:hint="default"/>
                <w:color w:val="auto"/>
              </w:rPr>
            </w:pPr>
            <w:r>
              <w:rPr>
                <w:rFonts w:hint="default"/>
                <w:color w:val="auto"/>
              </w:rPr>
              <w:t>已对员工进行相关的安全教育，并向从业人员如实告知作业场所和工作岗位存在的危险因素、防范措施以及事故应急措施。</w:t>
            </w:r>
          </w:p>
        </w:tc>
        <w:tc>
          <w:tcPr>
            <w:tcW w:w="717" w:type="dxa"/>
            <w:noWrap w:val="0"/>
            <w:vAlign w:val="center"/>
          </w:tcPr>
          <w:p w14:paraId="0DBC5484">
            <w:pPr>
              <w:pStyle w:val="24"/>
              <w:bidi w:val="0"/>
              <w:rPr>
                <w:rFonts w:hint="default"/>
                <w:color w:val="auto"/>
              </w:rPr>
            </w:pPr>
            <w:r>
              <w:rPr>
                <w:rFonts w:hint="default"/>
                <w:color w:val="auto"/>
              </w:rPr>
              <w:t>符合</w:t>
            </w:r>
          </w:p>
        </w:tc>
      </w:tr>
      <w:tr w14:paraId="09EF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75118737">
            <w:pPr>
              <w:pStyle w:val="24"/>
              <w:bidi w:val="0"/>
              <w:jc w:val="both"/>
              <w:rPr>
                <w:rFonts w:hint="default"/>
                <w:color w:val="auto"/>
              </w:rPr>
            </w:pPr>
            <w:r>
              <w:rPr>
                <w:rFonts w:hint="default"/>
                <w:color w:val="auto"/>
              </w:rPr>
              <w:t>生产经营单位必须为从业人员提供符合国家标准或者行业标准的劳动防护用品，并监督、教育从业人员按照使用规则佩戴、使用。</w:t>
            </w:r>
          </w:p>
        </w:tc>
        <w:tc>
          <w:tcPr>
            <w:tcW w:w="2051" w:type="dxa"/>
            <w:noWrap w:val="0"/>
            <w:vAlign w:val="center"/>
          </w:tcPr>
          <w:p w14:paraId="050EC349">
            <w:pPr>
              <w:pStyle w:val="24"/>
              <w:bidi w:val="0"/>
              <w:rPr>
                <w:rFonts w:hint="default"/>
                <w:color w:val="auto"/>
              </w:rPr>
            </w:pPr>
            <w:r>
              <w:rPr>
                <w:rFonts w:hint="default"/>
                <w:color w:val="auto"/>
              </w:rPr>
              <w:t>《中华人民共和国安全生产法》</w:t>
            </w:r>
          </w:p>
          <w:p w14:paraId="3C2B9547">
            <w:pPr>
              <w:pStyle w:val="24"/>
              <w:bidi w:val="0"/>
              <w:rPr>
                <w:rFonts w:hint="default"/>
                <w:color w:val="auto"/>
              </w:rPr>
            </w:pPr>
            <w:r>
              <w:rPr>
                <w:rFonts w:hint="default"/>
                <w:color w:val="auto"/>
              </w:rPr>
              <w:t>第四十五条</w:t>
            </w:r>
          </w:p>
        </w:tc>
        <w:tc>
          <w:tcPr>
            <w:tcW w:w="2571" w:type="dxa"/>
            <w:noWrap w:val="0"/>
            <w:vAlign w:val="center"/>
          </w:tcPr>
          <w:p w14:paraId="68095CD3">
            <w:pPr>
              <w:pStyle w:val="24"/>
              <w:bidi w:val="0"/>
              <w:rPr>
                <w:rFonts w:hint="default"/>
                <w:color w:val="auto"/>
              </w:rPr>
            </w:pPr>
            <w:r>
              <w:rPr>
                <w:rFonts w:hint="default"/>
                <w:color w:val="auto"/>
              </w:rPr>
              <w:t>按规定向从业人员提供符合国家标准或者行业标准的劳动防护用品，监督、教育从业人员按照要求规则佩戴、使用。</w:t>
            </w:r>
          </w:p>
        </w:tc>
        <w:tc>
          <w:tcPr>
            <w:tcW w:w="717" w:type="dxa"/>
            <w:noWrap w:val="0"/>
            <w:vAlign w:val="center"/>
          </w:tcPr>
          <w:p w14:paraId="27E77A12">
            <w:pPr>
              <w:pStyle w:val="24"/>
              <w:bidi w:val="0"/>
              <w:rPr>
                <w:rFonts w:hint="default"/>
                <w:color w:val="auto"/>
              </w:rPr>
            </w:pPr>
            <w:r>
              <w:rPr>
                <w:rFonts w:hint="default"/>
                <w:color w:val="auto"/>
              </w:rPr>
              <w:t>符合</w:t>
            </w:r>
          </w:p>
        </w:tc>
      </w:tr>
      <w:tr w14:paraId="0083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554F4B09">
            <w:pPr>
              <w:pStyle w:val="24"/>
              <w:bidi w:val="0"/>
              <w:jc w:val="both"/>
              <w:rPr>
                <w:rFonts w:hint="default"/>
                <w:color w:val="auto"/>
              </w:rPr>
            </w:pPr>
            <w:r>
              <w:rPr>
                <w:rFonts w:hint="default"/>
                <w:color w:val="auto"/>
              </w:rPr>
              <w:t>生产经营单位的主要负责人和安全生产管理人员必须具备与本单位所从事的生产经营活动相应的安全生产知识和管理能力。</w:t>
            </w:r>
          </w:p>
          <w:p w14:paraId="3E77799F">
            <w:pPr>
              <w:pStyle w:val="24"/>
              <w:bidi w:val="0"/>
              <w:jc w:val="both"/>
              <w:rPr>
                <w:rFonts w:hint="default"/>
                <w:color w:val="auto"/>
              </w:rPr>
            </w:pPr>
            <w:r>
              <w:rPr>
                <w:rFonts w:hint="default"/>
                <w:color w:val="auto"/>
              </w:rPr>
              <w:t>危险物品的生产、经营、储存、装卸单位以及矿山、金属冶炼、建筑施工、运输单位的主要负责人和安全生产管理人员，应当由主管的负有安全生产监督管理职责的部门对其安全生产知识和管理能力考核合格。考核不得收费。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tc>
        <w:tc>
          <w:tcPr>
            <w:tcW w:w="2051" w:type="dxa"/>
            <w:noWrap w:val="0"/>
            <w:vAlign w:val="center"/>
          </w:tcPr>
          <w:p w14:paraId="6C2825AE">
            <w:pPr>
              <w:pStyle w:val="24"/>
              <w:bidi w:val="0"/>
              <w:rPr>
                <w:rFonts w:hint="default"/>
                <w:color w:val="auto"/>
              </w:rPr>
            </w:pPr>
            <w:r>
              <w:rPr>
                <w:rFonts w:hint="default"/>
                <w:color w:val="auto"/>
              </w:rPr>
              <w:t>《中华人民共和国安全生产法》</w:t>
            </w:r>
          </w:p>
          <w:p w14:paraId="19879CC1">
            <w:pPr>
              <w:pStyle w:val="24"/>
              <w:bidi w:val="0"/>
              <w:rPr>
                <w:rFonts w:hint="default"/>
                <w:color w:val="auto"/>
              </w:rPr>
            </w:pPr>
            <w:r>
              <w:rPr>
                <w:rFonts w:hint="default"/>
                <w:color w:val="auto"/>
              </w:rPr>
              <w:t>第二十七条</w:t>
            </w:r>
          </w:p>
        </w:tc>
        <w:tc>
          <w:tcPr>
            <w:tcW w:w="2571" w:type="dxa"/>
            <w:noWrap w:val="0"/>
            <w:vAlign w:val="center"/>
          </w:tcPr>
          <w:p w14:paraId="7071C76D">
            <w:pPr>
              <w:pStyle w:val="24"/>
              <w:bidi w:val="0"/>
              <w:rPr>
                <w:rFonts w:hint="default"/>
                <w:color w:val="auto"/>
              </w:rPr>
            </w:pPr>
            <w:r>
              <w:rPr>
                <w:rFonts w:hint="eastAsia"/>
                <w:color w:val="auto"/>
                <w:lang w:val="en-US" w:eastAsia="zh-CN"/>
              </w:rPr>
              <w:t>主要负责人、</w:t>
            </w:r>
            <w:r>
              <w:rPr>
                <w:rFonts w:hint="default"/>
                <w:color w:val="auto"/>
              </w:rPr>
              <w:t>安全员已参加安全生产知识和管理能力培训并持证上岗</w:t>
            </w:r>
            <w:r>
              <w:rPr>
                <w:rFonts w:hint="eastAsia"/>
                <w:color w:val="auto"/>
                <w:lang w:eastAsia="zh-CN"/>
              </w:rPr>
              <w:t>。</w:t>
            </w:r>
          </w:p>
        </w:tc>
        <w:tc>
          <w:tcPr>
            <w:tcW w:w="717" w:type="dxa"/>
            <w:noWrap w:val="0"/>
            <w:vAlign w:val="center"/>
          </w:tcPr>
          <w:p w14:paraId="7B58F19E">
            <w:pPr>
              <w:pStyle w:val="24"/>
              <w:bidi w:val="0"/>
              <w:rPr>
                <w:rFonts w:hint="default"/>
                <w:color w:val="auto"/>
              </w:rPr>
            </w:pPr>
            <w:r>
              <w:rPr>
                <w:rFonts w:hint="default"/>
                <w:color w:val="auto"/>
              </w:rPr>
              <w:t>符合</w:t>
            </w:r>
          </w:p>
        </w:tc>
      </w:tr>
      <w:tr w14:paraId="7EDC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5DB36A26">
            <w:pPr>
              <w:pStyle w:val="24"/>
              <w:bidi w:val="0"/>
              <w:jc w:val="both"/>
              <w:rPr>
                <w:rFonts w:hint="default"/>
                <w:color w:val="auto"/>
              </w:rPr>
            </w:pPr>
            <w:r>
              <w:rPr>
                <w:rFonts w:hint="default"/>
                <w:color w:val="auto"/>
              </w:rPr>
              <w:t>生产经营单位的特种作业人员必须按照国家有关规定经专门的安全作业培训，取得相应资格，方可上岗作业。</w:t>
            </w:r>
          </w:p>
          <w:p w14:paraId="58A1CF9D">
            <w:pPr>
              <w:pStyle w:val="24"/>
              <w:bidi w:val="0"/>
              <w:jc w:val="both"/>
              <w:rPr>
                <w:rFonts w:hint="default"/>
                <w:color w:val="auto"/>
              </w:rPr>
            </w:pPr>
            <w:r>
              <w:rPr>
                <w:rFonts w:hint="default"/>
                <w:color w:val="auto"/>
              </w:rPr>
              <w:t>特种作业人员的范围由国务院应急管理部门会同国务院有关部门确定。</w:t>
            </w:r>
          </w:p>
        </w:tc>
        <w:tc>
          <w:tcPr>
            <w:tcW w:w="2051" w:type="dxa"/>
            <w:noWrap w:val="0"/>
            <w:vAlign w:val="center"/>
          </w:tcPr>
          <w:p w14:paraId="2FBD49B4">
            <w:pPr>
              <w:pStyle w:val="24"/>
              <w:bidi w:val="0"/>
              <w:rPr>
                <w:rFonts w:hint="default"/>
                <w:color w:val="auto"/>
              </w:rPr>
            </w:pPr>
            <w:r>
              <w:rPr>
                <w:rFonts w:hint="default"/>
                <w:color w:val="auto"/>
              </w:rPr>
              <w:t>《中华人民共和国安全生产法》</w:t>
            </w:r>
          </w:p>
          <w:p w14:paraId="40FB5BD0">
            <w:pPr>
              <w:pStyle w:val="24"/>
              <w:bidi w:val="0"/>
              <w:rPr>
                <w:rFonts w:hint="default"/>
                <w:color w:val="auto"/>
              </w:rPr>
            </w:pPr>
            <w:r>
              <w:rPr>
                <w:rFonts w:hint="default"/>
                <w:color w:val="auto"/>
              </w:rPr>
              <w:t>第三十条</w:t>
            </w:r>
          </w:p>
        </w:tc>
        <w:tc>
          <w:tcPr>
            <w:tcW w:w="2571" w:type="dxa"/>
            <w:noWrap w:val="0"/>
            <w:vAlign w:val="center"/>
          </w:tcPr>
          <w:p w14:paraId="012D4A6D">
            <w:pPr>
              <w:pStyle w:val="24"/>
              <w:bidi w:val="0"/>
              <w:rPr>
                <w:rFonts w:hint="default"/>
                <w:color w:val="auto"/>
              </w:rPr>
            </w:pPr>
            <w:r>
              <w:rPr>
                <w:rFonts w:hint="default"/>
                <w:color w:val="auto"/>
              </w:rPr>
              <w:t>该项目特种作业人员已取得资格证书，持证上岗。</w:t>
            </w:r>
          </w:p>
        </w:tc>
        <w:tc>
          <w:tcPr>
            <w:tcW w:w="717" w:type="dxa"/>
            <w:noWrap w:val="0"/>
            <w:vAlign w:val="center"/>
          </w:tcPr>
          <w:p w14:paraId="5F48C654">
            <w:pPr>
              <w:pStyle w:val="24"/>
              <w:bidi w:val="0"/>
              <w:rPr>
                <w:rFonts w:hint="default"/>
                <w:color w:val="auto"/>
              </w:rPr>
            </w:pPr>
            <w:r>
              <w:rPr>
                <w:rFonts w:hint="default"/>
                <w:color w:val="auto"/>
              </w:rPr>
              <w:t>符合</w:t>
            </w:r>
          </w:p>
        </w:tc>
      </w:tr>
      <w:tr w14:paraId="0B3E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03" w:type="dxa"/>
            <w:gridSpan w:val="4"/>
            <w:noWrap w:val="0"/>
            <w:vAlign w:val="center"/>
          </w:tcPr>
          <w:p w14:paraId="239373C4">
            <w:pPr>
              <w:pStyle w:val="24"/>
              <w:bidi w:val="0"/>
              <w:jc w:val="center"/>
              <w:rPr>
                <w:rFonts w:hint="default"/>
                <w:color w:val="auto"/>
              </w:rPr>
            </w:pPr>
            <w:r>
              <w:rPr>
                <w:rFonts w:hint="default"/>
                <w:color w:val="auto"/>
              </w:rPr>
              <w:t>4、安全生产投入与工伤保险</w:t>
            </w:r>
          </w:p>
        </w:tc>
      </w:tr>
      <w:tr w14:paraId="5452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6BA22CE5">
            <w:pPr>
              <w:pStyle w:val="24"/>
              <w:bidi w:val="0"/>
              <w:jc w:val="both"/>
              <w:rPr>
                <w:rFonts w:hint="default"/>
                <w:color w:val="auto"/>
              </w:rPr>
            </w:pPr>
            <w:r>
              <w:rPr>
                <w:rFonts w:hint="default"/>
                <w:color w:val="auto"/>
              </w:rPr>
              <w:t>生产经营单位应当安排用于配备劳动防护用品、进行安全生产培训的经费。</w:t>
            </w:r>
          </w:p>
        </w:tc>
        <w:tc>
          <w:tcPr>
            <w:tcW w:w="2051" w:type="dxa"/>
            <w:noWrap w:val="0"/>
            <w:vAlign w:val="center"/>
          </w:tcPr>
          <w:p w14:paraId="5686E563">
            <w:pPr>
              <w:pStyle w:val="24"/>
              <w:bidi w:val="0"/>
              <w:rPr>
                <w:rFonts w:hint="default"/>
                <w:color w:val="auto"/>
              </w:rPr>
            </w:pPr>
            <w:r>
              <w:rPr>
                <w:rFonts w:hint="default"/>
                <w:color w:val="auto"/>
              </w:rPr>
              <w:t>《中华人民共和国安全生产法》</w:t>
            </w:r>
          </w:p>
          <w:p w14:paraId="7FACFAD4">
            <w:pPr>
              <w:pStyle w:val="24"/>
              <w:bidi w:val="0"/>
              <w:rPr>
                <w:rFonts w:hint="default"/>
                <w:color w:val="auto"/>
              </w:rPr>
            </w:pPr>
            <w:r>
              <w:rPr>
                <w:rFonts w:hint="default"/>
                <w:color w:val="auto"/>
              </w:rPr>
              <w:t>第四十七条</w:t>
            </w:r>
          </w:p>
        </w:tc>
        <w:tc>
          <w:tcPr>
            <w:tcW w:w="2571" w:type="dxa"/>
            <w:noWrap w:val="0"/>
            <w:vAlign w:val="center"/>
          </w:tcPr>
          <w:p w14:paraId="0E8C015F">
            <w:pPr>
              <w:pStyle w:val="24"/>
              <w:bidi w:val="0"/>
              <w:rPr>
                <w:rFonts w:hint="default"/>
                <w:color w:val="auto"/>
              </w:rPr>
            </w:pPr>
            <w:r>
              <w:rPr>
                <w:rFonts w:hint="default"/>
                <w:color w:val="auto"/>
              </w:rPr>
              <w:t>有用于配备劳动防护用品及安全生产教育的经费。</w:t>
            </w:r>
          </w:p>
        </w:tc>
        <w:tc>
          <w:tcPr>
            <w:tcW w:w="717" w:type="dxa"/>
            <w:noWrap w:val="0"/>
            <w:vAlign w:val="center"/>
          </w:tcPr>
          <w:p w14:paraId="63E023C5">
            <w:pPr>
              <w:pStyle w:val="24"/>
              <w:bidi w:val="0"/>
              <w:rPr>
                <w:rFonts w:hint="default"/>
                <w:color w:val="auto"/>
              </w:rPr>
            </w:pPr>
            <w:r>
              <w:rPr>
                <w:rFonts w:hint="default"/>
                <w:color w:val="auto"/>
              </w:rPr>
              <w:t>符合</w:t>
            </w:r>
          </w:p>
        </w:tc>
      </w:tr>
      <w:tr w14:paraId="36F9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73A15FB1">
            <w:pPr>
              <w:pStyle w:val="24"/>
              <w:bidi w:val="0"/>
              <w:jc w:val="both"/>
              <w:rPr>
                <w:rFonts w:hint="default"/>
                <w:color w:val="auto"/>
              </w:rPr>
            </w:pPr>
            <w:r>
              <w:rPr>
                <w:rFonts w:hint="default"/>
                <w:color w:val="auto"/>
              </w:rPr>
              <w:t>生产经营单位必须依法参加工伤社会保险，为从业人员缴纳保险费。</w:t>
            </w:r>
          </w:p>
        </w:tc>
        <w:tc>
          <w:tcPr>
            <w:tcW w:w="2051" w:type="dxa"/>
            <w:noWrap w:val="0"/>
            <w:vAlign w:val="center"/>
          </w:tcPr>
          <w:p w14:paraId="36AB4608">
            <w:pPr>
              <w:pStyle w:val="24"/>
              <w:bidi w:val="0"/>
              <w:rPr>
                <w:rFonts w:hint="default"/>
                <w:color w:val="auto"/>
              </w:rPr>
            </w:pPr>
            <w:r>
              <w:rPr>
                <w:rFonts w:hint="default"/>
                <w:color w:val="auto"/>
              </w:rPr>
              <w:t>《中华人民共和国安全生产法》</w:t>
            </w:r>
          </w:p>
          <w:p w14:paraId="77859C95">
            <w:pPr>
              <w:pStyle w:val="24"/>
              <w:bidi w:val="0"/>
              <w:rPr>
                <w:rFonts w:hint="default"/>
                <w:color w:val="auto"/>
              </w:rPr>
            </w:pPr>
            <w:r>
              <w:rPr>
                <w:rFonts w:hint="default"/>
                <w:color w:val="auto"/>
              </w:rPr>
              <w:t>第五十一条</w:t>
            </w:r>
          </w:p>
        </w:tc>
        <w:tc>
          <w:tcPr>
            <w:tcW w:w="2571" w:type="dxa"/>
            <w:noWrap w:val="0"/>
            <w:vAlign w:val="center"/>
          </w:tcPr>
          <w:p w14:paraId="5699ECD1">
            <w:pPr>
              <w:pStyle w:val="24"/>
              <w:bidi w:val="0"/>
              <w:rPr>
                <w:rFonts w:hint="default"/>
                <w:color w:val="auto"/>
              </w:rPr>
            </w:pPr>
            <w:r>
              <w:rPr>
                <w:rFonts w:hint="eastAsia"/>
                <w:color w:val="auto"/>
                <w:lang w:val="en-US" w:eastAsia="zh-CN"/>
              </w:rPr>
              <w:t>企业已为从业人员购买</w:t>
            </w:r>
            <w:r>
              <w:rPr>
                <w:rFonts w:hint="default"/>
                <w:color w:val="auto"/>
              </w:rPr>
              <w:t>工伤保险。</w:t>
            </w:r>
          </w:p>
        </w:tc>
        <w:tc>
          <w:tcPr>
            <w:tcW w:w="717" w:type="dxa"/>
            <w:noWrap w:val="0"/>
            <w:vAlign w:val="center"/>
          </w:tcPr>
          <w:p w14:paraId="7141EBB4">
            <w:pPr>
              <w:pStyle w:val="24"/>
              <w:bidi w:val="0"/>
              <w:rPr>
                <w:rFonts w:hint="default"/>
                <w:color w:val="auto"/>
              </w:rPr>
            </w:pPr>
            <w:r>
              <w:rPr>
                <w:rFonts w:hint="default"/>
                <w:color w:val="auto"/>
              </w:rPr>
              <w:t>符合</w:t>
            </w:r>
          </w:p>
        </w:tc>
      </w:tr>
      <w:tr w14:paraId="7021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03" w:type="dxa"/>
            <w:gridSpan w:val="4"/>
            <w:noWrap w:val="0"/>
            <w:vAlign w:val="center"/>
          </w:tcPr>
          <w:p w14:paraId="79A9AB65">
            <w:pPr>
              <w:pStyle w:val="24"/>
              <w:bidi w:val="0"/>
              <w:jc w:val="center"/>
              <w:rPr>
                <w:rFonts w:hint="default"/>
                <w:color w:val="auto"/>
              </w:rPr>
            </w:pPr>
            <w:r>
              <w:rPr>
                <w:rFonts w:hint="default"/>
                <w:color w:val="auto"/>
              </w:rPr>
              <w:t>5、从业人员安全培训教育</w:t>
            </w:r>
          </w:p>
        </w:tc>
      </w:tr>
      <w:tr w14:paraId="487F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685459E0">
            <w:pPr>
              <w:pStyle w:val="24"/>
              <w:bidi w:val="0"/>
              <w:jc w:val="both"/>
              <w:rPr>
                <w:rFonts w:hint="default"/>
                <w:color w:val="auto"/>
              </w:rPr>
            </w:pPr>
            <w:r>
              <w:rPr>
                <w:rFonts w:hint="default"/>
                <w:color w:val="auto"/>
              </w:rPr>
              <w:t>生产经营单位应当对从业人员进行安全生产教育和培训，保证从业人员具备必要的安全生产知识，熟悉有关的安全生产规章制度和安全操作规程，掌握本岗位的安全操作技能。未经安全生产教育和培训合格的从业人员，不得上岗作业。</w:t>
            </w:r>
          </w:p>
        </w:tc>
        <w:tc>
          <w:tcPr>
            <w:tcW w:w="2051" w:type="dxa"/>
            <w:noWrap w:val="0"/>
            <w:vAlign w:val="center"/>
          </w:tcPr>
          <w:p w14:paraId="7296C39D">
            <w:pPr>
              <w:pStyle w:val="24"/>
              <w:bidi w:val="0"/>
              <w:rPr>
                <w:rFonts w:hint="default"/>
                <w:color w:val="auto"/>
              </w:rPr>
            </w:pPr>
            <w:r>
              <w:rPr>
                <w:rFonts w:hint="default"/>
                <w:color w:val="auto"/>
              </w:rPr>
              <w:t>《中华人民共和国安全生产法》</w:t>
            </w:r>
          </w:p>
          <w:p w14:paraId="7158ADBF">
            <w:pPr>
              <w:pStyle w:val="24"/>
              <w:bidi w:val="0"/>
              <w:rPr>
                <w:rFonts w:hint="default"/>
                <w:color w:val="auto"/>
              </w:rPr>
            </w:pPr>
            <w:r>
              <w:rPr>
                <w:rFonts w:hint="default"/>
                <w:color w:val="auto"/>
              </w:rPr>
              <w:t>第二十八条</w:t>
            </w:r>
          </w:p>
        </w:tc>
        <w:tc>
          <w:tcPr>
            <w:tcW w:w="2571" w:type="dxa"/>
            <w:noWrap w:val="0"/>
            <w:vAlign w:val="center"/>
          </w:tcPr>
          <w:p w14:paraId="5925B598">
            <w:pPr>
              <w:pStyle w:val="24"/>
              <w:bidi w:val="0"/>
              <w:rPr>
                <w:rFonts w:hint="default"/>
                <w:color w:val="auto"/>
              </w:rPr>
            </w:pPr>
            <w:r>
              <w:rPr>
                <w:rFonts w:hint="default"/>
                <w:color w:val="auto"/>
              </w:rPr>
              <w:t>有安全教育培训制度，并按要求进行相关的安全培训。</w:t>
            </w:r>
          </w:p>
        </w:tc>
        <w:tc>
          <w:tcPr>
            <w:tcW w:w="717" w:type="dxa"/>
            <w:noWrap w:val="0"/>
            <w:vAlign w:val="center"/>
          </w:tcPr>
          <w:p w14:paraId="3AD76E88">
            <w:pPr>
              <w:pStyle w:val="24"/>
              <w:bidi w:val="0"/>
              <w:rPr>
                <w:rFonts w:hint="default"/>
                <w:color w:val="auto"/>
              </w:rPr>
            </w:pPr>
            <w:r>
              <w:rPr>
                <w:rFonts w:hint="default"/>
                <w:color w:val="auto"/>
              </w:rPr>
              <w:t>符合</w:t>
            </w:r>
          </w:p>
        </w:tc>
      </w:tr>
      <w:tr w14:paraId="0BE9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03" w:type="dxa"/>
            <w:gridSpan w:val="4"/>
            <w:noWrap w:val="0"/>
            <w:vAlign w:val="center"/>
          </w:tcPr>
          <w:p w14:paraId="190CA108">
            <w:pPr>
              <w:pStyle w:val="24"/>
              <w:bidi w:val="0"/>
              <w:jc w:val="center"/>
              <w:rPr>
                <w:rFonts w:hint="default"/>
                <w:color w:val="auto"/>
              </w:rPr>
            </w:pPr>
            <w:r>
              <w:rPr>
                <w:rFonts w:hint="default"/>
                <w:color w:val="auto"/>
              </w:rPr>
              <w:t>6</w:t>
            </w:r>
            <w:r>
              <w:rPr>
                <w:rFonts w:hint="default"/>
                <w:color w:val="auto"/>
                <w:lang w:eastAsia="zh-CN"/>
              </w:rPr>
              <w:t>、</w:t>
            </w:r>
            <w:r>
              <w:rPr>
                <w:rFonts w:hint="default"/>
                <w:color w:val="auto"/>
              </w:rPr>
              <w:t>应急预案</w:t>
            </w:r>
          </w:p>
        </w:tc>
      </w:tr>
      <w:tr w14:paraId="57C5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2C4D26CD">
            <w:pPr>
              <w:pStyle w:val="24"/>
              <w:bidi w:val="0"/>
              <w:jc w:val="both"/>
              <w:rPr>
                <w:rFonts w:hint="default"/>
                <w:color w:val="auto"/>
              </w:rPr>
            </w:pPr>
            <w:r>
              <w:rPr>
                <w:rFonts w:hint="default"/>
                <w:color w:val="auto"/>
              </w:rPr>
              <w:t>生产经营单位应当根据有关法律、法规和《生产经营单位安全生产事故应急预案编制导则》，结合本单位的危险源状况、危险性分析情况和可能发生的事故特点，制定相应的应急预案。</w:t>
            </w:r>
          </w:p>
        </w:tc>
        <w:tc>
          <w:tcPr>
            <w:tcW w:w="2051" w:type="dxa"/>
            <w:noWrap w:val="0"/>
            <w:vAlign w:val="center"/>
          </w:tcPr>
          <w:p w14:paraId="69DB1602">
            <w:pPr>
              <w:pStyle w:val="24"/>
              <w:bidi w:val="0"/>
              <w:rPr>
                <w:rFonts w:hint="eastAsia"/>
                <w:color w:val="auto"/>
                <w:lang w:eastAsia="zh-CN"/>
              </w:rPr>
            </w:pPr>
            <w:r>
              <w:rPr>
                <w:rFonts w:hint="default"/>
                <w:color w:val="auto"/>
              </w:rPr>
              <w:t>《生产安全事故应急预案管理办法》</w:t>
            </w:r>
            <w:r>
              <w:rPr>
                <w:rFonts w:hint="default"/>
                <w:color w:val="auto"/>
                <w:lang w:eastAsia="zh-CN"/>
              </w:rPr>
              <w:t>（</w:t>
            </w:r>
            <w:r>
              <w:rPr>
                <w:rFonts w:hint="default"/>
                <w:color w:val="auto"/>
              </w:rPr>
              <w:t>国家安全生产监督管理总局令[2016]第88号，应急管理部令2号修改</w:t>
            </w:r>
            <w:r>
              <w:rPr>
                <w:rFonts w:hint="eastAsia"/>
                <w:color w:val="auto"/>
                <w:lang w:eastAsia="zh-CN"/>
              </w:rPr>
              <w:t>）</w:t>
            </w:r>
          </w:p>
        </w:tc>
        <w:tc>
          <w:tcPr>
            <w:tcW w:w="2571" w:type="dxa"/>
            <w:noWrap w:val="0"/>
            <w:vAlign w:val="center"/>
          </w:tcPr>
          <w:p w14:paraId="61B16D41">
            <w:pPr>
              <w:pStyle w:val="24"/>
              <w:bidi w:val="0"/>
              <w:rPr>
                <w:rFonts w:hint="default"/>
                <w:color w:val="auto"/>
                <w:lang w:val="en-US" w:eastAsia="zh-CN"/>
              </w:rPr>
            </w:pPr>
            <w:r>
              <w:rPr>
                <w:rFonts w:hint="default"/>
                <w:color w:val="auto"/>
              </w:rPr>
              <w:t>已制定事生产安全事故应急预案</w:t>
            </w:r>
            <w:r>
              <w:rPr>
                <w:rFonts w:hint="default"/>
                <w:color w:val="auto"/>
                <w:lang w:val="en-US" w:eastAsia="zh-CN"/>
              </w:rPr>
              <w:t>并备案。</w:t>
            </w:r>
          </w:p>
        </w:tc>
        <w:tc>
          <w:tcPr>
            <w:tcW w:w="717" w:type="dxa"/>
            <w:noWrap w:val="0"/>
            <w:vAlign w:val="center"/>
          </w:tcPr>
          <w:p w14:paraId="74BAE131">
            <w:pPr>
              <w:pStyle w:val="24"/>
              <w:bidi w:val="0"/>
              <w:rPr>
                <w:rFonts w:hint="default"/>
                <w:color w:val="auto"/>
              </w:rPr>
            </w:pPr>
            <w:r>
              <w:rPr>
                <w:rFonts w:hint="default"/>
                <w:color w:val="auto"/>
              </w:rPr>
              <w:t>符合</w:t>
            </w:r>
          </w:p>
        </w:tc>
      </w:tr>
      <w:tr w14:paraId="0454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27E80548">
            <w:pPr>
              <w:pStyle w:val="24"/>
              <w:bidi w:val="0"/>
              <w:jc w:val="both"/>
              <w:rPr>
                <w:rFonts w:hint="default"/>
                <w:color w:val="auto"/>
              </w:rPr>
            </w:pPr>
            <w:r>
              <w:rPr>
                <w:rFonts w:hint="default"/>
                <w:color w:val="auto"/>
              </w:rPr>
              <w:t>生产经营单位主要负责人负责组织编制和实施本单位的应急预案，并对应急预案的真实性和实用性负责；各分管负责人应当按照职责分工落实应急预案规定的职责。</w:t>
            </w:r>
          </w:p>
        </w:tc>
        <w:tc>
          <w:tcPr>
            <w:tcW w:w="2051" w:type="dxa"/>
            <w:noWrap w:val="0"/>
            <w:vAlign w:val="center"/>
          </w:tcPr>
          <w:p w14:paraId="62B24266">
            <w:pPr>
              <w:pStyle w:val="24"/>
              <w:bidi w:val="0"/>
              <w:rPr>
                <w:rFonts w:hint="default"/>
                <w:color w:val="auto"/>
              </w:rPr>
            </w:pPr>
            <w:r>
              <w:rPr>
                <w:rFonts w:hint="default"/>
                <w:color w:val="auto"/>
              </w:rPr>
              <w:t>《生产安全事故应急预案管理办法》</w:t>
            </w:r>
            <w:r>
              <w:rPr>
                <w:rFonts w:hint="default"/>
                <w:color w:val="auto"/>
                <w:lang w:eastAsia="zh-CN"/>
              </w:rPr>
              <w:t>（</w:t>
            </w:r>
            <w:r>
              <w:rPr>
                <w:rFonts w:hint="default"/>
                <w:color w:val="auto"/>
              </w:rPr>
              <w:t>安监总局令第88号发布，应急管理部2号令修订</w:t>
            </w:r>
            <w:r>
              <w:rPr>
                <w:rFonts w:hint="eastAsia"/>
                <w:color w:val="auto"/>
                <w:lang w:eastAsia="zh-CN"/>
              </w:rPr>
              <w:t>）</w:t>
            </w:r>
            <w:r>
              <w:rPr>
                <w:rFonts w:hint="default"/>
                <w:color w:val="auto"/>
              </w:rPr>
              <w:t>第五条</w:t>
            </w:r>
          </w:p>
        </w:tc>
        <w:tc>
          <w:tcPr>
            <w:tcW w:w="2571" w:type="dxa"/>
            <w:noWrap w:val="0"/>
            <w:vAlign w:val="center"/>
          </w:tcPr>
          <w:p w14:paraId="15914E53">
            <w:pPr>
              <w:pStyle w:val="24"/>
              <w:bidi w:val="0"/>
              <w:rPr>
                <w:rFonts w:hint="default"/>
                <w:color w:val="auto"/>
              </w:rPr>
            </w:pPr>
            <w:r>
              <w:rPr>
                <w:rFonts w:hint="default"/>
                <w:color w:val="auto"/>
              </w:rPr>
              <w:t>该项目编制有生产安全事故应急预案，由主要负责人编制和实施。</w:t>
            </w:r>
          </w:p>
        </w:tc>
        <w:tc>
          <w:tcPr>
            <w:tcW w:w="717" w:type="dxa"/>
            <w:noWrap w:val="0"/>
            <w:vAlign w:val="center"/>
          </w:tcPr>
          <w:p w14:paraId="33AA9188">
            <w:pPr>
              <w:pStyle w:val="24"/>
              <w:bidi w:val="0"/>
              <w:rPr>
                <w:rFonts w:hint="default"/>
                <w:color w:val="auto"/>
              </w:rPr>
            </w:pPr>
            <w:r>
              <w:rPr>
                <w:rFonts w:hint="default"/>
                <w:color w:val="auto"/>
              </w:rPr>
              <w:t>符合</w:t>
            </w:r>
          </w:p>
        </w:tc>
      </w:tr>
      <w:tr w14:paraId="0674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4AC21D04">
            <w:pPr>
              <w:pStyle w:val="24"/>
              <w:bidi w:val="0"/>
              <w:jc w:val="both"/>
              <w:rPr>
                <w:rFonts w:hint="default"/>
                <w:color w:val="auto"/>
              </w:rPr>
            </w:pPr>
            <w:r>
              <w:rPr>
                <w:rFonts w:hint="default"/>
                <w:color w:val="auto"/>
              </w:rPr>
              <w:t>矿山、金属冶炼、建筑施工企业和易燃易爆物品、危险化学品的生产、经营</w:t>
            </w:r>
            <w:r>
              <w:rPr>
                <w:rFonts w:hint="default"/>
                <w:color w:val="auto"/>
                <w:lang w:eastAsia="zh-CN"/>
              </w:rPr>
              <w:t>（</w:t>
            </w:r>
            <w:r>
              <w:rPr>
                <w:rFonts w:hint="default"/>
                <w:color w:val="auto"/>
              </w:rPr>
              <w:t>带储存设施的，下同</w:t>
            </w:r>
            <w:r>
              <w:rPr>
                <w:rFonts w:hint="eastAsia"/>
                <w:color w:val="auto"/>
                <w:lang w:eastAsia="zh-CN"/>
              </w:rPr>
              <w:t>）</w:t>
            </w:r>
            <w:r>
              <w:rPr>
                <w:rFonts w:hint="default"/>
                <w:color w:val="auto"/>
              </w:rPr>
              <w:t>、储存企业，以及使用危险化学品达到国家规定数量的化工企业、烟花爆竹生产、批发经营企业和中型规模以上的其他生产经营单位，应当对本单位编制的应急预案进行评审，并形成书面评审纪要。前款规定以外的其他生产经营单位应当对本单位编制的应急预案进行论证。</w:t>
            </w:r>
          </w:p>
        </w:tc>
        <w:tc>
          <w:tcPr>
            <w:tcW w:w="2051" w:type="dxa"/>
            <w:noWrap w:val="0"/>
            <w:vAlign w:val="center"/>
          </w:tcPr>
          <w:p w14:paraId="2BEDB6AE">
            <w:pPr>
              <w:pStyle w:val="24"/>
              <w:bidi w:val="0"/>
              <w:rPr>
                <w:rFonts w:hint="eastAsia"/>
                <w:color w:val="auto"/>
                <w:lang w:eastAsia="zh-CN"/>
              </w:rPr>
            </w:pPr>
            <w:r>
              <w:rPr>
                <w:rFonts w:hint="default"/>
                <w:color w:val="auto"/>
              </w:rPr>
              <w:t>《生产安全事故应急预案管理办法》</w:t>
            </w:r>
            <w:r>
              <w:rPr>
                <w:rFonts w:hint="default"/>
                <w:color w:val="auto"/>
                <w:lang w:eastAsia="zh-CN"/>
              </w:rPr>
              <w:t>（</w:t>
            </w:r>
            <w:r>
              <w:rPr>
                <w:rFonts w:hint="default"/>
                <w:color w:val="auto"/>
              </w:rPr>
              <w:t>安监总局令第88号发布，应急管理部2号令修订</w:t>
            </w:r>
            <w:r>
              <w:rPr>
                <w:rFonts w:hint="eastAsia"/>
                <w:color w:val="auto"/>
                <w:lang w:eastAsia="zh-CN"/>
              </w:rPr>
              <w:t>）</w:t>
            </w:r>
          </w:p>
          <w:p w14:paraId="62CA0F0F">
            <w:pPr>
              <w:pStyle w:val="24"/>
              <w:bidi w:val="0"/>
              <w:rPr>
                <w:rFonts w:hint="default"/>
                <w:color w:val="auto"/>
              </w:rPr>
            </w:pPr>
            <w:r>
              <w:rPr>
                <w:rFonts w:hint="default"/>
                <w:color w:val="auto"/>
              </w:rPr>
              <w:t>第十一条</w:t>
            </w:r>
          </w:p>
        </w:tc>
        <w:tc>
          <w:tcPr>
            <w:tcW w:w="2571" w:type="dxa"/>
            <w:noWrap w:val="0"/>
            <w:vAlign w:val="center"/>
          </w:tcPr>
          <w:p w14:paraId="3395571B">
            <w:pPr>
              <w:pStyle w:val="24"/>
              <w:bidi w:val="0"/>
              <w:rPr>
                <w:rFonts w:hint="default"/>
                <w:color w:val="auto"/>
              </w:rPr>
            </w:pPr>
            <w:r>
              <w:rPr>
                <w:rFonts w:hint="default"/>
                <w:color w:val="auto"/>
              </w:rPr>
              <w:t>该项目编制有生产安全事故应急预案，其预案经专家评审。</w:t>
            </w:r>
          </w:p>
        </w:tc>
        <w:tc>
          <w:tcPr>
            <w:tcW w:w="717" w:type="dxa"/>
            <w:noWrap w:val="0"/>
            <w:vAlign w:val="center"/>
          </w:tcPr>
          <w:p w14:paraId="65DDE18E">
            <w:pPr>
              <w:pStyle w:val="24"/>
              <w:bidi w:val="0"/>
              <w:rPr>
                <w:rFonts w:hint="default"/>
                <w:color w:val="auto"/>
              </w:rPr>
            </w:pPr>
            <w:r>
              <w:rPr>
                <w:rFonts w:hint="default"/>
                <w:color w:val="auto"/>
              </w:rPr>
              <w:t>符合</w:t>
            </w:r>
          </w:p>
        </w:tc>
      </w:tr>
      <w:tr w14:paraId="5F70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1FB7A7DA">
            <w:pPr>
              <w:pStyle w:val="24"/>
              <w:bidi w:val="0"/>
              <w:jc w:val="both"/>
              <w:rPr>
                <w:rFonts w:hint="default"/>
                <w:color w:val="auto"/>
              </w:rPr>
            </w:pPr>
            <w:r>
              <w:rPr>
                <w:rFonts w:hint="default"/>
                <w:color w:val="auto"/>
              </w:rPr>
              <w:t>生产经营单位风险种类多、可能发生多种类型事故的，应当组织编制综合应急预案。综合应急预案应当规定应急组织机构及其职责、应急预案体系、事故风险描述、预警及信息报告、应急响应、保障措施、应急预案管理等内容。</w:t>
            </w:r>
          </w:p>
        </w:tc>
        <w:tc>
          <w:tcPr>
            <w:tcW w:w="2051" w:type="dxa"/>
            <w:noWrap w:val="0"/>
            <w:vAlign w:val="center"/>
          </w:tcPr>
          <w:p w14:paraId="36D9C2DF">
            <w:pPr>
              <w:pStyle w:val="24"/>
              <w:bidi w:val="0"/>
              <w:rPr>
                <w:rFonts w:hint="eastAsia"/>
                <w:color w:val="auto"/>
                <w:lang w:eastAsia="zh-CN"/>
              </w:rPr>
            </w:pPr>
            <w:r>
              <w:rPr>
                <w:rFonts w:hint="default"/>
                <w:color w:val="auto"/>
              </w:rPr>
              <w:t>《生产安全事故应急预案管理办法》</w:t>
            </w:r>
            <w:r>
              <w:rPr>
                <w:rFonts w:hint="default"/>
                <w:color w:val="auto"/>
                <w:lang w:eastAsia="zh-CN"/>
              </w:rPr>
              <w:t>（</w:t>
            </w:r>
            <w:r>
              <w:rPr>
                <w:rFonts w:hint="default"/>
                <w:color w:val="auto"/>
              </w:rPr>
              <w:t>安监总局令第88号发布，应急管理部2号令修订</w:t>
            </w:r>
            <w:r>
              <w:rPr>
                <w:rFonts w:hint="eastAsia"/>
                <w:color w:val="auto"/>
                <w:lang w:eastAsia="zh-CN"/>
              </w:rPr>
              <w:t>）</w:t>
            </w:r>
          </w:p>
          <w:p w14:paraId="51A89672">
            <w:pPr>
              <w:pStyle w:val="24"/>
              <w:bidi w:val="0"/>
              <w:rPr>
                <w:rFonts w:hint="default"/>
                <w:color w:val="auto"/>
              </w:rPr>
            </w:pPr>
            <w:r>
              <w:rPr>
                <w:rFonts w:hint="default"/>
                <w:color w:val="auto"/>
              </w:rPr>
              <w:t>第十三条</w:t>
            </w:r>
          </w:p>
        </w:tc>
        <w:tc>
          <w:tcPr>
            <w:tcW w:w="2571" w:type="dxa"/>
            <w:noWrap w:val="0"/>
            <w:vAlign w:val="center"/>
          </w:tcPr>
          <w:p w14:paraId="66C9D18D">
            <w:pPr>
              <w:pStyle w:val="24"/>
              <w:bidi w:val="0"/>
              <w:rPr>
                <w:rFonts w:hint="default"/>
                <w:color w:val="auto"/>
              </w:rPr>
            </w:pPr>
            <w:r>
              <w:rPr>
                <w:rFonts w:hint="default"/>
                <w:color w:val="auto"/>
              </w:rPr>
              <w:t>该项目编制有生产安全事故应急预案，预案内容满足要求。</w:t>
            </w:r>
          </w:p>
        </w:tc>
        <w:tc>
          <w:tcPr>
            <w:tcW w:w="717" w:type="dxa"/>
            <w:noWrap w:val="0"/>
            <w:vAlign w:val="center"/>
          </w:tcPr>
          <w:p w14:paraId="4CDACE01">
            <w:pPr>
              <w:pStyle w:val="24"/>
              <w:bidi w:val="0"/>
              <w:rPr>
                <w:rFonts w:hint="default"/>
                <w:color w:val="auto"/>
              </w:rPr>
            </w:pPr>
            <w:r>
              <w:rPr>
                <w:rFonts w:hint="default"/>
                <w:color w:val="auto"/>
              </w:rPr>
              <w:t>符合</w:t>
            </w:r>
          </w:p>
        </w:tc>
      </w:tr>
      <w:tr w14:paraId="6780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632A1BC0">
            <w:pPr>
              <w:pStyle w:val="24"/>
              <w:bidi w:val="0"/>
              <w:jc w:val="both"/>
              <w:rPr>
                <w:rFonts w:hint="default"/>
                <w:color w:val="auto"/>
              </w:rPr>
            </w:pPr>
            <w:r>
              <w:rPr>
                <w:rFonts w:hint="default"/>
                <w:color w:val="auto"/>
              </w:rPr>
              <w:t>生产经营单位的应急预案经评审或者论证后，由本单位主要负责人签署公布，并及时发放到本单位有关部门、岗位和相关应急救援队伍。</w:t>
            </w:r>
          </w:p>
          <w:p w14:paraId="6E5165BB">
            <w:pPr>
              <w:pStyle w:val="24"/>
              <w:bidi w:val="0"/>
              <w:jc w:val="both"/>
              <w:rPr>
                <w:rFonts w:hint="default"/>
                <w:color w:val="auto"/>
              </w:rPr>
            </w:pPr>
            <w:r>
              <w:rPr>
                <w:rFonts w:hint="default"/>
                <w:color w:val="auto"/>
              </w:rPr>
              <w:t>事故风险可能影响周边其他单位、人员的，生产经营单位应当将有关事故风险的性质、影响范围和应急防范措施告知周边的其他单位和人员。</w:t>
            </w:r>
          </w:p>
        </w:tc>
        <w:tc>
          <w:tcPr>
            <w:tcW w:w="2051" w:type="dxa"/>
            <w:noWrap w:val="0"/>
            <w:vAlign w:val="center"/>
          </w:tcPr>
          <w:p w14:paraId="459B07C0">
            <w:pPr>
              <w:pStyle w:val="24"/>
              <w:bidi w:val="0"/>
              <w:rPr>
                <w:rFonts w:hint="eastAsia"/>
                <w:color w:val="auto"/>
                <w:lang w:eastAsia="zh-CN"/>
              </w:rPr>
            </w:pPr>
            <w:r>
              <w:rPr>
                <w:rFonts w:hint="default"/>
                <w:color w:val="auto"/>
              </w:rPr>
              <w:t>《生产安全事故应急预案管理办法》</w:t>
            </w:r>
            <w:r>
              <w:rPr>
                <w:rFonts w:hint="default"/>
                <w:color w:val="auto"/>
                <w:lang w:eastAsia="zh-CN"/>
              </w:rPr>
              <w:t>（</w:t>
            </w:r>
            <w:r>
              <w:rPr>
                <w:rFonts w:hint="default"/>
                <w:color w:val="auto"/>
              </w:rPr>
              <w:t>安监总局令第88号发布，应急管理部2号令修订</w:t>
            </w:r>
            <w:r>
              <w:rPr>
                <w:rFonts w:hint="eastAsia"/>
                <w:color w:val="auto"/>
                <w:lang w:eastAsia="zh-CN"/>
              </w:rPr>
              <w:t>）</w:t>
            </w:r>
          </w:p>
          <w:p w14:paraId="0A894EC0">
            <w:pPr>
              <w:pStyle w:val="24"/>
              <w:bidi w:val="0"/>
              <w:rPr>
                <w:rFonts w:hint="default"/>
                <w:color w:val="auto"/>
              </w:rPr>
            </w:pPr>
            <w:r>
              <w:rPr>
                <w:rFonts w:hint="default"/>
                <w:color w:val="auto"/>
              </w:rPr>
              <w:t>第十四条</w:t>
            </w:r>
          </w:p>
        </w:tc>
        <w:tc>
          <w:tcPr>
            <w:tcW w:w="2571" w:type="dxa"/>
            <w:noWrap w:val="0"/>
            <w:vAlign w:val="center"/>
          </w:tcPr>
          <w:p w14:paraId="361C69F1">
            <w:pPr>
              <w:pStyle w:val="24"/>
              <w:bidi w:val="0"/>
              <w:rPr>
                <w:rFonts w:hint="default"/>
                <w:color w:val="auto"/>
              </w:rPr>
            </w:pPr>
            <w:r>
              <w:rPr>
                <w:rFonts w:hint="default"/>
                <w:color w:val="auto"/>
              </w:rPr>
              <w:t>该项目编制有生产安全事故应急预案，预案经专家评审，由主要负责人签署公布。</w:t>
            </w:r>
          </w:p>
        </w:tc>
        <w:tc>
          <w:tcPr>
            <w:tcW w:w="717" w:type="dxa"/>
            <w:noWrap w:val="0"/>
            <w:vAlign w:val="center"/>
          </w:tcPr>
          <w:p w14:paraId="3F70C0D0">
            <w:pPr>
              <w:pStyle w:val="24"/>
              <w:bidi w:val="0"/>
              <w:rPr>
                <w:rFonts w:hint="default"/>
                <w:color w:val="auto"/>
              </w:rPr>
            </w:pPr>
            <w:r>
              <w:rPr>
                <w:rFonts w:hint="default"/>
                <w:color w:val="auto"/>
              </w:rPr>
              <w:t>符合</w:t>
            </w:r>
          </w:p>
        </w:tc>
      </w:tr>
      <w:tr w14:paraId="281C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59C7D64F">
            <w:pPr>
              <w:pStyle w:val="24"/>
              <w:bidi w:val="0"/>
              <w:jc w:val="both"/>
              <w:rPr>
                <w:rFonts w:hint="default"/>
                <w:color w:val="auto"/>
              </w:rPr>
            </w:pPr>
            <w:r>
              <w:rPr>
                <w:rFonts w:hint="default"/>
                <w:color w:val="auto"/>
              </w:rPr>
              <w:t>生产经营单位应当针对本单位可能发生的生产安全事故的特点和危害，进行风险辨识和评估，制定相应的生产安全事故应急救援预案，并向本单位从业人员公布。</w:t>
            </w:r>
          </w:p>
        </w:tc>
        <w:tc>
          <w:tcPr>
            <w:tcW w:w="2051" w:type="dxa"/>
            <w:noWrap w:val="0"/>
            <w:vAlign w:val="center"/>
          </w:tcPr>
          <w:p w14:paraId="4D24AC56">
            <w:pPr>
              <w:pStyle w:val="24"/>
              <w:bidi w:val="0"/>
              <w:rPr>
                <w:rFonts w:hint="default"/>
                <w:color w:val="auto"/>
                <w:lang w:val="zh-CN"/>
              </w:rPr>
            </w:pPr>
            <w:r>
              <w:rPr>
                <w:rFonts w:hint="default"/>
                <w:color w:val="auto"/>
                <w:lang w:val="zh-CN"/>
              </w:rPr>
              <w:t>《生产安全事故应急条例》（国务院令第708号</w:t>
            </w:r>
            <w:r>
              <w:rPr>
                <w:rFonts w:hint="eastAsia"/>
                <w:color w:val="auto"/>
                <w:lang w:val="zh-CN"/>
              </w:rPr>
              <w:t>）</w:t>
            </w:r>
            <w:r>
              <w:rPr>
                <w:rFonts w:hint="default"/>
                <w:color w:val="auto"/>
                <w:lang w:val="zh-CN"/>
              </w:rPr>
              <w:t>第五条</w:t>
            </w:r>
          </w:p>
        </w:tc>
        <w:tc>
          <w:tcPr>
            <w:tcW w:w="2571" w:type="dxa"/>
            <w:noWrap w:val="0"/>
            <w:vAlign w:val="center"/>
          </w:tcPr>
          <w:p w14:paraId="28AAD0FB">
            <w:pPr>
              <w:pStyle w:val="24"/>
              <w:bidi w:val="0"/>
              <w:rPr>
                <w:rFonts w:hint="default"/>
                <w:color w:val="auto"/>
              </w:rPr>
            </w:pPr>
            <w:r>
              <w:rPr>
                <w:rFonts w:hint="default"/>
                <w:color w:val="auto"/>
              </w:rPr>
              <w:t>该项目生产经营单位针对该项目进行了风险辨识和评估，并制定了相应的生产</w:t>
            </w:r>
            <w:r>
              <w:rPr>
                <w:rFonts w:hint="default"/>
                <w:color w:val="auto"/>
                <w:lang w:val="en-US" w:eastAsia="zh-CN"/>
              </w:rPr>
              <w:t>安全</w:t>
            </w:r>
            <w:r>
              <w:rPr>
                <w:rFonts w:hint="default"/>
                <w:color w:val="auto"/>
              </w:rPr>
              <w:t>事故应急预案。</w:t>
            </w:r>
          </w:p>
        </w:tc>
        <w:tc>
          <w:tcPr>
            <w:tcW w:w="717" w:type="dxa"/>
            <w:noWrap w:val="0"/>
            <w:vAlign w:val="center"/>
          </w:tcPr>
          <w:p w14:paraId="0E4CCFC9">
            <w:pPr>
              <w:pStyle w:val="24"/>
              <w:bidi w:val="0"/>
              <w:rPr>
                <w:rFonts w:hint="default"/>
                <w:color w:val="auto"/>
              </w:rPr>
            </w:pPr>
            <w:r>
              <w:rPr>
                <w:rFonts w:hint="default"/>
                <w:color w:val="auto"/>
              </w:rPr>
              <w:t>符合</w:t>
            </w:r>
          </w:p>
        </w:tc>
      </w:tr>
      <w:tr w14:paraId="17EB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22DCA945">
            <w:pPr>
              <w:pStyle w:val="24"/>
              <w:bidi w:val="0"/>
              <w:jc w:val="both"/>
              <w:rPr>
                <w:rFonts w:hint="default"/>
                <w:color w:val="auto"/>
              </w:rPr>
            </w:pPr>
            <w:r>
              <w:rPr>
                <w:rFonts w:hint="default"/>
                <w:color w:val="auto"/>
              </w:rPr>
              <w:t>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tc>
        <w:tc>
          <w:tcPr>
            <w:tcW w:w="2051" w:type="dxa"/>
            <w:noWrap w:val="0"/>
            <w:vAlign w:val="center"/>
          </w:tcPr>
          <w:p w14:paraId="7863D0C3">
            <w:pPr>
              <w:pStyle w:val="24"/>
              <w:bidi w:val="0"/>
              <w:rPr>
                <w:rFonts w:hint="default"/>
                <w:color w:val="auto"/>
                <w:lang w:val="zh-CN"/>
              </w:rPr>
            </w:pPr>
            <w:r>
              <w:rPr>
                <w:rFonts w:hint="default"/>
                <w:color w:val="auto"/>
                <w:lang w:val="zh-CN"/>
              </w:rPr>
              <w:t>《生产安全事故应急条例》</w:t>
            </w:r>
          </w:p>
          <w:p w14:paraId="2ECFE142">
            <w:pPr>
              <w:pStyle w:val="24"/>
              <w:bidi w:val="0"/>
              <w:rPr>
                <w:rFonts w:hint="default"/>
                <w:color w:val="auto"/>
                <w:lang w:val="zh-CN"/>
              </w:rPr>
            </w:pPr>
            <w:r>
              <w:rPr>
                <w:rFonts w:hint="default"/>
                <w:color w:val="auto"/>
                <w:lang w:val="zh-CN"/>
              </w:rPr>
              <w:t>（国务院令第708号</w:t>
            </w:r>
            <w:r>
              <w:rPr>
                <w:rFonts w:hint="eastAsia"/>
                <w:color w:val="auto"/>
                <w:lang w:val="zh-CN"/>
              </w:rPr>
              <w:t>）</w:t>
            </w:r>
          </w:p>
          <w:p w14:paraId="42C35554">
            <w:pPr>
              <w:pStyle w:val="24"/>
              <w:bidi w:val="0"/>
              <w:rPr>
                <w:rFonts w:hint="default"/>
                <w:color w:val="auto"/>
                <w:lang w:val="zh-CN"/>
              </w:rPr>
            </w:pPr>
            <w:r>
              <w:rPr>
                <w:rFonts w:hint="default"/>
                <w:color w:val="auto"/>
                <w:lang w:val="zh-CN"/>
              </w:rPr>
              <w:t>第十条</w:t>
            </w:r>
          </w:p>
        </w:tc>
        <w:tc>
          <w:tcPr>
            <w:tcW w:w="2571" w:type="dxa"/>
            <w:noWrap w:val="0"/>
            <w:vAlign w:val="center"/>
          </w:tcPr>
          <w:p w14:paraId="20230026">
            <w:pPr>
              <w:pStyle w:val="24"/>
              <w:bidi w:val="0"/>
              <w:rPr>
                <w:rFonts w:hint="default"/>
                <w:color w:val="auto"/>
                <w:lang w:val="zh-CN"/>
              </w:rPr>
            </w:pPr>
            <w:r>
              <w:rPr>
                <w:rFonts w:hint="default"/>
                <w:color w:val="auto"/>
                <w:lang w:val="zh-CN"/>
              </w:rPr>
              <w:t>该项目建设单位建立了建了兼职的应急救援队伍。</w:t>
            </w:r>
          </w:p>
        </w:tc>
        <w:tc>
          <w:tcPr>
            <w:tcW w:w="717" w:type="dxa"/>
            <w:noWrap w:val="0"/>
            <w:vAlign w:val="center"/>
          </w:tcPr>
          <w:p w14:paraId="18DF1783">
            <w:pPr>
              <w:pStyle w:val="24"/>
              <w:bidi w:val="0"/>
              <w:rPr>
                <w:rFonts w:hint="default"/>
                <w:color w:val="auto"/>
                <w:lang w:val="zh-CN"/>
              </w:rPr>
            </w:pPr>
            <w:r>
              <w:rPr>
                <w:rFonts w:hint="default"/>
                <w:color w:val="auto"/>
                <w:lang w:val="zh-CN"/>
              </w:rPr>
              <w:t>符合</w:t>
            </w:r>
          </w:p>
        </w:tc>
      </w:tr>
      <w:tr w14:paraId="0C58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64" w:type="dxa"/>
            <w:noWrap w:val="0"/>
            <w:vAlign w:val="center"/>
          </w:tcPr>
          <w:p w14:paraId="1D1C4C9B">
            <w:pPr>
              <w:pStyle w:val="24"/>
              <w:bidi w:val="0"/>
              <w:jc w:val="both"/>
              <w:rPr>
                <w:rFonts w:hint="default"/>
                <w:color w:val="auto"/>
              </w:rPr>
            </w:pPr>
            <w:r>
              <w:rPr>
                <w:rFonts w:hint="default"/>
                <w:color w:val="auto"/>
              </w:rPr>
              <w:t>生产经营单位应当制定本单位的应急预案演练计划，根据本单位的事故风险特点，每年至少组织一次综合应急预案演练或者专项应急预案演练，每半年至少组织一次现场处置方案演练。</w:t>
            </w:r>
          </w:p>
        </w:tc>
        <w:tc>
          <w:tcPr>
            <w:tcW w:w="2051" w:type="dxa"/>
            <w:noWrap w:val="0"/>
            <w:vAlign w:val="center"/>
          </w:tcPr>
          <w:p w14:paraId="35489C0D">
            <w:pPr>
              <w:pStyle w:val="24"/>
              <w:bidi w:val="0"/>
              <w:rPr>
                <w:rFonts w:hint="default"/>
                <w:color w:val="auto"/>
                <w:lang w:val="zh-CN"/>
              </w:rPr>
            </w:pPr>
            <w:r>
              <w:rPr>
                <w:rFonts w:hint="default"/>
                <w:color w:val="auto"/>
                <w:lang w:val="zh-CN"/>
              </w:rPr>
              <w:t>《生产安全事故应急预案管理办法》（国家安全生产监督管理总局令[2016]第88号，应急管理部令2号修改</w:t>
            </w:r>
            <w:r>
              <w:rPr>
                <w:rFonts w:hint="eastAsia"/>
                <w:color w:val="auto"/>
                <w:lang w:val="zh-CN"/>
              </w:rPr>
              <w:t>）</w:t>
            </w:r>
          </w:p>
        </w:tc>
        <w:tc>
          <w:tcPr>
            <w:tcW w:w="2571" w:type="dxa"/>
            <w:noWrap w:val="0"/>
            <w:vAlign w:val="center"/>
          </w:tcPr>
          <w:p w14:paraId="4ABC01BA">
            <w:pPr>
              <w:pStyle w:val="24"/>
              <w:bidi w:val="0"/>
              <w:rPr>
                <w:rFonts w:hint="default"/>
                <w:color w:val="auto"/>
                <w:lang w:val="en-US" w:eastAsia="zh-CN"/>
              </w:rPr>
            </w:pPr>
            <w:r>
              <w:rPr>
                <w:rFonts w:hint="default"/>
                <w:color w:val="auto"/>
              </w:rPr>
              <w:t>该企业</w:t>
            </w:r>
            <w:r>
              <w:rPr>
                <w:rFonts w:hint="default"/>
                <w:color w:val="auto"/>
                <w:lang w:val="en-US" w:eastAsia="zh-CN"/>
              </w:rPr>
              <w:t>已</w:t>
            </w:r>
            <w:r>
              <w:rPr>
                <w:rFonts w:hint="default"/>
                <w:color w:val="auto"/>
              </w:rPr>
              <w:t>组织应急演练。</w:t>
            </w:r>
          </w:p>
        </w:tc>
        <w:tc>
          <w:tcPr>
            <w:tcW w:w="717" w:type="dxa"/>
            <w:noWrap w:val="0"/>
            <w:vAlign w:val="center"/>
          </w:tcPr>
          <w:p w14:paraId="306FC2FE">
            <w:pPr>
              <w:pStyle w:val="24"/>
              <w:bidi w:val="0"/>
              <w:rPr>
                <w:rFonts w:hint="default"/>
                <w:color w:val="auto"/>
                <w:lang w:val="en-US" w:eastAsia="zh-CN"/>
              </w:rPr>
            </w:pPr>
            <w:r>
              <w:rPr>
                <w:rFonts w:hint="default"/>
                <w:color w:val="auto"/>
              </w:rPr>
              <w:t>符合</w:t>
            </w:r>
          </w:p>
        </w:tc>
      </w:tr>
    </w:tbl>
    <w:p w14:paraId="7878DF3D">
      <w:pPr>
        <w:pStyle w:val="4"/>
        <w:bidi w:val="0"/>
        <w:rPr>
          <w:rFonts w:hint="eastAsia"/>
          <w:color w:val="auto"/>
        </w:rPr>
      </w:pPr>
      <w:bookmarkStart w:id="184" w:name="_Toc16117"/>
      <w:bookmarkStart w:id="185" w:name="_Toc13498"/>
      <w:r>
        <w:rPr>
          <w:rFonts w:hint="eastAsia"/>
          <w:color w:val="auto"/>
        </w:rPr>
        <w:t>5.6.2</w:t>
      </w:r>
      <w:r>
        <w:rPr>
          <w:rFonts w:hint="eastAsia"/>
          <w:color w:val="auto"/>
          <w:lang w:val="en-US" w:eastAsia="zh-CN"/>
        </w:rPr>
        <w:t xml:space="preserve"> </w:t>
      </w:r>
      <w:r>
        <w:rPr>
          <w:rFonts w:hint="eastAsia"/>
          <w:color w:val="auto"/>
        </w:rPr>
        <w:t>单元评价小结</w:t>
      </w:r>
      <w:bookmarkEnd w:id="184"/>
      <w:bookmarkEnd w:id="185"/>
    </w:p>
    <w:p w14:paraId="6380E549">
      <w:pPr>
        <w:bidi w:val="0"/>
        <w:rPr>
          <w:rFonts w:hint="default" w:eastAsia="宋体"/>
          <w:color w:val="auto"/>
          <w:lang w:val="en-US" w:eastAsia="zh-CN"/>
        </w:rPr>
      </w:pPr>
      <w:r>
        <w:rPr>
          <w:rFonts w:hint="eastAsia"/>
          <w:color w:val="auto"/>
        </w:rPr>
        <w:t>企业依法取得了企业营业执照，</w:t>
      </w:r>
      <w:r>
        <w:rPr>
          <w:rFonts w:hint="eastAsia"/>
          <w:color w:val="auto"/>
          <w:lang w:val="en-US" w:eastAsia="zh-CN"/>
        </w:rPr>
        <w:t>主要负责人、</w:t>
      </w:r>
      <w:r>
        <w:rPr>
          <w:rFonts w:hint="eastAsia"/>
          <w:color w:val="auto"/>
        </w:rPr>
        <w:t>安全管理人员持证上岗，企业建立、健全了各项安全职责、安全管理制度及安全操作规程，安全管理体系运行有效，建立了安全管理台账，但未建立安全风险分级管控和隐患排查治理双重预防机制。企业针对该项目编制了综合应急预案</w:t>
      </w:r>
      <w:r>
        <w:rPr>
          <w:rFonts w:hint="eastAsia"/>
          <w:color w:val="auto"/>
          <w:lang w:eastAsia="zh-CN"/>
        </w:rPr>
        <w:t>；</w:t>
      </w:r>
      <w:r>
        <w:rPr>
          <w:rFonts w:hint="eastAsia"/>
          <w:color w:val="auto"/>
        </w:rPr>
        <w:t>并配发了相应的劳动防护用品。安全管理单元具备安全验收条件。建议企业在完成安全验收后尽快组织进行企业安全风险分级管控和隐患排查治理双重预防机制的建立。</w:t>
      </w:r>
      <w:r>
        <w:rPr>
          <w:rFonts w:hint="eastAsia"/>
          <w:color w:val="auto"/>
          <w:lang w:val="en-US" w:eastAsia="zh-CN"/>
        </w:rPr>
        <w:t>本单元存在以下问题：</w:t>
      </w:r>
    </w:p>
    <w:p w14:paraId="14E26E01">
      <w:pPr>
        <w:bidi w:val="0"/>
        <w:rPr>
          <w:rFonts w:hint="eastAsia"/>
          <w:color w:val="auto"/>
          <w:lang w:val="en-US" w:eastAsia="zh-CN"/>
        </w:rPr>
      </w:pPr>
      <w:r>
        <w:rPr>
          <w:rFonts w:hint="eastAsia"/>
          <w:color w:val="auto"/>
          <w:lang w:val="en-US" w:eastAsia="zh-CN"/>
        </w:rPr>
        <w:t>1、企业未构建安全风险分级管控和隐患排查治理双重预防机制。</w:t>
      </w:r>
    </w:p>
    <w:p w14:paraId="308AAE3A">
      <w:pPr>
        <w:pStyle w:val="3"/>
        <w:bidi w:val="0"/>
        <w:rPr>
          <w:rFonts w:hint="eastAsia"/>
          <w:color w:val="auto"/>
        </w:rPr>
      </w:pPr>
      <w:bookmarkStart w:id="186" w:name="_Toc25978"/>
      <w:bookmarkStart w:id="187" w:name="_Toc19140"/>
      <w:r>
        <w:rPr>
          <w:rFonts w:hint="eastAsia"/>
          <w:color w:val="auto"/>
        </w:rPr>
        <w:t>5.7 危险危害程度评价</w:t>
      </w:r>
      <w:bookmarkEnd w:id="186"/>
      <w:bookmarkEnd w:id="187"/>
    </w:p>
    <w:p w14:paraId="727AB503">
      <w:pPr>
        <w:pStyle w:val="4"/>
        <w:bidi w:val="0"/>
        <w:rPr>
          <w:rFonts w:hint="eastAsia"/>
          <w:color w:val="auto"/>
        </w:rPr>
      </w:pPr>
      <w:bookmarkStart w:id="188" w:name="_Toc26404"/>
      <w:bookmarkStart w:id="189" w:name="_Toc9314"/>
      <w:r>
        <w:rPr>
          <w:rFonts w:hint="eastAsia"/>
          <w:color w:val="auto"/>
        </w:rPr>
        <w:t>5.7.1</w:t>
      </w:r>
      <w:r>
        <w:rPr>
          <w:rFonts w:hint="eastAsia"/>
          <w:color w:val="auto"/>
          <w:lang w:val="en-US" w:eastAsia="zh-CN"/>
        </w:rPr>
        <w:t xml:space="preserve"> </w:t>
      </w:r>
      <w:r>
        <w:rPr>
          <w:rFonts w:hint="eastAsia"/>
          <w:color w:val="auto"/>
        </w:rPr>
        <w:t>危险有害因素汇总</w:t>
      </w:r>
      <w:bookmarkEnd w:id="188"/>
      <w:bookmarkEnd w:id="189"/>
    </w:p>
    <w:p w14:paraId="6A720C01">
      <w:pPr>
        <w:bidi w:val="0"/>
        <w:rPr>
          <w:rFonts w:hint="eastAsia"/>
          <w:color w:val="auto"/>
        </w:rPr>
      </w:pPr>
      <w:r>
        <w:rPr>
          <w:rFonts w:hint="eastAsia"/>
          <w:color w:val="auto"/>
        </w:rPr>
        <w:t>根据《危险化学品重大危险源辨识》（GB 18218-2018）辨识标准和参照《企业职工伤亡事故分类》（GB 6441-1986）、《生产过程危险和有害因素分类与代码》（GB/T 13861-2022），结合前述，项目存在的危险有害因素主要有：机械伤害、物体打击、触电、淹溺、车辆伤害、高处坠落、火灾、容器爆炸、坍塌、滑坡和中毒窒息等。</w:t>
      </w:r>
    </w:p>
    <w:p w14:paraId="64B0D18E">
      <w:pPr>
        <w:pStyle w:val="4"/>
        <w:bidi w:val="0"/>
        <w:rPr>
          <w:rFonts w:hint="eastAsia"/>
          <w:color w:val="auto"/>
        </w:rPr>
      </w:pPr>
      <w:bookmarkStart w:id="190" w:name="_Toc11878"/>
      <w:bookmarkStart w:id="191" w:name="_Toc11397"/>
      <w:r>
        <w:rPr>
          <w:rFonts w:hint="eastAsia"/>
          <w:color w:val="auto"/>
        </w:rPr>
        <w:t>5.7.2</w:t>
      </w:r>
      <w:r>
        <w:rPr>
          <w:rFonts w:hint="eastAsia"/>
          <w:color w:val="auto"/>
          <w:lang w:val="en-US" w:eastAsia="zh-CN"/>
        </w:rPr>
        <w:t xml:space="preserve"> </w:t>
      </w:r>
      <w:r>
        <w:rPr>
          <w:rFonts w:hint="eastAsia"/>
          <w:color w:val="auto"/>
        </w:rPr>
        <w:t>危险性分值计算</w:t>
      </w:r>
      <w:bookmarkEnd w:id="190"/>
      <w:bookmarkEnd w:id="191"/>
    </w:p>
    <w:p w14:paraId="42E7E42F">
      <w:pPr>
        <w:bidi w:val="0"/>
        <w:rPr>
          <w:rFonts w:hint="eastAsia"/>
          <w:color w:val="auto"/>
        </w:rPr>
      </w:pPr>
      <w:r>
        <w:rPr>
          <w:rFonts w:hint="eastAsia"/>
          <w:color w:val="auto"/>
        </w:rPr>
        <w:t>通过作业条件危险性分析（LEC）对危险性分值进行计算：</w:t>
      </w:r>
    </w:p>
    <w:p w14:paraId="2C10E6BF">
      <w:pPr>
        <w:pStyle w:val="23"/>
        <w:bidi w:val="0"/>
        <w:rPr>
          <w:rFonts w:hint="eastAsia"/>
          <w:color w:val="auto"/>
        </w:rPr>
      </w:pPr>
    </w:p>
    <w:p w14:paraId="49DDE69B">
      <w:pPr>
        <w:pStyle w:val="23"/>
        <w:bidi w:val="0"/>
        <w:rPr>
          <w:rFonts w:hint="eastAsia"/>
          <w:color w:val="auto"/>
        </w:rPr>
      </w:pPr>
    </w:p>
    <w:p w14:paraId="6ED967AC">
      <w:pPr>
        <w:pStyle w:val="23"/>
        <w:bidi w:val="0"/>
        <w:rPr>
          <w:color w:val="auto"/>
        </w:rPr>
      </w:pPr>
      <w:r>
        <w:rPr>
          <w:rFonts w:hint="eastAsia"/>
          <w:color w:val="auto"/>
        </w:rPr>
        <w:t>表5.7-1  项目危险有害因素汇总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917"/>
        <w:gridCol w:w="1567"/>
        <w:gridCol w:w="1567"/>
        <w:gridCol w:w="1589"/>
        <w:gridCol w:w="1410"/>
      </w:tblGrid>
      <w:tr w14:paraId="1365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10" w:type="dxa"/>
            <w:noWrap w:val="0"/>
            <w:vAlign w:val="center"/>
          </w:tcPr>
          <w:p w14:paraId="7470F93B">
            <w:pPr>
              <w:pStyle w:val="24"/>
              <w:bidi w:val="0"/>
              <w:rPr>
                <w:rFonts w:hint="default"/>
                <w:b/>
                <w:bCs/>
                <w:color w:val="auto"/>
              </w:rPr>
            </w:pPr>
            <w:r>
              <w:rPr>
                <w:rFonts w:hint="default"/>
                <w:b/>
                <w:bCs/>
                <w:color w:val="auto"/>
              </w:rPr>
              <w:t>序号</w:t>
            </w:r>
          </w:p>
        </w:tc>
        <w:tc>
          <w:tcPr>
            <w:tcW w:w="1917" w:type="dxa"/>
            <w:noWrap w:val="0"/>
            <w:vAlign w:val="center"/>
          </w:tcPr>
          <w:p w14:paraId="29B7E675">
            <w:pPr>
              <w:pStyle w:val="24"/>
              <w:bidi w:val="0"/>
              <w:rPr>
                <w:rFonts w:hint="default"/>
                <w:b/>
                <w:bCs/>
                <w:color w:val="auto"/>
              </w:rPr>
            </w:pPr>
            <w:r>
              <w:rPr>
                <w:rFonts w:hint="default"/>
                <w:b/>
                <w:bCs/>
                <w:color w:val="auto"/>
              </w:rPr>
              <w:t>危险因素分类</w:t>
            </w:r>
          </w:p>
        </w:tc>
        <w:tc>
          <w:tcPr>
            <w:tcW w:w="1567" w:type="dxa"/>
            <w:noWrap w:val="0"/>
            <w:vAlign w:val="center"/>
          </w:tcPr>
          <w:p w14:paraId="054E3D83">
            <w:pPr>
              <w:pStyle w:val="24"/>
              <w:bidi w:val="0"/>
              <w:rPr>
                <w:rFonts w:hint="eastAsia"/>
                <w:b/>
                <w:bCs/>
                <w:color w:val="auto"/>
                <w:lang w:eastAsia="zh-CN"/>
              </w:rPr>
            </w:pPr>
            <w:r>
              <w:rPr>
                <w:rFonts w:hint="default"/>
                <w:b/>
                <w:bCs/>
                <w:color w:val="auto"/>
              </w:rPr>
              <w:t>发生事故可能性大小</w:t>
            </w:r>
            <w:r>
              <w:rPr>
                <w:rFonts w:hint="default"/>
                <w:b/>
                <w:bCs/>
                <w:color w:val="auto"/>
                <w:lang w:eastAsia="zh-CN"/>
              </w:rPr>
              <w:t>（</w:t>
            </w:r>
            <w:r>
              <w:rPr>
                <w:rFonts w:hint="default"/>
                <w:b/>
                <w:bCs/>
                <w:color w:val="auto"/>
              </w:rPr>
              <w:t>L</w:t>
            </w:r>
            <w:r>
              <w:rPr>
                <w:rFonts w:hint="eastAsia"/>
                <w:b/>
                <w:bCs/>
                <w:color w:val="auto"/>
                <w:lang w:eastAsia="zh-CN"/>
              </w:rPr>
              <w:t>）</w:t>
            </w:r>
          </w:p>
        </w:tc>
        <w:tc>
          <w:tcPr>
            <w:tcW w:w="1567" w:type="dxa"/>
            <w:noWrap w:val="0"/>
            <w:vAlign w:val="center"/>
          </w:tcPr>
          <w:p w14:paraId="32982363">
            <w:pPr>
              <w:pStyle w:val="24"/>
              <w:bidi w:val="0"/>
              <w:rPr>
                <w:rFonts w:hint="eastAsia"/>
                <w:b/>
                <w:bCs/>
                <w:color w:val="auto"/>
                <w:lang w:eastAsia="zh-CN"/>
              </w:rPr>
            </w:pPr>
            <w:r>
              <w:rPr>
                <w:rFonts w:hint="default"/>
                <w:b/>
                <w:bCs/>
                <w:color w:val="auto"/>
              </w:rPr>
              <w:t>人体暴露在危险环境中的频繁程度</w:t>
            </w:r>
            <w:r>
              <w:rPr>
                <w:rFonts w:hint="default"/>
                <w:b/>
                <w:bCs/>
                <w:color w:val="auto"/>
                <w:lang w:eastAsia="zh-CN"/>
              </w:rPr>
              <w:t>（</w:t>
            </w:r>
            <w:r>
              <w:rPr>
                <w:rFonts w:hint="default"/>
                <w:b/>
                <w:bCs/>
                <w:color w:val="auto"/>
              </w:rPr>
              <w:t>E</w:t>
            </w:r>
            <w:r>
              <w:rPr>
                <w:rFonts w:hint="eastAsia"/>
                <w:b/>
                <w:bCs/>
                <w:color w:val="auto"/>
                <w:lang w:eastAsia="zh-CN"/>
              </w:rPr>
              <w:t>）</w:t>
            </w:r>
          </w:p>
        </w:tc>
        <w:tc>
          <w:tcPr>
            <w:tcW w:w="1589" w:type="dxa"/>
            <w:noWrap w:val="0"/>
            <w:vAlign w:val="center"/>
          </w:tcPr>
          <w:p w14:paraId="0ACCF615">
            <w:pPr>
              <w:pStyle w:val="24"/>
              <w:bidi w:val="0"/>
              <w:rPr>
                <w:rFonts w:hint="eastAsia"/>
                <w:b/>
                <w:bCs/>
                <w:color w:val="auto"/>
                <w:lang w:eastAsia="zh-CN"/>
              </w:rPr>
            </w:pPr>
            <w:r>
              <w:rPr>
                <w:rFonts w:hint="default"/>
                <w:b/>
                <w:bCs/>
                <w:color w:val="auto"/>
              </w:rPr>
              <w:t>发生事故产生的后果</w:t>
            </w:r>
            <w:r>
              <w:rPr>
                <w:rFonts w:hint="default"/>
                <w:b/>
                <w:bCs/>
                <w:color w:val="auto"/>
                <w:lang w:eastAsia="zh-CN"/>
              </w:rPr>
              <w:t>（</w:t>
            </w:r>
            <w:r>
              <w:rPr>
                <w:rFonts w:hint="default"/>
                <w:b/>
                <w:bCs/>
                <w:color w:val="auto"/>
              </w:rPr>
              <w:t>C</w:t>
            </w:r>
            <w:r>
              <w:rPr>
                <w:rFonts w:hint="eastAsia"/>
                <w:b/>
                <w:bCs/>
                <w:color w:val="auto"/>
                <w:lang w:eastAsia="zh-CN"/>
              </w:rPr>
              <w:t>）</w:t>
            </w:r>
          </w:p>
        </w:tc>
        <w:tc>
          <w:tcPr>
            <w:tcW w:w="1410" w:type="dxa"/>
            <w:noWrap w:val="0"/>
            <w:vAlign w:val="center"/>
          </w:tcPr>
          <w:p w14:paraId="612334DC">
            <w:pPr>
              <w:pStyle w:val="24"/>
              <w:bidi w:val="0"/>
              <w:rPr>
                <w:rFonts w:hint="eastAsia"/>
                <w:b/>
                <w:bCs/>
                <w:color w:val="auto"/>
                <w:lang w:eastAsia="zh-CN"/>
              </w:rPr>
            </w:pPr>
            <w:r>
              <w:rPr>
                <w:rFonts w:hint="default"/>
                <w:b/>
                <w:bCs/>
                <w:color w:val="auto"/>
              </w:rPr>
              <w:t>危险性分值</w:t>
            </w:r>
            <w:r>
              <w:rPr>
                <w:rFonts w:hint="default"/>
                <w:b/>
                <w:bCs/>
                <w:color w:val="auto"/>
                <w:lang w:eastAsia="zh-CN"/>
              </w:rPr>
              <w:t>（</w:t>
            </w:r>
            <w:r>
              <w:rPr>
                <w:rFonts w:hint="default"/>
                <w:b/>
                <w:bCs/>
                <w:color w:val="auto"/>
              </w:rPr>
              <w:t>D</w:t>
            </w:r>
            <w:r>
              <w:rPr>
                <w:rFonts w:hint="eastAsia"/>
                <w:b/>
                <w:bCs/>
                <w:color w:val="auto"/>
                <w:lang w:eastAsia="zh-CN"/>
              </w:rPr>
              <w:t>）</w:t>
            </w:r>
          </w:p>
        </w:tc>
      </w:tr>
      <w:tr w14:paraId="656F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2401A89E">
            <w:pPr>
              <w:pStyle w:val="24"/>
              <w:bidi w:val="0"/>
              <w:rPr>
                <w:rFonts w:hint="default"/>
                <w:color w:val="auto"/>
              </w:rPr>
            </w:pPr>
            <w:r>
              <w:rPr>
                <w:rFonts w:hint="default"/>
                <w:color w:val="auto"/>
              </w:rPr>
              <w:t>1</w:t>
            </w:r>
          </w:p>
        </w:tc>
        <w:tc>
          <w:tcPr>
            <w:tcW w:w="1917" w:type="dxa"/>
            <w:noWrap w:val="0"/>
            <w:vAlign w:val="center"/>
          </w:tcPr>
          <w:p w14:paraId="2BFE0174">
            <w:pPr>
              <w:pStyle w:val="24"/>
              <w:bidi w:val="0"/>
              <w:rPr>
                <w:rFonts w:hint="default"/>
                <w:color w:val="auto"/>
              </w:rPr>
            </w:pPr>
            <w:r>
              <w:rPr>
                <w:rFonts w:hint="default"/>
                <w:color w:val="auto"/>
              </w:rPr>
              <w:t>机械伤害</w:t>
            </w:r>
          </w:p>
        </w:tc>
        <w:tc>
          <w:tcPr>
            <w:tcW w:w="1567" w:type="dxa"/>
            <w:noWrap w:val="0"/>
            <w:vAlign w:val="center"/>
          </w:tcPr>
          <w:p w14:paraId="5531AC84">
            <w:pPr>
              <w:pStyle w:val="24"/>
              <w:bidi w:val="0"/>
              <w:rPr>
                <w:rFonts w:hint="default"/>
                <w:color w:val="auto"/>
              </w:rPr>
            </w:pPr>
            <w:r>
              <w:rPr>
                <w:rFonts w:hint="default"/>
                <w:color w:val="auto"/>
              </w:rPr>
              <w:t>3</w:t>
            </w:r>
          </w:p>
        </w:tc>
        <w:tc>
          <w:tcPr>
            <w:tcW w:w="1567" w:type="dxa"/>
            <w:noWrap w:val="0"/>
            <w:vAlign w:val="center"/>
          </w:tcPr>
          <w:p w14:paraId="3BD5E158">
            <w:pPr>
              <w:pStyle w:val="24"/>
              <w:bidi w:val="0"/>
              <w:rPr>
                <w:rFonts w:hint="default"/>
                <w:color w:val="auto"/>
              </w:rPr>
            </w:pPr>
            <w:r>
              <w:rPr>
                <w:rFonts w:hint="default"/>
                <w:color w:val="auto"/>
              </w:rPr>
              <w:t>6</w:t>
            </w:r>
          </w:p>
        </w:tc>
        <w:tc>
          <w:tcPr>
            <w:tcW w:w="1589" w:type="dxa"/>
            <w:noWrap w:val="0"/>
            <w:vAlign w:val="center"/>
          </w:tcPr>
          <w:p w14:paraId="7C467CAC">
            <w:pPr>
              <w:pStyle w:val="24"/>
              <w:bidi w:val="0"/>
              <w:rPr>
                <w:rFonts w:hint="default"/>
                <w:color w:val="auto"/>
              </w:rPr>
            </w:pPr>
            <w:r>
              <w:rPr>
                <w:rFonts w:hint="default"/>
                <w:color w:val="auto"/>
              </w:rPr>
              <w:t>3</w:t>
            </w:r>
          </w:p>
        </w:tc>
        <w:tc>
          <w:tcPr>
            <w:tcW w:w="1410" w:type="dxa"/>
            <w:noWrap w:val="0"/>
            <w:vAlign w:val="center"/>
          </w:tcPr>
          <w:p w14:paraId="3C66B36A">
            <w:pPr>
              <w:pStyle w:val="24"/>
              <w:bidi w:val="0"/>
              <w:rPr>
                <w:rFonts w:hint="default"/>
                <w:color w:val="auto"/>
              </w:rPr>
            </w:pPr>
            <w:r>
              <w:rPr>
                <w:rFonts w:hint="default"/>
                <w:color w:val="auto"/>
              </w:rPr>
              <w:t>54</w:t>
            </w:r>
          </w:p>
        </w:tc>
      </w:tr>
      <w:tr w14:paraId="4298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16AB0786">
            <w:pPr>
              <w:pStyle w:val="24"/>
              <w:bidi w:val="0"/>
              <w:rPr>
                <w:rFonts w:hint="default"/>
                <w:color w:val="auto"/>
              </w:rPr>
            </w:pPr>
            <w:r>
              <w:rPr>
                <w:rFonts w:hint="default"/>
                <w:color w:val="auto"/>
              </w:rPr>
              <w:t>2</w:t>
            </w:r>
          </w:p>
        </w:tc>
        <w:tc>
          <w:tcPr>
            <w:tcW w:w="1917" w:type="dxa"/>
            <w:noWrap w:val="0"/>
            <w:vAlign w:val="center"/>
          </w:tcPr>
          <w:p w14:paraId="3F276CE1">
            <w:pPr>
              <w:pStyle w:val="24"/>
              <w:bidi w:val="0"/>
              <w:rPr>
                <w:rFonts w:hint="default"/>
                <w:color w:val="auto"/>
              </w:rPr>
            </w:pPr>
            <w:r>
              <w:rPr>
                <w:rFonts w:hint="default"/>
                <w:color w:val="auto"/>
              </w:rPr>
              <w:t>物体打击</w:t>
            </w:r>
          </w:p>
        </w:tc>
        <w:tc>
          <w:tcPr>
            <w:tcW w:w="1567" w:type="dxa"/>
            <w:noWrap w:val="0"/>
            <w:vAlign w:val="center"/>
          </w:tcPr>
          <w:p w14:paraId="19938E33">
            <w:pPr>
              <w:pStyle w:val="24"/>
              <w:bidi w:val="0"/>
              <w:rPr>
                <w:rFonts w:hint="default"/>
                <w:color w:val="auto"/>
              </w:rPr>
            </w:pPr>
            <w:r>
              <w:rPr>
                <w:rFonts w:hint="default"/>
                <w:color w:val="auto"/>
              </w:rPr>
              <w:t>3</w:t>
            </w:r>
          </w:p>
        </w:tc>
        <w:tc>
          <w:tcPr>
            <w:tcW w:w="1567" w:type="dxa"/>
            <w:noWrap w:val="0"/>
            <w:vAlign w:val="center"/>
          </w:tcPr>
          <w:p w14:paraId="2BA9D9B0">
            <w:pPr>
              <w:pStyle w:val="24"/>
              <w:bidi w:val="0"/>
              <w:rPr>
                <w:rFonts w:hint="default"/>
                <w:color w:val="auto"/>
              </w:rPr>
            </w:pPr>
            <w:r>
              <w:rPr>
                <w:rFonts w:hint="default"/>
                <w:color w:val="auto"/>
              </w:rPr>
              <w:t>6</w:t>
            </w:r>
          </w:p>
        </w:tc>
        <w:tc>
          <w:tcPr>
            <w:tcW w:w="1589" w:type="dxa"/>
            <w:noWrap w:val="0"/>
            <w:vAlign w:val="center"/>
          </w:tcPr>
          <w:p w14:paraId="53430ADC">
            <w:pPr>
              <w:pStyle w:val="24"/>
              <w:bidi w:val="0"/>
              <w:rPr>
                <w:rFonts w:hint="default"/>
                <w:color w:val="auto"/>
              </w:rPr>
            </w:pPr>
            <w:r>
              <w:rPr>
                <w:rFonts w:hint="default"/>
                <w:color w:val="auto"/>
              </w:rPr>
              <w:t>3</w:t>
            </w:r>
          </w:p>
        </w:tc>
        <w:tc>
          <w:tcPr>
            <w:tcW w:w="1410" w:type="dxa"/>
            <w:noWrap w:val="0"/>
            <w:vAlign w:val="center"/>
          </w:tcPr>
          <w:p w14:paraId="26FF37DB">
            <w:pPr>
              <w:pStyle w:val="24"/>
              <w:bidi w:val="0"/>
              <w:rPr>
                <w:rFonts w:hint="default"/>
                <w:color w:val="auto"/>
              </w:rPr>
            </w:pPr>
            <w:r>
              <w:rPr>
                <w:rFonts w:hint="default"/>
                <w:color w:val="auto"/>
              </w:rPr>
              <w:t>54</w:t>
            </w:r>
          </w:p>
        </w:tc>
      </w:tr>
      <w:tr w14:paraId="21CD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31FEA831">
            <w:pPr>
              <w:pStyle w:val="24"/>
              <w:bidi w:val="0"/>
              <w:rPr>
                <w:rFonts w:hint="default"/>
                <w:color w:val="auto"/>
              </w:rPr>
            </w:pPr>
            <w:r>
              <w:rPr>
                <w:rFonts w:hint="default"/>
                <w:color w:val="auto"/>
              </w:rPr>
              <w:t>3</w:t>
            </w:r>
          </w:p>
        </w:tc>
        <w:tc>
          <w:tcPr>
            <w:tcW w:w="1917" w:type="dxa"/>
            <w:noWrap w:val="0"/>
            <w:vAlign w:val="center"/>
          </w:tcPr>
          <w:p w14:paraId="69AA7518">
            <w:pPr>
              <w:pStyle w:val="24"/>
              <w:bidi w:val="0"/>
              <w:rPr>
                <w:rFonts w:hint="default"/>
                <w:color w:val="auto"/>
              </w:rPr>
            </w:pPr>
            <w:r>
              <w:rPr>
                <w:rFonts w:hint="default"/>
                <w:color w:val="auto"/>
              </w:rPr>
              <w:t>触电</w:t>
            </w:r>
          </w:p>
        </w:tc>
        <w:tc>
          <w:tcPr>
            <w:tcW w:w="1567" w:type="dxa"/>
            <w:noWrap w:val="0"/>
            <w:vAlign w:val="center"/>
          </w:tcPr>
          <w:p w14:paraId="3D677452">
            <w:pPr>
              <w:pStyle w:val="24"/>
              <w:bidi w:val="0"/>
              <w:rPr>
                <w:rFonts w:hint="default"/>
                <w:color w:val="auto"/>
              </w:rPr>
            </w:pPr>
            <w:r>
              <w:rPr>
                <w:rFonts w:hint="default"/>
                <w:color w:val="auto"/>
              </w:rPr>
              <w:t>3</w:t>
            </w:r>
          </w:p>
        </w:tc>
        <w:tc>
          <w:tcPr>
            <w:tcW w:w="1567" w:type="dxa"/>
            <w:noWrap w:val="0"/>
            <w:vAlign w:val="center"/>
          </w:tcPr>
          <w:p w14:paraId="045A9BAD">
            <w:pPr>
              <w:pStyle w:val="24"/>
              <w:bidi w:val="0"/>
              <w:rPr>
                <w:rFonts w:hint="default"/>
                <w:color w:val="auto"/>
              </w:rPr>
            </w:pPr>
            <w:r>
              <w:rPr>
                <w:rFonts w:hint="default"/>
                <w:color w:val="auto"/>
              </w:rPr>
              <w:t>6</w:t>
            </w:r>
          </w:p>
        </w:tc>
        <w:tc>
          <w:tcPr>
            <w:tcW w:w="1589" w:type="dxa"/>
            <w:noWrap w:val="0"/>
            <w:vAlign w:val="center"/>
          </w:tcPr>
          <w:p w14:paraId="377371CB">
            <w:pPr>
              <w:pStyle w:val="24"/>
              <w:bidi w:val="0"/>
              <w:rPr>
                <w:rFonts w:hint="default"/>
                <w:color w:val="auto"/>
              </w:rPr>
            </w:pPr>
            <w:r>
              <w:rPr>
                <w:rFonts w:hint="default"/>
                <w:color w:val="auto"/>
              </w:rPr>
              <w:t>7</w:t>
            </w:r>
          </w:p>
        </w:tc>
        <w:tc>
          <w:tcPr>
            <w:tcW w:w="1410" w:type="dxa"/>
            <w:noWrap w:val="0"/>
            <w:vAlign w:val="center"/>
          </w:tcPr>
          <w:p w14:paraId="6B0BD729">
            <w:pPr>
              <w:pStyle w:val="24"/>
              <w:bidi w:val="0"/>
              <w:rPr>
                <w:rFonts w:hint="default"/>
                <w:color w:val="auto"/>
              </w:rPr>
            </w:pPr>
            <w:r>
              <w:rPr>
                <w:rFonts w:hint="default"/>
                <w:color w:val="auto"/>
              </w:rPr>
              <w:t>126</w:t>
            </w:r>
          </w:p>
        </w:tc>
      </w:tr>
      <w:tr w14:paraId="4DE9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0A989883">
            <w:pPr>
              <w:pStyle w:val="24"/>
              <w:bidi w:val="0"/>
              <w:rPr>
                <w:rFonts w:hint="default"/>
                <w:color w:val="auto"/>
              </w:rPr>
            </w:pPr>
            <w:r>
              <w:rPr>
                <w:rFonts w:hint="default"/>
                <w:color w:val="auto"/>
              </w:rPr>
              <w:t>4</w:t>
            </w:r>
          </w:p>
        </w:tc>
        <w:tc>
          <w:tcPr>
            <w:tcW w:w="1917" w:type="dxa"/>
            <w:noWrap w:val="0"/>
            <w:vAlign w:val="center"/>
          </w:tcPr>
          <w:p w14:paraId="272E0C46">
            <w:pPr>
              <w:pStyle w:val="24"/>
              <w:bidi w:val="0"/>
              <w:rPr>
                <w:rFonts w:hint="default"/>
                <w:color w:val="auto"/>
              </w:rPr>
            </w:pPr>
            <w:r>
              <w:rPr>
                <w:rFonts w:hint="default"/>
                <w:color w:val="auto"/>
              </w:rPr>
              <w:t>淹溺</w:t>
            </w:r>
          </w:p>
        </w:tc>
        <w:tc>
          <w:tcPr>
            <w:tcW w:w="1567" w:type="dxa"/>
            <w:noWrap w:val="0"/>
            <w:vAlign w:val="center"/>
          </w:tcPr>
          <w:p w14:paraId="448D15CE">
            <w:pPr>
              <w:pStyle w:val="24"/>
              <w:bidi w:val="0"/>
              <w:rPr>
                <w:rFonts w:hint="default"/>
                <w:color w:val="auto"/>
              </w:rPr>
            </w:pPr>
            <w:r>
              <w:rPr>
                <w:rFonts w:hint="default"/>
                <w:color w:val="auto"/>
              </w:rPr>
              <w:t>1</w:t>
            </w:r>
          </w:p>
        </w:tc>
        <w:tc>
          <w:tcPr>
            <w:tcW w:w="1567" w:type="dxa"/>
            <w:noWrap w:val="0"/>
            <w:vAlign w:val="center"/>
          </w:tcPr>
          <w:p w14:paraId="5E3B6B52">
            <w:pPr>
              <w:pStyle w:val="24"/>
              <w:bidi w:val="0"/>
              <w:rPr>
                <w:rFonts w:hint="default"/>
                <w:color w:val="auto"/>
              </w:rPr>
            </w:pPr>
            <w:r>
              <w:rPr>
                <w:rFonts w:hint="default"/>
                <w:color w:val="auto"/>
              </w:rPr>
              <w:t>6</w:t>
            </w:r>
          </w:p>
        </w:tc>
        <w:tc>
          <w:tcPr>
            <w:tcW w:w="1589" w:type="dxa"/>
            <w:noWrap w:val="0"/>
            <w:vAlign w:val="center"/>
          </w:tcPr>
          <w:p w14:paraId="1C8D99BA">
            <w:pPr>
              <w:pStyle w:val="24"/>
              <w:bidi w:val="0"/>
              <w:rPr>
                <w:rFonts w:hint="default"/>
                <w:color w:val="auto"/>
              </w:rPr>
            </w:pPr>
            <w:r>
              <w:rPr>
                <w:rFonts w:hint="default"/>
                <w:color w:val="auto"/>
              </w:rPr>
              <w:t>15</w:t>
            </w:r>
          </w:p>
        </w:tc>
        <w:tc>
          <w:tcPr>
            <w:tcW w:w="1410" w:type="dxa"/>
            <w:noWrap w:val="0"/>
            <w:vAlign w:val="center"/>
          </w:tcPr>
          <w:p w14:paraId="61A37D1C">
            <w:pPr>
              <w:pStyle w:val="24"/>
              <w:bidi w:val="0"/>
              <w:rPr>
                <w:rFonts w:hint="default"/>
                <w:color w:val="auto"/>
              </w:rPr>
            </w:pPr>
            <w:r>
              <w:rPr>
                <w:rFonts w:hint="default"/>
                <w:color w:val="auto"/>
              </w:rPr>
              <w:t>90</w:t>
            </w:r>
          </w:p>
        </w:tc>
      </w:tr>
      <w:tr w14:paraId="6B88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137BC244">
            <w:pPr>
              <w:pStyle w:val="24"/>
              <w:bidi w:val="0"/>
              <w:rPr>
                <w:rFonts w:hint="default"/>
                <w:color w:val="auto"/>
              </w:rPr>
            </w:pPr>
            <w:r>
              <w:rPr>
                <w:rFonts w:hint="default"/>
                <w:color w:val="auto"/>
              </w:rPr>
              <w:t>5</w:t>
            </w:r>
          </w:p>
        </w:tc>
        <w:tc>
          <w:tcPr>
            <w:tcW w:w="1917" w:type="dxa"/>
            <w:noWrap w:val="0"/>
            <w:vAlign w:val="center"/>
          </w:tcPr>
          <w:p w14:paraId="5EE3010D">
            <w:pPr>
              <w:pStyle w:val="24"/>
              <w:bidi w:val="0"/>
              <w:rPr>
                <w:rFonts w:hint="default"/>
                <w:color w:val="auto"/>
              </w:rPr>
            </w:pPr>
            <w:r>
              <w:rPr>
                <w:rFonts w:hint="default"/>
                <w:color w:val="auto"/>
              </w:rPr>
              <w:t>车辆伤害</w:t>
            </w:r>
          </w:p>
        </w:tc>
        <w:tc>
          <w:tcPr>
            <w:tcW w:w="1567" w:type="dxa"/>
            <w:noWrap w:val="0"/>
            <w:vAlign w:val="center"/>
          </w:tcPr>
          <w:p w14:paraId="42A5CE9E">
            <w:pPr>
              <w:pStyle w:val="24"/>
              <w:bidi w:val="0"/>
              <w:rPr>
                <w:rFonts w:hint="default"/>
                <w:color w:val="auto"/>
              </w:rPr>
            </w:pPr>
            <w:r>
              <w:rPr>
                <w:rFonts w:hint="default"/>
                <w:color w:val="auto"/>
              </w:rPr>
              <w:t>3</w:t>
            </w:r>
          </w:p>
        </w:tc>
        <w:tc>
          <w:tcPr>
            <w:tcW w:w="1567" w:type="dxa"/>
            <w:noWrap w:val="0"/>
            <w:vAlign w:val="center"/>
          </w:tcPr>
          <w:p w14:paraId="48737F92">
            <w:pPr>
              <w:pStyle w:val="24"/>
              <w:bidi w:val="0"/>
              <w:rPr>
                <w:rFonts w:hint="default"/>
                <w:color w:val="auto"/>
              </w:rPr>
            </w:pPr>
            <w:r>
              <w:rPr>
                <w:rFonts w:hint="default"/>
                <w:color w:val="auto"/>
              </w:rPr>
              <w:t>6</w:t>
            </w:r>
          </w:p>
        </w:tc>
        <w:tc>
          <w:tcPr>
            <w:tcW w:w="1589" w:type="dxa"/>
            <w:noWrap w:val="0"/>
            <w:vAlign w:val="center"/>
          </w:tcPr>
          <w:p w14:paraId="75C82690">
            <w:pPr>
              <w:pStyle w:val="24"/>
              <w:bidi w:val="0"/>
              <w:rPr>
                <w:rFonts w:hint="default"/>
                <w:color w:val="auto"/>
              </w:rPr>
            </w:pPr>
            <w:r>
              <w:rPr>
                <w:rFonts w:hint="default"/>
                <w:color w:val="auto"/>
              </w:rPr>
              <w:t>3</w:t>
            </w:r>
          </w:p>
        </w:tc>
        <w:tc>
          <w:tcPr>
            <w:tcW w:w="1410" w:type="dxa"/>
            <w:noWrap w:val="0"/>
            <w:vAlign w:val="center"/>
          </w:tcPr>
          <w:p w14:paraId="59C05D03">
            <w:pPr>
              <w:pStyle w:val="24"/>
              <w:bidi w:val="0"/>
              <w:rPr>
                <w:rFonts w:hint="default"/>
                <w:color w:val="auto"/>
              </w:rPr>
            </w:pPr>
            <w:r>
              <w:rPr>
                <w:rFonts w:hint="default"/>
                <w:color w:val="auto"/>
              </w:rPr>
              <w:t>54</w:t>
            </w:r>
          </w:p>
        </w:tc>
      </w:tr>
      <w:tr w14:paraId="3842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4C09E02D">
            <w:pPr>
              <w:pStyle w:val="24"/>
              <w:bidi w:val="0"/>
              <w:rPr>
                <w:rFonts w:hint="default"/>
                <w:color w:val="auto"/>
              </w:rPr>
            </w:pPr>
            <w:r>
              <w:rPr>
                <w:rFonts w:hint="default"/>
                <w:color w:val="auto"/>
              </w:rPr>
              <w:t>6</w:t>
            </w:r>
          </w:p>
        </w:tc>
        <w:tc>
          <w:tcPr>
            <w:tcW w:w="1917" w:type="dxa"/>
            <w:noWrap w:val="0"/>
            <w:vAlign w:val="center"/>
          </w:tcPr>
          <w:p w14:paraId="1D79C7EB">
            <w:pPr>
              <w:pStyle w:val="24"/>
              <w:bidi w:val="0"/>
              <w:rPr>
                <w:rFonts w:hint="default"/>
                <w:color w:val="auto"/>
              </w:rPr>
            </w:pPr>
            <w:r>
              <w:rPr>
                <w:rFonts w:hint="default"/>
                <w:color w:val="auto"/>
              </w:rPr>
              <w:t>火灾</w:t>
            </w:r>
          </w:p>
        </w:tc>
        <w:tc>
          <w:tcPr>
            <w:tcW w:w="1567" w:type="dxa"/>
            <w:noWrap w:val="0"/>
            <w:vAlign w:val="center"/>
          </w:tcPr>
          <w:p w14:paraId="540FD78A">
            <w:pPr>
              <w:pStyle w:val="24"/>
              <w:bidi w:val="0"/>
              <w:rPr>
                <w:rFonts w:hint="default"/>
                <w:color w:val="auto"/>
              </w:rPr>
            </w:pPr>
            <w:r>
              <w:rPr>
                <w:rFonts w:hint="default"/>
                <w:color w:val="auto"/>
              </w:rPr>
              <w:t>3</w:t>
            </w:r>
          </w:p>
        </w:tc>
        <w:tc>
          <w:tcPr>
            <w:tcW w:w="1567" w:type="dxa"/>
            <w:noWrap w:val="0"/>
            <w:vAlign w:val="center"/>
          </w:tcPr>
          <w:p w14:paraId="6BC395CE">
            <w:pPr>
              <w:pStyle w:val="24"/>
              <w:bidi w:val="0"/>
              <w:rPr>
                <w:rFonts w:hint="default"/>
                <w:color w:val="auto"/>
              </w:rPr>
            </w:pPr>
            <w:r>
              <w:rPr>
                <w:rFonts w:hint="default"/>
                <w:color w:val="auto"/>
              </w:rPr>
              <w:t>3</w:t>
            </w:r>
          </w:p>
        </w:tc>
        <w:tc>
          <w:tcPr>
            <w:tcW w:w="1589" w:type="dxa"/>
            <w:noWrap w:val="0"/>
            <w:vAlign w:val="center"/>
          </w:tcPr>
          <w:p w14:paraId="15DB1FF5">
            <w:pPr>
              <w:pStyle w:val="24"/>
              <w:bidi w:val="0"/>
              <w:rPr>
                <w:rFonts w:hint="default"/>
                <w:color w:val="auto"/>
              </w:rPr>
            </w:pPr>
            <w:r>
              <w:rPr>
                <w:rFonts w:hint="default"/>
                <w:color w:val="auto"/>
              </w:rPr>
              <w:t>7</w:t>
            </w:r>
          </w:p>
        </w:tc>
        <w:tc>
          <w:tcPr>
            <w:tcW w:w="1410" w:type="dxa"/>
            <w:noWrap w:val="0"/>
            <w:vAlign w:val="center"/>
          </w:tcPr>
          <w:p w14:paraId="7B177B4C">
            <w:pPr>
              <w:pStyle w:val="24"/>
              <w:bidi w:val="0"/>
              <w:rPr>
                <w:rFonts w:hint="default"/>
                <w:color w:val="auto"/>
              </w:rPr>
            </w:pPr>
            <w:r>
              <w:rPr>
                <w:rFonts w:hint="default"/>
                <w:color w:val="auto"/>
              </w:rPr>
              <w:t>63</w:t>
            </w:r>
          </w:p>
        </w:tc>
      </w:tr>
      <w:tr w14:paraId="507A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548CEE30">
            <w:pPr>
              <w:pStyle w:val="24"/>
              <w:bidi w:val="0"/>
              <w:rPr>
                <w:rFonts w:hint="default"/>
                <w:color w:val="auto"/>
              </w:rPr>
            </w:pPr>
            <w:r>
              <w:rPr>
                <w:rFonts w:hint="default"/>
                <w:color w:val="auto"/>
              </w:rPr>
              <w:t>7</w:t>
            </w:r>
          </w:p>
        </w:tc>
        <w:tc>
          <w:tcPr>
            <w:tcW w:w="1917" w:type="dxa"/>
            <w:noWrap w:val="0"/>
            <w:vAlign w:val="center"/>
          </w:tcPr>
          <w:p w14:paraId="620CB268">
            <w:pPr>
              <w:pStyle w:val="24"/>
              <w:bidi w:val="0"/>
              <w:rPr>
                <w:rFonts w:hint="default"/>
                <w:color w:val="auto"/>
              </w:rPr>
            </w:pPr>
            <w:r>
              <w:rPr>
                <w:rFonts w:hint="default"/>
                <w:color w:val="auto"/>
              </w:rPr>
              <w:t>容器爆炸</w:t>
            </w:r>
          </w:p>
        </w:tc>
        <w:tc>
          <w:tcPr>
            <w:tcW w:w="1567" w:type="dxa"/>
            <w:noWrap w:val="0"/>
            <w:vAlign w:val="center"/>
          </w:tcPr>
          <w:p w14:paraId="39008B9E">
            <w:pPr>
              <w:pStyle w:val="24"/>
              <w:bidi w:val="0"/>
              <w:rPr>
                <w:rFonts w:hint="default"/>
                <w:color w:val="auto"/>
              </w:rPr>
            </w:pPr>
            <w:r>
              <w:rPr>
                <w:rFonts w:hint="default"/>
                <w:color w:val="auto"/>
              </w:rPr>
              <w:t>1</w:t>
            </w:r>
          </w:p>
        </w:tc>
        <w:tc>
          <w:tcPr>
            <w:tcW w:w="1567" w:type="dxa"/>
            <w:noWrap w:val="0"/>
            <w:vAlign w:val="center"/>
          </w:tcPr>
          <w:p w14:paraId="7A6176CC">
            <w:pPr>
              <w:pStyle w:val="24"/>
              <w:bidi w:val="0"/>
              <w:rPr>
                <w:rFonts w:hint="default"/>
                <w:color w:val="auto"/>
              </w:rPr>
            </w:pPr>
            <w:r>
              <w:rPr>
                <w:rFonts w:hint="default"/>
                <w:color w:val="auto"/>
              </w:rPr>
              <w:t>3</w:t>
            </w:r>
          </w:p>
        </w:tc>
        <w:tc>
          <w:tcPr>
            <w:tcW w:w="1589" w:type="dxa"/>
            <w:noWrap w:val="0"/>
            <w:vAlign w:val="center"/>
          </w:tcPr>
          <w:p w14:paraId="7DBB18F2">
            <w:pPr>
              <w:pStyle w:val="24"/>
              <w:bidi w:val="0"/>
              <w:rPr>
                <w:rFonts w:hint="default"/>
                <w:color w:val="auto"/>
              </w:rPr>
            </w:pPr>
            <w:r>
              <w:rPr>
                <w:rFonts w:hint="default"/>
                <w:color w:val="auto"/>
              </w:rPr>
              <w:t>7</w:t>
            </w:r>
          </w:p>
        </w:tc>
        <w:tc>
          <w:tcPr>
            <w:tcW w:w="1410" w:type="dxa"/>
            <w:noWrap w:val="0"/>
            <w:vAlign w:val="center"/>
          </w:tcPr>
          <w:p w14:paraId="75D25010">
            <w:pPr>
              <w:pStyle w:val="24"/>
              <w:bidi w:val="0"/>
              <w:rPr>
                <w:rFonts w:hint="default"/>
                <w:color w:val="auto"/>
              </w:rPr>
            </w:pPr>
            <w:r>
              <w:rPr>
                <w:rFonts w:hint="default"/>
                <w:color w:val="auto"/>
              </w:rPr>
              <w:t>21</w:t>
            </w:r>
          </w:p>
        </w:tc>
      </w:tr>
      <w:tr w14:paraId="5AB3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55922AF8">
            <w:pPr>
              <w:pStyle w:val="24"/>
              <w:bidi w:val="0"/>
              <w:rPr>
                <w:rFonts w:hint="default"/>
                <w:color w:val="auto"/>
              </w:rPr>
            </w:pPr>
            <w:r>
              <w:rPr>
                <w:rFonts w:hint="default"/>
                <w:color w:val="auto"/>
              </w:rPr>
              <w:t>8</w:t>
            </w:r>
          </w:p>
        </w:tc>
        <w:tc>
          <w:tcPr>
            <w:tcW w:w="1917" w:type="dxa"/>
            <w:noWrap w:val="0"/>
            <w:vAlign w:val="center"/>
          </w:tcPr>
          <w:p w14:paraId="3FC34AC6">
            <w:pPr>
              <w:pStyle w:val="24"/>
              <w:bidi w:val="0"/>
              <w:rPr>
                <w:rFonts w:hint="default"/>
                <w:color w:val="auto"/>
              </w:rPr>
            </w:pPr>
            <w:r>
              <w:rPr>
                <w:rFonts w:hint="default"/>
                <w:color w:val="auto"/>
              </w:rPr>
              <w:t>坍塌、滑坡</w:t>
            </w:r>
          </w:p>
        </w:tc>
        <w:tc>
          <w:tcPr>
            <w:tcW w:w="1567" w:type="dxa"/>
            <w:noWrap w:val="0"/>
            <w:vAlign w:val="center"/>
          </w:tcPr>
          <w:p w14:paraId="0F05E422">
            <w:pPr>
              <w:pStyle w:val="24"/>
              <w:bidi w:val="0"/>
              <w:rPr>
                <w:rFonts w:hint="default"/>
                <w:color w:val="auto"/>
              </w:rPr>
            </w:pPr>
            <w:r>
              <w:rPr>
                <w:rFonts w:hint="default"/>
                <w:color w:val="auto"/>
              </w:rPr>
              <w:t>3</w:t>
            </w:r>
          </w:p>
        </w:tc>
        <w:tc>
          <w:tcPr>
            <w:tcW w:w="1567" w:type="dxa"/>
            <w:noWrap w:val="0"/>
            <w:vAlign w:val="center"/>
          </w:tcPr>
          <w:p w14:paraId="5C3AB1AD">
            <w:pPr>
              <w:pStyle w:val="24"/>
              <w:bidi w:val="0"/>
              <w:rPr>
                <w:rFonts w:hint="default"/>
                <w:color w:val="auto"/>
              </w:rPr>
            </w:pPr>
            <w:r>
              <w:rPr>
                <w:rFonts w:hint="default"/>
                <w:color w:val="auto"/>
              </w:rPr>
              <w:t>6</w:t>
            </w:r>
          </w:p>
        </w:tc>
        <w:tc>
          <w:tcPr>
            <w:tcW w:w="1589" w:type="dxa"/>
            <w:noWrap w:val="0"/>
            <w:vAlign w:val="center"/>
          </w:tcPr>
          <w:p w14:paraId="3D214DB7">
            <w:pPr>
              <w:pStyle w:val="24"/>
              <w:bidi w:val="0"/>
              <w:rPr>
                <w:rFonts w:hint="default"/>
                <w:color w:val="auto"/>
              </w:rPr>
            </w:pPr>
            <w:r>
              <w:rPr>
                <w:rFonts w:hint="default"/>
                <w:color w:val="auto"/>
              </w:rPr>
              <w:t>7</w:t>
            </w:r>
          </w:p>
        </w:tc>
        <w:tc>
          <w:tcPr>
            <w:tcW w:w="1410" w:type="dxa"/>
            <w:noWrap w:val="0"/>
            <w:vAlign w:val="center"/>
          </w:tcPr>
          <w:p w14:paraId="29C1903B">
            <w:pPr>
              <w:pStyle w:val="24"/>
              <w:bidi w:val="0"/>
              <w:rPr>
                <w:rFonts w:hint="default"/>
                <w:color w:val="auto"/>
              </w:rPr>
            </w:pPr>
            <w:r>
              <w:rPr>
                <w:rFonts w:hint="default"/>
                <w:color w:val="auto"/>
              </w:rPr>
              <w:t>126</w:t>
            </w:r>
          </w:p>
        </w:tc>
      </w:tr>
      <w:tr w14:paraId="0974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3CBD9D71">
            <w:pPr>
              <w:pStyle w:val="24"/>
              <w:bidi w:val="0"/>
              <w:rPr>
                <w:rFonts w:hint="eastAsia" w:eastAsia="宋体"/>
                <w:color w:val="auto"/>
                <w:lang w:eastAsia="zh-CN"/>
              </w:rPr>
            </w:pPr>
            <w:r>
              <w:rPr>
                <w:rFonts w:hint="eastAsia"/>
                <w:color w:val="auto"/>
                <w:lang w:val="en-US" w:eastAsia="zh-CN"/>
              </w:rPr>
              <w:t>9</w:t>
            </w:r>
          </w:p>
        </w:tc>
        <w:tc>
          <w:tcPr>
            <w:tcW w:w="1917" w:type="dxa"/>
            <w:noWrap w:val="0"/>
            <w:vAlign w:val="center"/>
          </w:tcPr>
          <w:p w14:paraId="75F497C3">
            <w:pPr>
              <w:pStyle w:val="24"/>
              <w:bidi w:val="0"/>
              <w:rPr>
                <w:rFonts w:hint="default"/>
                <w:color w:val="auto"/>
              </w:rPr>
            </w:pPr>
            <w:r>
              <w:rPr>
                <w:rFonts w:hint="default"/>
                <w:color w:val="auto"/>
              </w:rPr>
              <w:t>高处坠落</w:t>
            </w:r>
          </w:p>
        </w:tc>
        <w:tc>
          <w:tcPr>
            <w:tcW w:w="1567" w:type="dxa"/>
            <w:noWrap w:val="0"/>
            <w:vAlign w:val="center"/>
          </w:tcPr>
          <w:p w14:paraId="6EE172F0">
            <w:pPr>
              <w:pStyle w:val="24"/>
              <w:bidi w:val="0"/>
              <w:rPr>
                <w:rFonts w:hint="default"/>
                <w:color w:val="auto"/>
              </w:rPr>
            </w:pPr>
            <w:r>
              <w:rPr>
                <w:rFonts w:hint="default"/>
                <w:color w:val="auto"/>
              </w:rPr>
              <w:t>3</w:t>
            </w:r>
          </w:p>
        </w:tc>
        <w:tc>
          <w:tcPr>
            <w:tcW w:w="1567" w:type="dxa"/>
            <w:noWrap w:val="0"/>
            <w:vAlign w:val="center"/>
          </w:tcPr>
          <w:p w14:paraId="7D6F349C">
            <w:pPr>
              <w:pStyle w:val="24"/>
              <w:bidi w:val="0"/>
              <w:rPr>
                <w:rFonts w:hint="default"/>
                <w:color w:val="auto"/>
              </w:rPr>
            </w:pPr>
            <w:r>
              <w:rPr>
                <w:rFonts w:hint="default"/>
                <w:color w:val="auto"/>
              </w:rPr>
              <w:t>6</w:t>
            </w:r>
          </w:p>
        </w:tc>
        <w:tc>
          <w:tcPr>
            <w:tcW w:w="1589" w:type="dxa"/>
            <w:noWrap w:val="0"/>
            <w:vAlign w:val="center"/>
          </w:tcPr>
          <w:p w14:paraId="2B0DBCCC">
            <w:pPr>
              <w:pStyle w:val="24"/>
              <w:bidi w:val="0"/>
              <w:rPr>
                <w:rFonts w:hint="default"/>
                <w:color w:val="auto"/>
              </w:rPr>
            </w:pPr>
            <w:r>
              <w:rPr>
                <w:rFonts w:hint="default"/>
                <w:color w:val="auto"/>
              </w:rPr>
              <w:t>7</w:t>
            </w:r>
          </w:p>
        </w:tc>
        <w:tc>
          <w:tcPr>
            <w:tcW w:w="1410" w:type="dxa"/>
            <w:noWrap w:val="0"/>
            <w:vAlign w:val="center"/>
          </w:tcPr>
          <w:p w14:paraId="42295E2D">
            <w:pPr>
              <w:pStyle w:val="24"/>
              <w:bidi w:val="0"/>
              <w:rPr>
                <w:rFonts w:hint="default"/>
                <w:color w:val="auto"/>
              </w:rPr>
            </w:pPr>
            <w:r>
              <w:rPr>
                <w:rFonts w:hint="default"/>
                <w:color w:val="auto"/>
              </w:rPr>
              <w:t>126</w:t>
            </w:r>
          </w:p>
        </w:tc>
      </w:tr>
      <w:tr w14:paraId="3F11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6111A350">
            <w:pPr>
              <w:pStyle w:val="24"/>
              <w:bidi w:val="0"/>
              <w:rPr>
                <w:rFonts w:hint="eastAsia" w:eastAsia="宋体"/>
                <w:color w:val="auto"/>
                <w:lang w:eastAsia="zh-CN"/>
              </w:rPr>
            </w:pPr>
            <w:r>
              <w:rPr>
                <w:rFonts w:hint="default"/>
                <w:color w:val="auto"/>
              </w:rPr>
              <w:t>1</w:t>
            </w:r>
            <w:r>
              <w:rPr>
                <w:rFonts w:hint="eastAsia"/>
                <w:color w:val="auto"/>
                <w:lang w:val="en-US" w:eastAsia="zh-CN"/>
              </w:rPr>
              <w:t>0</w:t>
            </w:r>
          </w:p>
        </w:tc>
        <w:tc>
          <w:tcPr>
            <w:tcW w:w="1917" w:type="dxa"/>
            <w:noWrap w:val="0"/>
            <w:vAlign w:val="center"/>
          </w:tcPr>
          <w:p w14:paraId="4D3A08D6">
            <w:pPr>
              <w:pStyle w:val="24"/>
              <w:bidi w:val="0"/>
              <w:rPr>
                <w:rFonts w:hint="default"/>
                <w:color w:val="auto"/>
              </w:rPr>
            </w:pPr>
            <w:r>
              <w:rPr>
                <w:rFonts w:hint="default"/>
                <w:color w:val="auto"/>
              </w:rPr>
              <w:t>中毒和窒息</w:t>
            </w:r>
          </w:p>
        </w:tc>
        <w:tc>
          <w:tcPr>
            <w:tcW w:w="1567" w:type="dxa"/>
            <w:noWrap w:val="0"/>
            <w:vAlign w:val="center"/>
          </w:tcPr>
          <w:p w14:paraId="642F5DF5">
            <w:pPr>
              <w:pStyle w:val="24"/>
              <w:bidi w:val="0"/>
              <w:rPr>
                <w:rFonts w:hint="default"/>
                <w:color w:val="auto"/>
              </w:rPr>
            </w:pPr>
            <w:r>
              <w:rPr>
                <w:rFonts w:hint="default"/>
                <w:color w:val="auto"/>
              </w:rPr>
              <w:t>1</w:t>
            </w:r>
          </w:p>
        </w:tc>
        <w:tc>
          <w:tcPr>
            <w:tcW w:w="1567" w:type="dxa"/>
            <w:noWrap w:val="0"/>
            <w:vAlign w:val="center"/>
          </w:tcPr>
          <w:p w14:paraId="5DD7F6D9">
            <w:pPr>
              <w:pStyle w:val="24"/>
              <w:bidi w:val="0"/>
              <w:rPr>
                <w:rFonts w:hint="default"/>
                <w:color w:val="auto"/>
              </w:rPr>
            </w:pPr>
            <w:r>
              <w:rPr>
                <w:rFonts w:hint="default"/>
                <w:color w:val="auto"/>
              </w:rPr>
              <w:t>3</w:t>
            </w:r>
          </w:p>
        </w:tc>
        <w:tc>
          <w:tcPr>
            <w:tcW w:w="1589" w:type="dxa"/>
            <w:noWrap w:val="0"/>
            <w:vAlign w:val="center"/>
          </w:tcPr>
          <w:p w14:paraId="27AA0687">
            <w:pPr>
              <w:pStyle w:val="24"/>
              <w:bidi w:val="0"/>
              <w:rPr>
                <w:rFonts w:hint="default"/>
                <w:color w:val="auto"/>
              </w:rPr>
            </w:pPr>
            <w:r>
              <w:rPr>
                <w:rFonts w:hint="default"/>
                <w:color w:val="auto"/>
              </w:rPr>
              <w:t>15</w:t>
            </w:r>
          </w:p>
        </w:tc>
        <w:tc>
          <w:tcPr>
            <w:tcW w:w="1410" w:type="dxa"/>
            <w:noWrap w:val="0"/>
            <w:vAlign w:val="center"/>
          </w:tcPr>
          <w:p w14:paraId="66728047">
            <w:pPr>
              <w:pStyle w:val="24"/>
              <w:bidi w:val="0"/>
              <w:rPr>
                <w:rFonts w:hint="default"/>
                <w:color w:val="auto"/>
              </w:rPr>
            </w:pPr>
            <w:r>
              <w:rPr>
                <w:rFonts w:hint="default"/>
                <w:color w:val="auto"/>
              </w:rPr>
              <w:t>45</w:t>
            </w:r>
          </w:p>
        </w:tc>
      </w:tr>
      <w:tr w14:paraId="33EB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0" w:type="dxa"/>
            <w:noWrap w:val="0"/>
            <w:vAlign w:val="center"/>
          </w:tcPr>
          <w:p w14:paraId="6DF5D0D8">
            <w:pPr>
              <w:pStyle w:val="24"/>
              <w:bidi w:val="0"/>
              <w:rPr>
                <w:rFonts w:hint="eastAsia" w:eastAsia="宋体"/>
                <w:color w:val="auto"/>
                <w:lang w:eastAsia="zh-CN"/>
              </w:rPr>
            </w:pPr>
            <w:r>
              <w:rPr>
                <w:rFonts w:hint="default"/>
                <w:color w:val="auto"/>
              </w:rPr>
              <w:t>1</w:t>
            </w:r>
            <w:r>
              <w:rPr>
                <w:rFonts w:hint="eastAsia"/>
                <w:color w:val="auto"/>
                <w:lang w:val="en-US" w:eastAsia="zh-CN"/>
              </w:rPr>
              <w:t>1</w:t>
            </w:r>
          </w:p>
        </w:tc>
        <w:tc>
          <w:tcPr>
            <w:tcW w:w="1917" w:type="dxa"/>
            <w:noWrap w:val="0"/>
            <w:vAlign w:val="center"/>
          </w:tcPr>
          <w:p w14:paraId="2C6FA533">
            <w:pPr>
              <w:pStyle w:val="24"/>
              <w:bidi w:val="0"/>
              <w:rPr>
                <w:rFonts w:hint="default"/>
                <w:color w:val="auto"/>
              </w:rPr>
            </w:pPr>
            <w:r>
              <w:rPr>
                <w:rFonts w:hint="default"/>
                <w:color w:val="auto"/>
              </w:rPr>
              <w:t>其他伤害</w:t>
            </w:r>
          </w:p>
        </w:tc>
        <w:tc>
          <w:tcPr>
            <w:tcW w:w="1567" w:type="dxa"/>
            <w:noWrap w:val="0"/>
            <w:vAlign w:val="center"/>
          </w:tcPr>
          <w:p w14:paraId="07379574">
            <w:pPr>
              <w:pStyle w:val="24"/>
              <w:bidi w:val="0"/>
              <w:rPr>
                <w:rFonts w:hint="default"/>
                <w:color w:val="auto"/>
              </w:rPr>
            </w:pPr>
            <w:r>
              <w:rPr>
                <w:rFonts w:hint="default"/>
                <w:color w:val="auto"/>
              </w:rPr>
              <w:t>3</w:t>
            </w:r>
          </w:p>
        </w:tc>
        <w:tc>
          <w:tcPr>
            <w:tcW w:w="1567" w:type="dxa"/>
            <w:noWrap w:val="0"/>
            <w:vAlign w:val="center"/>
          </w:tcPr>
          <w:p w14:paraId="1BF67A5B">
            <w:pPr>
              <w:pStyle w:val="24"/>
              <w:bidi w:val="0"/>
              <w:rPr>
                <w:rFonts w:hint="default"/>
                <w:color w:val="auto"/>
              </w:rPr>
            </w:pPr>
            <w:r>
              <w:rPr>
                <w:rFonts w:hint="default"/>
                <w:color w:val="auto"/>
              </w:rPr>
              <w:t>6</w:t>
            </w:r>
          </w:p>
        </w:tc>
        <w:tc>
          <w:tcPr>
            <w:tcW w:w="1589" w:type="dxa"/>
            <w:noWrap w:val="0"/>
            <w:vAlign w:val="center"/>
          </w:tcPr>
          <w:p w14:paraId="6C8C8BE8">
            <w:pPr>
              <w:pStyle w:val="24"/>
              <w:bidi w:val="0"/>
              <w:rPr>
                <w:rFonts w:hint="default"/>
                <w:color w:val="auto"/>
              </w:rPr>
            </w:pPr>
            <w:r>
              <w:rPr>
                <w:rFonts w:hint="default"/>
                <w:color w:val="auto"/>
              </w:rPr>
              <w:t>1</w:t>
            </w:r>
          </w:p>
        </w:tc>
        <w:tc>
          <w:tcPr>
            <w:tcW w:w="1410" w:type="dxa"/>
            <w:noWrap w:val="0"/>
            <w:vAlign w:val="center"/>
          </w:tcPr>
          <w:p w14:paraId="4A349AFF">
            <w:pPr>
              <w:pStyle w:val="24"/>
              <w:bidi w:val="0"/>
              <w:rPr>
                <w:rFonts w:hint="default"/>
                <w:color w:val="auto"/>
              </w:rPr>
            </w:pPr>
            <w:r>
              <w:rPr>
                <w:rFonts w:hint="default"/>
                <w:color w:val="auto"/>
              </w:rPr>
              <w:t>18</w:t>
            </w:r>
          </w:p>
        </w:tc>
      </w:tr>
    </w:tbl>
    <w:p w14:paraId="7F880CE8">
      <w:pPr>
        <w:pStyle w:val="4"/>
        <w:bidi w:val="0"/>
        <w:rPr>
          <w:rFonts w:hint="eastAsia"/>
          <w:color w:val="auto"/>
        </w:rPr>
      </w:pPr>
      <w:bookmarkStart w:id="192" w:name="_Toc12302"/>
      <w:bookmarkStart w:id="193" w:name="_Toc23707"/>
      <w:r>
        <w:rPr>
          <w:rFonts w:hint="eastAsia"/>
          <w:color w:val="auto"/>
        </w:rPr>
        <w:t>5.7.3</w:t>
      </w:r>
      <w:r>
        <w:rPr>
          <w:rFonts w:hint="eastAsia"/>
          <w:color w:val="auto"/>
          <w:lang w:val="en-US" w:eastAsia="zh-CN"/>
        </w:rPr>
        <w:t xml:space="preserve"> </w:t>
      </w:r>
      <w:r>
        <w:rPr>
          <w:rFonts w:hint="eastAsia"/>
          <w:color w:val="auto"/>
        </w:rPr>
        <w:t>危险危害程度分析</w:t>
      </w:r>
      <w:bookmarkEnd w:id="192"/>
      <w:bookmarkEnd w:id="193"/>
    </w:p>
    <w:p w14:paraId="277413B9">
      <w:pPr>
        <w:pStyle w:val="23"/>
        <w:bidi w:val="0"/>
        <w:rPr>
          <w:color w:val="auto"/>
        </w:rPr>
      </w:pPr>
      <w:r>
        <w:rPr>
          <w:rFonts w:hint="eastAsia"/>
          <w:color w:val="auto"/>
        </w:rPr>
        <w:t>表5.7-2  项目危险有害因素危险性程度汇总表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2156"/>
        <w:gridCol w:w="2213"/>
        <w:gridCol w:w="2118"/>
        <w:gridCol w:w="1699"/>
      </w:tblGrid>
      <w:tr w14:paraId="7E9A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965" w:type="dxa"/>
            <w:noWrap w:val="0"/>
            <w:vAlign w:val="center"/>
          </w:tcPr>
          <w:p w14:paraId="0990E6F4">
            <w:pPr>
              <w:pStyle w:val="24"/>
              <w:bidi w:val="0"/>
              <w:rPr>
                <w:rFonts w:hint="default"/>
                <w:b/>
                <w:bCs/>
                <w:color w:val="auto"/>
              </w:rPr>
            </w:pPr>
            <w:r>
              <w:rPr>
                <w:rFonts w:hint="default"/>
                <w:b/>
                <w:bCs/>
                <w:color w:val="auto"/>
              </w:rPr>
              <w:t>序号</w:t>
            </w:r>
          </w:p>
        </w:tc>
        <w:tc>
          <w:tcPr>
            <w:tcW w:w="2156" w:type="dxa"/>
            <w:noWrap w:val="0"/>
            <w:vAlign w:val="center"/>
          </w:tcPr>
          <w:p w14:paraId="1075C97B">
            <w:pPr>
              <w:pStyle w:val="24"/>
              <w:bidi w:val="0"/>
              <w:rPr>
                <w:rFonts w:hint="default"/>
                <w:b/>
                <w:bCs/>
                <w:color w:val="auto"/>
              </w:rPr>
            </w:pPr>
            <w:r>
              <w:rPr>
                <w:rFonts w:hint="default"/>
                <w:b/>
                <w:bCs/>
                <w:color w:val="auto"/>
              </w:rPr>
              <w:t>危险因素分类</w:t>
            </w:r>
          </w:p>
        </w:tc>
        <w:tc>
          <w:tcPr>
            <w:tcW w:w="2213" w:type="dxa"/>
            <w:noWrap w:val="0"/>
            <w:vAlign w:val="center"/>
          </w:tcPr>
          <w:p w14:paraId="273B0C69">
            <w:pPr>
              <w:pStyle w:val="24"/>
              <w:bidi w:val="0"/>
              <w:rPr>
                <w:rFonts w:hint="eastAsia"/>
                <w:b/>
                <w:bCs/>
                <w:color w:val="auto"/>
                <w:lang w:eastAsia="zh-CN"/>
              </w:rPr>
            </w:pPr>
            <w:r>
              <w:rPr>
                <w:rFonts w:hint="default"/>
                <w:b/>
                <w:bCs/>
                <w:color w:val="auto"/>
              </w:rPr>
              <w:t>危险性分值</w:t>
            </w:r>
            <w:r>
              <w:rPr>
                <w:rFonts w:hint="default"/>
                <w:b/>
                <w:bCs/>
                <w:color w:val="auto"/>
                <w:lang w:eastAsia="zh-CN"/>
              </w:rPr>
              <w:t>（</w:t>
            </w:r>
            <w:r>
              <w:rPr>
                <w:rFonts w:hint="default"/>
                <w:b/>
                <w:bCs/>
                <w:color w:val="auto"/>
              </w:rPr>
              <w:t>D</w:t>
            </w:r>
            <w:r>
              <w:rPr>
                <w:rFonts w:hint="eastAsia"/>
                <w:b/>
                <w:bCs/>
                <w:color w:val="auto"/>
                <w:lang w:eastAsia="zh-CN"/>
              </w:rPr>
              <w:t>）</w:t>
            </w:r>
          </w:p>
        </w:tc>
        <w:tc>
          <w:tcPr>
            <w:tcW w:w="2118" w:type="dxa"/>
            <w:noWrap w:val="0"/>
            <w:vAlign w:val="center"/>
          </w:tcPr>
          <w:p w14:paraId="049FFD19">
            <w:pPr>
              <w:pStyle w:val="24"/>
              <w:bidi w:val="0"/>
              <w:rPr>
                <w:rFonts w:hint="default"/>
                <w:b/>
                <w:bCs/>
                <w:color w:val="auto"/>
              </w:rPr>
            </w:pPr>
            <w:r>
              <w:rPr>
                <w:rFonts w:hint="default"/>
                <w:b/>
                <w:bCs/>
                <w:color w:val="auto"/>
              </w:rPr>
              <w:t>危险性程度</w:t>
            </w:r>
          </w:p>
        </w:tc>
        <w:tc>
          <w:tcPr>
            <w:tcW w:w="1699" w:type="dxa"/>
            <w:noWrap w:val="0"/>
            <w:vAlign w:val="center"/>
          </w:tcPr>
          <w:p w14:paraId="74A49FA5">
            <w:pPr>
              <w:pStyle w:val="24"/>
              <w:bidi w:val="0"/>
              <w:rPr>
                <w:rFonts w:hint="default"/>
                <w:b/>
                <w:bCs/>
                <w:color w:val="auto"/>
              </w:rPr>
            </w:pPr>
            <w:r>
              <w:rPr>
                <w:rFonts w:hint="default"/>
                <w:b/>
                <w:bCs/>
                <w:color w:val="auto"/>
              </w:rPr>
              <w:t>备注</w:t>
            </w:r>
          </w:p>
        </w:tc>
      </w:tr>
      <w:tr w14:paraId="05D2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432C074A">
            <w:pPr>
              <w:pStyle w:val="24"/>
              <w:bidi w:val="0"/>
              <w:rPr>
                <w:rFonts w:hint="default"/>
                <w:color w:val="auto"/>
              </w:rPr>
            </w:pPr>
            <w:r>
              <w:rPr>
                <w:rFonts w:hint="default"/>
                <w:color w:val="auto"/>
              </w:rPr>
              <w:t>1</w:t>
            </w:r>
          </w:p>
        </w:tc>
        <w:tc>
          <w:tcPr>
            <w:tcW w:w="2156" w:type="dxa"/>
            <w:noWrap w:val="0"/>
            <w:vAlign w:val="center"/>
          </w:tcPr>
          <w:p w14:paraId="319584E7">
            <w:pPr>
              <w:pStyle w:val="24"/>
              <w:bidi w:val="0"/>
              <w:rPr>
                <w:rFonts w:hint="default"/>
                <w:color w:val="auto"/>
              </w:rPr>
            </w:pPr>
            <w:r>
              <w:rPr>
                <w:rFonts w:hint="default"/>
                <w:color w:val="auto"/>
              </w:rPr>
              <w:t>机械伤害</w:t>
            </w:r>
          </w:p>
        </w:tc>
        <w:tc>
          <w:tcPr>
            <w:tcW w:w="2213" w:type="dxa"/>
            <w:noWrap w:val="0"/>
            <w:vAlign w:val="center"/>
          </w:tcPr>
          <w:p w14:paraId="1623A91D">
            <w:pPr>
              <w:pStyle w:val="24"/>
              <w:bidi w:val="0"/>
              <w:rPr>
                <w:rFonts w:hint="default"/>
                <w:color w:val="auto"/>
              </w:rPr>
            </w:pPr>
            <w:r>
              <w:rPr>
                <w:rFonts w:hint="default"/>
                <w:color w:val="auto"/>
              </w:rPr>
              <w:t>54</w:t>
            </w:r>
          </w:p>
        </w:tc>
        <w:tc>
          <w:tcPr>
            <w:tcW w:w="2118" w:type="dxa"/>
            <w:noWrap w:val="0"/>
            <w:vAlign w:val="center"/>
          </w:tcPr>
          <w:p w14:paraId="72DF5EB9">
            <w:pPr>
              <w:pStyle w:val="24"/>
              <w:bidi w:val="0"/>
              <w:rPr>
                <w:rFonts w:hint="default"/>
                <w:color w:val="auto"/>
              </w:rPr>
            </w:pPr>
            <w:r>
              <w:rPr>
                <w:rFonts w:hint="default"/>
                <w:color w:val="auto"/>
              </w:rPr>
              <w:t>一般危险</w:t>
            </w:r>
          </w:p>
        </w:tc>
        <w:tc>
          <w:tcPr>
            <w:tcW w:w="1699" w:type="dxa"/>
            <w:noWrap w:val="0"/>
            <w:vAlign w:val="center"/>
          </w:tcPr>
          <w:p w14:paraId="796581DF">
            <w:pPr>
              <w:pStyle w:val="24"/>
              <w:bidi w:val="0"/>
              <w:rPr>
                <w:rFonts w:hint="default"/>
                <w:color w:val="auto"/>
              </w:rPr>
            </w:pPr>
          </w:p>
        </w:tc>
      </w:tr>
      <w:tr w14:paraId="0A07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29E23F00">
            <w:pPr>
              <w:pStyle w:val="24"/>
              <w:bidi w:val="0"/>
              <w:rPr>
                <w:rFonts w:hint="default"/>
                <w:color w:val="auto"/>
              </w:rPr>
            </w:pPr>
            <w:r>
              <w:rPr>
                <w:rFonts w:hint="default"/>
                <w:color w:val="auto"/>
              </w:rPr>
              <w:t>2</w:t>
            </w:r>
          </w:p>
        </w:tc>
        <w:tc>
          <w:tcPr>
            <w:tcW w:w="2156" w:type="dxa"/>
            <w:noWrap w:val="0"/>
            <w:vAlign w:val="center"/>
          </w:tcPr>
          <w:p w14:paraId="5E8FF7C4">
            <w:pPr>
              <w:pStyle w:val="24"/>
              <w:bidi w:val="0"/>
              <w:rPr>
                <w:rFonts w:hint="default"/>
                <w:color w:val="auto"/>
              </w:rPr>
            </w:pPr>
            <w:r>
              <w:rPr>
                <w:rFonts w:hint="default"/>
                <w:color w:val="auto"/>
              </w:rPr>
              <w:t>物体打击</w:t>
            </w:r>
          </w:p>
        </w:tc>
        <w:tc>
          <w:tcPr>
            <w:tcW w:w="2213" w:type="dxa"/>
            <w:noWrap w:val="0"/>
            <w:vAlign w:val="center"/>
          </w:tcPr>
          <w:p w14:paraId="2C02E461">
            <w:pPr>
              <w:pStyle w:val="24"/>
              <w:bidi w:val="0"/>
              <w:rPr>
                <w:rFonts w:hint="default"/>
                <w:color w:val="auto"/>
              </w:rPr>
            </w:pPr>
            <w:r>
              <w:rPr>
                <w:rFonts w:hint="default"/>
                <w:color w:val="auto"/>
              </w:rPr>
              <w:t>54</w:t>
            </w:r>
          </w:p>
        </w:tc>
        <w:tc>
          <w:tcPr>
            <w:tcW w:w="2118" w:type="dxa"/>
            <w:noWrap w:val="0"/>
            <w:vAlign w:val="center"/>
          </w:tcPr>
          <w:p w14:paraId="518ACFF5">
            <w:pPr>
              <w:pStyle w:val="24"/>
              <w:bidi w:val="0"/>
              <w:rPr>
                <w:rFonts w:hint="default"/>
                <w:color w:val="auto"/>
              </w:rPr>
            </w:pPr>
            <w:r>
              <w:rPr>
                <w:rFonts w:hint="default"/>
                <w:color w:val="auto"/>
              </w:rPr>
              <w:t>一般危险</w:t>
            </w:r>
          </w:p>
        </w:tc>
        <w:tc>
          <w:tcPr>
            <w:tcW w:w="1699" w:type="dxa"/>
            <w:noWrap w:val="0"/>
            <w:vAlign w:val="center"/>
          </w:tcPr>
          <w:p w14:paraId="7508FFF4">
            <w:pPr>
              <w:pStyle w:val="24"/>
              <w:bidi w:val="0"/>
              <w:rPr>
                <w:rFonts w:hint="default"/>
                <w:color w:val="auto"/>
              </w:rPr>
            </w:pPr>
          </w:p>
        </w:tc>
      </w:tr>
      <w:tr w14:paraId="283D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0D95E6B1">
            <w:pPr>
              <w:pStyle w:val="24"/>
              <w:bidi w:val="0"/>
              <w:rPr>
                <w:rFonts w:hint="default"/>
                <w:color w:val="auto"/>
              </w:rPr>
            </w:pPr>
            <w:r>
              <w:rPr>
                <w:rFonts w:hint="default"/>
                <w:color w:val="auto"/>
              </w:rPr>
              <w:t>3</w:t>
            </w:r>
          </w:p>
        </w:tc>
        <w:tc>
          <w:tcPr>
            <w:tcW w:w="2156" w:type="dxa"/>
            <w:noWrap w:val="0"/>
            <w:vAlign w:val="center"/>
          </w:tcPr>
          <w:p w14:paraId="056C5F66">
            <w:pPr>
              <w:pStyle w:val="24"/>
              <w:bidi w:val="0"/>
              <w:rPr>
                <w:rFonts w:hint="default"/>
                <w:color w:val="auto"/>
              </w:rPr>
            </w:pPr>
            <w:r>
              <w:rPr>
                <w:rFonts w:hint="default"/>
                <w:color w:val="auto"/>
              </w:rPr>
              <w:t>触电</w:t>
            </w:r>
          </w:p>
        </w:tc>
        <w:tc>
          <w:tcPr>
            <w:tcW w:w="2213" w:type="dxa"/>
            <w:noWrap w:val="0"/>
            <w:vAlign w:val="center"/>
          </w:tcPr>
          <w:p w14:paraId="15426AD4">
            <w:pPr>
              <w:pStyle w:val="24"/>
              <w:bidi w:val="0"/>
              <w:rPr>
                <w:rFonts w:hint="default"/>
                <w:color w:val="auto"/>
              </w:rPr>
            </w:pPr>
            <w:r>
              <w:rPr>
                <w:rFonts w:hint="default"/>
                <w:color w:val="auto"/>
              </w:rPr>
              <w:t>126</w:t>
            </w:r>
          </w:p>
        </w:tc>
        <w:tc>
          <w:tcPr>
            <w:tcW w:w="2118" w:type="dxa"/>
            <w:noWrap w:val="0"/>
            <w:vAlign w:val="center"/>
          </w:tcPr>
          <w:p w14:paraId="3766B2B3">
            <w:pPr>
              <w:pStyle w:val="24"/>
              <w:bidi w:val="0"/>
              <w:rPr>
                <w:rFonts w:hint="default"/>
                <w:color w:val="auto"/>
              </w:rPr>
            </w:pPr>
            <w:r>
              <w:rPr>
                <w:rFonts w:hint="default"/>
                <w:color w:val="auto"/>
              </w:rPr>
              <w:t>显著危险</w:t>
            </w:r>
          </w:p>
        </w:tc>
        <w:tc>
          <w:tcPr>
            <w:tcW w:w="1699" w:type="dxa"/>
            <w:noWrap w:val="0"/>
            <w:vAlign w:val="center"/>
          </w:tcPr>
          <w:p w14:paraId="4C7A57C5">
            <w:pPr>
              <w:pStyle w:val="24"/>
              <w:bidi w:val="0"/>
              <w:rPr>
                <w:rFonts w:hint="default"/>
                <w:color w:val="auto"/>
              </w:rPr>
            </w:pPr>
          </w:p>
        </w:tc>
      </w:tr>
      <w:tr w14:paraId="25BA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586593D1">
            <w:pPr>
              <w:pStyle w:val="24"/>
              <w:bidi w:val="0"/>
              <w:rPr>
                <w:rFonts w:hint="default"/>
                <w:color w:val="auto"/>
              </w:rPr>
            </w:pPr>
            <w:r>
              <w:rPr>
                <w:rFonts w:hint="default"/>
                <w:color w:val="auto"/>
              </w:rPr>
              <w:t>4</w:t>
            </w:r>
          </w:p>
        </w:tc>
        <w:tc>
          <w:tcPr>
            <w:tcW w:w="2156" w:type="dxa"/>
            <w:noWrap w:val="0"/>
            <w:vAlign w:val="center"/>
          </w:tcPr>
          <w:p w14:paraId="5B6510FA">
            <w:pPr>
              <w:pStyle w:val="24"/>
              <w:bidi w:val="0"/>
              <w:rPr>
                <w:rFonts w:hint="default"/>
                <w:color w:val="auto"/>
              </w:rPr>
            </w:pPr>
            <w:r>
              <w:rPr>
                <w:rFonts w:hint="default"/>
                <w:color w:val="auto"/>
              </w:rPr>
              <w:t>淹溺</w:t>
            </w:r>
          </w:p>
        </w:tc>
        <w:tc>
          <w:tcPr>
            <w:tcW w:w="2213" w:type="dxa"/>
            <w:noWrap w:val="0"/>
            <w:vAlign w:val="center"/>
          </w:tcPr>
          <w:p w14:paraId="42DE59A0">
            <w:pPr>
              <w:pStyle w:val="24"/>
              <w:bidi w:val="0"/>
              <w:rPr>
                <w:rFonts w:hint="default"/>
                <w:color w:val="auto"/>
              </w:rPr>
            </w:pPr>
            <w:r>
              <w:rPr>
                <w:rFonts w:hint="default"/>
                <w:color w:val="auto"/>
              </w:rPr>
              <w:t>90</w:t>
            </w:r>
          </w:p>
        </w:tc>
        <w:tc>
          <w:tcPr>
            <w:tcW w:w="2118" w:type="dxa"/>
            <w:noWrap w:val="0"/>
            <w:vAlign w:val="center"/>
          </w:tcPr>
          <w:p w14:paraId="6D3566AC">
            <w:pPr>
              <w:pStyle w:val="24"/>
              <w:bidi w:val="0"/>
              <w:rPr>
                <w:rFonts w:hint="default"/>
                <w:color w:val="auto"/>
              </w:rPr>
            </w:pPr>
            <w:r>
              <w:rPr>
                <w:rFonts w:hint="default"/>
                <w:color w:val="auto"/>
              </w:rPr>
              <w:t>显著危险</w:t>
            </w:r>
          </w:p>
        </w:tc>
        <w:tc>
          <w:tcPr>
            <w:tcW w:w="1699" w:type="dxa"/>
            <w:noWrap w:val="0"/>
            <w:vAlign w:val="center"/>
          </w:tcPr>
          <w:p w14:paraId="19BC4156">
            <w:pPr>
              <w:pStyle w:val="24"/>
              <w:bidi w:val="0"/>
              <w:rPr>
                <w:rFonts w:hint="default"/>
                <w:color w:val="auto"/>
              </w:rPr>
            </w:pPr>
          </w:p>
        </w:tc>
      </w:tr>
      <w:tr w14:paraId="2816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156CE436">
            <w:pPr>
              <w:pStyle w:val="24"/>
              <w:bidi w:val="0"/>
              <w:rPr>
                <w:rFonts w:hint="default"/>
                <w:color w:val="auto"/>
              </w:rPr>
            </w:pPr>
            <w:r>
              <w:rPr>
                <w:rFonts w:hint="default"/>
                <w:color w:val="auto"/>
              </w:rPr>
              <w:t>5</w:t>
            </w:r>
          </w:p>
        </w:tc>
        <w:tc>
          <w:tcPr>
            <w:tcW w:w="2156" w:type="dxa"/>
            <w:noWrap w:val="0"/>
            <w:vAlign w:val="center"/>
          </w:tcPr>
          <w:p w14:paraId="575CD938">
            <w:pPr>
              <w:pStyle w:val="24"/>
              <w:bidi w:val="0"/>
              <w:rPr>
                <w:rFonts w:hint="default"/>
                <w:color w:val="auto"/>
              </w:rPr>
            </w:pPr>
            <w:r>
              <w:rPr>
                <w:rFonts w:hint="default"/>
                <w:color w:val="auto"/>
              </w:rPr>
              <w:t>车辆伤害</w:t>
            </w:r>
          </w:p>
        </w:tc>
        <w:tc>
          <w:tcPr>
            <w:tcW w:w="2213" w:type="dxa"/>
            <w:noWrap w:val="0"/>
            <w:vAlign w:val="center"/>
          </w:tcPr>
          <w:p w14:paraId="3E8BF000">
            <w:pPr>
              <w:pStyle w:val="24"/>
              <w:bidi w:val="0"/>
              <w:rPr>
                <w:rFonts w:hint="default"/>
                <w:color w:val="auto"/>
              </w:rPr>
            </w:pPr>
            <w:r>
              <w:rPr>
                <w:rFonts w:hint="default"/>
                <w:color w:val="auto"/>
              </w:rPr>
              <w:t>54</w:t>
            </w:r>
          </w:p>
        </w:tc>
        <w:tc>
          <w:tcPr>
            <w:tcW w:w="2118" w:type="dxa"/>
            <w:noWrap w:val="0"/>
            <w:vAlign w:val="center"/>
          </w:tcPr>
          <w:p w14:paraId="09089C8E">
            <w:pPr>
              <w:pStyle w:val="24"/>
              <w:bidi w:val="0"/>
              <w:rPr>
                <w:rFonts w:hint="default"/>
                <w:color w:val="auto"/>
              </w:rPr>
            </w:pPr>
            <w:r>
              <w:rPr>
                <w:rFonts w:hint="default"/>
                <w:color w:val="auto"/>
              </w:rPr>
              <w:t>一般危险</w:t>
            </w:r>
          </w:p>
        </w:tc>
        <w:tc>
          <w:tcPr>
            <w:tcW w:w="1699" w:type="dxa"/>
            <w:noWrap w:val="0"/>
            <w:vAlign w:val="center"/>
          </w:tcPr>
          <w:p w14:paraId="10A9EB0D">
            <w:pPr>
              <w:pStyle w:val="24"/>
              <w:bidi w:val="0"/>
              <w:rPr>
                <w:rFonts w:hint="default"/>
                <w:color w:val="auto"/>
              </w:rPr>
            </w:pPr>
          </w:p>
        </w:tc>
      </w:tr>
      <w:tr w14:paraId="3421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3FF3BF86">
            <w:pPr>
              <w:pStyle w:val="24"/>
              <w:bidi w:val="0"/>
              <w:rPr>
                <w:rFonts w:hint="default"/>
                <w:color w:val="auto"/>
              </w:rPr>
            </w:pPr>
            <w:r>
              <w:rPr>
                <w:rFonts w:hint="default"/>
                <w:color w:val="auto"/>
              </w:rPr>
              <w:t>6</w:t>
            </w:r>
          </w:p>
        </w:tc>
        <w:tc>
          <w:tcPr>
            <w:tcW w:w="2156" w:type="dxa"/>
            <w:noWrap w:val="0"/>
            <w:vAlign w:val="center"/>
          </w:tcPr>
          <w:p w14:paraId="6F6326A8">
            <w:pPr>
              <w:pStyle w:val="24"/>
              <w:bidi w:val="0"/>
              <w:rPr>
                <w:rFonts w:hint="default"/>
                <w:color w:val="auto"/>
              </w:rPr>
            </w:pPr>
            <w:r>
              <w:rPr>
                <w:rFonts w:hint="default"/>
                <w:color w:val="auto"/>
              </w:rPr>
              <w:t>火灾</w:t>
            </w:r>
          </w:p>
        </w:tc>
        <w:tc>
          <w:tcPr>
            <w:tcW w:w="2213" w:type="dxa"/>
            <w:noWrap w:val="0"/>
            <w:vAlign w:val="center"/>
          </w:tcPr>
          <w:p w14:paraId="7C4818B7">
            <w:pPr>
              <w:pStyle w:val="24"/>
              <w:bidi w:val="0"/>
              <w:rPr>
                <w:rFonts w:hint="default"/>
                <w:color w:val="auto"/>
              </w:rPr>
            </w:pPr>
            <w:r>
              <w:rPr>
                <w:rFonts w:hint="default"/>
                <w:color w:val="auto"/>
              </w:rPr>
              <w:t>63</w:t>
            </w:r>
          </w:p>
        </w:tc>
        <w:tc>
          <w:tcPr>
            <w:tcW w:w="2118" w:type="dxa"/>
            <w:noWrap w:val="0"/>
            <w:vAlign w:val="center"/>
          </w:tcPr>
          <w:p w14:paraId="09A566C5">
            <w:pPr>
              <w:pStyle w:val="24"/>
              <w:bidi w:val="0"/>
              <w:rPr>
                <w:rFonts w:hint="default"/>
                <w:color w:val="auto"/>
              </w:rPr>
            </w:pPr>
            <w:r>
              <w:rPr>
                <w:rFonts w:hint="default"/>
                <w:color w:val="auto"/>
              </w:rPr>
              <w:t>一般危险</w:t>
            </w:r>
          </w:p>
        </w:tc>
        <w:tc>
          <w:tcPr>
            <w:tcW w:w="1699" w:type="dxa"/>
            <w:noWrap w:val="0"/>
            <w:vAlign w:val="center"/>
          </w:tcPr>
          <w:p w14:paraId="740A54EF">
            <w:pPr>
              <w:pStyle w:val="24"/>
              <w:bidi w:val="0"/>
              <w:rPr>
                <w:rFonts w:hint="default"/>
                <w:color w:val="auto"/>
              </w:rPr>
            </w:pPr>
          </w:p>
        </w:tc>
      </w:tr>
      <w:tr w14:paraId="5235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7A8A3F0C">
            <w:pPr>
              <w:pStyle w:val="24"/>
              <w:bidi w:val="0"/>
              <w:rPr>
                <w:rFonts w:hint="default"/>
                <w:color w:val="auto"/>
              </w:rPr>
            </w:pPr>
            <w:r>
              <w:rPr>
                <w:rFonts w:hint="default"/>
                <w:color w:val="auto"/>
              </w:rPr>
              <w:t>7</w:t>
            </w:r>
          </w:p>
        </w:tc>
        <w:tc>
          <w:tcPr>
            <w:tcW w:w="2156" w:type="dxa"/>
            <w:noWrap w:val="0"/>
            <w:vAlign w:val="center"/>
          </w:tcPr>
          <w:p w14:paraId="7BF5F75F">
            <w:pPr>
              <w:pStyle w:val="24"/>
              <w:bidi w:val="0"/>
              <w:rPr>
                <w:rFonts w:hint="default"/>
                <w:color w:val="auto"/>
              </w:rPr>
            </w:pPr>
            <w:r>
              <w:rPr>
                <w:rFonts w:hint="default"/>
                <w:color w:val="auto"/>
              </w:rPr>
              <w:t>容器爆炸</w:t>
            </w:r>
          </w:p>
        </w:tc>
        <w:tc>
          <w:tcPr>
            <w:tcW w:w="2213" w:type="dxa"/>
            <w:noWrap w:val="0"/>
            <w:vAlign w:val="center"/>
          </w:tcPr>
          <w:p w14:paraId="49B50C5F">
            <w:pPr>
              <w:pStyle w:val="24"/>
              <w:bidi w:val="0"/>
              <w:rPr>
                <w:rFonts w:hint="default"/>
                <w:color w:val="auto"/>
              </w:rPr>
            </w:pPr>
            <w:r>
              <w:rPr>
                <w:rFonts w:hint="default"/>
                <w:color w:val="auto"/>
              </w:rPr>
              <w:t>21</w:t>
            </w:r>
          </w:p>
        </w:tc>
        <w:tc>
          <w:tcPr>
            <w:tcW w:w="2118" w:type="dxa"/>
            <w:noWrap w:val="0"/>
            <w:vAlign w:val="center"/>
          </w:tcPr>
          <w:p w14:paraId="5FE47E9E">
            <w:pPr>
              <w:pStyle w:val="24"/>
              <w:bidi w:val="0"/>
              <w:rPr>
                <w:rFonts w:hint="default"/>
                <w:color w:val="auto"/>
              </w:rPr>
            </w:pPr>
            <w:r>
              <w:rPr>
                <w:rFonts w:hint="default"/>
                <w:color w:val="auto"/>
              </w:rPr>
              <w:t>一般危险</w:t>
            </w:r>
          </w:p>
        </w:tc>
        <w:tc>
          <w:tcPr>
            <w:tcW w:w="1699" w:type="dxa"/>
            <w:noWrap w:val="0"/>
            <w:vAlign w:val="center"/>
          </w:tcPr>
          <w:p w14:paraId="6CF9213C">
            <w:pPr>
              <w:pStyle w:val="24"/>
              <w:bidi w:val="0"/>
              <w:rPr>
                <w:rFonts w:hint="default"/>
                <w:color w:val="auto"/>
              </w:rPr>
            </w:pPr>
          </w:p>
        </w:tc>
      </w:tr>
      <w:tr w14:paraId="1E0B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2817FBA3">
            <w:pPr>
              <w:pStyle w:val="24"/>
              <w:bidi w:val="0"/>
              <w:rPr>
                <w:rFonts w:hint="default"/>
                <w:color w:val="auto"/>
              </w:rPr>
            </w:pPr>
            <w:r>
              <w:rPr>
                <w:rFonts w:hint="default"/>
                <w:color w:val="auto"/>
              </w:rPr>
              <w:t>8</w:t>
            </w:r>
          </w:p>
        </w:tc>
        <w:tc>
          <w:tcPr>
            <w:tcW w:w="2156" w:type="dxa"/>
            <w:noWrap w:val="0"/>
            <w:vAlign w:val="center"/>
          </w:tcPr>
          <w:p w14:paraId="4AF7E124">
            <w:pPr>
              <w:pStyle w:val="24"/>
              <w:bidi w:val="0"/>
              <w:rPr>
                <w:rFonts w:hint="default"/>
                <w:color w:val="auto"/>
              </w:rPr>
            </w:pPr>
            <w:r>
              <w:rPr>
                <w:rFonts w:hint="default"/>
                <w:color w:val="auto"/>
              </w:rPr>
              <w:t>坍塌、滑坡</w:t>
            </w:r>
          </w:p>
        </w:tc>
        <w:tc>
          <w:tcPr>
            <w:tcW w:w="2213" w:type="dxa"/>
            <w:noWrap w:val="0"/>
            <w:vAlign w:val="center"/>
          </w:tcPr>
          <w:p w14:paraId="3147BA0B">
            <w:pPr>
              <w:pStyle w:val="24"/>
              <w:bidi w:val="0"/>
              <w:rPr>
                <w:rFonts w:hint="default"/>
                <w:color w:val="auto"/>
              </w:rPr>
            </w:pPr>
            <w:r>
              <w:rPr>
                <w:rFonts w:hint="default"/>
                <w:color w:val="auto"/>
              </w:rPr>
              <w:t>126</w:t>
            </w:r>
          </w:p>
        </w:tc>
        <w:tc>
          <w:tcPr>
            <w:tcW w:w="2118" w:type="dxa"/>
            <w:noWrap w:val="0"/>
            <w:vAlign w:val="center"/>
          </w:tcPr>
          <w:p w14:paraId="631353E2">
            <w:pPr>
              <w:pStyle w:val="24"/>
              <w:bidi w:val="0"/>
              <w:rPr>
                <w:rFonts w:hint="default"/>
                <w:color w:val="auto"/>
              </w:rPr>
            </w:pPr>
            <w:r>
              <w:rPr>
                <w:rFonts w:hint="default"/>
                <w:color w:val="auto"/>
              </w:rPr>
              <w:t>显著危险</w:t>
            </w:r>
          </w:p>
        </w:tc>
        <w:tc>
          <w:tcPr>
            <w:tcW w:w="1699" w:type="dxa"/>
            <w:noWrap w:val="0"/>
            <w:vAlign w:val="center"/>
          </w:tcPr>
          <w:p w14:paraId="42C9272D">
            <w:pPr>
              <w:pStyle w:val="24"/>
              <w:bidi w:val="0"/>
              <w:rPr>
                <w:rFonts w:hint="default"/>
                <w:color w:val="auto"/>
              </w:rPr>
            </w:pPr>
          </w:p>
        </w:tc>
      </w:tr>
      <w:tr w14:paraId="1899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0C2C3FD2">
            <w:pPr>
              <w:pStyle w:val="24"/>
              <w:bidi w:val="0"/>
              <w:rPr>
                <w:rFonts w:hint="eastAsia" w:eastAsia="宋体"/>
                <w:color w:val="auto"/>
                <w:lang w:eastAsia="zh-CN"/>
              </w:rPr>
            </w:pPr>
            <w:r>
              <w:rPr>
                <w:rFonts w:hint="eastAsia"/>
                <w:color w:val="auto"/>
                <w:lang w:val="en-US" w:eastAsia="zh-CN"/>
              </w:rPr>
              <w:t>9</w:t>
            </w:r>
          </w:p>
        </w:tc>
        <w:tc>
          <w:tcPr>
            <w:tcW w:w="2156" w:type="dxa"/>
            <w:noWrap w:val="0"/>
            <w:vAlign w:val="center"/>
          </w:tcPr>
          <w:p w14:paraId="78AF93E9">
            <w:pPr>
              <w:pStyle w:val="24"/>
              <w:bidi w:val="0"/>
              <w:rPr>
                <w:rFonts w:hint="default"/>
                <w:color w:val="auto"/>
              </w:rPr>
            </w:pPr>
            <w:r>
              <w:rPr>
                <w:rFonts w:hint="default"/>
                <w:color w:val="auto"/>
              </w:rPr>
              <w:t>高处坠落</w:t>
            </w:r>
          </w:p>
        </w:tc>
        <w:tc>
          <w:tcPr>
            <w:tcW w:w="2213" w:type="dxa"/>
            <w:noWrap w:val="0"/>
            <w:vAlign w:val="center"/>
          </w:tcPr>
          <w:p w14:paraId="269D96CE">
            <w:pPr>
              <w:pStyle w:val="24"/>
              <w:bidi w:val="0"/>
              <w:rPr>
                <w:rFonts w:hint="default"/>
                <w:color w:val="auto"/>
              </w:rPr>
            </w:pPr>
            <w:r>
              <w:rPr>
                <w:rFonts w:hint="default"/>
                <w:color w:val="auto"/>
              </w:rPr>
              <w:t>126</w:t>
            </w:r>
          </w:p>
        </w:tc>
        <w:tc>
          <w:tcPr>
            <w:tcW w:w="2118" w:type="dxa"/>
            <w:noWrap w:val="0"/>
            <w:vAlign w:val="center"/>
          </w:tcPr>
          <w:p w14:paraId="7A852965">
            <w:pPr>
              <w:pStyle w:val="24"/>
              <w:bidi w:val="0"/>
              <w:rPr>
                <w:rFonts w:hint="default"/>
                <w:color w:val="auto"/>
              </w:rPr>
            </w:pPr>
            <w:r>
              <w:rPr>
                <w:rFonts w:hint="default"/>
                <w:color w:val="auto"/>
              </w:rPr>
              <w:t>显著危险</w:t>
            </w:r>
          </w:p>
        </w:tc>
        <w:tc>
          <w:tcPr>
            <w:tcW w:w="1699" w:type="dxa"/>
            <w:noWrap w:val="0"/>
            <w:vAlign w:val="center"/>
          </w:tcPr>
          <w:p w14:paraId="0153A495">
            <w:pPr>
              <w:pStyle w:val="24"/>
              <w:bidi w:val="0"/>
              <w:rPr>
                <w:rFonts w:hint="default"/>
                <w:color w:val="auto"/>
              </w:rPr>
            </w:pPr>
          </w:p>
        </w:tc>
      </w:tr>
      <w:tr w14:paraId="507C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1C2DC80E">
            <w:pPr>
              <w:pStyle w:val="24"/>
              <w:bidi w:val="0"/>
              <w:rPr>
                <w:rFonts w:hint="eastAsia" w:eastAsia="宋体"/>
                <w:color w:val="auto"/>
                <w:lang w:eastAsia="zh-CN"/>
              </w:rPr>
            </w:pPr>
            <w:r>
              <w:rPr>
                <w:rFonts w:hint="default"/>
                <w:color w:val="auto"/>
              </w:rPr>
              <w:t>1</w:t>
            </w:r>
            <w:r>
              <w:rPr>
                <w:rFonts w:hint="eastAsia"/>
                <w:color w:val="auto"/>
                <w:lang w:val="en-US" w:eastAsia="zh-CN"/>
              </w:rPr>
              <w:t>0</w:t>
            </w:r>
          </w:p>
        </w:tc>
        <w:tc>
          <w:tcPr>
            <w:tcW w:w="2156" w:type="dxa"/>
            <w:noWrap w:val="0"/>
            <w:vAlign w:val="center"/>
          </w:tcPr>
          <w:p w14:paraId="17078834">
            <w:pPr>
              <w:pStyle w:val="24"/>
              <w:bidi w:val="0"/>
              <w:rPr>
                <w:rFonts w:hint="default"/>
                <w:color w:val="auto"/>
              </w:rPr>
            </w:pPr>
            <w:r>
              <w:rPr>
                <w:rFonts w:hint="default"/>
                <w:color w:val="auto"/>
              </w:rPr>
              <w:t>中毒和窒息</w:t>
            </w:r>
          </w:p>
        </w:tc>
        <w:tc>
          <w:tcPr>
            <w:tcW w:w="2213" w:type="dxa"/>
            <w:noWrap w:val="0"/>
            <w:vAlign w:val="center"/>
          </w:tcPr>
          <w:p w14:paraId="7C3C07D7">
            <w:pPr>
              <w:pStyle w:val="24"/>
              <w:bidi w:val="0"/>
              <w:rPr>
                <w:rFonts w:hint="default"/>
                <w:color w:val="auto"/>
              </w:rPr>
            </w:pPr>
            <w:r>
              <w:rPr>
                <w:rFonts w:hint="default"/>
                <w:color w:val="auto"/>
              </w:rPr>
              <w:t>45</w:t>
            </w:r>
          </w:p>
        </w:tc>
        <w:tc>
          <w:tcPr>
            <w:tcW w:w="2118" w:type="dxa"/>
            <w:noWrap w:val="0"/>
            <w:vAlign w:val="center"/>
          </w:tcPr>
          <w:p w14:paraId="6514D62E">
            <w:pPr>
              <w:pStyle w:val="24"/>
              <w:bidi w:val="0"/>
              <w:rPr>
                <w:rFonts w:hint="default"/>
                <w:color w:val="auto"/>
              </w:rPr>
            </w:pPr>
            <w:r>
              <w:rPr>
                <w:rFonts w:hint="default"/>
                <w:color w:val="auto"/>
              </w:rPr>
              <w:t>一般危险</w:t>
            </w:r>
          </w:p>
        </w:tc>
        <w:tc>
          <w:tcPr>
            <w:tcW w:w="1699" w:type="dxa"/>
            <w:noWrap w:val="0"/>
            <w:vAlign w:val="center"/>
          </w:tcPr>
          <w:p w14:paraId="646F0B11">
            <w:pPr>
              <w:pStyle w:val="24"/>
              <w:bidi w:val="0"/>
              <w:rPr>
                <w:rFonts w:hint="default"/>
                <w:color w:val="auto"/>
              </w:rPr>
            </w:pPr>
          </w:p>
        </w:tc>
      </w:tr>
      <w:tr w14:paraId="6211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noWrap w:val="0"/>
            <w:vAlign w:val="center"/>
          </w:tcPr>
          <w:p w14:paraId="78CD065D">
            <w:pPr>
              <w:pStyle w:val="24"/>
              <w:bidi w:val="0"/>
              <w:rPr>
                <w:rFonts w:hint="eastAsia" w:eastAsia="宋体"/>
                <w:color w:val="auto"/>
                <w:lang w:eastAsia="zh-CN"/>
              </w:rPr>
            </w:pPr>
            <w:r>
              <w:rPr>
                <w:rFonts w:hint="default"/>
                <w:color w:val="auto"/>
              </w:rPr>
              <w:t>1</w:t>
            </w:r>
            <w:r>
              <w:rPr>
                <w:rFonts w:hint="eastAsia"/>
                <w:color w:val="auto"/>
                <w:lang w:val="en-US" w:eastAsia="zh-CN"/>
              </w:rPr>
              <w:t>1</w:t>
            </w:r>
          </w:p>
        </w:tc>
        <w:tc>
          <w:tcPr>
            <w:tcW w:w="2156" w:type="dxa"/>
            <w:noWrap w:val="0"/>
            <w:vAlign w:val="center"/>
          </w:tcPr>
          <w:p w14:paraId="78D621D4">
            <w:pPr>
              <w:pStyle w:val="24"/>
              <w:bidi w:val="0"/>
              <w:rPr>
                <w:rFonts w:hint="default"/>
                <w:color w:val="auto"/>
              </w:rPr>
            </w:pPr>
            <w:r>
              <w:rPr>
                <w:rFonts w:hint="default"/>
                <w:color w:val="auto"/>
              </w:rPr>
              <w:t>其他伤害</w:t>
            </w:r>
          </w:p>
        </w:tc>
        <w:tc>
          <w:tcPr>
            <w:tcW w:w="2213" w:type="dxa"/>
            <w:noWrap w:val="0"/>
            <w:vAlign w:val="center"/>
          </w:tcPr>
          <w:p w14:paraId="2C2D3643">
            <w:pPr>
              <w:pStyle w:val="24"/>
              <w:bidi w:val="0"/>
              <w:rPr>
                <w:rFonts w:hint="default"/>
                <w:color w:val="auto"/>
              </w:rPr>
            </w:pPr>
            <w:r>
              <w:rPr>
                <w:rFonts w:hint="default"/>
                <w:color w:val="auto"/>
              </w:rPr>
              <w:t>18</w:t>
            </w:r>
          </w:p>
        </w:tc>
        <w:tc>
          <w:tcPr>
            <w:tcW w:w="2118" w:type="dxa"/>
            <w:noWrap w:val="0"/>
            <w:vAlign w:val="center"/>
          </w:tcPr>
          <w:p w14:paraId="4B574921">
            <w:pPr>
              <w:pStyle w:val="24"/>
              <w:bidi w:val="0"/>
              <w:rPr>
                <w:rFonts w:hint="default"/>
                <w:color w:val="auto"/>
              </w:rPr>
            </w:pPr>
            <w:r>
              <w:rPr>
                <w:rFonts w:hint="default"/>
                <w:color w:val="auto"/>
              </w:rPr>
              <w:t>稍有危险</w:t>
            </w:r>
          </w:p>
        </w:tc>
        <w:tc>
          <w:tcPr>
            <w:tcW w:w="1699" w:type="dxa"/>
            <w:noWrap w:val="0"/>
            <w:vAlign w:val="center"/>
          </w:tcPr>
          <w:p w14:paraId="1E020DB7">
            <w:pPr>
              <w:pStyle w:val="24"/>
              <w:bidi w:val="0"/>
              <w:rPr>
                <w:rFonts w:hint="default"/>
                <w:color w:val="auto"/>
              </w:rPr>
            </w:pPr>
          </w:p>
        </w:tc>
      </w:tr>
    </w:tbl>
    <w:p w14:paraId="3EEA7404">
      <w:pPr>
        <w:pStyle w:val="4"/>
        <w:bidi w:val="0"/>
        <w:rPr>
          <w:rFonts w:hint="eastAsia"/>
          <w:color w:val="auto"/>
        </w:rPr>
      </w:pPr>
      <w:bookmarkStart w:id="194" w:name="_Toc12353"/>
      <w:bookmarkStart w:id="195" w:name="_Toc7308"/>
      <w:r>
        <w:rPr>
          <w:rFonts w:hint="eastAsia"/>
          <w:color w:val="auto"/>
        </w:rPr>
        <w:t>5.7.4</w:t>
      </w:r>
      <w:r>
        <w:rPr>
          <w:rFonts w:hint="eastAsia"/>
          <w:color w:val="auto"/>
          <w:lang w:val="en-US" w:eastAsia="zh-CN"/>
        </w:rPr>
        <w:t xml:space="preserve"> </w:t>
      </w:r>
      <w:r>
        <w:rPr>
          <w:rFonts w:hint="eastAsia"/>
          <w:color w:val="auto"/>
        </w:rPr>
        <w:t>单元小结</w:t>
      </w:r>
      <w:bookmarkEnd w:id="194"/>
      <w:bookmarkEnd w:id="195"/>
    </w:p>
    <w:p w14:paraId="6090EE91">
      <w:pPr>
        <w:bidi w:val="0"/>
        <w:rPr>
          <w:rFonts w:hint="eastAsia"/>
          <w:color w:val="auto"/>
        </w:rPr>
      </w:pPr>
      <w:r>
        <w:rPr>
          <w:rFonts w:hint="eastAsia"/>
          <w:color w:val="auto"/>
        </w:rPr>
        <w:t>通过作业条件危险性评价法（LEC）对该项目存在的危险危害因素进行危险性程度分析评价，项目存在显著危险的有：高处坠落、触电、淹溺、坍塌、滑坡，一般危险的有：机械伤害、物体打击、车辆伤害、火灾、容器爆炸、中毒和窒息；稍有危险的有：其他伤害。企业已建立安全生产管理制度、岗位操作规程，并编制了生产安全事故应急预案，项目危险性程度在可控范围内。</w:t>
      </w:r>
    </w:p>
    <w:p w14:paraId="78CF2D9F">
      <w:pPr>
        <w:pStyle w:val="3"/>
        <w:bidi w:val="0"/>
        <w:rPr>
          <w:rFonts w:hint="eastAsia"/>
          <w:color w:val="auto"/>
        </w:rPr>
      </w:pPr>
      <w:bookmarkStart w:id="196" w:name="_Toc12044"/>
      <w:bookmarkStart w:id="197" w:name="_Toc15828"/>
      <w:r>
        <w:rPr>
          <w:rFonts w:hint="eastAsia"/>
          <w:color w:val="auto"/>
          <w:lang w:val="en-US" w:eastAsia="zh-CN"/>
        </w:rPr>
        <w:t xml:space="preserve">5.8 </w:t>
      </w:r>
      <w:r>
        <w:rPr>
          <w:rFonts w:hint="eastAsia"/>
          <w:color w:val="auto"/>
        </w:rPr>
        <w:t>重大生产安全事故隐患判定单元</w:t>
      </w:r>
      <w:bookmarkEnd w:id="196"/>
      <w:bookmarkEnd w:id="197"/>
    </w:p>
    <w:p w14:paraId="5A7421AB">
      <w:pPr>
        <w:bidi w:val="0"/>
        <w:rPr>
          <w:rFonts w:hint="eastAsia"/>
          <w:color w:val="auto"/>
        </w:rPr>
      </w:pPr>
      <w:r>
        <w:rPr>
          <w:rFonts w:hint="eastAsia"/>
          <w:color w:val="auto"/>
        </w:rPr>
        <w:t>参照《工贸企业重大事故隐患判定标准》（中华人民共和国应急管理部令第10号），对照相关内容逐条进行检查，判定该项目是否存在重大生产安全事故隐患，检查结果见下表。</w:t>
      </w:r>
    </w:p>
    <w:p w14:paraId="64874BAE">
      <w:pPr>
        <w:pStyle w:val="23"/>
        <w:bidi w:val="0"/>
        <w:rPr>
          <w:rFonts w:hint="eastAsia"/>
          <w:color w:val="auto"/>
        </w:rPr>
      </w:pPr>
      <w:r>
        <w:rPr>
          <w:rFonts w:hint="eastAsia"/>
          <w:color w:val="auto"/>
        </w:rPr>
        <w:t>表5.8-1</w:t>
      </w:r>
      <w:r>
        <w:rPr>
          <w:rFonts w:hint="eastAsia"/>
          <w:color w:val="auto"/>
          <w:lang w:val="en-US" w:eastAsia="zh-CN"/>
        </w:rPr>
        <w:t xml:space="preserve"> </w:t>
      </w:r>
      <w:r>
        <w:rPr>
          <w:rFonts w:hint="eastAsia"/>
          <w:color w:val="auto"/>
        </w:rPr>
        <w:t>重大生产安全事故隐患判定表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3224"/>
        <w:gridCol w:w="2964"/>
        <w:gridCol w:w="1456"/>
        <w:gridCol w:w="1029"/>
      </w:tblGrid>
      <w:tr w14:paraId="4629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87" w:type="pct"/>
            <w:noWrap w:val="0"/>
            <w:vAlign w:val="center"/>
          </w:tcPr>
          <w:p w14:paraId="651C0255">
            <w:pPr>
              <w:pStyle w:val="24"/>
              <w:bidi w:val="0"/>
              <w:rPr>
                <w:b/>
                <w:bCs/>
                <w:color w:val="auto"/>
              </w:rPr>
            </w:pPr>
            <w:r>
              <w:rPr>
                <w:b/>
                <w:bCs/>
                <w:color w:val="auto"/>
              </w:rPr>
              <w:t>序号</w:t>
            </w:r>
          </w:p>
        </w:tc>
        <w:tc>
          <w:tcPr>
            <w:tcW w:w="1714" w:type="pct"/>
            <w:noWrap w:val="0"/>
            <w:vAlign w:val="center"/>
          </w:tcPr>
          <w:p w14:paraId="1F720AFC">
            <w:pPr>
              <w:pStyle w:val="24"/>
              <w:bidi w:val="0"/>
              <w:rPr>
                <w:b/>
                <w:bCs/>
                <w:color w:val="auto"/>
              </w:rPr>
            </w:pPr>
            <w:r>
              <w:rPr>
                <w:b/>
                <w:bCs/>
                <w:color w:val="auto"/>
              </w:rPr>
              <w:t>检查内容</w:t>
            </w:r>
          </w:p>
        </w:tc>
        <w:tc>
          <w:tcPr>
            <w:tcW w:w="1576" w:type="pct"/>
            <w:noWrap w:val="0"/>
            <w:vAlign w:val="center"/>
          </w:tcPr>
          <w:p w14:paraId="5EF69408">
            <w:pPr>
              <w:pStyle w:val="24"/>
              <w:bidi w:val="0"/>
              <w:rPr>
                <w:b/>
                <w:bCs/>
                <w:color w:val="auto"/>
              </w:rPr>
            </w:pPr>
            <w:r>
              <w:rPr>
                <w:b/>
                <w:bCs/>
                <w:color w:val="auto"/>
              </w:rPr>
              <w:t>依据标准</w:t>
            </w:r>
          </w:p>
        </w:tc>
        <w:tc>
          <w:tcPr>
            <w:tcW w:w="774" w:type="pct"/>
            <w:noWrap w:val="0"/>
            <w:vAlign w:val="center"/>
          </w:tcPr>
          <w:p w14:paraId="6216BA55">
            <w:pPr>
              <w:pStyle w:val="24"/>
              <w:bidi w:val="0"/>
              <w:rPr>
                <w:b/>
                <w:bCs/>
                <w:color w:val="auto"/>
              </w:rPr>
            </w:pPr>
            <w:r>
              <w:rPr>
                <w:b/>
                <w:bCs/>
                <w:color w:val="auto"/>
              </w:rPr>
              <w:t>检查记录</w:t>
            </w:r>
          </w:p>
        </w:tc>
        <w:tc>
          <w:tcPr>
            <w:tcW w:w="547" w:type="pct"/>
            <w:noWrap w:val="0"/>
            <w:vAlign w:val="center"/>
          </w:tcPr>
          <w:p w14:paraId="02E80A5E">
            <w:pPr>
              <w:pStyle w:val="24"/>
              <w:bidi w:val="0"/>
              <w:rPr>
                <w:b/>
                <w:bCs/>
                <w:color w:val="auto"/>
              </w:rPr>
            </w:pPr>
            <w:r>
              <w:rPr>
                <w:b/>
                <w:bCs/>
                <w:color w:val="auto"/>
              </w:rPr>
              <w:t>结论</w:t>
            </w:r>
          </w:p>
        </w:tc>
      </w:tr>
      <w:tr w14:paraId="67B8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7" w:type="pct"/>
            <w:noWrap w:val="0"/>
            <w:vAlign w:val="center"/>
          </w:tcPr>
          <w:p w14:paraId="511320A0">
            <w:pPr>
              <w:pStyle w:val="24"/>
              <w:bidi w:val="0"/>
              <w:rPr>
                <w:rFonts w:hint="eastAsia"/>
                <w:color w:val="auto"/>
                <w:lang w:val="en-US" w:eastAsia="zh-CN"/>
              </w:rPr>
            </w:pPr>
            <w:r>
              <w:rPr>
                <w:rFonts w:hint="eastAsia"/>
                <w:color w:val="auto"/>
                <w:lang w:val="en-US" w:eastAsia="zh-CN"/>
              </w:rPr>
              <w:t>1</w:t>
            </w:r>
          </w:p>
        </w:tc>
        <w:tc>
          <w:tcPr>
            <w:tcW w:w="1714" w:type="pct"/>
            <w:noWrap w:val="0"/>
            <w:vAlign w:val="center"/>
          </w:tcPr>
          <w:p w14:paraId="388B7D3A">
            <w:pPr>
              <w:pStyle w:val="24"/>
              <w:bidi w:val="0"/>
              <w:rPr>
                <w:rFonts w:hint="default"/>
                <w:color w:val="auto"/>
              </w:rPr>
            </w:pPr>
            <w:r>
              <w:rPr>
                <w:rFonts w:hint="default"/>
                <w:color w:val="auto"/>
              </w:rPr>
              <w:t>未对承包单位、承租单位的安全生产工作统一协调、管理，或者未定期进行安全检查的。</w:t>
            </w:r>
          </w:p>
        </w:tc>
        <w:tc>
          <w:tcPr>
            <w:tcW w:w="1576" w:type="pct"/>
            <w:noWrap w:val="0"/>
            <w:vAlign w:val="center"/>
          </w:tcPr>
          <w:p w14:paraId="1A4AB31A">
            <w:pPr>
              <w:pStyle w:val="24"/>
              <w:bidi w:val="0"/>
              <w:rPr>
                <w:rFonts w:hint="default"/>
                <w:color w:val="auto"/>
              </w:rPr>
            </w:pPr>
            <w:r>
              <w:rPr>
                <w:rFonts w:hint="default"/>
                <w:color w:val="auto"/>
              </w:rPr>
              <w:t>《工贸企业重大事故隐患判定标准》（中华人民共和国应急管理部令第10号）</w:t>
            </w:r>
          </w:p>
          <w:p w14:paraId="47D5D8A0">
            <w:pPr>
              <w:pStyle w:val="24"/>
              <w:bidi w:val="0"/>
              <w:rPr>
                <w:rFonts w:hint="default"/>
                <w:color w:val="auto"/>
              </w:rPr>
            </w:pPr>
            <w:r>
              <w:rPr>
                <w:rFonts w:hint="default"/>
                <w:color w:val="auto"/>
              </w:rPr>
              <w:t>第三条（一）</w:t>
            </w:r>
          </w:p>
        </w:tc>
        <w:tc>
          <w:tcPr>
            <w:tcW w:w="774" w:type="pct"/>
            <w:noWrap w:val="0"/>
            <w:vAlign w:val="center"/>
          </w:tcPr>
          <w:p w14:paraId="333AB73E">
            <w:pPr>
              <w:pStyle w:val="24"/>
              <w:bidi w:val="0"/>
              <w:rPr>
                <w:rFonts w:hint="default"/>
                <w:color w:val="auto"/>
                <w:lang w:val="en-US" w:eastAsia="zh-CN"/>
              </w:rPr>
            </w:pPr>
            <w:r>
              <w:rPr>
                <w:rFonts w:hint="eastAsia"/>
                <w:color w:val="auto"/>
                <w:lang w:val="en-US" w:eastAsia="zh-CN"/>
              </w:rPr>
              <w:t>企业对承包单位进行统一协调、管理。</w:t>
            </w:r>
          </w:p>
        </w:tc>
        <w:tc>
          <w:tcPr>
            <w:tcW w:w="547" w:type="pct"/>
            <w:noWrap w:val="0"/>
            <w:vAlign w:val="center"/>
          </w:tcPr>
          <w:p w14:paraId="5B3DFD3D">
            <w:pPr>
              <w:pStyle w:val="24"/>
              <w:bidi w:val="0"/>
              <w:rPr>
                <w:rFonts w:hint="default"/>
                <w:color w:val="auto"/>
              </w:rPr>
            </w:pPr>
            <w:r>
              <w:rPr>
                <w:rFonts w:hint="default"/>
                <w:color w:val="auto"/>
              </w:rPr>
              <w:t>符合</w:t>
            </w:r>
          </w:p>
        </w:tc>
      </w:tr>
      <w:tr w14:paraId="73E6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7" w:type="pct"/>
            <w:noWrap w:val="0"/>
            <w:vAlign w:val="center"/>
          </w:tcPr>
          <w:p w14:paraId="085F4844">
            <w:pPr>
              <w:pStyle w:val="24"/>
              <w:bidi w:val="0"/>
              <w:rPr>
                <w:rFonts w:hint="eastAsia"/>
                <w:color w:val="auto"/>
                <w:lang w:val="en-US" w:eastAsia="zh-CN"/>
              </w:rPr>
            </w:pPr>
            <w:r>
              <w:rPr>
                <w:rFonts w:hint="eastAsia"/>
                <w:color w:val="auto"/>
                <w:lang w:val="en-US" w:eastAsia="zh-CN"/>
              </w:rPr>
              <w:t>2</w:t>
            </w:r>
          </w:p>
        </w:tc>
        <w:tc>
          <w:tcPr>
            <w:tcW w:w="1714" w:type="pct"/>
            <w:noWrap w:val="0"/>
            <w:vAlign w:val="center"/>
          </w:tcPr>
          <w:p w14:paraId="623A753A">
            <w:pPr>
              <w:pStyle w:val="24"/>
              <w:bidi w:val="0"/>
              <w:rPr>
                <w:rFonts w:hint="default"/>
                <w:color w:val="auto"/>
              </w:rPr>
            </w:pPr>
            <w:r>
              <w:rPr>
                <w:rFonts w:hint="default"/>
                <w:color w:val="auto"/>
              </w:rPr>
              <w:t>特种作业人员未按照规定经专门的安全作业培训并取得相应资格，上岗作业的。</w:t>
            </w:r>
          </w:p>
        </w:tc>
        <w:tc>
          <w:tcPr>
            <w:tcW w:w="1576" w:type="pct"/>
            <w:noWrap w:val="0"/>
            <w:vAlign w:val="center"/>
          </w:tcPr>
          <w:p w14:paraId="7E80B8F2">
            <w:pPr>
              <w:pStyle w:val="24"/>
              <w:bidi w:val="0"/>
              <w:rPr>
                <w:rFonts w:hint="default"/>
                <w:color w:val="auto"/>
              </w:rPr>
            </w:pPr>
            <w:r>
              <w:rPr>
                <w:rFonts w:hint="default"/>
                <w:color w:val="auto"/>
              </w:rPr>
              <w:t>《工贸企业重大事故隐患判定标准》（中华人民共和国应急管理部令第10号）</w:t>
            </w:r>
          </w:p>
          <w:p w14:paraId="6A939A78">
            <w:pPr>
              <w:pStyle w:val="24"/>
              <w:bidi w:val="0"/>
              <w:rPr>
                <w:rFonts w:hint="default"/>
                <w:color w:val="auto"/>
              </w:rPr>
            </w:pPr>
            <w:r>
              <w:rPr>
                <w:rFonts w:hint="default"/>
                <w:color w:val="auto"/>
              </w:rPr>
              <w:t>第三条（二）</w:t>
            </w:r>
          </w:p>
        </w:tc>
        <w:tc>
          <w:tcPr>
            <w:tcW w:w="774" w:type="pct"/>
            <w:noWrap w:val="0"/>
            <w:vAlign w:val="center"/>
          </w:tcPr>
          <w:p w14:paraId="5A0B55EB">
            <w:pPr>
              <w:pStyle w:val="24"/>
              <w:bidi w:val="0"/>
              <w:rPr>
                <w:rFonts w:hint="default"/>
                <w:color w:val="auto"/>
              </w:rPr>
            </w:pPr>
            <w:r>
              <w:rPr>
                <w:rFonts w:hint="default"/>
                <w:color w:val="auto"/>
              </w:rPr>
              <w:t>电工等特种作业人员已按照规定经专门的安全作业培训并取得相应资格，持证上岗。</w:t>
            </w:r>
          </w:p>
        </w:tc>
        <w:tc>
          <w:tcPr>
            <w:tcW w:w="547" w:type="pct"/>
            <w:noWrap w:val="0"/>
            <w:vAlign w:val="center"/>
          </w:tcPr>
          <w:p w14:paraId="3C2D4F05">
            <w:pPr>
              <w:pStyle w:val="24"/>
              <w:bidi w:val="0"/>
              <w:rPr>
                <w:rFonts w:hint="default"/>
                <w:color w:val="auto"/>
              </w:rPr>
            </w:pPr>
            <w:r>
              <w:rPr>
                <w:rFonts w:hint="default"/>
                <w:color w:val="auto"/>
              </w:rPr>
              <w:t>符合</w:t>
            </w:r>
          </w:p>
        </w:tc>
      </w:tr>
      <w:tr w14:paraId="474B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7" w:type="pct"/>
            <w:noWrap w:val="0"/>
            <w:vAlign w:val="center"/>
          </w:tcPr>
          <w:p w14:paraId="22358BB1">
            <w:pPr>
              <w:pStyle w:val="24"/>
              <w:bidi w:val="0"/>
              <w:rPr>
                <w:rFonts w:hint="eastAsia"/>
                <w:color w:val="auto"/>
                <w:lang w:val="en-US" w:eastAsia="zh-CN"/>
              </w:rPr>
            </w:pPr>
            <w:r>
              <w:rPr>
                <w:rFonts w:hint="eastAsia"/>
                <w:color w:val="auto"/>
                <w:lang w:val="en-US" w:eastAsia="zh-CN"/>
              </w:rPr>
              <w:t>3</w:t>
            </w:r>
          </w:p>
        </w:tc>
        <w:tc>
          <w:tcPr>
            <w:tcW w:w="1714" w:type="pct"/>
            <w:noWrap w:val="0"/>
            <w:vAlign w:val="center"/>
          </w:tcPr>
          <w:p w14:paraId="3947EB40">
            <w:pPr>
              <w:pStyle w:val="24"/>
              <w:bidi w:val="0"/>
              <w:rPr>
                <w:rFonts w:hint="default"/>
                <w:color w:val="auto"/>
              </w:rPr>
            </w:pPr>
            <w:r>
              <w:rPr>
                <w:rFonts w:hint="default"/>
                <w:color w:val="auto"/>
              </w:rPr>
              <w:t>未对有限空间进行辨识、建立安全管理台账，并且未设置明显的安全警示标志的；</w:t>
            </w:r>
          </w:p>
        </w:tc>
        <w:tc>
          <w:tcPr>
            <w:tcW w:w="1576" w:type="pct"/>
            <w:noWrap w:val="0"/>
            <w:vAlign w:val="center"/>
          </w:tcPr>
          <w:p w14:paraId="7E86410C">
            <w:pPr>
              <w:pStyle w:val="24"/>
              <w:bidi w:val="0"/>
              <w:rPr>
                <w:rFonts w:hint="default"/>
                <w:color w:val="auto"/>
              </w:rPr>
            </w:pPr>
            <w:r>
              <w:rPr>
                <w:rFonts w:hint="default"/>
                <w:color w:val="auto"/>
              </w:rPr>
              <w:t>《工贸企业重大事故隐患判定标准》（中华人民共和国应急管理部令第10号）</w:t>
            </w:r>
          </w:p>
          <w:p w14:paraId="5FC23BA6">
            <w:pPr>
              <w:pStyle w:val="24"/>
              <w:bidi w:val="0"/>
              <w:rPr>
                <w:rFonts w:hint="default"/>
                <w:color w:val="auto"/>
              </w:rPr>
            </w:pPr>
            <w:r>
              <w:rPr>
                <w:rFonts w:hint="default"/>
                <w:color w:val="auto"/>
              </w:rPr>
              <w:t>第十三条（一）</w:t>
            </w:r>
          </w:p>
        </w:tc>
        <w:tc>
          <w:tcPr>
            <w:tcW w:w="774" w:type="pct"/>
            <w:noWrap w:val="0"/>
            <w:vAlign w:val="center"/>
          </w:tcPr>
          <w:p w14:paraId="33A8CE1A">
            <w:pPr>
              <w:pStyle w:val="24"/>
              <w:bidi w:val="0"/>
              <w:rPr>
                <w:rFonts w:hint="default"/>
                <w:color w:val="auto"/>
              </w:rPr>
            </w:pPr>
            <w:r>
              <w:rPr>
                <w:rFonts w:hint="default"/>
                <w:color w:val="auto"/>
              </w:rPr>
              <w:t>已对有限空间进行辨识，建立了安全管理台账，并在有限空间部位设置了明显的安全警示标志。</w:t>
            </w:r>
          </w:p>
        </w:tc>
        <w:tc>
          <w:tcPr>
            <w:tcW w:w="547" w:type="pct"/>
            <w:noWrap w:val="0"/>
            <w:vAlign w:val="center"/>
          </w:tcPr>
          <w:p w14:paraId="48E33449">
            <w:pPr>
              <w:pStyle w:val="24"/>
              <w:bidi w:val="0"/>
              <w:rPr>
                <w:rFonts w:hint="default"/>
                <w:color w:val="auto"/>
              </w:rPr>
            </w:pPr>
            <w:r>
              <w:rPr>
                <w:rFonts w:hint="default"/>
                <w:color w:val="auto"/>
              </w:rPr>
              <w:t>符合</w:t>
            </w:r>
          </w:p>
        </w:tc>
      </w:tr>
      <w:tr w14:paraId="5CC0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7" w:type="pct"/>
            <w:noWrap w:val="0"/>
            <w:vAlign w:val="center"/>
          </w:tcPr>
          <w:p w14:paraId="717A3F1D">
            <w:pPr>
              <w:pStyle w:val="24"/>
              <w:bidi w:val="0"/>
              <w:rPr>
                <w:rFonts w:hint="eastAsia"/>
                <w:color w:val="auto"/>
                <w:lang w:val="en-US" w:eastAsia="zh-CN"/>
              </w:rPr>
            </w:pPr>
            <w:r>
              <w:rPr>
                <w:rFonts w:hint="eastAsia"/>
                <w:color w:val="auto"/>
                <w:lang w:val="en-US" w:eastAsia="zh-CN"/>
              </w:rPr>
              <w:t>4</w:t>
            </w:r>
          </w:p>
        </w:tc>
        <w:tc>
          <w:tcPr>
            <w:tcW w:w="1714" w:type="pct"/>
            <w:noWrap w:val="0"/>
            <w:vAlign w:val="center"/>
          </w:tcPr>
          <w:p w14:paraId="57716521">
            <w:pPr>
              <w:pStyle w:val="24"/>
              <w:bidi w:val="0"/>
              <w:rPr>
                <w:rFonts w:hint="default"/>
                <w:color w:val="auto"/>
              </w:rPr>
            </w:pPr>
            <w:r>
              <w:rPr>
                <w:rFonts w:hint="default"/>
                <w:color w:val="auto"/>
              </w:rPr>
              <w:t>未落实有限空间作业审批，或者未执行“先通风、再检测、后作业”要求，或者作业现场未设置监护人员的。</w:t>
            </w:r>
          </w:p>
        </w:tc>
        <w:tc>
          <w:tcPr>
            <w:tcW w:w="1576" w:type="pct"/>
            <w:noWrap w:val="0"/>
            <w:vAlign w:val="center"/>
          </w:tcPr>
          <w:p w14:paraId="17B4BD1E">
            <w:pPr>
              <w:pStyle w:val="24"/>
              <w:bidi w:val="0"/>
              <w:rPr>
                <w:rFonts w:hint="default"/>
                <w:color w:val="auto"/>
              </w:rPr>
            </w:pPr>
            <w:r>
              <w:rPr>
                <w:rFonts w:hint="default"/>
                <w:color w:val="auto"/>
              </w:rPr>
              <w:t>《工贸企业重大事故隐患判定标准》（中华人民共和国应急管理部令第10号）</w:t>
            </w:r>
          </w:p>
          <w:p w14:paraId="3E17D759">
            <w:pPr>
              <w:pStyle w:val="24"/>
              <w:bidi w:val="0"/>
              <w:rPr>
                <w:rFonts w:hint="default"/>
                <w:color w:val="auto"/>
              </w:rPr>
            </w:pPr>
            <w:r>
              <w:rPr>
                <w:rFonts w:hint="default"/>
                <w:color w:val="auto"/>
              </w:rPr>
              <w:t>第十三条（二）</w:t>
            </w:r>
          </w:p>
        </w:tc>
        <w:tc>
          <w:tcPr>
            <w:tcW w:w="774" w:type="pct"/>
            <w:noWrap w:val="0"/>
            <w:vAlign w:val="center"/>
          </w:tcPr>
          <w:p w14:paraId="6EC76B23">
            <w:pPr>
              <w:pStyle w:val="24"/>
              <w:bidi w:val="0"/>
              <w:rPr>
                <w:rFonts w:hint="default"/>
                <w:color w:val="auto"/>
                <w:lang w:val="en-US" w:eastAsia="zh-CN"/>
              </w:rPr>
            </w:pPr>
            <w:r>
              <w:rPr>
                <w:rFonts w:hint="eastAsia"/>
                <w:color w:val="auto"/>
                <w:lang w:val="en-US" w:eastAsia="zh-CN"/>
              </w:rPr>
              <w:t>企业制定了有限空间作业作业审批制度。</w:t>
            </w:r>
          </w:p>
        </w:tc>
        <w:tc>
          <w:tcPr>
            <w:tcW w:w="547" w:type="pct"/>
            <w:noWrap w:val="0"/>
            <w:vAlign w:val="center"/>
          </w:tcPr>
          <w:p w14:paraId="145ACE26">
            <w:pPr>
              <w:pStyle w:val="24"/>
              <w:bidi w:val="0"/>
              <w:rPr>
                <w:rFonts w:hint="default"/>
                <w:color w:val="auto"/>
              </w:rPr>
            </w:pPr>
            <w:r>
              <w:rPr>
                <w:rFonts w:hint="default"/>
                <w:color w:val="auto"/>
              </w:rPr>
              <w:t>符合</w:t>
            </w:r>
          </w:p>
        </w:tc>
      </w:tr>
    </w:tbl>
    <w:p w14:paraId="1F943DDA">
      <w:pPr>
        <w:bidi w:val="0"/>
        <w:rPr>
          <w:rFonts w:hint="eastAsia"/>
          <w:color w:val="auto"/>
        </w:rPr>
      </w:pPr>
      <w:r>
        <w:rPr>
          <w:rFonts w:hint="eastAsia"/>
          <w:color w:val="auto"/>
        </w:rPr>
        <w:t>通过参照《工贸企业重大事故隐患判定标准》（中华人民共和国应急管理部令第10号）判定检查，该技改项目目前不存在重大事故隐患。</w:t>
      </w:r>
    </w:p>
    <w:p w14:paraId="36F4FAD7">
      <w:pPr>
        <w:rPr>
          <w:rFonts w:hint="eastAsia"/>
          <w:color w:val="auto"/>
        </w:rPr>
      </w:pPr>
      <w:r>
        <w:rPr>
          <w:rFonts w:hint="eastAsia"/>
          <w:color w:val="auto"/>
        </w:rPr>
        <w:br w:type="page"/>
      </w:r>
    </w:p>
    <w:p w14:paraId="0A0DCA6E">
      <w:pPr>
        <w:pStyle w:val="2"/>
        <w:bidi w:val="0"/>
        <w:rPr>
          <w:rFonts w:hint="eastAsia"/>
          <w:color w:val="auto"/>
        </w:rPr>
      </w:pPr>
      <w:bookmarkStart w:id="198" w:name="_Toc20868"/>
      <w:r>
        <w:rPr>
          <w:rFonts w:hint="eastAsia"/>
          <w:color w:val="auto"/>
        </w:rPr>
        <w:t>6 安全对策措施及建议</w:t>
      </w:r>
      <w:bookmarkEnd w:id="198"/>
    </w:p>
    <w:p w14:paraId="470C9A4B">
      <w:pPr>
        <w:pStyle w:val="3"/>
        <w:bidi w:val="0"/>
        <w:rPr>
          <w:rFonts w:hint="eastAsia"/>
          <w:color w:val="auto"/>
        </w:rPr>
      </w:pPr>
      <w:bookmarkStart w:id="199" w:name="_Toc27753"/>
      <w:r>
        <w:rPr>
          <w:rFonts w:hint="eastAsia"/>
          <w:color w:val="auto"/>
        </w:rPr>
        <w:t>6.1 存在的主要问题、整改建议及整改情况</w:t>
      </w:r>
      <w:bookmarkEnd w:id="199"/>
    </w:p>
    <w:p w14:paraId="265F265C">
      <w:pPr>
        <w:pStyle w:val="4"/>
        <w:bidi w:val="0"/>
        <w:rPr>
          <w:rFonts w:hint="eastAsia"/>
          <w:color w:val="auto"/>
        </w:rPr>
      </w:pPr>
      <w:bookmarkStart w:id="200" w:name="_Toc14411"/>
      <w:r>
        <w:rPr>
          <w:rFonts w:hint="eastAsia"/>
          <w:color w:val="auto"/>
        </w:rPr>
        <w:t>6.1.1 存在的主要问题及整改建议</w:t>
      </w:r>
      <w:bookmarkEnd w:id="200"/>
    </w:p>
    <w:p w14:paraId="2D71334F">
      <w:pPr>
        <w:bidi w:val="0"/>
        <w:rPr>
          <w:rFonts w:hint="eastAsia"/>
          <w:color w:val="auto"/>
        </w:rPr>
      </w:pPr>
      <w:r>
        <w:rPr>
          <w:rFonts w:hint="eastAsia"/>
          <w:color w:val="auto"/>
        </w:rPr>
        <w:t>经过评价小组对寻甸金林钛矿有限公司尾矿处理技改升级建设项目安全验收评价项目进行现场勘查及查阅相关资料后，存在如下问题需进行整改：</w:t>
      </w:r>
    </w:p>
    <w:p w14:paraId="59554061">
      <w:pPr>
        <w:bidi w:val="0"/>
        <w:rPr>
          <w:rFonts w:hint="eastAsia"/>
        </w:rPr>
      </w:pPr>
      <w:r>
        <w:rPr>
          <w:rFonts w:hint="eastAsia"/>
        </w:rPr>
        <w:t>1、存在问题：压滤车间北部和西部未设置排水沟。</w:t>
      </w:r>
    </w:p>
    <w:p w14:paraId="2CB57325">
      <w:pPr>
        <w:bidi w:val="0"/>
        <w:rPr>
          <w:rFonts w:hint="eastAsia"/>
        </w:rPr>
      </w:pPr>
      <w:r>
        <w:rPr>
          <w:rFonts w:hint="eastAsia"/>
        </w:rPr>
        <w:t>整改建议：企业应根据安全设施设计完善排水沟。</w:t>
      </w:r>
    </w:p>
    <w:p w14:paraId="73E61DD9">
      <w:pPr>
        <w:bidi w:val="0"/>
        <w:rPr>
          <w:rFonts w:hint="eastAsia"/>
        </w:rPr>
      </w:pPr>
      <w:r>
        <w:rPr>
          <w:rFonts w:hint="eastAsia"/>
        </w:rPr>
        <w:t>2、存在问题：场内安全警示标识不足。</w:t>
      </w:r>
    </w:p>
    <w:p w14:paraId="63FADC79">
      <w:pPr>
        <w:bidi w:val="0"/>
        <w:rPr>
          <w:rFonts w:hint="eastAsia"/>
        </w:rPr>
      </w:pPr>
      <w:r>
        <w:rPr>
          <w:rFonts w:hint="eastAsia"/>
        </w:rPr>
        <w:t>整改建议：企业应在机械隔膜泵周围设置如“高压危险”“严禁触摸”“注意旋转部件”等警示标识。水池旁警示标识。皮带输送机下通道设置限高等警示标识，旁边的立柱刷安全色。有限空间安全警示标识。润滑油堆放处安全警示标识。配电柜旁检维修时严格执行挂牌制度，设置“有人作业，禁止合闸”。</w:t>
      </w:r>
    </w:p>
    <w:p w14:paraId="76C650E7">
      <w:pPr>
        <w:bidi w:val="0"/>
        <w:rPr>
          <w:rFonts w:hint="eastAsia"/>
          <w:color w:val="auto"/>
        </w:rPr>
      </w:pPr>
      <w:r>
        <w:rPr>
          <w:rFonts w:hint="eastAsia"/>
          <w:color w:val="auto"/>
          <w:lang w:val="en-US" w:eastAsia="zh-CN"/>
        </w:rPr>
        <w:t>3</w:t>
      </w:r>
      <w:r>
        <w:rPr>
          <w:rFonts w:hint="eastAsia"/>
          <w:color w:val="auto"/>
        </w:rPr>
        <w:t>、存在问题：浓缩车间高处操作平台未设置踢脚板。</w:t>
      </w:r>
    </w:p>
    <w:p w14:paraId="37284702">
      <w:pPr>
        <w:bidi w:val="0"/>
        <w:rPr>
          <w:rFonts w:hint="eastAsia"/>
          <w:color w:val="auto"/>
        </w:rPr>
      </w:pPr>
      <w:r>
        <w:rPr>
          <w:rFonts w:hint="eastAsia"/>
          <w:color w:val="auto"/>
        </w:rPr>
        <w:t>整改建议：企业应在平台、通道或工作面上可能使用工具、机器部件或物品场合，在所有敞开边缘设置带踢脚板的防护栏杆。</w:t>
      </w:r>
    </w:p>
    <w:p w14:paraId="7FB9EC8A">
      <w:pPr>
        <w:bidi w:val="0"/>
        <w:rPr>
          <w:rFonts w:hint="eastAsia"/>
          <w:color w:val="auto"/>
        </w:rPr>
      </w:pPr>
      <w:r>
        <w:rPr>
          <w:rFonts w:hint="eastAsia"/>
          <w:color w:val="auto"/>
          <w:lang w:val="en-US" w:eastAsia="zh-CN"/>
        </w:rPr>
        <w:t>4</w:t>
      </w:r>
      <w:r>
        <w:rPr>
          <w:rFonts w:hint="eastAsia"/>
          <w:color w:val="auto"/>
        </w:rPr>
        <w:t>、存在问题：</w:t>
      </w:r>
      <w:r>
        <w:rPr>
          <w:rFonts w:hint="eastAsia"/>
          <w:color w:val="auto"/>
          <w:lang w:val="en-US" w:eastAsia="zh-CN"/>
        </w:rPr>
        <w:t>未设置应急照明灯</w:t>
      </w:r>
      <w:r>
        <w:rPr>
          <w:rFonts w:hint="eastAsia"/>
          <w:color w:val="auto"/>
        </w:rPr>
        <w:t>。</w:t>
      </w:r>
    </w:p>
    <w:p w14:paraId="21E29674">
      <w:pPr>
        <w:bidi w:val="0"/>
        <w:rPr>
          <w:rFonts w:hint="eastAsia"/>
          <w:color w:val="auto"/>
        </w:rPr>
      </w:pPr>
      <w:r>
        <w:rPr>
          <w:rFonts w:hint="eastAsia"/>
          <w:color w:val="auto"/>
        </w:rPr>
        <w:t>整改建议：企业</w:t>
      </w:r>
      <w:r>
        <w:rPr>
          <w:rFonts w:hint="eastAsia"/>
          <w:color w:val="auto"/>
          <w:lang w:val="en-US" w:eastAsia="zh-CN"/>
        </w:rPr>
        <w:t>应</w:t>
      </w:r>
      <w:r>
        <w:rPr>
          <w:rFonts w:hint="eastAsia"/>
          <w:color w:val="auto"/>
        </w:rPr>
        <w:t>在通道、配电柜和设备旁设置应急照明灯。</w:t>
      </w:r>
    </w:p>
    <w:p w14:paraId="63925C58">
      <w:pPr>
        <w:bidi w:val="0"/>
        <w:rPr>
          <w:rFonts w:hint="eastAsia"/>
          <w:color w:val="auto"/>
        </w:rPr>
      </w:pPr>
      <w:r>
        <w:rPr>
          <w:rFonts w:hint="eastAsia"/>
          <w:color w:val="auto"/>
          <w:lang w:val="en-US" w:eastAsia="zh-CN"/>
        </w:rPr>
        <w:t>5</w:t>
      </w:r>
      <w:r>
        <w:rPr>
          <w:rFonts w:hint="eastAsia"/>
          <w:color w:val="auto"/>
        </w:rPr>
        <w:t>、存在问题：</w:t>
      </w:r>
      <w:r>
        <w:rPr>
          <w:rFonts w:hint="eastAsia"/>
          <w:color w:val="auto"/>
          <w:lang w:val="en-US" w:eastAsia="zh-CN"/>
        </w:rPr>
        <w:t>部分配电柜旁未配备灭火器，未为电工配备绝缘工具</w:t>
      </w:r>
      <w:r>
        <w:rPr>
          <w:rFonts w:hint="eastAsia"/>
          <w:color w:val="auto"/>
        </w:rPr>
        <w:t>。</w:t>
      </w:r>
    </w:p>
    <w:p w14:paraId="6D36EB07">
      <w:pPr>
        <w:bidi w:val="0"/>
        <w:rPr>
          <w:rFonts w:hint="eastAsia" w:eastAsia="宋体"/>
          <w:color w:val="auto"/>
          <w:lang w:eastAsia="zh-CN"/>
        </w:rPr>
      </w:pPr>
      <w:r>
        <w:rPr>
          <w:rFonts w:hint="eastAsia"/>
          <w:color w:val="auto"/>
        </w:rPr>
        <w:t>整改建议：企业应在配电柜附近配备灭火器，为电工配备绝缘工具</w:t>
      </w:r>
      <w:r>
        <w:rPr>
          <w:rFonts w:hint="eastAsia"/>
          <w:color w:val="auto"/>
          <w:lang w:eastAsia="zh-CN"/>
        </w:rPr>
        <w:t>。</w:t>
      </w:r>
    </w:p>
    <w:p w14:paraId="293DFBC3">
      <w:pPr>
        <w:bidi w:val="0"/>
        <w:rPr>
          <w:rFonts w:hint="eastAsia"/>
          <w:color w:val="auto"/>
        </w:rPr>
      </w:pPr>
      <w:r>
        <w:rPr>
          <w:rFonts w:hint="eastAsia"/>
          <w:color w:val="auto"/>
          <w:lang w:val="en-US" w:eastAsia="zh-CN"/>
        </w:rPr>
        <w:t>6</w:t>
      </w:r>
      <w:r>
        <w:rPr>
          <w:rFonts w:hint="eastAsia"/>
          <w:color w:val="auto"/>
        </w:rPr>
        <w:t>、存在问题：浓缩车间水泵配电柜旁的电线及其他位置的电线</w:t>
      </w:r>
      <w:r>
        <w:rPr>
          <w:rFonts w:hint="eastAsia"/>
          <w:color w:val="auto"/>
          <w:lang w:val="en-US" w:eastAsia="zh-CN"/>
        </w:rPr>
        <w:t>存在搭在金属架上的现象</w:t>
      </w:r>
      <w:r>
        <w:rPr>
          <w:rFonts w:hint="eastAsia"/>
          <w:color w:val="auto"/>
        </w:rPr>
        <w:t>。</w:t>
      </w:r>
    </w:p>
    <w:p w14:paraId="68C80EEA">
      <w:pPr>
        <w:bidi w:val="0"/>
        <w:rPr>
          <w:rFonts w:hint="eastAsia"/>
          <w:color w:val="auto"/>
        </w:rPr>
      </w:pPr>
      <w:r>
        <w:rPr>
          <w:rFonts w:hint="eastAsia"/>
          <w:color w:val="auto"/>
        </w:rPr>
        <w:t>整改建议：浓缩车间水泵配电柜旁的电线及其他位置的电线应规范设置。</w:t>
      </w:r>
    </w:p>
    <w:p w14:paraId="65E78675">
      <w:pPr>
        <w:pStyle w:val="4"/>
        <w:bidi w:val="0"/>
        <w:rPr>
          <w:rFonts w:hint="eastAsia"/>
          <w:color w:val="auto"/>
        </w:rPr>
      </w:pPr>
      <w:bookmarkStart w:id="201" w:name="_Toc25506"/>
      <w:r>
        <w:rPr>
          <w:rFonts w:hint="eastAsia"/>
          <w:color w:val="auto"/>
        </w:rPr>
        <w:t>6.1.2 现场存在问题整改情况</w:t>
      </w:r>
      <w:bookmarkEnd w:id="201"/>
    </w:p>
    <w:p w14:paraId="012F2C7A">
      <w:pPr>
        <w:bidi w:val="0"/>
        <w:rPr>
          <w:rFonts w:hint="eastAsia"/>
          <w:color w:val="auto"/>
        </w:rPr>
      </w:pPr>
      <w:r>
        <w:rPr>
          <w:rFonts w:hint="eastAsia"/>
          <w:color w:val="auto"/>
        </w:rPr>
        <w:t>经企业提供的整改回复并经现场核实，整改情况见附件。</w:t>
      </w:r>
    </w:p>
    <w:p w14:paraId="34C8F510">
      <w:pPr>
        <w:pStyle w:val="3"/>
        <w:bidi w:val="0"/>
        <w:rPr>
          <w:color w:val="auto"/>
        </w:rPr>
      </w:pPr>
      <w:bookmarkStart w:id="202" w:name="_Toc18075"/>
      <w:r>
        <w:rPr>
          <w:rFonts w:hint="eastAsia"/>
          <w:color w:val="auto"/>
        </w:rPr>
        <w:t>6.2 主要安全对策措施与建议</w:t>
      </w:r>
      <w:bookmarkEnd w:id="202"/>
    </w:p>
    <w:p w14:paraId="44A93FD4">
      <w:pPr>
        <w:pStyle w:val="4"/>
        <w:bidi w:val="0"/>
        <w:rPr>
          <w:rFonts w:hint="eastAsia"/>
          <w:color w:val="auto"/>
        </w:rPr>
      </w:pPr>
      <w:bookmarkStart w:id="203" w:name="_Toc30953"/>
      <w:r>
        <w:rPr>
          <w:rFonts w:hint="eastAsia"/>
          <w:color w:val="auto"/>
        </w:rPr>
        <w:t>6.2.1 厂址及总平面布置单元安全对策措施建议</w:t>
      </w:r>
      <w:bookmarkEnd w:id="203"/>
    </w:p>
    <w:p w14:paraId="400A90F9">
      <w:pPr>
        <w:bidi w:val="0"/>
        <w:rPr>
          <w:rFonts w:hint="eastAsia"/>
          <w:color w:val="auto"/>
        </w:rPr>
      </w:pPr>
      <w:r>
        <w:rPr>
          <w:rFonts w:hint="eastAsia"/>
          <w:color w:val="auto"/>
        </w:rPr>
        <w:t>1、选厂工业场地稳定与否，对该项目安全生产有较大影响。厂址应避免建设在断层、滑坡上及洪水位下，应避开溶洞、淤泥、腐植土、坑峒、古井等不良地段或文物保护区。</w:t>
      </w:r>
    </w:p>
    <w:p w14:paraId="582AECB4">
      <w:pPr>
        <w:bidi w:val="0"/>
        <w:rPr>
          <w:rFonts w:hint="eastAsia"/>
          <w:color w:val="auto"/>
        </w:rPr>
      </w:pPr>
      <w:r>
        <w:rPr>
          <w:rFonts w:hint="eastAsia"/>
          <w:color w:val="auto"/>
        </w:rPr>
        <w:t>2、企业应加强对厂区内大型设备的基础进行巡查，发现有松动或下沉等应及时处理。</w:t>
      </w:r>
    </w:p>
    <w:p w14:paraId="48030B2B">
      <w:pPr>
        <w:bidi w:val="0"/>
        <w:rPr>
          <w:rFonts w:hint="eastAsia"/>
          <w:color w:val="auto"/>
        </w:rPr>
      </w:pPr>
      <w:r>
        <w:rPr>
          <w:rFonts w:hint="eastAsia"/>
          <w:color w:val="auto"/>
        </w:rPr>
        <w:t>3、厂区内人行通道及消防通道应保持畅通，不准有物料等堵塞。</w:t>
      </w:r>
    </w:p>
    <w:p w14:paraId="6BE77D3E">
      <w:pPr>
        <w:bidi w:val="0"/>
        <w:rPr>
          <w:rFonts w:hint="eastAsia"/>
          <w:color w:val="auto"/>
        </w:rPr>
      </w:pPr>
      <w:r>
        <w:rPr>
          <w:rFonts w:hint="eastAsia"/>
          <w:color w:val="auto"/>
          <w:lang w:val="en-US" w:eastAsia="zh-CN"/>
        </w:rPr>
        <w:t>4</w:t>
      </w:r>
      <w:r>
        <w:rPr>
          <w:rFonts w:hint="eastAsia"/>
          <w:color w:val="auto"/>
        </w:rPr>
        <w:t>、根据《选矿安全规程》（GB/T 18152-2000）第5.1.1条规定，选择厂址应有完整的地形、工程地质、水文地质、地震、气象及环境影响评价等方面的资料作依据。</w:t>
      </w:r>
    </w:p>
    <w:p w14:paraId="50328717">
      <w:pPr>
        <w:bidi w:val="0"/>
        <w:rPr>
          <w:rFonts w:hint="eastAsia"/>
          <w:color w:val="auto"/>
        </w:rPr>
      </w:pPr>
      <w:r>
        <w:rPr>
          <w:rFonts w:hint="eastAsia"/>
          <w:color w:val="auto"/>
          <w:lang w:val="en-US" w:eastAsia="zh-CN"/>
        </w:rPr>
        <w:t>5</w:t>
      </w:r>
      <w:r>
        <w:rPr>
          <w:rFonts w:hint="eastAsia"/>
          <w:color w:val="auto"/>
        </w:rPr>
        <w:t>、根据《选矿安全规程》（GB/T 18152-2000）第5.1.2条规定，选择厂址，宜避开岩溶、流砂、淤泥、湿陷性黄土、断层、塌方、泥石流、滑坡等不良地质地段，否则，应采取可靠的安全措施。</w:t>
      </w:r>
    </w:p>
    <w:p w14:paraId="5750524F">
      <w:pPr>
        <w:bidi w:val="0"/>
        <w:rPr>
          <w:rFonts w:hint="eastAsia"/>
          <w:color w:val="auto"/>
        </w:rPr>
      </w:pPr>
      <w:r>
        <w:rPr>
          <w:rFonts w:hint="eastAsia"/>
          <w:color w:val="auto"/>
          <w:lang w:val="en-US" w:eastAsia="zh-CN"/>
        </w:rPr>
        <w:t>6</w:t>
      </w:r>
      <w:r>
        <w:rPr>
          <w:rFonts w:hint="eastAsia"/>
          <w:color w:val="auto"/>
        </w:rPr>
        <w:t>、按工艺流程合理布置厂房，做到功能分区明确、道路通畅、物流高效，厂区建筑物之间符合《建筑设计防火规范》（GB 50016-2014，2018年版）的表3.4.1规定。</w:t>
      </w:r>
    </w:p>
    <w:p w14:paraId="229B02FF">
      <w:pPr>
        <w:bidi w:val="0"/>
        <w:rPr>
          <w:rFonts w:hint="eastAsia"/>
          <w:color w:val="auto"/>
        </w:rPr>
      </w:pPr>
      <w:r>
        <w:rPr>
          <w:rFonts w:hint="eastAsia"/>
          <w:color w:val="auto"/>
          <w:lang w:val="en-US" w:eastAsia="zh-CN"/>
        </w:rPr>
        <w:t>7</w:t>
      </w:r>
      <w:r>
        <w:rPr>
          <w:rFonts w:hint="eastAsia"/>
          <w:color w:val="auto"/>
        </w:rPr>
        <w:t>、根据《选矿安全规程》（GB/T 18152-2000）第5.2.3条规定，应设置通达厂房、仓库和可燃原料堆场的消防车道（也可利用交通运输道路），其宽度应不小于3.5m。尽头式消防车道，应设回车道或不小于12m×12m的回车场。</w:t>
      </w:r>
    </w:p>
    <w:p w14:paraId="136EFB92">
      <w:pPr>
        <w:bidi w:val="0"/>
        <w:rPr>
          <w:rFonts w:hint="eastAsia"/>
          <w:color w:val="auto"/>
        </w:rPr>
      </w:pPr>
      <w:r>
        <w:rPr>
          <w:rFonts w:hint="eastAsia"/>
          <w:color w:val="auto"/>
          <w:lang w:val="en-US" w:eastAsia="zh-CN"/>
        </w:rPr>
        <w:t>8</w:t>
      </w:r>
      <w:r>
        <w:rPr>
          <w:rFonts w:hint="eastAsia"/>
          <w:color w:val="auto"/>
        </w:rPr>
        <w:t>、根据《选矿安全规程》（GB/T 18152-2000）第6.7条规定，荷载较重和振动较大的设备，其基础不应坐落在平台上，而应坐落在地基上。操作平台有集中荷载时应采取特殊加固措施。</w:t>
      </w:r>
    </w:p>
    <w:p w14:paraId="088810A9">
      <w:pPr>
        <w:bidi w:val="0"/>
        <w:rPr>
          <w:rFonts w:hint="eastAsia"/>
          <w:color w:val="auto"/>
        </w:rPr>
      </w:pPr>
      <w:r>
        <w:rPr>
          <w:rFonts w:hint="eastAsia"/>
          <w:color w:val="auto"/>
          <w:lang w:val="en-US" w:eastAsia="zh-CN"/>
        </w:rPr>
        <w:t>9</w:t>
      </w:r>
      <w:r>
        <w:rPr>
          <w:rFonts w:hint="eastAsia"/>
          <w:color w:val="auto"/>
        </w:rPr>
        <w:t>、根据《选矿安全规程》（GB/T 18152-2000）第6.9条规定，厂房内主要操作通道宽度应不小于1.5m一般设备维护通道宽度应不小于1.0m通道净空高度应小于2.0m。</w:t>
      </w:r>
    </w:p>
    <w:p w14:paraId="55B3DB99">
      <w:pPr>
        <w:bidi w:val="0"/>
        <w:rPr>
          <w:rFonts w:hint="eastAsia"/>
          <w:color w:val="auto"/>
        </w:rPr>
      </w:pPr>
      <w:r>
        <w:rPr>
          <w:rFonts w:hint="eastAsia"/>
          <w:color w:val="auto"/>
        </w:rPr>
        <w:t>1</w:t>
      </w:r>
      <w:r>
        <w:rPr>
          <w:rFonts w:hint="eastAsia"/>
          <w:color w:val="auto"/>
          <w:lang w:val="en-US" w:eastAsia="zh-CN"/>
        </w:rPr>
        <w:t>0</w:t>
      </w:r>
      <w:r>
        <w:rPr>
          <w:rFonts w:hint="eastAsia"/>
          <w:color w:val="auto"/>
        </w:rPr>
        <w:t>、根据《选矿安全规程》（GB/T 18152-2000）第6.11条规定，高度超过0.6m的平台，周围应设栏杆；平台上的孔洞应设栏杆或盖板；必要时，平台边缘应设安全防护板。</w:t>
      </w:r>
    </w:p>
    <w:p w14:paraId="5670F1CF">
      <w:pPr>
        <w:bidi w:val="0"/>
        <w:rPr>
          <w:rFonts w:hint="eastAsia"/>
          <w:color w:val="auto"/>
        </w:rPr>
      </w:pPr>
      <w:r>
        <w:rPr>
          <w:rFonts w:hint="eastAsia"/>
          <w:color w:val="auto"/>
        </w:rPr>
        <w:t>1</w:t>
      </w:r>
      <w:r>
        <w:rPr>
          <w:rFonts w:hint="eastAsia"/>
          <w:color w:val="auto"/>
          <w:lang w:val="en-US" w:eastAsia="zh-CN"/>
        </w:rPr>
        <w:t>1</w:t>
      </w:r>
      <w:r>
        <w:rPr>
          <w:rFonts w:hint="eastAsia"/>
          <w:color w:val="auto"/>
        </w:rPr>
        <w:t>、根据《选矿安全规程》（GB/T 18152-2000）第6.12条规定，天桥、通道及走梯，宜用花纹钢板制作。直梯、斜梯、栏杆及平台的制作，应分别符合GB 4053.1、GB 4053.2、GB 4053.3和GB 4053.4的要求。</w:t>
      </w:r>
    </w:p>
    <w:p w14:paraId="3706CD19">
      <w:pPr>
        <w:bidi w:val="0"/>
        <w:rPr>
          <w:rFonts w:hint="eastAsia"/>
          <w:color w:val="auto"/>
        </w:rPr>
      </w:pPr>
      <w:r>
        <w:rPr>
          <w:rFonts w:hint="eastAsia"/>
          <w:color w:val="auto"/>
        </w:rPr>
        <w:t>1</w:t>
      </w:r>
      <w:r>
        <w:rPr>
          <w:rFonts w:hint="eastAsia"/>
          <w:color w:val="auto"/>
          <w:lang w:val="en-US" w:eastAsia="zh-CN"/>
        </w:rPr>
        <w:t>2</w:t>
      </w:r>
      <w:r>
        <w:rPr>
          <w:rFonts w:hint="eastAsia"/>
          <w:color w:val="auto"/>
        </w:rPr>
        <w:t>、根据《选矿安全规程》（GB/T 18152-2000）第6.13条规定，应定期检查、维护和清扫栏杆、平台和走梯。</w:t>
      </w:r>
    </w:p>
    <w:p w14:paraId="1C211F04">
      <w:pPr>
        <w:bidi w:val="0"/>
        <w:rPr>
          <w:rFonts w:hint="eastAsia"/>
          <w:color w:val="auto"/>
        </w:rPr>
      </w:pPr>
      <w:r>
        <w:rPr>
          <w:rFonts w:hint="eastAsia"/>
          <w:color w:val="auto"/>
        </w:rPr>
        <w:t>1</w:t>
      </w:r>
      <w:r>
        <w:rPr>
          <w:rFonts w:hint="eastAsia"/>
          <w:color w:val="auto"/>
          <w:lang w:val="en-US" w:eastAsia="zh-CN"/>
        </w:rPr>
        <w:t>3</w:t>
      </w:r>
      <w:r>
        <w:rPr>
          <w:rFonts w:hint="eastAsia"/>
          <w:color w:val="auto"/>
        </w:rPr>
        <w:t>、根据《选矿安全规程》（GB/T 18152-2000）第6.17条规定，设备的开关和操作箱，应设在设备附近便于操作的位置。相互联系的设备开关和操作箱，宜集中放置。主要设备电机的安装高度，应便于操作人员检查、维护；如难以满足，应设局部操作平台。</w:t>
      </w:r>
    </w:p>
    <w:p w14:paraId="17D1B9DD">
      <w:pPr>
        <w:bidi w:val="0"/>
        <w:rPr>
          <w:rFonts w:hint="eastAsia"/>
          <w:color w:val="auto"/>
        </w:rPr>
      </w:pPr>
      <w:r>
        <w:rPr>
          <w:rFonts w:hint="eastAsia"/>
          <w:color w:val="auto"/>
        </w:rPr>
        <w:t>1</w:t>
      </w:r>
      <w:r>
        <w:rPr>
          <w:rFonts w:hint="eastAsia"/>
          <w:color w:val="auto"/>
          <w:lang w:val="en-US" w:eastAsia="zh-CN"/>
        </w:rPr>
        <w:t>4</w:t>
      </w:r>
      <w:r>
        <w:rPr>
          <w:rFonts w:hint="eastAsia"/>
          <w:color w:val="auto"/>
        </w:rPr>
        <w:t>、根据《选矿安全规程》（GB/T 18152-2000）第6.18条规定，厂内各类管线、溜槽，不应妨碍操作和行走。</w:t>
      </w:r>
    </w:p>
    <w:p w14:paraId="78137B0A">
      <w:pPr>
        <w:bidi w:val="0"/>
        <w:rPr>
          <w:rFonts w:hint="eastAsia"/>
          <w:color w:val="auto"/>
        </w:rPr>
      </w:pPr>
      <w:r>
        <w:rPr>
          <w:rFonts w:hint="eastAsia"/>
          <w:color w:val="auto"/>
        </w:rPr>
        <w:t>1</w:t>
      </w:r>
      <w:r>
        <w:rPr>
          <w:rFonts w:hint="eastAsia"/>
          <w:color w:val="auto"/>
          <w:lang w:val="en-US" w:eastAsia="zh-CN"/>
        </w:rPr>
        <w:t>5</w:t>
      </w:r>
      <w:r>
        <w:rPr>
          <w:rFonts w:hint="eastAsia"/>
          <w:color w:val="auto"/>
        </w:rPr>
        <w:t>、根据《选矿安全规程》（GB/T 18152-2000）第6.21条规定，厂房应有足够的、供设备（部件）装配和检修用的场地。</w:t>
      </w:r>
    </w:p>
    <w:p w14:paraId="279BB356">
      <w:pPr>
        <w:bidi w:val="0"/>
        <w:rPr>
          <w:rFonts w:hint="eastAsia"/>
          <w:color w:val="auto"/>
        </w:rPr>
      </w:pPr>
      <w:r>
        <w:rPr>
          <w:rFonts w:hint="eastAsia"/>
          <w:color w:val="auto"/>
        </w:rPr>
        <w:t>1</w:t>
      </w:r>
      <w:r>
        <w:rPr>
          <w:rFonts w:hint="eastAsia"/>
          <w:color w:val="auto"/>
          <w:lang w:val="en-US" w:eastAsia="zh-CN"/>
        </w:rPr>
        <w:t>6</w:t>
      </w:r>
      <w:r>
        <w:rPr>
          <w:rFonts w:hint="eastAsia"/>
          <w:color w:val="auto"/>
        </w:rPr>
        <w:t>、该场地抗震设防烈度为</w:t>
      </w:r>
      <w:r>
        <w:rPr>
          <w:rFonts w:hint="eastAsia"/>
          <w:color w:val="auto"/>
          <w:lang w:val="en-US" w:eastAsia="zh-CN"/>
        </w:rPr>
        <w:t>8</w:t>
      </w:r>
      <w:r>
        <w:rPr>
          <w:rFonts w:hint="eastAsia"/>
          <w:color w:val="auto"/>
        </w:rPr>
        <w:t>度，须进行抗震设防。</w:t>
      </w:r>
    </w:p>
    <w:p w14:paraId="7B8EEFB5">
      <w:pPr>
        <w:bidi w:val="0"/>
        <w:rPr>
          <w:rFonts w:hint="default" w:eastAsia="宋体"/>
          <w:color w:val="auto"/>
          <w:lang w:val="en-US" w:eastAsia="zh-CN"/>
        </w:rPr>
      </w:pPr>
      <w:r>
        <w:rPr>
          <w:rFonts w:hint="eastAsia"/>
          <w:color w:val="auto"/>
          <w:lang w:val="en-US" w:eastAsia="zh-CN"/>
        </w:rPr>
        <w:t>17、企业应定期对边坡和挡土墙巡回检查，发现问题立即上报。</w:t>
      </w:r>
    </w:p>
    <w:p w14:paraId="3DC1FC8F">
      <w:pPr>
        <w:pStyle w:val="4"/>
        <w:bidi w:val="0"/>
        <w:rPr>
          <w:rFonts w:hint="eastAsia"/>
          <w:color w:val="auto"/>
        </w:rPr>
      </w:pPr>
      <w:bookmarkStart w:id="204" w:name="_Toc29120"/>
      <w:r>
        <w:rPr>
          <w:rFonts w:hint="eastAsia"/>
          <w:color w:val="auto"/>
        </w:rPr>
        <w:t>6.2.2 生产工艺及设备单元安全对策措施建议</w:t>
      </w:r>
      <w:bookmarkEnd w:id="204"/>
    </w:p>
    <w:p w14:paraId="60DAC083">
      <w:pPr>
        <w:bidi w:val="0"/>
        <w:rPr>
          <w:rFonts w:hint="eastAsia"/>
          <w:color w:val="auto"/>
        </w:rPr>
      </w:pPr>
      <w:r>
        <w:rPr>
          <w:rFonts w:hint="eastAsia"/>
          <w:color w:val="auto"/>
        </w:rPr>
        <w:t>1、做好机械设备及电路的维修保养工作，避免人员伤害事故的发生。</w:t>
      </w:r>
    </w:p>
    <w:p w14:paraId="1E6A5F93">
      <w:pPr>
        <w:bidi w:val="0"/>
        <w:rPr>
          <w:rFonts w:hint="eastAsia"/>
          <w:color w:val="auto"/>
        </w:rPr>
      </w:pPr>
      <w:r>
        <w:rPr>
          <w:rFonts w:hint="eastAsia"/>
          <w:color w:val="auto"/>
        </w:rPr>
        <w:t>2、上班前应穿好一切防护用品，加药时必须穿防滑胶鞋防止滑倒、摔伤。</w:t>
      </w:r>
    </w:p>
    <w:p w14:paraId="20BF6CF1">
      <w:pPr>
        <w:bidi w:val="0"/>
        <w:rPr>
          <w:rFonts w:hint="eastAsia"/>
          <w:color w:val="auto"/>
        </w:rPr>
      </w:pPr>
      <w:r>
        <w:rPr>
          <w:rFonts w:hint="eastAsia"/>
          <w:color w:val="auto"/>
        </w:rPr>
        <w:t>3、作业平台应设置安全防护栏杆及安全警示标志。</w:t>
      </w:r>
    </w:p>
    <w:p w14:paraId="2A22E2EB">
      <w:pPr>
        <w:bidi w:val="0"/>
        <w:rPr>
          <w:rFonts w:hint="eastAsia"/>
          <w:color w:val="auto"/>
        </w:rPr>
      </w:pPr>
      <w:r>
        <w:rPr>
          <w:rFonts w:hint="eastAsia"/>
          <w:color w:val="auto"/>
        </w:rPr>
        <w:t>4、电工作业人员应持证上岗，线路停、送电、应严格执行工作票制度。电气设备可能被人触及的裸露带电部分，应严格按照规定接地、接零保护。</w:t>
      </w:r>
    </w:p>
    <w:p w14:paraId="481314D6">
      <w:pPr>
        <w:bidi w:val="0"/>
        <w:rPr>
          <w:rFonts w:hint="eastAsia"/>
          <w:color w:val="auto"/>
        </w:rPr>
      </w:pPr>
      <w:r>
        <w:rPr>
          <w:rFonts w:hint="eastAsia"/>
          <w:color w:val="auto"/>
        </w:rPr>
        <w:t>5、皮带输送机的安全防范措施</w:t>
      </w:r>
    </w:p>
    <w:p w14:paraId="48C588B5">
      <w:pPr>
        <w:bidi w:val="0"/>
        <w:rPr>
          <w:rFonts w:hint="eastAsia"/>
          <w:color w:val="auto"/>
        </w:rPr>
      </w:pPr>
      <w:r>
        <w:rPr>
          <w:rFonts w:hint="eastAsia"/>
          <w:color w:val="auto"/>
        </w:rPr>
        <w:t>①安装打滑保护系统，其工作原理是采用传感器测量胶带运行速度，通过与传感器滚筒线速度进行比较，当有差值输出时，即判断胶带打滑。</w:t>
      </w:r>
    </w:p>
    <w:p w14:paraId="3DEB88CB">
      <w:pPr>
        <w:bidi w:val="0"/>
        <w:rPr>
          <w:rFonts w:hint="eastAsia"/>
          <w:color w:val="auto"/>
        </w:rPr>
      </w:pPr>
      <w:r>
        <w:rPr>
          <w:rFonts w:hint="eastAsia"/>
          <w:color w:val="auto"/>
        </w:rPr>
        <w:t>②皮带输送机安装物料传感器来避免物料的堵塞，当发生堵塞故障时，料位传感器发生信号，用于保护和停机。</w:t>
      </w:r>
    </w:p>
    <w:p w14:paraId="59C7045F">
      <w:pPr>
        <w:bidi w:val="0"/>
        <w:rPr>
          <w:rFonts w:hint="eastAsia"/>
          <w:color w:val="auto"/>
        </w:rPr>
      </w:pPr>
      <w:r>
        <w:rPr>
          <w:rFonts w:hint="eastAsia"/>
          <w:color w:val="auto"/>
        </w:rPr>
        <w:t>③安装拉绳开关，拉绳开关是用于皮带输送机沿线紧急停机的一种现场操作保护装置，建议可以选用无源机械双向拉绳开关，可以在紧急情况下，在带式输送机沿线任意位置拉动拉绳，使拉绳开关触点动作，实现紧急停机。</w:t>
      </w:r>
    </w:p>
    <w:p w14:paraId="0D4AA1F5">
      <w:pPr>
        <w:bidi w:val="0"/>
        <w:rPr>
          <w:rFonts w:hint="eastAsia"/>
          <w:color w:val="auto"/>
        </w:rPr>
      </w:pPr>
      <w:r>
        <w:rPr>
          <w:rFonts w:hint="eastAsia"/>
          <w:color w:val="auto"/>
        </w:rPr>
        <w:t>④利用红外线传感器测量皮带温度，可以灵敏、高效检测皮带温度。</w:t>
      </w:r>
    </w:p>
    <w:p w14:paraId="5B763AF6">
      <w:pPr>
        <w:bidi w:val="0"/>
        <w:rPr>
          <w:rFonts w:hint="eastAsia"/>
          <w:color w:val="auto"/>
        </w:rPr>
      </w:pPr>
      <w:r>
        <w:rPr>
          <w:rFonts w:hint="eastAsia"/>
          <w:color w:val="auto"/>
        </w:rPr>
        <w:t>⑤加强皮带输送机运行管理和维护，当发现胶带打滑，及时停机处理。</w:t>
      </w:r>
    </w:p>
    <w:p w14:paraId="0D091B81">
      <w:pPr>
        <w:bidi w:val="0"/>
        <w:rPr>
          <w:rFonts w:hint="eastAsia"/>
          <w:color w:val="auto"/>
        </w:rPr>
      </w:pPr>
      <w:r>
        <w:rPr>
          <w:rFonts w:hint="eastAsia"/>
          <w:color w:val="auto"/>
        </w:rPr>
        <w:t>⑥使用打滑保护装置，当皮带输送机打滑时，通过打滑传感器，发出信号，自动切断电源停机。</w:t>
      </w:r>
    </w:p>
    <w:p w14:paraId="3E550F92">
      <w:pPr>
        <w:bidi w:val="0"/>
        <w:rPr>
          <w:rFonts w:hint="eastAsia"/>
          <w:color w:val="auto"/>
        </w:rPr>
      </w:pPr>
      <w:r>
        <w:rPr>
          <w:rFonts w:hint="eastAsia"/>
          <w:color w:val="auto"/>
        </w:rPr>
        <w:t>6、压滤机液压系统存储高压液体，如果未经授权的人员自行拆卸液压系统，可能会导致高压液体喷溅，造成人员伤害。因此，操作人员必须经过专业培训，了解液压系统的结构和操作原理，以及如何安全地处理液压系统中的高压液体。此外，操作人员应严格遵守操作规程，不得擅自拆卸液压系统，以避免发生意外‌。定期对液压系统和电气系统进行检查和维护，确保其安全运行，及时发现并处理潜在的安全隐患‌。</w:t>
      </w:r>
    </w:p>
    <w:p w14:paraId="33AF171E">
      <w:pPr>
        <w:bidi w:val="0"/>
        <w:rPr>
          <w:rFonts w:hint="eastAsia"/>
          <w:color w:val="auto"/>
        </w:rPr>
      </w:pPr>
      <w:r>
        <w:rPr>
          <w:rFonts w:hint="eastAsia"/>
          <w:color w:val="auto"/>
        </w:rPr>
        <w:t>7、有限空间作业安全措施</w:t>
      </w:r>
    </w:p>
    <w:p w14:paraId="0BF661E3">
      <w:pPr>
        <w:bidi w:val="0"/>
        <w:rPr>
          <w:rFonts w:hint="eastAsia"/>
          <w:color w:val="auto"/>
        </w:rPr>
      </w:pPr>
      <w:r>
        <w:rPr>
          <w:rFonts w:hint="eastAsia"/>
          <w:color w:val="auto"/>
        </w:rPr>
        <w:t>有限空间作业应当严格遵守“先通风、再检测、后作业”的原则。检测指标包括氧浓度、易燃易爆物质（可燃性气体、爆炸性粉尘）浓度、有毒有害气体浓度。检测应当符合相关国家标准或者行业标准的规定。未经通风和检测合格，任何人员不得进入有限空间作业。检测的时间不得早于作业开始前30min。有限空间作业场所的照明灯具电压应当符合《特低电压限值》（GB/T 3805）等国家标准或者行业标准的规定；作业场所存在可燃性气体、粉尘的，其电气设施设备及照明灯具的防爆安全要求应当符合《爆炸性环境第一部分：设备通用要求》（GB 3836.1）等国家标准或者行业标准的规定。工贸企业有限空间作业还应当符合下列要求：保持有限空间出入口畅通；设置明显的安全警示标志和警示说明；作业前清点作业人员和工器具；作业人员与外部有可靠的通讯联络；监护人员不得离开作业现场，并与作业人员保持联系；存在交叉作业时，采取避免互相伤害的措施。加强个体防护，为相关岗位人员配备相应的防护用品（如防毒面具、防毒手套等）。</w:t>
      </w:r>
    </w:p>
    <w:p w14:paraId="5430F648">
      <w:pPr>
        <w:bidi w:val="0"/>
        <w:rPr>
          <w:rFonts w:hint="eastAsia"/>
          <w:color w:val="auto"/>
        </w:rPr>
      </w:pPr>
      <w:r>
        <w:rPr>
          <w:rFonts w:hint="eastAsia"/>
          <w:color w:val="auto"/>
        </w:rPr>
        <w:t>建设单位应制定有限空间作业的相关制度、作业规程。</w:t>
      </w:r>
    </w:p>
    <w:p w14:paraId="2951133C">
      <w:pPr>
        <w:bidi w:val="0"/>
        <w:rPr>
          <w:rFonts w:hint="eastAsia"/>
          <w:color w:val="auto"/>
        </w:rPr>
      </w:pPr>
      <w:r>
        <w:rPr>
          <w:rFonts w:hint="eastAsia"/>
          <w:color w:val="auto"/>
        </w:rPr>
        <w:t>进有限空间作业时应按要求办理有限空间作业许可证，并执行作业规程。</w:t>
      </w:r>
    </w:p>
    <w:p w14:paraId="65E2B282">
      <w:pPr>
        <w:bidi w:val="0"/>
        <w:rPr>
          <w:rFonts w:hint="eastAsia"/>
          <w:color w:val="auto"/>
        </w:rPr>
      </w:pPr>
      <w:r>
        <w:rPr>
          <w:rFonts w:hint="eastAsia"/>
          <w:color w:val="auto"/>
        </w:rPr>
        <w:t>8、潮湿、易腐蚀的设备设施的电气线路应当穿管。</w:t>
      </w:r>
    </w:p>
    <w:p w14:paraId="32A018E4">
      <w:pPr>
        <w:bidi w:val="0"/>
        <w:rPr>
          <w:rFonts w:hint="eastAsia"/>
          <w:color w:val="auto"/>
        </w:rPr>
      </w:pPr>
      <w:r>
        <w:rPr>
          <w:rFonts w:hint="eastAsia"/>
          <w:color w:val="auto"/>
          <w:lang w:val="en-US" w:eastAsia="zh-CN"/>
        </w:rPr>
        <w:t>9</w:t>
      </w:r>
      <w:r>
        <w:rPr>
          <w:rFonts w:hint="eastAsia"/>
          <w:color w:val="auto"/>
        </w:rPr>
        <w:t>、根据《选矿安全规程》（GB/T 18152-2000）第6.15条规定，道口和有物体碰撞、坠落危险的地点，均应设醒目的警告标志和防护设施。</w:t>
      </w:r>
    </w:p>
    <w:p w14:paraId="71AFA9C0">
      <w:pPr>
        <w:bidi w:val="0"/>
        <w:rPr>
          <w:rFonts w:hint="eastAsia"/>
          <w:color w:val="auto"/>
        </w:rPr>
      </w:pPr>
      <w:r>
        <w:rPr>
          <w:rFonts w:hint="eastAsia"/>
          <w:color w:val="auto"/>
        </w:rPr>
        <w:t>1</w:t>
      </w:r>
      <w:r>
        <w:rPr>
          <w:rFonts w:hint="eastAsia"/>
          <w:color w:val="auto"/>
          <w:lang w:val="en-US" w:eastAsia="zh-CN"/>
        </w:rPr>
        <w:t>0</w:t>
      </w:r>
      <w:r>
        <w:rPr>
          <w:rFonts w:hint="eastAsia"/>
          <w:color w:val="auto"/>
        </w:rPr>
        <w:t>、根据《选矿安全规程》（GB/T 18152-2000）第6.16条规定，设备裸露的转动部分，应设防护罩或防护屏。防护罩、防护屏应分别符合GB 8196、GB 8197的要求。</w:t>
      </w:r>
    </w:p>
    <w:p w14:paraId="7BC8A17B">
      <w:pPr>
        <w:bidi w:val="0"/>
        <w:rPr>
          <w:rFonts w:hint="eastAsia"/>
          <w:color w:val="auto"/>
        </w:rPr>
      </w:pPr>
      <w:r>
        <w:rPr>
          <w:rFonts w:hint="eastAsia"/>
          <w:color w:val="auto"/>
        </w:rPr>
        <w:t>1</w:t>
      </w:r>
      <w:r>
        <w:rPr>
          <w:rFonts w:hint="eastAsia"/>
          <w:color w:val="auto"/>
          <w:lang w:val="en-US" w:eastAsia="zh-CN"/>
        </w:rPr>
        <w:t>1</w:t>
      </w:r>
      <w:r>
        <w:rPr>
          <w:rFonts w:hint="eastAsia"/>
          <w:color w:val="auto"/>
        </w:rPr>
        <w:t>、根据《选矿安全规程》（GB/T 18152-2000）第7.1.1条规定，运转设备的下列作业，应停车进行：</w:t>
      </w:r>
    </w:p>
    <w:p w14:paraId="6405F9B8">
      <w:pPr>
        <w:bidi w:val="0"/>
        <w:rPr>
          <w:rFonts w:hint="eastAsia"/>
          <w:color w:val="auto"/>
        </w:rPr>
      </w:pPr>
      <w:r>
        <w:rPr>
          <w:rFonts w:hint="eastAsia"/>
          <w:color w:val="auto"/>
        </w:rPr>
        <w:t>（1）处理故障</w:t>
      </w:r>
    </w:p>
    <w:p w14:paraId="2C813902">
      <w:pPr>
        <w:bidi w:val="0"/>
        <w:rPr>
          <w:rFonts w:hint="eastAsia"/>
          <w:color w:val="auto"/>
        </w:rPr>
      </w:pPr>
      <w:r>
        <w:rPr>
          <w:rFonts w:hint="eastAsia"/>
          <w:color w:val="auto"/>
        </w:rPr>
        <w:t>（2）更换部件</w:t>
      </w:r>
    </w:p>
    <w:p w14:paraId="34BEBD69">
      <w:pPr>
        <w:bidi w:val="0"/>
        <w:rPr>
          <w:rFonts w:hint="eastAsia"/>
          <w:color w:val="auto"/>
        </w:rPr>
      </w:pPr>
      <w:r>
        <w:rPr>
          <w:rFonts w:hint="eastAsia"/>
          <w:color w:val="auto"/>
        </w:rPr>
        <w:t>（3）局部调整设备部件</w:t>
      </w:r>
    </w:p>
    <w:p w14:paraId="2D0DB99A">
      <w:pPr>
        <w:bidi w:val="0"/>
        <w:rPr>
          <w:rFonts w:hint="eastAsia"/>
          <w:color w:val="auto"/>
        </w:rPr>
      </w:pPr>
      <w:r>
        <w:rPr>
          <w:rFonts w:hint="eastAsia"/>
          <w:color w:val="auto"/>
        </w:rPr>
        <w:t>（4）调整皮带松紧</w:t>
      </w:r>
    </w:p>
    <w:p w14:paraId="08231CBE">
      <w:pPr>
        <w:bidi w:val="0"/>
        <w:rPr>
          <w:rFonts w:hint="eastAsia"/>
          <w:color w:val="auto"/>
        </w:rPr>
      </w:pPr>
      <w:r>
        <w:rPr>
          <w:rFonts w:hint="eastAsia"/>
          <w:color w:val="auto"/>
        </w:rPr>
        <w:t>（5）清扫设备。</w:t>
      </w:r>
    </w:p>
    <w:p w14:paraId="1DDAE4BF">
      <w:pPr>
        <w:bidi w:val="0"/>
        <w:rPr>
          <w:rFonts w:hint="eastAsia"/>
          <w:color w:val="auto"/>
        </w:rPr>
      </w:pPr>
      <w:r>
        <w:rPr>
          <w:rFonts w:hint="eastAsia"/>
          <w:color w:val="auto"/>
        </w:rPr>
        <w:t>1</w:t>
      </w:r>
      <w:r>
        <w:rPr>
          <w:rFonts w:hint="eastAsia"/>
          <w:color w:val="auto"/>
          <w:lang w:val="en-US" w:eastAsia="zh-CN"/>
        </w:rPr>
        <w:t>2</w:t>
      </w:r>
      <w:r>
        <w:rPr>
          <w:rFonts w:hint="eastAsia"/>
          <w:color w:val="auto"/>
        </w:rPr>
        <w:t>、根据《选矿安全规程》（GB/T 18152-2000）第7.1.3条规定，人员进入停止运转的设备内部或上部，事前应用操作牌换电源牌，切断电源，锁上电源开关，挂上“有人作业，严禁合闸”的标志牌，并设专人监护。</w:t>
      </w:r>
    </w:p>
    <w:p w14:paraId="74E880C9">
      <w:pPr>
        <w:bidi w:val="0"/>
        <w:rPr>
          <w:rFonts w:hint="eastAsia"/>
          <w:color w:val="auto"/>
        </w:rPr>
      </w:pPr>
      <w:r>
        <w:rPr>
          <w:rFonts w:hint="eastAsia"/>
          <w:color w:val="auto"/>
        </w:rPr>
        <w:t>1</w:t>
      </w:r>
      <w:r>
        <w:rPr>
          <w:rFonts w:hint="eastAsia"/>
          <w:color w:val="auto"/>
          <w:lang w:val="en-US" w:eastAsia="zh-CN"/>
        </w:rPr>
        <w:t>3</w:t>
      </w:r>
      <w:r>
        <w:rPr>
          <w:rFonts w:hint="eastAsia"/>
          <w:color w:val="auto"/>
        </w:rPr>
        <w:t>、根据《选矿安全规程》（GB/T 18152-2000）第7.6.1条规定，操作过滤机应保持均匀给矿，分矿箱和管路应畅通。</w:t>
      </w:r>
    </w:p>
    <w:p w14:paraId="3092E9A7">
      <w:pPr>
        <w:bidi w:val="0"/>
        <w:rPr>
          <w:rFonts w:hint="eastAsia"/>
          <w:color w:val="auto"/>
        </w:rPr>
      </w:pPr>
      <w:r>
        <w:rPr>
          <w:rFonts w:hint="eastAsia"/>
          <w:color w:val="auto"/>
          <w:lang w:val="en-US" w:eastAsia="zh-CN"/>
        </w:rPr>
        <w:t>14</w:t>
      </w:r>
      <w:r>
        <w:rPr>
          <w:rFonts w:hint="eastAsia"/>
          <w:color w:val="auto"/>
        </w:rPr>
        <w:t>、根据《选矿安全规程》（GB/T 18152-2000）第7.6.2条规定，大型内滤式真空过滤机内的人行板道，应设安全装置。</w:t>
      </w:r>
    </w:p>
    <w:p w14:paraId="1EA9656E">
      <w:pPr>
        <w:bidi w:val="0"/>
        <w:rPr>
          <w:rFonts w:hint="eastAsia"/>
          <w:color w:val="auto"/>
        </w:rPr>
      </w:pPr>
      <w:r>
        <w:rPr>
          <w:rFonts w:hint="eastAsia"/>
          <w:color w:val="auto"/>
          <w:lang w:val="en-US" w:eastAsia="zh-CN"/>
        </w:rPr>
        <w:t>15</w:t>
      </w:r>
      <w:r>
        <w:rPr>
          <w:rFonts w:hint="eastAsia"/>
          <w:color w:val="auto"/>
        </w:rPr>
        <w:t>、根据《选矿安全规程》（GB/T 18152-2000）第7.6.3条规定，通往周边传动式浓缩机中心盘的走桥和上下走梯，应设置栏杆。</w:t>
      </w:r>
    </w:p>
    <w:p w14:paraId="6EE8F1C5">
      <w:pPr>
        <w:bidi w:val="0"/>
        <w:rPr>
          <w:rFonts w:hint="eastAsia"/>
          <w:color w:val="auto"/>
        </w:rPr>
      </w:pPr>
      <w:r>
        <w:rPr>
          <w:rFonts w:hint="eastAsia"/>
          <w:color w:val="auto"/>
          <w:lang w:val="en-US" w:eastAsia="zh-CN"/>
        </w:rPr>
        <w:t>16</w:t>
      </w:r>
      <w:r>
        <w:rPr>
          <w:rFonts w:hint="eastAsia"/>
          <w:color w:val="auto"/>
        </w:rPr>
        <w:t>、根据《选矿安全规程》（GB/T 18152-2000）第7.6.4条规定，夜间检查周边传动式浓缩机中心盘或开关流槽闸板，应有良好照明，并在他人监护下进行。</w:t>
      </w:r>
    </w:p>
    <w:p w14:paraId="38B0B19E">
      <w:pPr>
        <w:bidi w:val="0"/>
        <w:rPr>
          <w:rFonts w:hint="eastAsia"/>
          <w:color w:val="auto"/>
        </w:rPr>
      </w:pPr>
      <w:r>
        <w:rPr>
          <w:rFonts w:hint="eastAsia"/>
          <w:color w:val="auto"/>
          <w:lang w:val="en-US" w:eastAsia="zh-CN"/>
        </w:rPr>
        <w:t>17</w:t>
      </w:r>
      <w:r>
        <w:rPr>
          <w:rFonts w:hint="eastAsia"/>
          <w:color w:val="auto"/>
        </w:rPr>
        <w:t>、根据《选矿安全规程》（GB/T 18152-2000）第7.6.5条规定，浓缩机的溢流槽外沿，应高出地面至少0.4m；否则，应在靠近路边地段设置安全栏杆。</w:t>
      </w:r>
    </w:p>
    <w:p w14:paraId="7297F23D">
      <w:pPr>
        <w:bidi w:val="0"/>
        <w:rPr>
          <w:rFonts w:hint="eastAsia"/>
          <w:color w:val="auto"/>
        </w:rPr>
      </w:pPr>
      <w:r>
        <w:rPr>
          <w:rFonts w:hint="eastAsia"/>
          <w:color w:val="auto"/>
          <w:lang w:val="en-US" w:eastAsia="zh-CN"/>
        </w:rPr>
        <w:t>18</w:t>
      </w:r>
      <w:r>
        <w:rPr>
          <w:rFonts w:hint="eastAsia"/>
          <w:color w:val="auto"/>
        </w:rPr>
        <w:t>、根据《选矿安全规程》（GB/T 18152-2000）第7.6.6条规定，浓缩机停机之前，应停止给矿，并继续输出矿浆一定时间；恢复正常运行之前，应注意防止浓缩机超负荷运行。</w:t>
      </w:r>
    </w:p>
    <w:p w14:paraId="13A34F75">
      <w:pPr>
        <w:bidi w:val="0"/>
        <w:rPr>
          <w:rFonts w:hint="eastAsia"/>
          <w:color w:val="auto"/>
        </w:rPr>
      </w:pPr>
      <w:r>
        <w:rPr>
          <w:rFonts w:hint="eastAsia"/>
          <w:color w:val="auto"/>
          <w:lang w:val="en-US" w:eastAsia="zh-CN"/>
        </w:rPr>
        <w:t>19</w:t>
      </w:r>
      <w:r>
        <w:rPr>
          <w:rFonts w:hint="eastAsia"/>
          <w:color w:val="auto"/>
        </w:rPr>
        <w:t>、根据《选矿安全规程》（GB/T 18152-2000）第7.6.7条规定，超粒径、超比重的矿物、各种工业垃圾等，不应进入矿浆浓缩池。</w:t>
      </w:r>
    </w:p>
    <w:p w14:paraId="137C62EB">
      <w:pPr>
        <w:bidi w:val="0"/>
        <w:rPr>
          <w:rFonts w:hint="eastAsia"/>
          <w:color w:val="auto"/>
        </w:rPr>
      </w:pPr>
      <w:r>
        <w:rPr>
          <w:rFonts w:hint="eastAsia"/>
          <w:color w:val="auto"/>
        </w:rPr>
        <w:t>2</w:t>
      </w:r>
      <w:r>
        <w:rPr>
          <w:rFonts w:hint="eastAsia"/>
          <w:color w:val="auto"/>
          <w:lang w:val="en-US" w:eastAsia="zh-CN"/>
        </w:rPr>
        <w:t>0</w:t>
      </w:r>
      <w:r>
        <w:rPr>
          <w:rFonts w:hint="eastAsia"/>
          <w:color w:val="auto"/>
        </w:rPr>
        <w:t>、根据《选矿安全规程》（GB/T 18152-2000）第7.6.8条规定，须浓缩而未经浓缩的尾矿浆，除非事故处理需要，不得任意送往泵站和尾矿库。</w:t>
      </w:r>
    </w:p>
    <w:p w14:paraId="0CA04DFF">
      <w:pPr>
        <w:bidi w:val="0"/>
        <w:rPr>
          <w:rFonts w:hint="eastAsia"/>
          <w:color w:val="auto"/>
        </w:rPr>
      </w:pPr>
      <w:r>
        <w:rPr>
          <w:rFonts w:hint="eastAsia"/>
          <w:color w:val="auto"/>
        </w:rPr>
        <w:t>2</w:t>
      </w:r>
      <w:r>
        <w:rPr>
          <w:rFonts w:hint="eastAsia"/>
          <w:color w:val="auto"/>
          <w:lang w:val="en-US" w:eastAsia="zh-CN"/>
        </w:rPr>
        <w:t>1</w:t>
      </w:r>
      <w:r>
        <w:rPr>
          <w:rFonts w:hint="eastAsia"/>
          <w:color w:val="auto"/>
        </w:rPr>
        <w:t>、根据《选矿安全规程》（GB/T 18152-2000）第8.1.1条规定，砂泵站（特别是高压砂泵站）应设必要的监测仪表，容积式的砂泵站应设超压保护装置。静水压力较高的泵站应在砂泵单向阀后设置安全阀或防水锤。</w:t>
      </w:r>
    </w:p>
    <w:p w14:paraId="04CC2F5D">
      <w:pPr>
        <w:bidi w:val="0"/>
        <w:rPr>
          <w:rFonts w:hint="eastAsia"/>
          <w:color w:val="auto"/>
        </w:rPr>
      </w:pPr>
      <w:r>
        <w:rPr>
          <w:rFonts w:hint="eastAsia"/>
          <w:color w:val="auto"/>
        </w:rPr>
        <w:t>2</w:t>
      </w:r>
      <w:r>
        <w:rPr>
          <w:rFonts w:hint="eastAsia"/>
          <w:color w:val="auto"/>
          <w:lang w:val="en-US" w:eastAsia="zh-CN"/>
        </w:rPr>
        <w:t>2</w:t>
      </w:r>
      <w:r>
        <w:rPr>
          <w:rFonts w:hint="eastAsia"/>
          <w:color w:val="auto"/>
        </w:rPr>
        <w:t>、根据《选矿安全规程》（GB/T 18152-2000）第8.1.3条规定，间接串联或远距离直接串联的尾矿输送系统上的逆止阀及其他安全防护装置应经常检查和维护，确保完好有效。</w:t>
      </w:r>
    </w:p>
    <w:p w14:paraId="07FA82BA">
      <w:pPr>
        <w:bidi w:val="0"/>
        <w:rPr>
          <w:rFonts w:hint="eastAsia"/>
          <w:color w:val="auto"/>
        </w:rPr>
      </w:pPr>
      <w:r>
        <w:rPr>
          <w:rFonts w:hint="eastAsia"/>
          <w:color w:val="auto"/>
          <w:lang w:val="en-US" w:eastAsia="zh-CN"/>
        </w:rPr>
        <w:t>23</w:t>
      </w:r>
      <w:r>
        <w:rPr>
          <w:rFonts w:hint="eastAsia"/>
          <w:color w:val="auto"/>
        </w:rPr>
        <w:t>、根据《选矿安全规程》（GB/T 18152-2000）第8.1.4条规定，矿浆仓来矿处设置的格栅和仓内设置的水位指示装置，应经常冲洗清理与维护。</w:t>
      </w:r>
    </w:p>
    <w:p w14:paraId="26E78AF0">
      <w:pPr>
        <w:bidi w:val="0"/>
        <w:rPr>
          <w:rFonts w:hint="eastAsia"/>
          <w:color w:val="auto"/>
        </w:rPr>
      </w:pPr>
      <w:r>
        <w:rPr>
          <w:rFonts w:hint="eastAsia"/>
          <w:color w:val="auto"/>
          <w:lang w:val="en-US" w:eastAsia="zh-CN"/>
        </w:rPr>
        <w:t>24</w:t>
      </w:r>
      <w:r>
        <w:rPr>
          <w:rFonts w:hint="eastAsia"/>
          <w:color w:val="auto"/>
        </w:rPr>
        <w:t>、根据《选矿安全规程》（GB/T 18152-2000）第8.1.5条规定，尾矿输送管、槽、沟、渠、洞，应固定专人分班巡视检查和维护管理，防止发生淤积、堵塞、爆管、喷浆、渗漏、坍塌等事故；发现事故应及时处理，对排放的矿浆应妥善处理。</w:t>
      </w:r>
    </w:p>
    <w:p w14:paraId="70948018">
      <w:pPr>
        <w:bidi w:val="0"/>
        <w:rPr>
          <w:rFonts w:hint="eastAsia"/>
          <w:color w:val="auto"/>
        </w:rPr>
      </w:pPr>
      <w:r>
        <w:rPr>
          <w:rFonts w:hint="eastAsia"/>
          <w:color w:val="auto"/>
          <w:lang w:val="en-US" w:eastAsia="zh-CN"/>
        </w:rPr>
        <w:t>25</w:t>
      </w:r>
      <w:r>
        <w:rPr>
          <w:rFonts w:hint="eastAsia"/>
          <w:color w:val="auto"/>
        </w:rPr>
        <w:t>、根据《选矿安全规程》（GB/T 18152-2000）第9.2.4条规定，带式输送机应具有相应的防止逆转、胶带撕裂、断绳、断带、跑偏及脱槽的措施，并应有制动装置及清理胶带和滚筒的装置，线路上应有信号、电气联锁和停车装置。</w:t>
      </w:r>
    </w:p>
    <w:p w14:paraId="213A585D">
      <w:pPr>
        <w:bidi w:val="0"/>
        <w:rPr>
          <w:rFonts w:hint="eastAsia"/>
          <w:color w:val="auto"/>
        </w:rPr>
      </w:pPr>
      <w:r>
        <w:rPr>
          <w:rFonts w:hint="eastAsia"/>
          <w:color w:val="auto"/>
          <w:lang w:val="en-US" w:eastAsia="zh-CN"/>
        </w:rPr>
        <w:t>26</w:t>
      </w:r>
      <w:r>
        <w:rPr>
          <w:rFonts w:hint="eastAsia"/>
          <w:color w:val="auto"/>
        </w:rPr>
        <w:t>、根据《选矿安全规程》（GB/T 18152-2000）第9.2.6条规定，带式输送机运行应遵守下列规定：</w:t>
      </w:r>
    </w:p>
    <w:p w14:paraId="66E68119">
      <w:pPr>
        <w:bidi w:val="0"/>
        <w:rPr>
          <w:rFonts w:hint="eastAsia"/>
          <w:color w:val="auto"/>
        </w:rPr>
      </w:pPr>
      <w:r>
        <w:rPr>
          <w:rFonts w:hint="eastAsia"/>
          <w:color w:val="auto"/>
        </w:rPr>
        <w:t>（1）人员不应乘坐、跨越、钻爬带式输送机，带式输送机不应运送规定物料以外的其他物料；</w:t>
      </w:r>
    </w:p>
    <w:p w14:paraId="57DBEAF7">
      <w:pPr>
        <w:bidi w:val="0"/>
        <w:rPr>
          <w:rFonts w:hint="eastAsia"/>
          <w:color w:val="auto"/>
        </w:rPr>
      </w:pPr>
      <w:r>
        <w:rPr>
          <w:rFonts w:hint="eastAsia"/>
          <w:color w:val="auto"/>
        </w:rPr>
        <w:t>（2）不应从运行中的带式输送机上用手捡矿石（手选皮带除外）；</w:t>
      </w:r>
    </w:p>
    <w:p w14:paraId="6DDFC50B">
      <w:pPr>
        <w:bidi w:val="0"/>
        <w:rPr>
          <w:rFonts w:hint="eastAsia"/>
          <w:color w:val="auto"/>
        </w:rPr>
      </w:pPr>
      <w:r>
        <w:rPr>
          <w:rFonts w:hint="eastAsia"/>
          <w:color w:val="auto"/>
        </w:rPr>
        <w:t>（3）输送带、传动轮和改向轮上的杂物，应及时停车清除；不应在运行的输送带下清矿；</w:t>
      </w:r>
    </w:p>
    <w:p w14:paraId="579E26A8">
      <w:pPr>
        <w:bidi w:val="0"/>
        <w:rPr>
          <w:rFonts w:hint="eastAsia"/>
          <w:color w:val="auto"/>
        </w:rPr>
      </w:pPr>
      <w:r>
        <w:rPr>
          <w:rFonts w:hint="eastAsia"/>
          <w:color w:val="auto"/>
        </w:rPr>
        <w:t>（4）运行中的带式输送机，不应进行检修、打扫和注油，不应用手摸托滚、首尾轮等转动部件。</w:t>
      </w:r>
    </w:p>
    <w:p w14:paraId="04D56B47">
      <w:pPr>
        <w:bidi w:val="0"/>
        <w:rPr>
          <w:rFonts w:hint="eastAsia"/>
          <w:color w:val="auto"/>
        </w:rPr>
      </w:pPr>
      <w:r>
        <w:rPr>
          <w:rFonts w:hint="eastAsia"/>
          <w:color w:val="auto"/>
          <w:lang w:val="en-US" w:eastAsia="zh-CN"/>
        </w:rPr>
        <w:t>27</w:t>
      </w:r>
      <w:r>
        <w:rPr>
          <w:rFonts w:hint="eastAsia"/>
          <w:color w:val="auto"/>
        </w:rPr>
        <w:t>、根据《选矿安全规程》（GB/T 18152-2000）第9.2.8条规定，更换栏板、清扫器（刮泥板）和托辊，应停车、切断电源进行并应有专人监护。</w:t>
      </w:r>
    </w:p>
    <w:p w14:paraId="6E71798C">
      <w:pPr>
        <w:bidi w:val="0"/>
        <w:rPr>
          <w:rFonts w:hint="eastAsia"/>
          <w:color w:val="auto"/>
        </w:rPr>
      </w:pPr>
      <w:r>
        <w:rPr>
          <w:rFonts w:hint="eastAsia"/>
          <w:color w:val="auto"/>
          <w:lang w:val="en-US" w:eastAsia="zh-CN"/>
        </w:rPr>
        <w:t>28</w:t>
      </w:r>
      <w:r>
        <w:rPr>
          <w:rFonts w:hint="eastAsia"/>
          <w:color w:val="auto"/>
        </w:rPr>
        <w:t>、根据《选矿安全规程》（GB</w:t>
      </w:r>
      <w:r>
        <w:rPr>
          <w:rFonts w:hint="eastAsia"/>
          <w:color w:val="auto"/>
          <w:lang w:val="en-US" w:eastAsia="zh-CN"/>
        </w:rPr>
        <w:t xml:space="preserve">/T </w:t>
      </w:r>
      <w:r>
        <w:rPr>
          <w:rFonts w:hint="eastAsia"/>
          <w:color w:val="auto"/>
        </w:rPr>
        <w:t>18152-2000）第9.2.9条规定，带式输送机不能启动或打滑时，不应用脚蹬踩、用手推拉或压杠子等办法处理。</w:t>
      </w:r>
    </w:p>
    <w:p w14:paraId="6C81B8D1">
      <w:pPr>
        <w:pStyle w:val="4"/>
        <w:bidi w:val="0"/>
        <w:rPr>
          <w:rFonts w:hint="eastAsia"/>
          <w:color w:val="auto"/>
        </w:rPr>
      </w:pPr>
      <w:bookmarkStart w:id="205" w:name="_Toc13219"/>
      <w:r>
        <w:rPr>
          <w:rFonts w:hint="eastAsia"/>
          <w:color w:val="auto"/>
        </w:rPr>
        <w:t>6.2.3 公用工程及辅助设施单元安全对策措施建议</w:t>
      </w:r>
      <w:bookmarkEnd w:id="205"/>
    </w:p>
    <w:p w14:paraId="2C325A33">
      <w:pPr>
        <w:bidi w:val="0"/>
        <w:rPr>
          <w:rFonts w:hint="eastAsia"/>
          <w:color w:val="auto"/>
        </w:rPr>
      </w:pPr>
      <w:r>
        <w:rPr>
          <w:rFonts w:hint="eastAsia"/>
          <w:color w:val="auto"/>
          <w:lang w:val="en-US" w:eastAsia="zh-CN"/>
        </w:rPr>
        <w:t>1</w:t>
      </w:r>
      <w:r>
        <w:rPr>
          <w:rFonts w:hint="eastAsia"/>
          <w:color w:val="auto"/>
        </w:rPr>
        <w:t>、做好厂区人工边坡的护坡措施，并做好厂区四周排水和植被绿化工程，防止雨水冲刷产生水土流失。</w:t>
      </w:r>
    </w:p>
    <w:p w14:paraId="68DFC141">
      <w:pPr>
        <w:bidi w:val="0"/>
        <w:rPr>
          <w:rFonts w:hint="eastAsia"/>
          <w:color w:val="auto"/>
        </w:rPr>
      </w:pPr>
      <w:r>
        <w:rPr>
          <w:rFonts w:hint="eastAsia"/>
          <w:color w:val="auto"/>
          <w:lang w:val="en-US" w:eastAsia="zh-CN"/>
        </w:rPr>
        <w:t>2</w:t>
      </w:r>
      <w:r>
        <w:rPr>
          <w:rFonts w:hint="eastAsia"/>
          <w:color w:val="auto"/>
        </w:rPr>
        <w:t>、建立完善的动火管理制度，在禁火区动火必须进行动火审批、动火分析等，严格执行有关规范，采取预防措施，并加强监督检查，确保作业安全。</w:t>
      </w:r>
    </w:p>
    <w:p w14:paraId="7E2F1CBA">
      <w:pPr>
        <w:bidi w:val="0"/>
        <w:rPr>
          <w:rFonts w:hint="eastAsia"/>
          <w:color w:val="auto"/>
        </w:rPr>
      </w:pPr>
      <w:r>
        <w:rPr>
          <w:rFonts w:hint="eastAsia"/>
          <w:color w:val="auto"/>
          <w:lang w:val="en-US" w:eastAsia="zh-CN"/>
        </w:rPr>
        <w:t>3</w:t>
      </w:r>
      <w:r>
        <w:rPr>
          <w:rFonts w:hint="eastAsia"/>
          <w:color w:val="auto"/>
        </w:rPr>
        <w:t>、各建筑物之间充分考虑防火安全距离，在主要生产工段及车间配置消防设施。</w:t>
      </w:r>
    </w:p>
    <w:p w14:paraId="03AB60C3">
      <w:pPr>
        <w:bidi w:val="0"/>
        <w:rPr>
          <w:rFonts w:hint="eastAsia"/>
          <w:color w:val="auto"/>
        </w:rPr>
      </w:pPr>
      <w:r>
        <w:rPr>
          <w:rFonts w:hint="eastAsia"/>
          <w:color w:val="auto"/>
          <w:lang w:val="en-US" w:eastAsia="zh-CN"/>
        </w:rPr>
        <w:t>4</w:t>
      </w:r>
      <w:r>
        <w:rPr>
          <w:rFonts w:hint="eastAsia"/>
          <w:color w:val="auto"/>
        </w:rPr>
        <w:t>、经常对职工进行消防安全知识教育和培训，使其掌握并熟练使用灭火器材。</w:t>
      </w:r>
    </w:p>
    <w:p w14:paraId="42156526">
      <w:pPr>
        <w:bidi w:val="0"/>
        <w:rPr>
          <w:rFonts w:hint="eastAsia"/>
          <w:color w:val="auto"/>
        </w:rPr>
      </w:pPr>
      <w:r>
        <w:rPr>
          <w:rFonts w:hint="eastAsia"/>
          <w:color w:val="auto"/>
          <w:lang w:val="en-US" w:eastAsia="zh-CN"/>
        </w:rPr>
        <w:t>5</w:t>
      </w:r>
      <w:r>
        <w:rPr>
          <w:rFonts w:hint="eastAsia"/>
          <w:color w:val="auto"/>
        </w:rPr>
        <w:t>、保证电气设备绝缘良好，防止裸露，定期对电气设备进行检修，防止线路老化。</w:t>
      </w:r>
    </w:p>
    <w:p w14:paraId="7D95463F">
      <w:pPr>
        <w:bidi w:val="0"/>
        <w:rPr>
          <w:rFonts w:hint="eastAsia"/>
          <w:color w:val="auto"/>
        </w:rPr>
      </w:pPr>
      <w:r>
        <w:rPr>
          <w:rFonts w:hint="eastAsia"/>
          <w:color w:val="auto"/>
          <w:lang w:val="en-US" w:eastAsia="zh-CN"/>
        </w:rPr>
        <w:t>6</w:t>
      </w:r>
      <w:r>
        <w:rPr>
          <w:rFonts w:hint="eastAsia"/>
          <w:color w:val="auto"/>
        </w:rPr>
        <w:t>、厂房、库房等应按国家有关规定设置相应数量的安全出口，楼梯、走道及门的宽度应符合防火规范，安全疏散门应向外开启。</w:t>
      </w:r>
    </w:p>
    <w:p w14:paraId="4C9FA411">
      <w:pPr>
        <w:bidi w:val="0"/>
        <w:rPr>
          <w:rFonts w:hint="eastAsia"/>
          <w:color w:val="auto"/>
        </w:rPr>
      </w:pPr>
      <w:r>
        <w:rPr>
          <w:rFonts w:hint="eastAsia"/>
          <w:color w:val="auto"/>
          <w:lang w:val="en-US" w:eastAsia="zh-CN"/>
        </w:rPr>
        <w:t>7</w:t>
      </w:r>
      <w:r>
        <w:rPr>
          <w:rFonts w:hint="eastAsia"/>
          <w:color w:val="auto"/>
        </w:rPr>
        <w:t>、任何单位和个人，严禁擅自将消防设备和消防工具挪作他用。</w:t>
      </w:r>
    </w:p>
    <w:p w14:paraId="6FA041AF">
      <w:pPr>
        <w:bidi w:val="0"/>
        <w:rPr>
          <w:rFonts w:hint="eastAsia"/>
          <w:color w:val="auto"/>
        </w:rPr>
      </w:pPr>
      <w:r>
        <w:rPr>
          <w:rFonts w:hint="eastAsia"/>
          <w:color w:val="auto"/>
          <w:lang w:val="en-US" w:eastAsia="zh-CN"/>
        </w:rPr>
        <w:t>8</w:t>
      </w:r>
      <w:r>
        <w:rPr>
          <w:rFonts w:hint="eastAsia"/>
          <w:color w:val="auto"/>
        </w:rPr>
        <w:t>、根据《选矿安全规程》（GB/T 18152-2000）第11.2条规定，应按生产的火灾危险性分类，合理选择建构筑物的耐火等级，并采取相应的消防措施。</w:t>
      </w:r>
    </w:p>
    <w:p w14:paraId="12EAA606">
      <w:pPr>
        <w:bidi w:val="0"/>
        <w:rPr>
          <w:rFonts w:hint="eastAsia"/>
          <w:color w:val="auto"/>
        </w:rPr>
      </w:pPr>
      <w:r>
        <w:rPr>
          <w:rFonts w:hint="eastAsia"/>
          <w:color w:val="auto"/>
          <w:lang w:val="en-US" w:eastAsia="zh-CN"/>
        </w:rPr>
        <w:t>9</w:t>
      </w:r>
      <w:r>
        <w:rPr>
          <w:rFonts w:hint="eastAsia"/>
          <w:color w:val="auto"/>
        </w:rPr>
        <w:t>、根据《选矿安全规程》（GB/T 18152-2000）第11.3条规定，厂房、库房、站房、地下室，应按国家有关规定设置适当数量的安全出口。安全疏散距离和楼梯、走道及门的宽度应符合防火规范，安全疏散门应向外开启。</w:t>
      </w:r>
    </w:p>
    <w:p w14:paraId="58812408">
      <w:pPr>
        <w:bidi w:val="0"/>
        <w:rPr>
          <w:rFonts w:hint="eastAsia"/>
          <w:color w:val="auto"/>
        </w:rPr>
      </w:pPr>
      <w:r>
        <w:rPr>
          <w:rFonts w:hint="eastAsia"/>
          <w:color w:val="auto"/>
        </w:rPr>
        <w:t>1</w:t>
      </w:r>
      <w:r>
        <w:rPr>
          <w:rFonts w:hint="eastAsia"/>
          <w:color w:val="auto"/>
          <w:lang w:val="en-US" w:eastAsia="zh-CN"/>
        </w:rPr>
        <w:t>0</w:t>
      </w:r>
      <w:r>
        <w:rPr>
          <w:rFonts w:hint="eastAsia"/>
          <w:color w:val="auto"/>
        </w:rPr>
        <w:t>、根据《选矿安全规程》（GB/T 18152-2000）第11.9条规定，应经常对职工进行消防安全教育熟练使用灭火器材。</w:t>
      </w:r>
    </w:p>
    <w:p w14:paraId="5B839AD5">
      <w:pPr>
        <w:bidi w:val="0"/>
        <w:rPr>
          <w:rFonts w:hint="eastAsia"/>
          <w:color w:val="auto"/>
        </w:rPr>
      </w:pPr>
      <w:r>
        <w:rPr>
          <w:rFonts w:hint="eastAsia"/>
          <w:color w:val="auto"/>
        </w:rPr>
        <w:t>1</w:t>
      </w:r>
      <w:r>
        <w:rPr>
          <w:rFonts w:hint="eastAsia"/>
          <w:color w:val="auto"/>
          <w:lang w:val="en-US" w:eastAsia="zh-CN"/>
        </w:rPr>
        <w:t>1</w:t>
      </w:r>
      <w:r>
        <w:rPr>
          <w:rFonts w:hint="eastAsia"/>
          <w:color w:val="auto"/>
        </w:rPr>
        <w:t>、建筑物的防火间距应符合《建筑设计防火规范》（GB 0016-2014，2018版）3.4.1的要求。</w:t>
      </w:r>
    </w:p>
    <w:p w14:paraId="082E0265">
      <w:pPr>
        <w:bidi w:val="0"/>
        <w:rPr>
          <w:rFonts w:hint="eastAsia"/>
          <w:color w:val="auto"/>
        </w:rPr>
      </w:pPr>
      <w:r>
        <w:rPr>
          <w:rFonts w:hint="eastAsia"/>
          <w:color w:val="auto"/>
        </w:rPr>
        <w:t>1</w:t>
      </w:r>
      <w:r>
        <w:rPr>
          <w:rFonts w:hint="eastAsia"/>
          <w:color w:val="auto"/>
          <w:lang w:val="en-US" w:eastAsia="zh-CN"/>
        </w:rPr>
        <w:t>2</w:t>
      </w:r>
      <w:r>
        <w:rPr>
          <w:rFonts w:hint="eastAsia"/>
          <w:color w:val="auto"/>
        </w:rPr>
        <w:t>、根据《建筑设计防火规范》（GB 0016-2014，2018版）第7.1.8条规定，消防车道应符合下列要求：</w:t>
      </w:r>
    </w:p>
    <w:p w14:paraId="24B183A6">
      <w:pPr>
        <w:bidi w:val="0"/>
        <w:rPr>
          <w:rFonts w:hint="eastAsia"/>
          <w:color w:val="auto"/>
        </w:rPr>
      </w:pPr>
      <w:r>
        <w:rPr>
          <w:rFonts w:hint="eastAsia"/>
          <w:color w:val="auto"/>
        </w:rPr>
        <w:t>（1）车道的净宽度和净空高度均不应小于4.0m；</w:t>
      </w:r>
    </w:p>
    <w:p w14:paraId="24ABD98D">
      <w:pPr>
        <w:bidi w:val="0"/>
        <w:rPr>
          <w:rFonts w:hint="eastAsia"/>
          <w:color w:val="auto"/>
        </w:rPr>
      </w:pPr>
      <w:r>
        <w:rPr>
          <w:rFonts w:hint="eastAsia"/>
          <w:color w:val="auto"/>
        </w:rPr>
        <w:t>（2）转弯半径应满足消防车转弯的要求；</w:t>
      </w:r>
    </w:p>
    <w:p w14:paraId="6791D2BA">
      <w:pPr>
        <w:bidi w:val="0"/>
        <w:rPr>
          <w:rFonts w:hint="eastAsia"/>
          <w:color w:val="auto"/>
        </w:rPr>
      </w:pPr>
      <w:r>
        <w:rPr>
          <w:rFonts w:hint="eastAsia"/>
          <w:color w:val="auto"/>
        </w:rPr>
        <w:t>（3）消防车道与建筑之间不应设置妨碍消防车操作的树木、架空管线等障碍物；</w:t>
      </w:r>
    </w:p>
    <w:p w14:paraId="0D34D07F">
      <w:pPr>
        <w:bidi w:val="0"/>
        <w:rPr>
          <w:rFonts w:hint="eastAsia"/>
          <w:color w:val="auto"/>
        </w:rPr>
      </w:pPr>
      <w:r>
        <w:rPr>
          <w:rFonts w:hint="eastAsia"/>
          <w:color w:val="auto"/>
        </w:rPr>
        <w:t>（4）消防车道靠建筑外墙一侧的边缘距离建筑外墙不宜小于5m；</w:t>
      </w:r>
    </w:p>
    <w:p w14:paraId="22B8B3B9">
      <w:pPr>
        <w:bidi w:val="0"/>
        <w:rPr>
          <w:rFonts w:hint="eastAsia"/>
          <w:color w:val="auto"/>
        </w:rPr>
      </w:pPr>
      <w:r>
        <w:rPr>
          <w:rFonts w:hint="eastAsia"/>
          <w:color w:val="auto"/>
        </w:rPr>
        <w:t>（5）消防车道的坡度不宜大于8%。</w:t>
      </w:r>
    </w:p>
    <w:p w14:paraId="2C16CA15">
      <w:pPr>
        <w:bidi w:val="0"/>
        <w:rPr>
          <w:rFonts w:hint="eastAsia"/>
          <w:color w:val="auto"/>
        </w:rPr>
      </w:pPr>
      <w:r>
        <w:rPr>
          <w:rFonts w:hint="eastAsia"/>
          <w:color w:val="auto"/>
        </w:rPr>
        <w:t>1</w:t>
      </w:r>
      <w:r>
        <w:rPr>
          <w:rFonts w:hint="eastAsia"/>
          <w:color w:val="auto"/>
          <w:lang w:val="en-US" w:eastAsia="zh-CN"/>
        </w:rPr>
        <w:t>3</w:t>
      </w:r>
      <w:r>
        <w:rPr>
          <w:rFonts w:hint="eastAsia"/>
          <w:color w:val="auto"/>
        </w:rPr>
        <w:t>、根据《选矿安全规程》（GB/T 18152-2000）第12.8条规定，厂区生活饮水和生产卫生用水，其水源选择、水源卫生防护及水质标准，应符合 GB 5749 和《工业企业设计卫生标准》的有关规定。</w:t>
      </w:r>
    </w:p>
    <w:p w14:paraId="0100BF00">
      <w:pPr>
        <w:bidi w:val="0"/>
        <w:rPr>
          <w:rFonts w:hint="eastAsia"/>
          <w:color w:val="auto"/>
        </w:rPr>
      </w:pPr>
      <w:r>
        <w:rPr>
          <w:rFonts w:hint="eastAsia"/>
          <w:color w:val="auto"/>
        </w:rPr>
        <w:t>应每月进行一次水质检验，水质不合格的不应作为饮用水源。</w:t>
      </w:r>
    </w:p>
    <w:p w14:paraId="64EF9F1A">
      <w:pPr>
        <w:bidi w:val="0"/>
        <w:rPr>
          <w:rFonts w:hint="eastAsia"/>
          <w:color w:val="auto"/>
        </w:rPr>
      </w:pPr>
      <w:r>
        <w:rPr>
          <w:rFonts w:hint="eastAsia"/>
          <w:color w:val="auto"/>
        </w:rPr>
        <w:t>1</w:t>
      </w:r>
      <w:r>
        <w:rPr>
          <w:rFonts w:hint="eastAsia"/>
          <w:color w:val="auto"/>
          <w:lang w:val="en-US" w:eastAsia="zh-CN"/>
        </w:rPr>
        <w:t>4</w:t>
      </w:r>
      <w:r>
        <w:rPr>
          <w:rFonts w:hint="eastAsia"/>
          <w:color w:val="auto"/>
        </w:rPr>
        <w:t>、根据《选矿安全规程》（GB/T 18152-2000）第12.9条规定，生产车间应设饮水站，及时供给职工符合卫生标准的饮用水。户外作业的人员，应发给随身携带的水壶。</w:t>
      </w:r>
    </w:p>
    <w:p w14:paraId="06B453D4">
      <w:pPr>
        <w:bidi w:val="0"/>
        <w:rPr>
          <w:rFonts w:hint="eastAsia"/>
          <w:color w:val="auto"/>
        </w:rPr>
      </w:pPr>
      <w:r>
        <w:rPr>
          <w:rFonts w:hint="eastAsia"/>
          <w:color w:val="auto"/>
        </w:rPr>
        <w:t>1</w:t>
      </w:r>
      <w:r>
        <w:rPr>
          <w:rFonts w:hint="eastAsia"/>
          <w:color w:val="auto"/>
          <w:lang w:val="en-US" w:eastAsia="zh-CN"/>
        </w:rPr>
        <w:t>5</w:t>
      </w:r>
      <w:r>
        <w:rPr>
          <w:rFonts w:hint="eastAsia"/>
          <w:color w:val="auto"/>
        </w:rPr>
        <w:t>、根据《建筑灭火器配置设计规范》（GB 50140-2005）第5.1.1条规定，灭火器应设置在位置明显和便于取用的地点，且不得影响安全疏散。</w:t>
      </w:r>
    </w:p>
    <w:p w14:paraId="05951136">
      <w:pPr>
        <w:bidi w:val="0"/>
        <w:rPr>
          <w:rFonts w:hint="eastAsia"/>
          <w:color w:val="auto"/>
        </w:rPr>
      </w:pPr>
      <w:r>
        <w:rPr>
          <w:rFonts w:hint="eastAsia"/>
          <w:color w:val="auto"/>
        </w:rPr>
        <w:t>1</w:t>
      </w:r>
      <w:r>
        <w:rPr>
          <w:rFonts w:hint="eastAsia"/>
          <w:color w:val="auto"/>
          <w:lang w:val="en-US" w:eastAsia="zh-CN"/>
        </w:rPr>
        <w:t>6</w:t>
      </w:r>
      <w:r>
        <w:rPr>
          <w:rFonts w:hint="eastAsia"/>
          <w:color w:val="auto"/>
        </w:rPr>
        <w:t>、根据《建筑灭火器配置设计规范》（GB 50140-2005）第5.1.3条规定，灭火器的摆放应稳固，其铭牌应朝外。手提式灭火器宜设置在灭火器箱内或挂钩、托架上，其顶部离地面高度不应大于1.50m；底部离地面高度不宜小于0.08m。灭火器箱不得上锁。</w:t>
      </w:r>
    </w:p>
    <w:p w14:paraId="1BF5A985">
      <w:pPr>
        <w:bidi w:val="0"/>
        <w:rPr>
          <w:rFonts w:hint="eastAsia"/>
          <w:color w:val="auto"/>
        </w:rPr>
      </w:pPr>
      <w:r>
        <w:rPr>
          <w:rFonts w:hint="eastAsia"/>
          <w:color w:val="auto"/>
        </w:rPr>
        <w:t>1</w:t>
      </w:r>
      <w:r>
        <w:rPr>
          <w:rFonts w:hint="eastAsia"/>
          <w:color w:val="auto"/>
          <w:lang w:val="en-US" w:eastAsia="zh-CN"/>
        </w:rPr>
        <w:t>7</w:t>
      </w:r>
      <w:r>
        <w:rPr>
          <w:rFonts w:hint="eastAsia"/>
          <w:color w:val="auto"/>
        </w:rPr>
        <w:t>、灭火器的保护距离，应符合《建筑灭火器配置设计规范》（GB 50140-2005）第5.2条规定。</w:t>
      </w:r>
    </w:p>
    <w:p w14:paraId="46E79D78">
      <w:pPr>
        <w:bidi w:val="0"/>
        <w:rPr>
          <w:rFonts w:hint="eastAsia"/>
          <w:color w:val="auto"/>
        </w:rPr>
      </w:pPr>
      <w:r>
        <w:rPr>
          <w:rFonts w:hint="eastAsia"/>
          <w:color w:val="auto"/>
          <w:lang w:val="en-US" w:eastAsia="zh-CN"/>
        </w:rPr>
        <w:t>18</w:t>
      </w:r>
      <w:r>
        <w:rPr>
          <w:rFonts w:hint="eastAsia"/>
          <w:color w:val="auto"/>
        </w:rPr>
        <w:t>、根据《建筑灭火器配置设计规范》（GB 50140-2005）第6.1.1条规定，一个计算单元内配置的灭火器数量不得少于2具。</w:t>
      </w:r>
    </w:p>
    <w:p w14:paraId="47EBD4EF">
      <w:pPr>
        <w:bidi w:val="0"/>
        <w:rPr>
          <w:rFonts w:hint="eastAsia"/>
          <w:color w:val="auto"/>
        </w:rPr>
      </w:pPr>
      <w:r>
        <w:rPr>
          <w:rFonts w:hint="eastAsia"/>
          <w:color w:val="auto"/>
          <w:lang w:val="en-US" w:eastAsia="zh-CN"/>
        </w:rPr>
        <w:t>19</w:t>
      </w:r>
      <w:r>
        <w:rPr>
          <w:rFonts w:hint="eastAsia"/>
          <w:color w:val="auto"/>
        </w:rPr>
        <w:t>、根据《建筑灭火器配置设计规范》（GB 50140-2005）第6.1.2条规定，每个设置点的灭火器数量不宜多于5具。</w:t>
      </w:r>
    </w:p>
    <w:p w14:paraId="4F76A159">
      <w:pPr>
        <w:bidi w:val="0"/>
        <w:rPr>
          <w:rFonts w:hint="eastAsia"/>
          <w:color w:val="auto"/>
        </w:rPr>
      </w:pPr>
      <w:r>
        <w:rPr>
          <w:rFonts w:hint="eastAsia"/>
          <w:color w:val="auto"/>
        </w:rPr>
        <w:t>2</w:t>
      </w:r>
      <w:r>
        <w:rPr>
          <w:rFonts w:hint="eastAsia"/>
          <w:color w:val="auto"/>
          <w:lang w:val="en-US" w:eastAsia="zh-CN"/>
        </w:rPr>
        <w:t>0</w:t>
      </w:r>
      <w:r>
        <w:rPr>
          <w:rFonts w:hint="eastAsia"/>
          <w:color w:val="auto"/>
        </w:rPr>
        <w:t>、手持电动工具、电气施工机械、施工临时用电设备及潮湿场所用电设备等在有条件的情况下加装漏电保护装置，防止触电危及人身安全。</w:t>
      </w:r>
    </w:p>
    <w:p w14:paraId="25AAEB32">
      <w:pPr>
        <w:bidi w:val="0"/>
        <w:rPr>
          <w:rFonts w:hint="eastAsia"/>
          <w:color w:val="auto"/>
        </w:rPr>
      </w:pPr>
      <w:r>
        <w:rPr>
          <w:rFonts w:hint="eastAsia"/>
          <w:color w:val="auto"/>
        </w:rPr>
        <w:t>2</w:t>
      </w:r>
      <w:r>
        <w:rPr>
          <w:rFonts w:hint="eastAsia"/>
          <w:color w:val="auto"/>
          <w:lang w:val="en-US" w:eastAsia="zh-CN"/>
        </w:rPr>
        <w:t>1</w:t>
      </w:r>
      <w:r>
        <w:rPr>
          <w:rFonts w:hint="eastAsia"/>
          <w:color w:val="auto"/>
        </w:rPr>
        <w:t>、高低压配电室配电柜前、后两端的操作维护通道宽度应满足GB50053的有关规定。</w:t>
      </w:r>
    </w:p>
    <w:p w14:paraId="31802904">
      <w:pPr>
        <w:bidi w:val="0"/>
        <w:rPr>
          <w:rFonts w:hint="eastAsia"/>
          <w:color w:val="auto"/>
        </w:rPr>
      </w:pPr>
      <w:r>
        <w:rPr>
          <w:rFonts w:hint="eastAsia"/>
          <w:color w:val="auto"/>
        </w:rPr>
        <w:t>2</w:t>
      </w:r>
      <w:r>
        <w:rPr>
          <w:rFonts w:hint="eastAsia"/>
          <w:color w:val="auto"/>
          <w:lang w:val="en-US" w:eastAsia="zh-CN"/>
        </w:rPr>
        <w:t>2</w:t>
      </w:r>
      <w:r>
        <w:rPr>
          <w:rFonts w:hint="eastAsia"/>
          <w:color w:val="auto"/>
        </w:rPr>
        <w:t>、应避免电气线路发生短路、过负荷，防止引发电气火灾。</w:t>
      </w:r>
    </w:p>
    <w:p w14:paraId="11FA9ACC">
      <w:pPr>
        <w:bidi w:val="0"/>
        <w:rPr>
          <w:rFonts w:hint="eastAsia"/>
          <w:color w:val="auto"/>
        </w:rPr>
      </w:pPr>
      <w:r>
        <w:rPr>
          <w:rFonts w:hint="eastAsia"/>
          <w:color w:val="auto"/>
        </w:rPr>
        <w:t>2</w:t>
      </w:r>
      <w:r>
        <w:rPr>
          <w:rFonts w:hint="eastAsia"/>
          <w:color w:val="auto"/>
          <w:lang w:val="en-US" w:eastAsia="zh-CN"/>
        </w:rPr>
        <w:t>3</w:t>
      </w:r>
      <w:r>
        <w:rPr>
          <w:rFonts w:hint="eastAsia"/>
          <w:color w:val="auto"/>
        </w:rPr>
        <w:t>、在带电的导线、设备、变压器开关附近，不应有损坏电气绝缘或引起电气火灾的热源。</w:t>
      </w:r>
    </w:p>
    <w:p w14:paraId="2095031F">
      <w:pPr>
        <w:bidi w:val="0"/>
        <w:rPr>
          <w:rFonts w:hint="eastAsia"/>
          <w:color w:val="auto"/>
        </w:rPr>
      </w:pPr>
      <w:r>
        <w:rPr>
          <w:rFonts w:hint="eastAsia"/>
          <w:color w:val="auto"/>
        </w:rPr>
        <w:t>2</w:t>
      </w:r>
      <w:r>
        <w:rPr>
          <w:rFonts w:hint="eastAsia"/>
          <w:color w:val="auto"/>
          <w:lang w:val="en-US" w:eastAsia="zh-CN"/>
        </w:rPr>
        <w:t>4</w:t>
      </w:r>
      <w:r>
        <w:rPr>
          <w:rFonts w:hint="eastAsia"/>
          <w:color w:val="auto"/>
        </w:rPr>
        <w:t>、电源进线上应装设带漏电保护功能的断路器，以有效地消除接地电弧产生的隐患，从而大幅度降低我国单相接地短路引发的火灾。</w:t>
      </w:r>
    </w:p>
    <w:p w14:paraId="578100A5">
      <w:pPr>
        <w:bidi w:val="0"/>
        <w:rPr>
          <w:rFonts w:hint="eastAsia"/>
          <w:color w:val="auto"/>
        </w:rPr>
      </w:pPr>
      <w:r>
        <w:rPr>
          <w:rFonts w:hint="eastAsia"/>
          <w:color w:val="auto"/>
        </w:rPr>
        <w:t>2</w:t>
      </w:r>
      <w:r>
        <w:rPr>
          <w:rFonts w:hint="eastAsia"/>
          <w:color w:val="auto"/>
          <w:lang w:val="en-US" w:eastAsia="zh-CN"/>
        </w:rPr>
        <w:t>5</w:t>
      </w:r>
      <w:r>
        <w:rPr>
          <w:rFonts w:hint="eastAsia"/>
          <w:color w:val="auto"/>
        </w:rPr>
        <w:t>、严禁明接头、鸡爪子接头和电缆不正常包扎，防止引起火灾。</w:t>
      </w:r>
    </w:p>
    <w:p w14:paraId="0E84AB83">
      <w:pPr>
        <w:bidi w:val="0"/>
        <w:rPr>
          <w:rFonts w:hint="eastAsia"/>
          <w:color w:val="auto"/>
        </w:rPr>
      </w:pPr>
      <w:r>
        <w:rPr>
          <w:rFonts w:hint="eastAsia"/>
          <w:color w:val="auto"/>
        </w:rPr>
        <w:t>2</w:t>
      </w:r>
      <w:r>
        <w:rPr>
          <w:rFonts w:hint="eastAsia"/>
          <w:color w:val="auto"/>
          <w:lang w:val="en-US" w:eastAsia="zh-CN"/>
        </w:rPr>
        <w:t>6</w:t>
      </w:r>
      <w:r>
        <w:rPr>
          <w:rFonts w:hint="eastAsia"/>
          <w:color w:val="auto"/>
        </w:rPr>
        <w:t>、项目电力装置，应符合GB50070和其他有关规范、规程的要求。</w:t>
      </w:r>
    </w:p>
    <w:p w14:paraId="5C48F0BB">
      <w:pPr>
        <w:bidi w:val="0"/>
        <w:rPr>
          <w:rFonts w:hint="eastAsia"/>
          <w:color w:val="auto"/>
        </w:rPr>
      </w:pPr>
      <w:r>
        <w:rPr>
          <w:rFonts w:hint="eastAsia"/>
          <w:color w:val="auto"/>
        </w:rPr>
        <w:t>2</w:t>
      </w:r>
      <w:r>
        <w:rPr>
          <w:rFonts w:hint="eastAsia"/>
          <w:color w:val="auto"/>
          <w:lang w:val="en-US" w:eastAsia="zh-CN"/>
        </w:rPr>
        <w:t>7</w:t>
      </w:r>
      <w:r>
        <w:rPr>
          <w:rFonts w:hint="eastAsia"/>
          <w:color w:val="auto"/>
        </w:rPr>
        <w:t>、施工选用的设备和器材应符合国家现行技术标准的规定，并有合格的有效证件，要把住设备、器材的质量关，严格做好进料验收，特别是各种电器元件、导线及绝缘材料。</w:t>
      </w:r>
    </w:p>
    <w:p w14:paraId="19A1B7EF">
      <w:pPr>
        <w:bidi w:val="0"/>
        <w:rPr>
          <w:rFonts w:hint="eastAsia"/>
          <w:color w:val="auto"/>
        </w:rPr>
      </w:pPr>
      <w:r>
        <w:rPr>
          <w:rFonts w:hint="eastAsia"/>
          <w:color w:val="auto"/>
          <w:lang w:val="en-US" w:eastAsia="zh-CN"/>
        </w:rPr>
        <w:t>28</w:t>
      </w:r>
      <w:r>
        <w:rPr>
          <w:rFonts w:hint="eastAsia"/>
          <w:color w:val="auto"/>
        </w:rPr>
        <w:t>、电气设备可能被人触及的裸露带电部分，应进行可靠接地、接零保护。</w:t>
      </w:r>
    </w:p>
    <w:p w14:paraId="75660525">
      <w:pPr>
        <w:bidi w:val="0"/>
        <w:rPr>
          <w:rFonts w:hint="eastAsia"/>
          <w:color w:val="auto"/>
        </w:rPr>
      </w:pPr>
      <w:r>
        <w:rPr>
          <w:rFonts w:hint="eastAsia"/>
          <w:color w:val="auto"/>
          <w:lang w:val="en-US" w:eastAsia="zh-CN"/>
        </w:rPr>
        <w:t>29</w:t>
      </w:r>
      <w:r>
        <w:rPr>
          <w:rFonts w:hint="eastAsia"/>
          <w:color w:val="auto"/>
        </w:rPr>
        <w:t>、停电和送电，应严格执行操作票制度。</w:t>
      </w:r>
    </w:p>
    <w:p w14:paraId="368D3EA8">
      <w:pPr>
        <w:bidi w:val="0"/>
        <w:rPr>
          <w:rFonts w:hint="eastAsia"/>
          <w:color w:val="auto"/>
        </w:rPr>
      </w:pPr>
      <w:r>
        <w:rPr>
          <w:rFonts w:hint="eastAsia"/>
          <w:color w:val="auto"/>
        </w:rPr>
        <w:t>3</w:t>
      </w:r>
      <w:r>
        <w:rPr>
          <w:rFonts w:hint="eastAsia"/>
          <w:color w:val="auto"/>
          <w:lang w:val="en-US" w:eastAsia="zh-CN"/>
        </w:rPr>
        <w:t>0</w:t>
      </w:r>
      <w:r>
        <w:rPr>
          <w:rFonts w:hint="eastAsia"/>
          <w:color w:val="auto"/>
        </w:rPr>
        <w:t>、熔断器、熔丝、熔片、热继电器等保险装置，使用前应进行核对，不应任意更换或代用。</w:t>
      </w:r>
    </w:p>
    <w:p w14:paraId="4DEFE80D">
      <w:pPr>
        <w:bidi w:val="0"/>
        <w:rPr>
          <w:rFonts w:hint="eastAsia"/>
          <w:color w:val="auto"/>
        </w:rPr>
      </w:pPr>
      <w:r>
        <w:rPr>
          <w:rFonts w:hint="eastAsia"/>
          <w:color w:val="auto"/>
        </w:rPr>
        <w:t>3</w:t>
      </w:r>
      <w:r>
        <w:rPr>
          <w:rFonts w:hint="eastAsia"/>
          <w:color w:val="auto"/>
          <w:lang w:val="en-US" w:eastAsia="zh-CN"/>
        </w:rPr>
        <w:t>1</w:t>
      </w:r>
      <w:r>
        <w:rPr>
          <w:rFonts w:hint="eastAsia"/>
          <w:color w:val="auto"/>
        </w:rPr>
        <w:t>、企业供配电、电力装置的过电压保护、电气设备的保护接地以及建筑物的防雷接地等，设计严格按照国家标准有关设计规范规定执行，确保设备及人身安全，供电可靠。</w:t>
      </w:r>
    </w:p>
    <w:p w14:paraId="68C07929">
      <w:pPr>
        <w:bidi w:val="0"/>
        <w:rPr>
          <w:rFonts w:hint="eastAsia"/>
          <w:color w:val="auto"/>
        </w:rPr>
      </w:pPr>
      <w:r>
        <w:rPr>
          <w:rFonts w:hint="eastAsia"/>
          <w:color w:val="auto"/>
        </w:rPr>
        <w:t>3</w:t>
      </w:r>
      <w:r>
        <w:rPr>
          <w:rFonts w:hint="eastAsia"/>
          <w:color w:val="auto"/>
          <w:lang w:val="en-US" w:eastAsia="zh-CN"/>
        </w:rPr>
        <w:t>2</w:t>
      </w:r>
      <w:r>
        <w:rPr>
          <w:rFonts w:hint="eastAsia"/>
          <w:color w:val="auto"/>
        </w:rPr>
        <w:t>、供电线路在进线端设置避雷装置，防止高电位的侵入，确保供电的可靠性。</w:t>
      </w:r>
    </w:p>
    <w:p w14:paraId="52CAFAB0">
      <w:pPr>
        <w:bidi w:val="0"/>
        <w:rPr>
          <w:rFonts w:hint="eastAsia"/>
          <w:color w:val="auto"/>
        </w:rPr>
      </w:pPr>
      <w:r>
        <w:rPr>
          <w:rFonts w:hint="eastAsia"/>
          <w:color w:val="auto"/>
        </w:rPr>
        <w:t>3</w:t>
      </w:r>
      <w:r>
        <w:rPr>
          <w:rFonts w:hint="eastAsia"/>
          <w:color w:val="auto"/>
          <w:lang w:val="en-US" w:eastAsia="zh-CN"/>
        </w:rPr>
        <w:t>3</w:t>
      </w:r>
      <w:r>
        <w:rPr>
          <w:rFonts w:hint="eastAsia"/>
          <w:color w:val="auto"/>
        </w:rPr>
        <w:t>、根据《选矿安全规程》（GB/T 18152-2000）第6.26条规定，检修设备应事先切断电源，用操作牌换电源牌，在操作箱上挂好“禁止开动”标志牌方可开始作业。</w:t>
      </w:r>
    </w:p>
    <w:p w14:paraId="7879DE5E">
      <w:pPr>
        <w:bidi w:val="0"/>
        <w:rPr>
          <w:rFonts w:hint="eastAsia"/>
          <w:color w:val="auto"/>
        </w:rPr>
      </w:pPr>
      <w:r>
        <w:rPr>
          <w:rFonts w:hint="eastAsia"/>
          <w:color w:val="auto"/>
        </w:rPr>
        <w:t>3</w:t>
      </w:r>
      <w:r>
        <w:rPr>
          <w:rFonts w:hint="eastAsia"/>
          <w:color w:val="auto"/>
          <w:lang w:val="en-US" w:eastAsia="zh-CN"/>
        </w:rPr>
        <w:t>4</w:t>
      </w:r>
      <w:r>
        <w:rPr>
          <w:rFonts w:hint="eastAsia"/>
          <w:color w:val="auto"/>
        </w:rPr>
        <w:t>、根据《选矿安全规程》（GB/T 18152-2000）第10.1.2条规定，电气作业人员应经过专门的安全技术培训考核，持证上岗。</w:t>
      </w:r>
    </w:p>
    <w:p w14:paraId="3B0F4C6C">
      <w:pPr>
        <w:bidi w:val="0"/>
        <w:rPr>
          <w:rFonts w:hint="eastAsia"/>
          <w:color w:val="auto"/>
        </w:rPr>
      </w:pPr>
      <w:r>
        <w:rPr>
          <w:rFonts w:hint="eastAsia"/>
          <w:color w:val="auto"/>
        </w:rPr>
        <w:t>3</w:t>
      </w:r>
      <w:r>
        <w:rPr>
          <w:rFonts w:hint="eastAsia"/>
          <w:color w:val="auto"/>
          <w:lang w:val="en-US" w:eastAsia="zh-CN"/>
        </w:rPr>
        <w:t>5</w:t>
      </w:r>
      <w:r>
        <w:rPr>
          <w:rFonts w:hint="eastAsia"/>
          <w:color w:val="auto"/>
        </w:rPr>
        <w:t>、根据《选矿安全规程》（GB/T 18152-2000）第10.1.4条规定，所有电气设备和线路，应根据对人的危害程度设置明显的警示标志、防护网和安全遮栏。</w:t>
      </w:r>
    </w:p>
    <w:p w14:paraId="4AD7CCE1">
      <w:pPr>
        <w:bidi w:val="0"/>
        <w:rPr>
          <w:rFonts w:hint="eastAsia"/>
          <w:color w:val="auto"/>
        </w:rPr>
      </w:pPr>
      <w:r>
        <w:rPr>
          <w:rFonts w:hint="eastAsia"/>
          <w:color w:val="auto"/>
        </w:rPr>
        <w:t>3</w:t>
      </w:r>
      <w:r>
        <w:rPr>
          <w:rFonts w:hint="eastAsia"/>
          <w:color w:val="auto"/>
          <w:lang w:val="en-US" w:eastAsia="zh-CN"/>
        </w:rPr>
        <w:t>6</w:t>
      </w:r>
      <w:r>
        <w:rPr>
          <w:rFonts w:hint="eastAsia"/>
          <w:color w:val="auto"/>
        </w:rPr>
        <w:t>、根据《选矿安全规程》（GB/T 18152-2000）第10.1.5条规定，电气作业人员作业时，应穿戴防护用品和使用防护用具。修理、调试电气设备和线路，应由电气作业人员进行。</w:t>
      </w:r>
    </w:p>
    <w:p w14:paraId="07CF0639">
      <w:pPr>
        <w:bidi w:val="0"/>
        <w:rPr>
          <w:rFonts w:hint="eastAsia"/>
          <w:color w:val="auto"/>
        </w:rPr>
      </w:pPr>
      <w:r>
        <w:rPr>
          <w:rFonts w:hint="eastAsia"/>
          <w:color w:val="auto"/>
        </w:rPr>
        <w:t>3</w:t>
      </w:r>
      <w:r>
        <w:rPr>
          <w:rFonts w:hint="eastAsia"/>
          <w:color w:val="auto"/>
          <w:lang w:val="en-US" w:eastAsia="zh-CN"/>
        </w:rPr>
        <w:t>7</w:t>
      </w:r>
      <w:r>
        <w:rPr>
          <w:rFonts w:hint="eastAsia"/>
          <w:color w:val="auto"/>
        </w:rPr>
        <w:t>、根据《选矿安全规程》（GB/T 18152-2000）第10.1.6条规定，电气设备可能被人触及的裸露带电部分，应设置安全防护罩或遮栏及警示牌。</w:t>
      </w:r>
    </w:p>
    <w:p w14:paraId="41246D1A">
      <w:pPr>
        <w:bidi w:val="0"/>
        <w:rPr>
          <w:rFonts w:hint="eastAsia"/>
          <w:color w:val="auto"/>
        </w:rPr>
      </w:pPr>
      <w:r>
        <w:rPr>
          <w:rFonts w:hint="eastAsia"/>
          <w:color w:val="auto"/>
          <w:lang w:val="en-US" w:eastAsia="zh-CN"/>
        </w:rPr>
        <w:t>38</w:t>
      </w:r>
      <w:r>
        <w:rPr>
          <w:rFonts w:hint="eastAsia"/>
          <w:color w:val="auto"/>
        </w:rPr>
        <w:t>、根据《选矿安全规程》（GB/T 18152-2000）第10.5.4条规定，电气设备及装置的金属框架或外壳、电缆的金属包皮，应可靠接地，接地电阻应不超过2Q。</w:t>
      </w:r>
    </w:p>
    <w:p w14:paraId="1025D508">
      <w:pPr>
        <w:bidi w:val="0"/>
        <w:rPr>
          <w:rFonts w:hint="eastAsia"/>
          <w:color w:val="auto"/>
        </w:rPr>
      </w:pPr>
      <w:r>
        <w:rPr>
          <w:rFonts w:hint="eastAsia"/>
          <w:color w:val="auto"/>
          <w:lang w:val="en-US" w:eastAsia="zh-CN"/>
        </w:rPr>
        <w:t>39</w:t>
      </w:r>
      <w:r>
        <w:rPr>
          <w:rFonts w:hint="eastAsia"/>
          <w:color w:val="auto"/>
        </w:rPr>
        <w:t>、根据《20kV及以下变电所设计规范》（GB 50053-2013）第2.0.1条规定，变电所的所址应根据下列要求，经技术经济等因素综合分析和比较后确定：</w:t>
      </w:r>
    </w:p>
    <w:p w14:paraId="6076500F">
      <w:pPr>
        <w:bidi w:val="0"/>
        <w:rPr>
          <w:rFonts w:hint="eastAsia"/>
          <w:color w:val="auto"/>
        </w:rPr>
      </w:pPr>
      <w:r>
        <w:rPr>
          <w:rFonts w:hint="eastAsia"/>
          <w:color w:val="auto"/>
        </w:rPr>
        <w:t>（1）宜接近负荷中心；</w:t>
      </w:r>
    </w:p>
    <w:p w14:paraId="23A86BAF">
      <w:pPr>
        <w:bidi w:val="0"/>
        <w:rPr>
          <w:rFonts w:hint="eastAsia"/>
          <w:color w:val="auto"/>
        </w:rPr>
      </w:pPr>
      <w:r>
        <w:rPr>
          <w:rFonts w:hint="eastAsia"/>
          <w:color w:val="auto"/>
        </w:rPr>
        <w:t>（2）宜接近电源侧；</w:t>
      </w:r>
    </w:p>
    <w:p w14:paraId="15EB67DF">
      <w:pPr>
        <w:bidi w:val="0"/>
        <w:rPr>
          <w:rFonts w:hint="eastAsia"/>
          <w:color w:val="auto"/>
        </w:rPr>
      </w:pPr>
      <w:r>
        <w:rPr>
          <w:rFonts w:hint="eastAsia"/>
          <w:color w:val="auto"/>
        </w:rPr>
        <w:t>（3）应方便进出线；</w:t>
      </w:r>
    </w:p>
    <w:p w14:paraId="0D3A7835">
      <w:pPr>
        <w:bidi w:val="0"/>
        <w:rPr>
          <w:rFonts w:hint="eastAsia"/>
          <w:color w:val="auto"/>
        </w:rPr>
      </w:pPr>
      <w:r>
        <w:rPr>
          <w:rFonts w:hint="eastAsia"/>
          <w:color w:val="auto"/>
        </w:rPr>
        <w:t>（4）应方便设备运输；</w:t>
      </w:r>
    </w:p>
    <w:p w14:paraId="1513A090">
      <w:pPr>
        <w:bidi w:val="0"/>
        <w:rPr>
          <w:rFonts w:hint="eastAsia"/>
          <w:color w:val="auto"/>
        </w:rPr>
      </w:pPr>
      <w:r>
        <w:rPr>
          <w:rFonts w:hint="eastAsia"/>
          <w:color w:val="auto"/>
        </w:rPr>
        <w:t>（5）不应设在有剧烈振动或高温的场所；</w:t>
      </w:r>
    </w:p>
    <w:p w14:paraId="67CF7CCC">
      <w:pPr>
        <w:bidi w:val="0"/>
        <w:rPr>
          <w:rFonts w:hint="eastAsia"/>
          <w:color w:val="auto"/>
        </w:rPr>
      </w:pPr>
      <w:r>
        <w:rPr>
          <w:rFonts w:hint="eastAsia"/>
          <w:color w:val="auto"/>
        </w:rPr>
        <w:t>（6）不宜设在多尘或有腐蚀性物质的场所，当无法远离时，不应设在污染源盛行风向的下风侧，或应采取有效的防护措施；</w:t>
      </w:r>
    </w:p>
    <w:p w14:paraId="79AB027B">
      <w:pPr>
        <w:bidi w:val="0"/>
        <w:rPr>
          <w:rFonts w:hint="eastAsia"/>
          <w:color w:val="auto"/>
        </w:rPr>
      </w:pPr>
      <w:r>
        <w:rPr>
          <w:rFonts w:hint="eastAsia"/>
          <w:color w:val="auto"/>
        </w:rPr>
        <w:t>（7）不应设在厕所、浴室、厨房或其他经常积水场所的正下方处，也不宜设在与上述场所相贴邻的地方，当贴邻时，相邻的隔墙应做无渗漏、无结露的防水处理；</w:t>
      </w:r>
    </w:p>
    <w:p w14:paraId="4A6058DE">
      <w:pPr>
        <w:bidi w:val="0"/>
        <w:rPr>
          <w:rFonts w:hint="eastAsia"/>
          <w:color w:val="auto"/>
        </w:rPr>
      </w:pPr>
      <w:r>
        <w:rPr>
          <w:rFonts w:hint="eastAsia"/>
          <w:color w:val="auto"/>
        </w:rPr>
        <w:t>（8）当与有爆炸或火灾危险的建筑物毗连时，变电所的所址应符合现行国家标准《爆炸危险环境电力装置设计规范》（GB 50058</w:t>
      </w:r>
      <w:r>
        <w:rPr>
          <w:rFonts w:hint="eastAsia"/>
          <w:color w:val="auto"/>
          <w:lang w:val="en-US" w:eastAsia="zh-CN"/>
        </w:rPr>
        <w:t>-2014</w:t>
      </w:r>
      <w:r>
        <w:rPr>
          <w:rFonts w:hint="eastAsia"/>
          <w:color w:val="auto"/>
        </w:rPr>
        <w:t>）的有关规定；</w:t>
      </w:r>
    </w:p>
    <w:p w14:paraId="524D7628">
      <w:pPr>
        <w:bidi w:val="0"/>
        <w:rPr>
          <w:rFonts w:hint="eastAsia"/>
          <w:color w:val="auto"/>
        </w:rPr>
      </w:pPr>
      <w:r>
        <w:rPr>
          <w:rFonts w:hint="eastAsia"/>
          <w:color w:val="auto"/>
        </w:rPr>
        <w:t>（9）不应设在地势低注和可能积水的场所；</w:t>
      </w:r>
    </w:p>
    <w:p w14:paraId="2566A44B">
      <w:pPr>
        <w:bidi w:val="0"/>
        <w:rPr>
          <w:rFonts w:hint="eastAsia"/>
          <w:color w:val="auto"/>
        </w:rPr>
      </w:pPr>
      <w:r>
        <w:rPr>
          <w:rFonts w:hint="eastAsia"/>
          <w:color w:val="auto"/>
        </w:rPr>
        <w:t>（10）不宜设在对防电磁干扰有较高要求的设备机房的正上方、正下方或与其贴邻的场所，当需要设在上述场所时，应采取防电磁干扰的措施。</w:t>
      </w:r>
    </w:p>
    <w:p w14:paraId="0682764B">
      <w:pPr>
        <w:bidi w:val="0"/>
        <w:rPr>
          <w:rFonts w:hint="eastAsia"/>
          <w:color w:val="auto"/>
        </w:rPr>
      </w:pPr>
      <w:r>
        <w:rPr>
          <w:rFonts w:hint="eastAsia"/>
          <w:color w:val="auto"/>
        </w:rPr>
        <w:t>4</w:t>
      </w:r>
      <w:r>
        <w:rPr>
          <w:rFonts w:hint="eastAsia"/>
          <w:color w:val="auto"/>
          <w:lang w:val="en-US" w:eastAsia="zh-CN"/>
        </w:rPr>
        <w:t>0</w:t>
      </w:r>
      <w:r>
        <w:rPr>
          <w:rFonts w:hint="eastAsia"/>
          <w:color w:val="auto"/>
        </w:rPr>
        <w:t>、根据《20kV及以下变电所设计规范》（GB 50053-2013）第3.1.4条规定，电气设备的接地应符合现行国家标准《交流电气装置的接地设计规范》GB/T50065和《低压电气装置》（或《建筑物电气装置》）GB/T16895系列标准的有关规定。</w:t>
      </w:r>
    </w:p>
    <w:p w14:paraId="382F023E">
      <w:pPr>
        <w:bidi w:val="0"/>
        <w:rPr>
          <w:rFonts w:hint="eastAsia"/>
          <w:color w:val="auto"/>
        </w:rPr>
      </w:pPr>
      <w:r>
        <w:rPr>
          <w:rFonts w:hint="eastAsia"/>
          <w:color w:val="auto"/>
        </w:rPr>
        <w:t>4</w:t>
      </w:r>
      <w:r>
        <w:rPr>
          <w:rFonts w:hint="eastAsia"/>
          <w:color w:val="auto"/>
          <w:lang w:val="en-US" w:eastAsia="zh-CN"/>
        </w:rPr>
        <w:t>1</w:t>
      </w:r>
      <w:r>
        <w:rPr>
          <w:rFonts w:hint="eastAsia"/>
          <w:color w:val="auto"/>
        </w:rPr>
        <w:t>、根据《20kV及以下变电所设计规范》（GB 50053-2013）第4.2.2条规定，露天或半露天变电所的变压器四周应设高度不低于1.8m的固定围栏或围墙，变压器外廓与围栏或围墙的净距不应小于0.8m，变压器底部距地面不应小于0.3m。油重小于1000kg的相邻油浸变压器外廓之间的净距不应小于1.5m；油重1000kg～2500kg的相邻油浸变压器外廓之间的净距不应小于3.0m；油重大于2500kg的相邻油浸变压器外廓之间的净距不应小于5m；当不能满足上述要求时，应设置防火墙。</w:t>
      </w:r>
    </w:p>
    <w:p w14:paraId="09B5EBDE">
      <w:pPr>
        <w:bidi w:val="0"/>
        <w:rPr>
          <w:rFonts w:hint="eastAsia"/>
          <w:color w:val="auto"/>
        </w:rPr>
      </w:pPr>
      <w:r>
        <w:rPr>
          <w:rFonts w:hint="eastAsia"/>
          <w:color w:val="auto"/>
        </w:rPr>
        <w:t>4</w:t>
      </w:r>
      <w:r>
        <w:rPr>
          <w:rFonts w:hint="eastAsia"/>
          <w:color w:val="auto"/>
          <w:lang w:val="en-US" w:eastAsia="zh-CN"/>
        </w:rPr>
        <w:t>2</w:t>
      </w:r>
      <w:r>
        <w:rPr>
          <w:rFonts w:hint="eastAsia"/>
          <w:color w:val="auto"/>
        </w:rPr>
        <w:t>、根据《20kV及以下变电所设计规范》（GB 50053-2013）第4.2.3条规定，当露天或半露天变压器供给一级负荷用电时，相邻油浸变压器的净距不应小于5m；当小于5m时，应设置防火墙。</w:t>
      </w:r>
    </w:p>
    <w:p w14:paraId="3B1A2BBD">
      <w:pPr>
        <w:bidi w:val="0"/>
        <w:rPr>
          <w:rFonts w:hint="eastAsia"/>
          <w:color w:val="auto"/>
        </w:rPr>
      </w:pPr>
      <w:r>
        <w:rPr>
          <w:rFonts w:hint="eastAsia"/>
          <w:color w:val="auto"/>
        </w:rPr>
        <w:t>4</w:t>
      </w:r>
      <w:r>
        <w:rPr>
          <w:rFonts w:hint="eastAsia"/>
          <w:color w:val="auto"/>
          <w:lang w:val="en-US" w:eastAsia="zh-CN"/>
        </w:rPr>
        <w:t>3</w:t>
      </w:r>
      <w:r>
        <w:rPr>
          <w:rFonts w:hint="eastAsia"/>
          <w:color w:val="auto"/>
        </w:rPr>
        <w:t>、根据《低压配电设计规范》（GB 50054-2011）第4.1.2条规定，配电设备的布置必须遵循安全、可靠、适用和经济等原则，应便于安装、操作、搬运、检修、试验和监测。</w:t>
      </w:r>
    </w:p>
    <w:p w14:paraId="15D8660F">
      <w:pPr>
        <w:bidi w:val="0"/>
        <w:rPr>
          <w:rFonts w:hint="eastAsia"/>
          <w:color w:val="auto"/>
        </w:rPr>
      </w:pPr>
      <w:r>
        <w:rPr>
          <w:rFonts w:hint="eastAsia"/>
          <w:color w:val="auto"/>
        </w:rPr>
        <w:t>4</w:t>
      </w:r>
      <w:r>
        <w:rPr>
          <w:rFonts w:hint="eastAsia"/>
          <w:color w:val="auto"/>
          <w:lang w:val="en-US" w:eastAsia="zh-CN"/>
        </w:rPr>
        <w:t>4、</w:t>
      </w:r>
      <w:r>
        <w:rPr>
          <w:rFonts w:hint="eastAsia"/>
          <w:color w:val="auto"/>
        </w:rPr>
        <w:t>根据《电气装置安装工程 接地装置施工及验收规范》（GB 50169-2016）第3.0.4条规定，电气装置的下列金属部分，均必须接地：</w:t>
      </w:r>
    </w:p>
    <w:p w14:paraId="66489ABA">
      <w:pPr>
        <w:bidi w:val="0"/>
        <w:rPr>
          <w:rFonts w:hint="eastAsia"/>
          <w:color w:val="auto"/>
        </w:rPr>
      </w:pPr>
      <w:r>
        <w:rPr>
          <w:rFonts w:hint="eastAsia"/>
          <w:color w:val="auto"/>
        </w:rPr>
        <w:t>（1）电气设备的金属底座、框架及外壳和传动装置。</w:t>
      </w:r>
    </w:p>
    <w:p w14:paraId="45AA69A9">
      <w:pPr>
        <w:bidi w:val="0"/>
        <w:rPr>
          <w:rFonts w:hint="eastAsia"/>
          <w:color w:val="auto"/>
        </w:rPr>
      </w:pPr>
      <w:r>
        <w:rPr>
          <w:rFonts w:hint="eastAsia"/>
          <w:color w:val="auto"/>
        </w:rPr>
        <w:t>（2）携带式或移动式用电器具的金属底座和外壳。</w:t>
      </w:r>
    </w:p>
    <w:p w14:paraId="2C8C2696">
      <w:pPr>
        <w:bidi w:val="0"/>
        <w:rPr>
          <w:rFonts w:hint="eastAsia"/>
          <w:color w:val="auto"/>
        </w:rPr>
      </w:pPr>
      <w:r>
        <w:rPr>
          <w:rFonts w:hint="eastAsia"/>
          <w:color w:val="auto"/>
        </w:rPr>
        <w:t>（3）箱式变电站的金属箱体。</w:t>
      </w:r>
    </w:p>
    <w:p w14:paraId="5C8353CC">
      <w:pPr>
        <w:bidi w:val="0"/>
        <w:rPr>
          <w:rFonts w:hint="eastAsia"/>
          <w:color w:val="auto"/>
        </w:rPr>
      </w:pPr>
      <w:r>
        <w:rPr>
          <w:rFonts w:hint="eastAsia"/>
          <w:color w:val="auto"/>
        </w:rPr>
        <w:t>（4）互感器的二次绕组。</w:t>
      </w:r>
    </w:p>
    <w:p w14:paraId="08A6F6B3">
      <w:pPr>
        <w:bidi w:val="0"/>
        <w:rPr>
          <w:rFonts w:hint="eastAsia"/>
          <w:color w:val="auto"/>
        </w:rPr>
      </w:pPr>
      <w:r>
        <w:rPr>
          <w:rFonts w:hint="eastAsia"/>
          <w:color w:val="auto"/>
        </w:rPr>
        <w:t>（5）配电、控制、保护用的屏（柜、箱）及操作台的金属框架和底座。</w:t>
      </w:r>
    </w:p>
    <w:p w14:paraId="72D61B56">
      <w:pPr>
        <w:bidi w:val="0"/>
        <w:rPr>
          <w:rFonts w:hint="eastAsia"/>
          <w:color w:val="auto"/>
        </w:rPr>
      </w:pPr>
      <w:r>
        <w:rPr>
          <w:rFonts w:hint="eastAsia"/>
          <w:color w:val="auto"/>
        </w:rPr>
        <w:t>（6）电力电缆的金属护层、接头盒、终端头和金属保护管及二次电缆的屏蔽层。</w:t>
      </w:r>
    </w:p>
    <w:p w14:paraId="5BAAA31C">
      <w:pPr>
        <w:bidi w:val="0"/>
        <w:rPr>
          <w:rFonts w:hint="eastAsia"/>
          <w:color w:val="auto"/>
        </w:rPr>
      </w:pPr>
      <w:r>
        <w:rPr>
          <w:rFonts w:hint="eastAsia"/>
          <w:color w:val="auto"/>
        </w:rPr>
        <w:t>（7）电缆桥架、支架和井架。</w:t>
      </w:r>
    </w:p>
    <w:p w14:paraId="279BE7AD">
      <w:pPr>
        <w:bidi w:val="0"/>
        <w:rPr>
          <w:rFonts w:hint="eastAsia"/>
          <w:color w:val="auto"/>
        </w:rPr>
      </w:pPr>
      <w:r>
        <w:rPr>
          <w:rFonts w:hint="eastAsia"/>
          <w:color w:val="auto"/>
        </w:rPr>
        <w:t>（8）变电站（换流站）构、支架。</w:t>
      </w:r>
    </w:p>
    <w:p w14:paraId="7F768A4B">
      <w:pPr>
        <w:bidi w:val="0"/>
        <w:rPr>
          <w:rFonts w:hint="eastAsia"/>
          <w:color w:val="auto"/>
        </w:rPr>
      </w:pPr>
      <w:r>
        <w:rPr>
          <w:rFonts w:hint="eastAsia"/>
          <w:color w:val="auto"/>
        </w:rPr>
        <w:t>（9）装有架空地线或电气设备的电力线路杆塔。</w:t>
      </w:r>
    </w:p>
    <w:p w14:paraId="142FCE0F">
      <w:pPr>
        <w:bidi w:val="0"/>
        <w:rPr>
          <w:rFonts w:hint="eastAsia"/>
          <w:color w:val="auto"/>
        </w:rPr>
      </w:pPr>
      <w:r>
        <w:rPr>
          <w:rFonts w:hint="eastAsia"/>
          <w:color w:val="auto"/>
        </w:rPr>
        <w:t>（10）配电装置的金属遮栏。</w:t>
      </w:r>
    </w:p>
    <w:p w14:paraId="0B49B728">
      <w:pPr>
        <w:bidi w:val="0"/>
        <w:rPr>
          <w:rFonts w:hint="eastAsia"/>
          <w:color w:val="auto"/>
        </w:rPr>
      </w:pPr>
      <w:r>
        <w:rPr>
          <w:rFonts w:hint="eastAsia"/>
          <w:color w:val="auto"/>
        </w:rPr>
        <w:t>（11）电热设备的金属外壳。</w:t>
      </w:r>
    </w:p>
    <w:p w14:paraId="55029746">
      <w:pPr>
        <w:bidi w:val="0"/>
        <w:rPr>
          <w:rFonts w:hint="eastAsia"/>
          <w:color w:val="auto"/>
        </w:rPr>
      </w:pPr>
      <w:r>
        <w:rPr>
          <w:rFonts w:hint="eastAsia"/>
          <w:color w:val="auto"/>
        </w:rPr>
        <w:t>4</w:t>
      </w:r>
      <w:r>
        <w:rPr>
          <w:rFonts w:hint="eastAsia"/>
          <w:color w:val="auto"/>
          <w:lang w:val="en-US" w:eastAsia="zh-CN"/>
        </w:rPr>
        <w:t>5</w:t>
      </w:r>
      <w:r>
        <w:rPr>
          <w:rFonts w:hint="eastAsia"/>
          <w:color w:val="auto"/>
        </w:rPr>
        <w:t>、根据《电气装置安装工程 接地装置施工及验收规范》（GB 50169-2016）第4.2.9条规定，电气装置的接地必须单独与接地母线或接地网相连接，严禁在一条接地线中串接两个及两个以上需要接地的电气装置。</w:t>
      </w:r>
    </w:p>
    <w:p w14:paraId="6C6558BB">
      <w:pPr>
        <w:bidi w:val="0"/>
        <w:rPr>
          <w:rFonts w:hint="eastAsia"/>
          <w:color w:val="auto"/>
        </w:rPr>
      </w:pPr>
      <w:r>
        <w:rPr>
          <w:rFonts w:hint="eastAsia"/>
          <w:color w:val="auto"/>
        </w:rPr>
        <w:t>4</w:t>
      </w:r>
      <w:r>
        <w:rPr>
          <w:rFonts w:hint="eastAsia"/>
          <w:color w:val="auto"/>
          <w:lang w:val="en-US" w:eastAsia="zh-CN"/>
        </w:rPr>
        <w:t>6</w:t>
      </w:r>
      <w:r>
        <w:rPr>
          <w:rFonts w:hint="eastAsia"/>
          <w:color w:val="auto"/>
        </w:rPr>
        <w:t>、根据《电气装置安装工程 接地装置施工及验收规范》（GB 50169-2016）第4.11.3条规定，接地线与变压器中性点的连接应牢固，且防松垫圈等零件应齐全。</w:t>
      </w:r>
    </w:p>
    <w:p w14:paraId="26090069">
      <w:pPr>
        <w:bidi w:val="0"/>
        <w:rPr>
          <w:rFonts w:hint="eastAsia"/>
          <w:color w:val="auto"/>
        </w:rPr>
      </w:pPr>
      <w:r>
        <w:rPr>
          <w:rFonts w:hint="eastAsia"/>
          <w:color w:val="auto"/>
        </w:rPr>
        <w:t>4</w:t>
      </w:r>
      <w:r>
        <w:rPr>
          <w:rFonts w:hint="eastAsia"/>
          <w:color w:val="auto"/>
          <w:lang w:val="en-US" w:eastAsia="zh-CN"/>
        </w:rPr>
        <w:t>7</w:t>
      </w:r>
      <w:r>
        <w:rPr>
          <w:rFonts w:hint="eastAsia"/>
          <w:color w:val="auto"/>
        </w:rPr>
        <w:t>、根据《电气装置安装工程 接地装置施工及验收规范》（GB 50169-2016）第4.12.1条规定，接地装置的设置应符合设计要求。</w:t>
      </w:r>
    </w:p>
    <w:p w14:paraId="40B71E60">
      <w:pPr>
        <w:bidi w:val="0"/>
        <w:rPr>
          <w:rFonts w:hint="eastAsia"/>
          <w:color w:val="auto"/>
        </w:rPr>
      </w:pPr>
      <w:r>
        <w:rPr>
          <w:rFonts w:hint="eastAsia"/>
          <w:color w:val="auto"/>
          <w:lang w:val="en-US" w:eastAsia="zh-CN"/>
        </w:rPr>
        <w:t>48</w:t>
      </w:r>
      <w:r>
        <w:rPr>
          <w:rFonts w:hint="eastAsia"/>
          <w:color w:val="auto"/>
        </w:rPr>
        <w:t>、根据《电气装置安装工程 接地装置施工及验收规范》（GB 50169-2016）第4.12.2条规定，电气装置的系统接地、保护接地及建筑物的防雷接地等采用同一接地装置，接地装置的接地电阻值应符合其中最小值的要求。</w:t>
      </w:r>
    </w:p>
    <w:p w14:paraId="117347BD">
      <w:pPr>
        <w:bidi w:val="0"/>
        <w:rPr>
          <w:rFonts w:hint="eastAsia"/>
          <w:color w:val="auto"/>
        </w:rPr>
      </w:pPr>
      <w:r>
        <w:rPr>
          <w:rFonts w:hint="eastAsia"/>
          <w:color w:val="auto"/>
          <w:lang w:val="en-US" w:eastAsia="zh-CN"/>
        </w:rPr>
        <w:t>49</w:t>
      </w:r>
      <w:r>
        <w:rPr>
          <w:rFonts w:hint="eastAsia"/>
          <w:color w:val="auto"/>
        </w:rPr>
        <w:t>、根据《电气装置安装工程 接地装置施工及验收规范》（GB 50169-2016）第4.13.1条规定，携带式和移动式用电设备应用专用的绿/黄双色绝缘多股软铜绞线接地。移动式用电设备的接地线截面积不应小于2.5mm</w:t>
      </w:r>
      <w:r>
        <w:rPr>
          <w:rFonts w:hint="eastAsia"/>
          <w:color w:val="auto"/>
          <w:vertAlign w:val="superscript"/>
          <w:lang w:val="en-US" w:eastAsia="zh-CN"/>
        </w:rPr>
        <w:t>2</w:t>
      </w:r>
      <w:r>
        <w:rPr>
          <w:rFonts w:hint="eastAsia"/>
          <w:color w:val="auto"/>
        </w:rPr>
        <w:t>，携带式用电设备的接地线截面积不应小于1.5mm</w:t>
      </w:r>
      <w:r>
        <w:rPr>
          <w:rFonts w:hint="eastAsia"/>
          <w:color w:val="auto"/>
          <w:vertAlign w:val="superscript"/>
          <w:lang w:val="en-US" w:eastAsia="zh-CN"/>
        </w:rPr>
        <w:t>2</w:t>
      </w:r>
      <w:r>
        <w:rPr>
          <w:rFonts w:hint="eastAsia"/>
          <w:color w:val="auto"/>
        </w:rPr>
        <w:t>。</w:t>
      </w:r>
    </w:p>
    <w:p w14:paraId="302BE81C">
      <w:pPr>
        <w:bidi w:val="0"/>
        <w:rPr>
          <w:rFonts w:hint="eastAsia"/>
          <w:color w:val="auto"/>
        </w:rPr>
      </w:pPr>
      <w:r>
        <w:rPr>
          <w:rFonts w:hint="eastAsia"/>
          <w:color w:val="auto"/>
        </w:rPr>
        <w:t>5</w:t>
      </w:r>
      <w:r>
        <w:rPr>
          <w:rFonts w:hint="eastAsia"/>
          <w:color w:val="auto"/>
          <w:lang w:val="en-US" w:eastAsia="zh-CN"/>
        </w:rPr>
        <w:t>0</w:t>
      </w:r>
      <w:r>
        <w:rPr>
          <w:rFonts w:hint="eastAsia"/>
          <w:color w:val="auto"/>
        </w:rPr>
        <w:t>、根据《建筑物防雷设计规范》（GB 50057-2010）第4.1.2条规定，各类防雷建筑物应设内部防雷装置，并应符合下列规定：</w:t>
      </w:r>
    </w:p>
    <w:p w14:paraId="1E34248D">
      <w:pPr>
        <w:bidi w:val="0"/>
        <w:rPr>
          <w:rFonts w:hint="eastAsia"/>
          <w:color w:val="auto"/>
        </w:rPr>
      </w:pPr>
      <w:r>
        <w:rPr>
          <w:rFonts w:hint="eastAsia"/>
          <w:color w:val="auto"/>
        </w:rPr>
        <w:t>（1）在建筑物的地下室或地面层处，下列物体应与防雷装置做防雷等电位连接：</w:t>
      </w:r>
    </w:p>
    <w:p w14:paraId="609D5340">
      <w:pPr>
        <w:bidi w:val="0"/>
        <w:rPr>
          <w:rFonts w:hint="eastAsia"/>
          <w:color w:val="auto"/>
        </w:rPr>
      </w:pPr>
      <w:r>
        <w:rPr>
          <w:rFonts w:hint="eastAsia"/>
          <w:color w:val="auto"/>
        </w:rPr>
        <w:t>1）建筑物金属体。</w:t>
      </w:r>
    </w:p>
    <w:p w14:paraId="793D407D">
      <w:pPr>
        <w:bidi w:val="0"/>
        <w:rPr>
          <w:rFonts w:hint="eastAsia"/>
          <w:color w:val="auto"/>
        </w:rPr>
      </w:pPr>
      <w:r>
        <w:rPr>
          <w:rFonts w:hint="eastAsia"/>
          <w:color w:val="auto"/>
        </w:rPr>
        <w:t>2）金属装置。</w:t>
      </w:r>
    </w:p>
    <w:p w14:paraId="498F8A9C">
      <w:pPr>
        <w:bidi w:val="0"/>
        <w:rPr>
          <w:rFonts w:hint="eastAsia"/>
          <w:color w:val="auto"/>
        </w:rPr>
      </w:pPr>
      <w:r>
        <w:rPr>
          <w:rFonts w:hint="eastAsia"/>
          <w:color w:val="auto"/>
        </w:rPr>
        <w:t>3）建筑物内系统。</w:t>
      </w:r>
    </w:p>
    <w:p w14:paraId="2684A086">
      <w:pPr>
        <w:bidi w:val="0"/>
        <w:rPr>
          <w:rFonts w:hint="eastAsia"/>
          <w:color w:val="auto"/>
        </w:rPr>
      </w:pPr>
      <w:r>
        <w:rPr>
          <w:rFonts w:hint="eastAsia"/>
          <w:color w:val="auto"/>
        </w:rPr>
        <w:t>4）进出建筑物的金属管线。</w:t>
      </w:r>
    </w:p>
    <w:p w14:paraId="5933D55E">
      <w:pPr>
        <w:bidi w:val="0"/>
        <w:rPr>
          <w:rFonts w:hint="eastAsia"/>
          <w:color w:val="auto"/>
        </w:rPr>
      </w:pPr>
      <w:r>
        <w:rPr>
          <w:rFonts w:hint="eastAsia"/>
          <w:color w:val="auto"/>
        </w:rPr>
        <w:t>（2）除本条第1款的措施外，外部防雷装置与建筑物金属体、金属装置、建筑物内系统之间，尚应满足间隔距离的要求。</w:t>
      </w:r>
    </w:p>
    <w:p w14:paraId="14140B55">
      <w:pPr>
        <w:pStyle w:val="4"/>
        <w:bidi w:val="0"/>
        <w:rPr>
          <w:rFonts w:hint="eastAsia"/>
          <w:color w:val="auto"/>
        </w:rPr>
      </w:pPr>
      <w:bookmarkStart w:id="206" w:name="_Toc5559"/>
      <w:r>
        <w:rPr>
          <w:rFonts w:hint="eastAsia"/>
          <w:color w:val="auto"/>
        </w:rPr>
        <w:t>6.2.</w:t>
      </w:r>
      <w:r>
        <w:rPr>
          <w:rFonts w:hint="eastAsia"/>
          <w:color w:val="auto"/>
          <w:lang w:val="en-US" w:eastAsia="zh-CN"/>
        </w:rPr>
        <w:t>4</w:t>
      </w:r>
      <w:r>
        <w:rPr>
          <w:rFonts w:hint="eastAsia"/>
          <w:color w:val="auto"/>
        </w:rPr>
        <w:t xml:space="preserve"> 安全设施单元安全对策措施与建议</w:t>
      </w:r>
      <w:bookmarkEnd w:id="206"/>
    </w:p>
    <w:p w14:paraId="63B19D33">
      <w:pPr>
        <w:bidi w:val="0"/>
        <w:rPr>
          <w:rFonts w:hint="eastAsia"/>
          <w:color w:val="auto"/>
        </w:rPr>
      </w:pPr>
      <w:r>
        <w:rPr>
          <w:rFonts w:hint="eastAsia"/>
          <w:color w:val="auto"/>
        </w:rPr>
        <w:t>1、根据《选矿安全规程》（GB/T 18152-2000）第6.30条规定，进行高处作业（包括45°以上的斜坡），应系安全带。</w:t>
      </w:r>
    </w:p>
    <w:p w14:paraId="1CAA1809">
      <w:pPr>
        <w:bidi w:val="0"/>
        <w:rPr>
          <w:rFonts w:hint="eastAsia"/>
          <w:color w:val="auto"/>
        </w:rPr>
      </w:pPr>
      <w:r>
        <w:rPr>
          <w:rFonts w:hint="eastAsia"/>
          <w:color w:val="auto"/>
        </w:rPr>
        <w:t>2、根据《选矿安全规程》（GB/T 18152-2000）第12.1条规定，招收新职工应经过健康检查，按国家有关规定不适合从事选矿生产的人员不应录用。</w:t>
      </w:r>
    </w:p>
    <w:p w14:paraId="0D6971A0">
      <w:pPr>
        <w:bidi w:val="0"/>
        <w:rPr>
          <w:rFonts w:hint="eastAsia"/>
          <w:color w:val="auto"/>
        </w:rPr>
      </w:pPr>
      <w:r>
        <w:rPr>
          <w:rFonts w:hint="eastAsia"/>
          <w:color w:val="auto"/>
        </w:rPr>
        <w:t>3、根据《选矿安全规程》（GB/T 18152-2000）第12.7条规定，作业场所的噪声不应超过85dB（A），否则应采取综合防噪措施。</w:t>
      </w:r>
    </w:p>
    <w:p w14:paraId="6F4F0857">
      <w:pPr>
        <w:bidi w:val="0"/>
        <w:rPr>
          <w:rFonts w:hint="eastAsia"/>
          <w:color w:val="auto"/>
        </w:rPr>
      </w:pPr>
      <w:r>
        <w:rPr>
          <w:rFonts w:hint="eastAsia"/>
          <w:color w:val="auto"/>
        </w:rPr>
        <w:t>4、根据《选矿安全规程》（GB/T 18152-2000）第12.11条规定，应根据气候特点采取防暑降温或防冻避寒措施。</w:t>
      </w:r>
    </w:p>
    <w:p w14:paraId="0E331A61">
      <w:pPr>
        <w:bidi w:val="0"/>
        <w:rPr>
          <w:rFonts w:hint="eastAsia"/>
          <w:color w:val="auto"/>
        </w:rPr>
      </w:pPr>
      <w:r>
        <w:rPr>
          <w:rFonts w:hint="eastAsia"/>
          <w:color w:val="auto"/>
        </w:rPr>
        <w:t>5、根据《安全标志及其使用导则》（GB 2894-2008）第9.1条规定，标志牌应设在与安全有关的醒目地方，并使大家看见后，有足够的时间来注意它所表示的内容。环境信息标志宜设在有关场所的入口处和醒目处；局部信息标志应设在所涉及的相应危险地点或设备（部件）附近的醒目处。</w:t>
      </w:r>
    </w:p>
    <w:p w14:paraId="654772C3">
      <w:pPr>
        <w:bidi w:val="0"/>
        <w:rPr>
          <w:rFonts w:hint="eastAsia"/>
          <w:color w:val="auto"/>
        </w:rPr>
      </w:pPr>
      <w:r>
        <w:rPr>
          <w:rFonts w:hint="eastAsia"/>
          <w:color w:val="auto"/>
        </w:rPr>
        <w:t>6、根据《安全标志及其使用导则》（GB 2894-2008）第9.2条规定，标志牌不应设在门、窗、架等可移动的物体上，以免标志牌随母体物体相应移动，影响认读。标志牌前不得放置妨碍认读的障碍物。</w:t>
      </w:r>
    </w:p>
    <w:p w14:paraId="5ECFC806">
      <w:pPr>
        <w:bidi w:val="0"/>
        <w:rPr>
          <w:rFonts w:hint="eastAsia"/>
          <w:color w:val="auto"/>
        </w:rPr>
      </w:pPr>
      <w:r>
        <w:rPr>
          <w:rFonts w:hint="eastAsia"/>
          <w:color w:val="auto"/>
        </w:rPr>
        <w:t>7、根据《安全标志及其使用导则》（GB 2894-2008）第9.3条规定，标志牌的平面与视线夹角应接近90°，观察者位于最大观察距离时，最小夹角不低于75°。</w:t>
      </w:r>
    </w:p>
    <w:p w14:paraId="316DA2DC">
      <w:pPr>
        <w:bidi w:val="0"/>
        <w:rPr>
          <w:rFonts w:hint="eastAsia"/>
          <w:color w:val="auto"/>
        </w:rPr>
      </w:pPr>
      <w:r>
        <w:rPr>
          <w:rFonts w:hint="eastAsia"/>
          <w:color w:val="auto"/>
        </w:rPr>
        <w:t>8、根据《安全标志及其使用导则》（GB 2894-2008）第9.4条规定，标志牌应设置在明亮的环境中，</w:t>
      </w:r>
    </w:p>
    <w:p w14:paraId="3CAC2A92">
      <w:pPr>
        <w:bidi w:val="0"/>
        <w:rPr>
          <w:rFonts w:hint="eastAsia"/>
          <w:color w:val="auto"/>
        </w:rPr>
      </w:pPr>
      <w:r>
        <w:rPr>
          <w:rFonts w:hint="eastAsia"/>
          <w:color w:val="auto"/>
        </w:rPr>
        <w:t>9、根据《安全标志及其使用导则》（GB 2894-2008）第9.5条规定，多个标志牌在一起设置时，应按警告、禁止、指令、提示类型的顺序，先左后右、先上后下地排列。</w:t>
      </w:r>
    </w:p>
    <w:p w14:paraId="21A22EFE">
      <w:pPr>
        <w:bidi w:val="0"/>
        <w:rPr>
          <w:rFonts w:hint="eastAsia"/>
          <w:color w:val="auto"/>
        </w:rPr>
      </w:pPr>
      <w:r>
        <w:rPr>
          <w:rFonts w:hint="eastAsia"/>
          <w:color w:val="auto"/>
        </w:rPr>
        <w:t>10、根据《安全标志及其使用导则》（GB 2894-2008）第9.6条规定，标志牌的固定方式分附着式、悬挂式和柱式三种。悬挂式和附着式的固定应稳固不倾斜，柱式的标志牌和支架应牢固地联接在一起。</w:t>
      </w:r>
    </w:p>
    <w:p w14:paraId="7A583DCC">
      <w:pPr>
        <w:bidi w:val="0"/>
        <w:rPr>
          <w:rFonts w:hint="eastAsia"/>
          <w:color w:val="auto"/>
        </w:rPr>
      </w:pPr>
      <w:r>
        <w:rPr>
          <w:rFonts w:hint="eastAsia"/>
          <w:color w:val="auto"/>
        </w:rPr>
        <w:t>11、根据《安全标志及其使用导则》（GB 2894-2008）第10.1条规定，安全标志牌至少每半年检查一次，如发现有破损、变形、褪色等不符合要求时应及时修整或更换。</w:t>
      </w:r>
    </w:p>
    <w:p w14:paraId="7C08B95D">
      <w:pPr>
        <w:bidi w:val="0"/>
        <w:rPr>
          <w:rFonts w:hint="eastAsia"/>
          <w:color w:val="auto"/>
        </w:rPr>
      </w:pPr>
      <w:r>
        <w:rPr>
          <w:rFonts w:hint="eastAsia"/>
          <w:color w:val="auto"/>
        </w:rPr>
        <w:t>12、根据《安全标志及其使用导则》（GB 2894-2008）第10.2条规定，在修整或更换激光安全标志时应有临时的标志替换，以避免发生意外的伤害。</w:t>
      </w:r>
    </w:p>
    <w:p w14:paraId="776AD8DA">
      <w:pPr>
        <w:bidi w:val="0"/>
        <w:rPr>
          <w:rFonts w:hint="eastAsia"/>
          <w:color w:val="auto"/>
        </w:rPr>
      </w:pPr>
      <w:r>
        <w:rPr>
          <w:rFonts w:hint="eastAsia"/>
          <w:color w:val="auto"/>
        </w:rPr>
        <w:t>13、根据《安全标志及其使用导则》（GB 2894-2008）第A.4条规定，检查与维修：凡涂有安全色的部位，每半年应检查一次，应保持整洁、明亮，如有变色、褪色等不符合安全色范围，逆反射系数低于70%或安全色的使用环境改变时，应及时重涂或更换，以保证安全色正确、醒目，达到安全警示的目的。</w:t>
      </w:r>
    </w:p>
    <w:p w14:paraId="7E720393">
      <w:pPr>
        <w:bidi w:val="0"/>
        <w:rPr>
          <w:rFonts w:hint="eastAsia"/>
          <w:color w:val="auto"/>
        </w:rPr>
      </w:pPr>
      <w:r>
        <w:rPr>
          <w:rFonts w:hint="eastAsia"/>
          <w:color w:val="auto"/>
        </w:rPr>
        <w:t>14、根据《个体防护装备配备规范第1部分：总则》（GB39800.1-2020）第5.1.1条规定，用人单位应建立健全个体防护装备管理制度，至少应包括采购，验收、保管、选择、发放、使用、报废、培训等内容，并应建立健全个体防护装备管理档案。</w:t>
      </w:r>
    </w:p>
    <w:p w14:paraId="3EBA3FBB">
      <w:pPr>
        <w:bidi w:val="0"/>
        <w:rPr>
          <w:rFonts w:hint="eastAsia"/>
          <w:color w:val="auto"/>
        </w:rPr>
      </w:pPr>
      <w:r>
        <w:rPr>
          <w:rFonts w:hint="eastAsia"/>
          <w:color w:val="auto"/>
        </w:rPr>
        <w:t>15、根据《个体防护装备配备规范第1部分：总则》（GB39800.1-2020）第5.1.2条规定，用人单位应在入库前对个体防护装备进行进货验收，确定产品是否符合国家或行业标准；对国家规定应进行定期强检的个体防护装备，用人单位应按相关规定，委托具有检测资质的检验检测机构进行定期检验。</w:t>
      </w:r>
    </w:p>
    <w:p w14:paraId="4E479E57">
      <w:pPr>
        <w:bidi w:val="0"/>
        <w:rPr>
          <w:rFonts w:hint="eastAsia"/>
          <w:color w:val="auto"/>
        </w:rPr>
      </w:pPr>
      <w:r>
        <w:rPr>
          <w:rFonts w:hint="eastAsia"/>
          <w:color w:val="auto"/>
        </w:rPr>
        <w:t>16、根据《个体防护装备配备规范第1部分：总则》（GB39800.1-2020）第5.1.3条规定，在作业过程中发现存在其他危害因素，现有个体防护装备不能满足作业安全要求，需要另外配备时，应立即停止相关作业，按照本部分的要求配备相应的个体防护装备后，方可继续作业。</w:t>
      </w:r>
    </w:p>
    <w:p w14:paraId="172BDA8D">
      <w:pPr>
        <w:bidi w:val="0"/>
        <w:rPr>
          <w:rFonts w:hint="eastAsia"/>
          <w:color w:val="auto"/>
        </w:rPr>
      </w:pPr>
      <w:r>
        <w:rPr>
          <w:rFonts w:hint="eastAsia"/>
          <w:color w:val="auto"/>
        </w:rPr>
        <w:t>17、根据《个体防护装备配备规范第1部分：总则》（GB39800.1-2020）第5.3.1条规定，出现以下情况之一，用人单位应给子判废和更换新品：</w:t>
      </w:r>
    </w:p>
    <w:p w14:paraId="65AA2354">
      <w:pPr>
        <w:bidi w:val="0"/>
        <w:rPr>
          <w:rFonts w:hint="eastAsia"/>
          <w:color w:val="auto"/>
        </w:rPr>
      </w:pPr>
      <w:r>
        <w:rPr>
          <w:rFonts w:hint="eastAsia"/>
          <w:color w:val="auto"/>
        </w:rPr>
        <w:t>（1）个体防护装备经检验或检查被判定不合格；</w:t>
      </w:r>
    </w:p>
    <w:p w14:paraId="2D55DDFE">
      <w:pPr>
        <w:bidi w:val="0"/>
        <w:rPr>
          <w:rFonts w:hint="eastAsia"/>
          <w:color w:val="auto"/>
        </w:rPr>
      </w:pPr>
      <w:r>
        <w:rPr>
          <w:rFonts w:hint="eastAsia"/>
          <w:color w:val="auto"/>
        </w:rPr>
        <w:t>（2）个体防护装备超过有效期；</w:t>
      </w:r>
    </w:p>
    <w:p w14:paraId="7AADAD61">
      <w:pPr>
        <w:bidi w:val="0"/>
        <w:rPr>
          <w:rFonts w:hint="eastAsia"/>
          <w:color w:val="auto"/>
        </w:rPr>
      </w:pPr>
      <w:r>
        <w:rPr>
          <w:rFonts w:hint="eastAsia"/>
          <w:color w:val="auto"/>
        </w:rPr>
        <w:t>（3）个体防护装备功能已经失效；</w:t>
      </w:r>
    </w:p>
    <w:p w14:paraId="3AFA8711">
      <w:pPr>
        <w:bidi w:val="0"/>
        <w:rPr>
          <w:rFonts w:hint="eastAsia"/>
          <w:color w:val="auto"/>
        </w:rPr>
      </w:pPr>
      <w:r>
        <w:rPr>
          <w:rFonts w:hint="eastAsia"/>
          <w:color w:val="auto"/>
        </w:rPr>
        <w:t>（4）个体防护装备的使用说明书中规定的其他判废或更换条件。</w:t>
      </w:r>
    </w:p>
    <w:p w14:paraId="78E36855">
      <w:pPr>
        <w:bidi w:val="0"/>
        <w:rPr>
          <w:rFonts w:hint="eastAsia"/>
          <w:color w:val="auto"/>
        </w:rPr>
      </w:pPr>
      <w:r>
        <w:rPr>
          <w:rFonts w:hint="eastAsia"/>
          <w:color w:val="auto"/>
        </w:rPr>
        <w:t>18、根据《个体防护装备配备规范第1部分：总则》（GB39800.1-2020）第5.3.2条规定，被判废或被更换后的个体防护装备不得再次使用。</w:t>
      </w:r>
    </w:p>
    <w:p w14:paraId="2B1CE02A">
      <w:pPr>
        <w:bidi w:val="0"/>
        <w:rPr>
          <w:rFonts w:hint="eastAsia"/>
          <w:color w:val="auto"/>
        </w:rPr>
      </w:pPr>
      <w:r>
        <w:rPr>
          <w:rFonts w:hint="eastAsia"/>
          <w:color w:val="auto"/>
        </w:rPr>
        <w:t>19、根据《个体防护装备配备规范第1部分：总则》（GB39800.1-2020）第5.4.2条规定，用人单位应按计划定期对作业人员进行培训，培训内容至少应包括工作中存在的危害种类和法律法规，标准等规定的防护要求，本单位采取的控制措施，以及个体防护装备的选择，防护效果，使用方法及维护、保养方法、检查方法等。</w:t>
      </w:r>
    </w:p>
    <w:p w14:paraId="1D970755">
      <w:pPr>
        <w:bidi w:val="0"/>
        <w:rPr>
          <w:rFonts w:hint="eastAsia"/>
          <w:color w:val="auto"/>
        </w:rPr>
      </w:pPr>
      <w:r>
        <w:rPr>
          <w:rFonts w:hint="eastAsia"/>
          <w:color w:val="auto"/>
        </w:rPr>
        <w:t>20、根据《个体防护装备配备规范第1部分：总则》（GB39800.1-2020）第5.4.3条规定，当有新员工人职、员工转岗、个体防护装备配备发生变化，法律法规及标准发生变化等情况，需要培训时用人单位应及时进行培训。</w:t>
      </w:r>
    </w:p>
    <w:p w14:paraId="43AE705A">
      <w:pPr>
        <w:bidi w:val="0"/>
        <w:rPr>
          <w:rFonts w:hint="eastAsia"/>
          <w:color w:val="auto"/>
        </w:rPr>
      </w:pPr>
      <w:r>
        <w:rPr>
          <w:rFonts w:hint="eastAsia"/>
          <w:color w:val="auto"/>
        </w:rPr>
        <w:t>21、根据《个体防护装备配备规范第1部分：总则》（GB39800.1-2020）第5.4.4条规定，未按规定佩戴和使用个体防护装备的作业人员，不得上岗作业。</w:t>
      </w:r>
    </w:p>
    <w:p w14:paraId="310F90DF">
      <w:pPr>
        <w:bidi w:val="0"/>
        <w:rPr>
          <w:rFonts w:hint="eastAsia"/>
          <w:color w:val="auto"/>
        </w:rPr>
      </w:pPr>
      <w:r>
        <w:rPr>
          <w:rFonts w:hint="eastAsia"/>
          <w:color w:val="auto"/>
        </w:rPr>
        <w:t>22、根据《个体防护装备配备规范第1部分：总则》（GB39800.1-2020）第5.4.5条规定，作业人员应熟练掌握个体防护装备正确佩戴和使用方法，用人单位应监督作业人员个体防护装备的使用情况。</w:t>
      </w:r>
    </w:p>
    <w:p w14:paraId="7A3B38FD">
      <w:pPr>
        <w:pStyle w:val="4"/>
        <w:bidi w:val="0"/>
        <w:rPr>
          <w:rFonts w:hint="eastAsia"/>
          <w:color w:val="auto"/>
        </w:rPr>
      </w:pPr>
      <w:bookmarkStart w:id="207" w:name="_Toc12661"/>
      <w:r>
        <w:rPr>
          <w:rFonts w:hint="eastAsia"/>
          <w:color w:val="auto"/>
        </w:rPr>
        <w:t>6.2.</w:t>
      </w:r>
      <w:r>
        <w:rPr>
          <w:rFonts w:hint="eastAsia"/>
          <w:color w:val="auto"/>
          <w:lang w:val="en-US" w:eastAsia="zh-CN"/>
        </w:rPr>
        <w:t>5</w:t>
      </w:r>
      <w:r>
        <w:rPr>
          <w:rFonts w:hint="eastAsia"/>
          <w:color w:val="auto"/>
        </w:rPr>
        <w:t xml:space="preserve"> 安全管理单元安全对策措施建议</w:t>
      </w:r>
      <w:bookmarkEnd w:id="207"/>
    </w:p>
    <w:p w14:paraId="74118B78">
      <w:pPr>
        <w:bidi w:val="0"/>
        <w:rPr>
          <w:rFonts w:hint="eastAsia"/>
          <w:color w:val="auto"/>
        </w:rPr>
      </w:pPr>
      <w:r>
        <w:rPr>
          <w:rFonts w:hint="eastAsia"/>
          <w:color w:val="auto"/>
        </w:rPr>
        <w:t>1、企业应构建安全风险分级管控和隐患排查治理双重预防机制。</w:t>
      </w:r>
    </w:p>
    <w:p w14:paraId="14FE85DA">
      <w:pPr>
        <w:bidi w:val="0"/>
        <w:rPr>
          <w:rFonts w:hint="eastAsia"/>
          <w:color w:val="auto"/>
        </w:rPr>
      </w:pPr>
      <w:r>
        <w:rPr>
          <w:rFonts w:hint="eastAsia"/>
          <w:color w:val="auto"/>
        </w:rPr>
        <w:t>2、应认真加强工艺操作管理，严格控制好各种工艺指标。</w:t>
      </w:r>
    </w:p>
    <w:p w14:paraId="386C42B8">
      <w:pPr>
        <w:bidi w:val="0"/>
        <w:rPr>
          <w:rFonts w:hint="eastAsia"/>
          <w:color w:val="auto"/>
        </w:rPr>
      </w:pPr>
      <w:r>
        <w:rPr>
          <w:rFonts w:hint="eastAsia"/>
          <w:color w:val="auto"/>
        </w:rPr>
        <w:t>3、企业应定期检维修设备设施，并完善各生产工段的安全防护设施，定期检查维护纯水系统和污水系统，保障供、排水的稳定。</w:t>
      </w:r>
    </w:p>
    <w:p w14:paraId="2A9951A8">
      <w:pPr>
        <w:bidi w:val="0"/>
        <w:rPr>
          <w:rFonts w:hint="eastAsia"/>
          <w:color w:val="auto"/>
        </w:rPr>
      </w:pPr>
      <w:r>
        <w:rPr>
          <w:rFonts w:hint="eastAsia"/>
          <w:color w:val="auto"/>
        </w:rPr>
        <w:t>4、企业应建立健全各安全管理台帐并如实记录。</w:t>
      </w:r>
    </w:p>
    <w:p w14:paraId="120E83D4">
      <w:pPr>
        <w:bidi w:val="0"/>
        <w:rPr>
          <w:rFonts w:hint="eastAsia"/>
          <w:color w:val="auto"/>
        </w:rPr>
      </w:pPr>
      <w:r>
        <w:rPr>
          <w:rFonts w:hint="eastAsia"/>
          <w:color w:val="auto"/>
        </w:rPr>
        <w:t>5、根据《中华人民共和国安全生产法》（中华人民共和国主席令第88号）第四条规定，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59055B9D">
      <w:pPr>
        <w:bidi w:val="0"/>
        <w:rPr>
          <w:rFonts w:hint="eastAsia"/>
          <w:color w:val="auto"/>
        </w:rPr>
      </w:pPr>
      <w:r>
        <w:rPr>
          <w:rFonts w:hint="eastAsia"/>
          <w:color w:val="auto"/>
        </w:rPr>
        <w:t>6、根据《中华人民共和国安全生产法》（中华人民共和国主席令第88号）第二十一条规定，生产经营单位的主要负责人对本单位安全生产工作负有下列职责：</w:t>
      </w:r>
    </w:p>
    <w:p w14:paraId="1B16EB5E">
      <w:pPr>
        <w:bidi w:val="0"/>
        <w:rPr>
          <w:rFonts w:hint="eastAsia"/>
          <w:color w:val="auto"/>
        </w:rPr>
      </w:pPr>
      <w:r>
        <w:rPr>
          <w:rFonts w:hint="eastAsia"/>
          <w:color w:val="auto"/>
        </w:rPr>
        <w:t>（一）建立健全并落实本单位全员安全生产责任制，加强安全生产标准化建设；</w:t>
      </w:r>
    </w:p>
    <w:p w14:paraId="557D12A9">
      <w:pPr>
        <w:bidi w:val="0"/>
        <w:rPr>
          <w:rFonts w:hint="eastAsia"/>
          <w:color w:val="auto"/>
        </w:rPr>
      </w:pPr>
      <w:r>
        <w:rPr>
          <w:rFonts w:hint="eastAsia"/>
          <w:color w:val="auto"/>
        </w:rPr>
        <w:t>（二）组织制定并实施本单位安全生产规章制度和操作规程；</w:t>
      </w:r>
    </w:p>
    <w:p w14:paraId="17C98793">
      <w:pPr>
        <w:bidi w:val="0"/>
        <w:rPr>
          <w:rFonts w:hint="eastAsia"/>
          <w:color w:val="auto"/>
        </w:rPr>
      </w:pPr>
      <w:r>
        <w:rPr>
          <w:rFonts w:hint="eastAsia"/>
          <w:color w:val="auto"/>
        </w:rPr>
        <w:t>（三）组织制定并实施本单位安全生产教育和培训计划；</w:t>
      </w:r>
    </w:p>
    <w:p w14:paraId="62AE7589">
      <w:pPr>
        <w:bidi w:val="0"/>
        <w:rPr>
          <w:rFonts w:hint="eastAsia"/>
          <w:color w:val="auto"/>
        </w:rPr>
      </w:pPr>
      <w:r>
        <w:rPr>
          <w:rFonts w:hint="eastAsia"/>
          <w:color w:val="auto"/>
        </w:rPr>
        <w:t>（四）保证本单位安全生产投入的有效实施；</w:t>
      </w:r>
    </w:p>
    <w:p w14:paraId="23C1C0BC">
      <w:pPr>
        <w:bidi w:val="0"/>
        <w:rPr>
          <w:rFonts w:hint="eastAsia"/>
          <w:color w:val="auto"/>
        </w:rPr>
      </w:pPr>
      <w:r>
        <w:rPr>
          <w:rFonts w:hint="eastAsia"/>
          <w:color w:val="auto"/>
        </w:rPr>
        <w:t>（五）组织建立并落实安全风险分级管控和隐患排查治理双重预防工作机制，督促、检查本单位的安全生产工作，及时消除生产安全事故隐患；</w:t>
      </w:r>
    </w:p>
    <w:p w14:paraId="5751963E">
      <w:pPr>
        <w:bidi w:val="0"/>
        <w:rPr>
          <w:rFonts w:hint="eastAsia"/>
          <w:color w:val="auto"/>
        </w:rPr>
      </w:pPr>
      <w:r>
        <w:rPr>
          <w:rFonts w:hint="eastAsia"/>
          <w:color w:val="auto"/>
        </w:rPr>
        <w:t>（六）组织制定并实施本单位的生产安全事故应急救援预案；</w:t>
      </w:r>
    </w:p>
    <w:p w14:paraId="39CA35D6">
      <w:pPr>
        <w:bidi w:val="0"/>
        <w:rPr>
          <w:rFonts w:hint="eastAsia"/>
          <w:color w:val="auto"/>
        </w:rPr>
      </w:pPr>
      <w:r>
        <w:rPr>
          <w:rFonts w:hint="eastAsia"/>
          <w:color w:val="auto"/>
        </w:rPr>
        <w:t>（七）及时、如实报告生产安全事故。</w:t>
      </w:r>
    </w:p>
    <w:p w14:paraId="04BD0CB1">
      <w:pPr>
        <w:bidi w:val="0"/>
        <w:rPr>
          <w:rFonts w:hint="eastAsia"/>
          <w:color w:val="auto"/>
        </w:rPr>
      </w:pPr>
      <w:r>
        <w:rPr>
          <w:rFonts w:hint="eastAsia"/>
          <w:color w:val="auto"/>
        </w:rPr>
        <w:t>7、根据《中华人民共和国安全生产法》（中华人民共和国主席令第88号）第二十二条规定，生产经营单位的全员安全生产责任制应当明确各岗位的责任人员、责任范围和考核标准等内容。</w:t>
      </w:r>
    </w:p>
    <w:p w14:paraId="1B8C7384">
      <w:pPr>
        <w:bidi w:val="0"/>
        <w:rPr>
          <w:rFonts w:hint="eastAsia"/>
          <w:color w:val="auto"/>
        </w:rPr>
      </w:pPr>
      <w:r>
        <w:rPr>
          <w:rFonts w:hint="eastAsia"/>
          <w:color w:val="auto"/>
        </w:rPr>
        <w:t>生产经营单位应当建立相应的机制，加强对全员安全生产责任制落实情况的监督考核，保证全员安全生产责任制的落实。</w:t>
      </w:r>
    </w:p>
    <w:p w14:paraId="321F8674">
      <w:pPr>
        <w:bidi w:val="0"/>
        <w:rPr>
          <w:rFonts w:hint="eastAsia"/>
          <w:color w:val="auto"/>
        </w:rPr>
      </w:pPr>
      <w:r>
        <w:rPr>
          <w:rFonts w:hint="eastAsia"/>
          <w:color w:val="auto"/>
        </w:rPr>
        <w:t>8、根据《中华人民共和国安全生产法》（中华人民共和国主席令第88号）第二十四条规定，矿山、金属冶炼、建筑施工、运输单位和危险物品的生产、经营、储存、装卸单位，应当设置安全生产管理机构或者配备专职安全生产管理人员。</w:t>
      </w:r>
    </w:p>
    <w:p w14:paraId="753136FC">
      <w:pPr>
        <w:bidi w:val="0"/>
        <w:rPr>
          <w:rFonts w:hint="eastAsia"/>
          <w:color w:val="auto"/>
        </w:rPr>
      </w:pPr>
      <w:r>
        <w:rPr>
          <w:rFonts w:hint="eastAsia"/>
          <w:color w:val="auto"/>
        </w:rPr>
        <w:t>前款规定以外的其他生产经营单位，从业人员超过一百人的，应当设置安全生产管理机构或者配备专职安全生产管理人员；从业人员在一百人以下的，应当配备专职或者兼职的安全生产管理人员。</w:t>
      </w:r>
    </w:p>
    <w:p w14:paraId="7781BF92">
      <w:pPr>
        <w:bidi w:val="0"/>
        <w:rPr>
          <w:rFonts w:hint="eastAsia"/>
          <w:color w:val="auto"/>
        </w:rPr>
      </w:pPr>
      <w:r>
        <w:rPr>
          <w:rFonts w:hint="eastAsia"/>
          <w:color w:val="auto"/>
        </w:rPr>
        <w:t>9、根据《中华人民共和国安全生产法》（中华人民共和国主席令第88号）第二十八条规定，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2C0F309D">
      <w:pPr>
        <w:bidi w:val="0"/>
        <w:rPr>
          <w:rFonts w:hint="eastAsia"/>
          <w:color w:val="auto"/>
        </w:rPr>
      </w:pPr>
      <w:r>
        <w:rPr>
          <w:rFonts w:hint="eastAsia"/>
          <w:color w:val="auto"/>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75A08E7D">
      <w:pPr>
        <w:bidi w:val="0"/>
        <w:rPr>
          <w:rFonts w:hint="eastAsia"/>
          <w:color w:val="auto"/>
        </w:rPr>
      </w:pPr>
      <w:r>
        <w:rPr>
          <w:rFonts w:hint="eastAsia"/>
          <w:color w:val="auto"/>
        </w:rPr>
        <w:t>生产经营单位接收中等职业学校、高等学校学生实习的，应当对实习学生进行相应的安全生产教育和培训，提供必要的劳动防护用品。学校应当协助生产经营单位对实习学生进行安全生产教育和培训。</w:t>
      </w:r>
    </w:p>
    <w:p w14:paraId="2203ADF2">
      <w:pPr>
        <w:bidi w:val="0"/>
        <w:rPr>
          <w:rFonts w:hint="eastAsia"/>
          <w:color w:val="auto"/>
        </w:rPr>
      </w:pPr>
      <w:r>
        <w:rPr>
          <w:rFonts w:hint="eastAsia"/>
          <w:color w:val="auto"/>
        </w:rPr>
        <w:t>生产经营单位应当建立安全生产教育和培训档案，如实记录安全生产教育和培训的时间、内容、参加人员以及考核结果等情况。</w:t>
      </w:r>
    </w:p>
    <w:p w14:paraId="4EEF21A5">
      <w:pPr>
        <w:bidi w:val="0"/>
        <w:rPr>
          <w:rFonts w:hint="eastAsia"/>
          <w:color w:val="auto"/>
        </w:rPr>
      </w:pPr>
      <w:r>
        <w:rPr>
          <w:rFonts w:hint="eastAsia"/>
          <w:color w:val="auto"/>
        </w:rPr>
        <w:t>10、根据《中华人民共和国安全生产法》（中华人民共和国主席令第88号）第三十条规定，生产经营单位的特种作业人员必须按照国家有关规定经专门的安全作业培训，取得相应资格，方可上岗作业。</w:t>
      </w:r>
    </w:p>
    <w:p w14:paraId="305961D3">
      <w:pPr>
        <w:bidi w:val="0"/>
        <w:rPr>
          <w:rFonts w:hint="eastAsia"/>
          <w:color w:val="auto"/>
        </w:rPr>
      </w:pPr>
      <w:r>
        <w:rPr>
          <w:rFonts w:hint="eastAsia"/>
          <w:color w:val="auto"/>
        </w:rPr>
        <w:t>特种作业人员的范围由国务院应急管理部门会同国务院有关部门确定。</w:t>
      </w:r>
    </w:p>
    <w:p w14:paraId="22A7340C">
      <w:pPr>
        <w:bidi w:val="0"/>
        <w:rPr>
          <w:rFonts w:hint="eastAsia"/>
          <w:color w:val="auto"/>
        </w:rPr>
      </w:pPr>
      <w:r>
        <w:rPr>
          <w:rFonts w:hint="eastAsia"/>
          <w:color w:val="auto"/>
        </w:rPr>
        <w:t>11、根据《中华人民共和国安全生产法》（中华人民共和国主席令第88号）第三十一条规定，生产经营单位新建、改建、扩建工程项目的安全设施，必须与主体工程同时设计、同时施工、同时投入生产和使用。安全设施投资应当纳入建设项目概算。</w:t>
      </w:r>
    </w:p>
    <w:p w14:paraId="308F48A3">
      <w:pPr>
        <w:bidi w:val="0"/>
        <w:rPr>
          <w:rFonts w:hint="eastAsia"/>
          <w:color w:val="auto"/>
        </w:rPr>
      </w:pPr>
      <w:r>
        <w:rPr>
          <w:rFonts w:hint="eastAsia"/>
          <w:color w:val="auto"/>
        </w:rPr>
        <w:t>12、根据《中华人民共和国安全生产法》（中华人民共和国主席令第88号）第三十五条规定，生产经营单位应当在有较大危险因素的生产经营场所和有关设施、设备上，设置明显的安全警示标志。</w:t>
      </w:r>
    </w:p>
    <w:p w14:paraId="5FC4E7A7">
      <w:pPr>
        <w:bidi w:val="0"/>
        <w:rPr>
          <w:rFonts w:hint="eastAsia"/>
          <w:color w:val="auto"/>
        </w:rPr>
      </w:pPr>
      <w:r>
        <w:rPr>
          <w:rFonts w:hint="eastAsia"/>
          <w:color w:val="auto"/>
        </w:rPr>
        <w:t>13、根据《中华人民共和国安全生产法》（中华人民共和国主席令第88号）第四十条规定，生产经营单位对重大危险源应当登记建档，进行定期检测、评估、监控，并制定应急预案，告知从业人员和相关人员在紧急情况下应当采取的应急措施。</w:t>
      </w:r>
    </w:p>
    <w:p w14:paraId="406E4F04">
      <w:pPr>
        <w:bidi w:val="0"/>
        <w:rPr>
          <w:rFonts w:hint="eastAsia"/>
          <w:color w:val="auto"/>
        </w:rPr>
      </w:pPr>
      <w:r>
        <w:rPr>
          <w:rFonts w:hint="eastAsia"/>
          <w:color w:val="auto"/>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14:paraId="3CEB26E2">
      <w:pPr>
        <w:bidi w:val="0"/>
        <w:rPr>
          <w:rFonts w:hint="eastAsia"/>
          <w:color w:val="auto"/>
        </w:rPr>
      </w:pPr>
      <w:r>
        <w:rPr>
          <w:rFonts w:hint="eastAsia"/>
          <w:color w:val="auto"/>
        </w:rPr>
        <w:t>14、根据《中华人民共和国安全生产法》（中华人民共和国主席令第88号）第四十一条规定，生产经营单位应当建立安全风险分级管控制度，按照安全风险分级采取相应的管控措施。</w:t>
      </w:r>
    </w:p>
    <w:p w14:paraId="486B2F69">
      <w:pPr>
        <w:bidi w:val="0"/>
        <w:rPr>
          <w:rFonts w:hint="eastAsia"/>
          <w:color w:val="auto"/>
        </w:rPr>
      </w:pPr>
      <w:r>
        <w:rPr>
          <w:rFonts w:hint="eastAsia"/>
          <w:color w:val="auto"/>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7441F8C2">
      <w:pPr>
        <w:bidi w:val="0"/>
        <w:rPr>
          <w:rFonts w:hint="eastAsia"/>
          <w:color w:val="auto"/>
        </w:rPr>
      </w:pPr>
      <w:r>
        <w:rPr>
          <w:rFonts w:hint="eastAsia"/>
          <w:color w:val="auto"/>
        </w:rPr>
        <w:t>15、根据《中华人民共和国安全生产法》（中华人民共和国主席令第88号）第四十四条规定，生产经营单位应当教育和督促从业人员严格执行本单位的安全生产规章制度和安全操作规程；并向从业人员如实告知作业场所和工作岗位存在的危险因素、防范措施以及事故应急措施。</w:t>
      </w:r>
    </w:p>
    <w:p w14:paraId="769AC12D">
      <w:pPr>
        <w:bidi w:val="0"/>
        <w:rPr>
          <w:rFonts w:hint="eastAsia"/>
          <w:color w:val="auto"/>
        </w:rPr>
      </w:pPr>
      <w:r>
        <w:rPr>
          <w:rFonts w:hint="eastAsia"/>
          <w:color w:val="auto"/>
        </w:rPr>
        <w:t>生产经营单位应当关注从业人员的身体、心理状况和行为习惯，加强对从业人员的心理疏导、精神慰藉，严格落实岗位安全生产责任，防范从业人员行为异常导致事故发生。</w:t>
      </w:r>
    </w:p>
    <w:p w14:paraId="1CA37A8D">
      <w:pPr>
        <w:bidi w:val="0"/>
        <w:rPr>
          <w:rFonts w:hint="eastAsia"/>
          <w:color w:val="auto"/>
        </w:rPr>
      </w:pPr>
      <w:r>
        <w:rPr>
          <w:rFonts w:hint="eastAsia"/>
          <w:color w:val="auto"/>
        </w:rPr>
        <w:t>16、根据《中华人民共和国安全生产法》（中华人民共和国主席令第88号）第四十五条规定，生产经营单位必须为从业人员提供符合国家标准或者行业标准的劳动防护用品，并监督、教育从业人员按照使用规则佩戴、使用。</w:t>
      </w:r>
    </w:p>
    <w:p w14:paraId="40FF2D7A">
      <w:pPr>
        <w:bidi w:val="0"/>
        <w:rPr>
          <w:rFonts w:hint="eastAsia"/>
          <w:color w:val="auto"/>
        </w:rPr>
      </w:pPr>
      <w:r>
        <w:rPr>
          <w:rFonts w:hint="eastAsia"/>
          <w:color w:val="auto"/>
        </w:rPr>
        <w:t>17、根据《中华人民共和国安全生产法》（中华人民共和国主席令第88号）第四十六条规定，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14:paraId="04A6CF28">
      <w:pPr>
        <w:bidi w:val="0"/>
        <w:rPr>
          <w:rFonts w:hint="eastAsia"/>
          <w:color w:val="auto"/>
        </w:rPr>
      </w:pPr>
      <w:r>
        <w:rPr>
          <w:rFonts w:hint="eastAsia"/>
          <w:color w:val="auto"/>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14:paraId="327C6355">
      <w:pPr>
        <w:bidi w:val="0"/>
        <w:rPr>
          <w:rFonts w:hint="eastAsia"/>
          <w:color w:val="auto"/>
        </w:rPr>
      </w:pPr>
      <w:r>
        <w:rPr>
          <w:rFonts w:hint="eastAsia"/>
          <w:color w:val="auto"/>
        </w:rPr>
        <w:t>18、根据《中华人民共和国安全生产法》（中华人民共和国主席令第88号）第五十一条规定，生产经营单位必须依法参加工伤保险，为从业人员缴纳保险费。</w:t>
      </w:r>
    </w:p>
    <w:p w14:paraId="091A7242">
      <w:pPr>
        <w:bidi w:val="0"/>
        <w:rPr>
          <w:rFonts w:hint="eastAsia"/>
          <w:color w:val="auto"/>
        </w:rPr>
      </w:pPr>
      <w:r>
        <w:rPr>
          <w:rFonts w:hint="eastAsia"/>
          <w:color w:val="auto"/>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14:paraId="63C38849">
      <w:pPr>
        <w:bidi w:val="0"/>
        <w:rPr>
          <w:rFonts w:hint="eastAsia"/>
          <w:color w:val="auto"/>
        </w:rPr>
      </w:pPr>
      <w:r>
        <w:rPr>
          <w:rFonts w:hint="eastAsia"/>
          <w:color w:val="auto"/>
        </w:rPr>
        <w:t>19、根据《中华人民共和国安全生产法》（中华人民共和国主席令第88号）第五十七条规定，从业人员在作业过程中，应当严格落实岗位安全责任，遵守本单位的安全生产规章制度和操作规程，服从管理，正确佩戴和使用劳动防护用品。</w:t>
      </w:r>
    </w:p>
    <w:p w14:paraId="28894C01">
      <w:pPr>
        <w:bidi w:val="0"/>
        <w:rPr>
          <w:rFonts w:hint="eastAsia"/>
          <w:color w:val="auto"/>
        </w:rPr>
      </w:pPr>
      <w:r>
        <w:rPr>
          <w:rFonts w:hint="eastAsia"/>
          <w:color w:val="auto"/>
        </w:rPr>
        <w:t>20、根据《中华人民共和国安全生产法》（中华人民共和国主席令第88号）第八十一条规定，生产经营单位应当制定本单位生产安全事故应急救援预案，与所在地县级以上地方人民政府组织制定的生产安全事故应急救援预案相衔接，并定期组织演练。</w:t>
      </w:r>
    </w:p>
    <w:p w14:paraId="3A1F321E">
      <w:pPr>
        <w:bidi w:val="0"/>
        <w:rPr>
          <w:rFonts w:hint="eastAsia"/>
          <w:color w:val="auto"/>
        </w:rPr>
      </w:pPr>
      <w:r>
        <w:rPr>
          <w:rFonts w:hint="eastAsia"/>
          <w:color w:val="auto"/>
        </w:rPr>
        <w:t>21、根据《云南省安全生产条例》（云南省第十二届人民代表大会常务委员会第63号）第十三条生产经营单位应当保证安全生产所必需的资金投入。有关生产经营单位应当按照规定提取、使用安全生产费用，在成本中据实列支，专门用于改善安全生产条件。</w:t>
      </w:r>
    </w:p>
    <w:p w14:paraId="61891A98">
      <w:pPr>
        <w:bidi w:val="0"/>
        <w:rPr>
          <w:rFonts w:hint="eastAsia"/>
          <w:color w:val="auto"/>
        </w:rPr>
      </w:pPr>
      <w:r>
        <w:rPr>
          <w:rFonts w:hint="eastAsia"/>
          <w:color w:val="auto"/>
        </w:rPr>
        <w:t>22、根据《云南省安全生产条例》（云南省第十二届人民代表大会常务委员会第63号）第十八条规定，生产经营单位应当建立健全下列制度：</w:t>
      </w:r>
    </w:p>
    <w:p w14:paraId="194FBC6B">
      <w:pPr>
        <w:bidi w:val="0"/>
        <w:rPr>
          <w:rFonts w:hint="eastAsia"/>
          <w:color w:val="auto"/>
        </w:rPr>
      </w:pPr>
      <w:r>
        <w:rPr>
          <w:rFonts w:hint="eastAsia"/>
          <w:color w:val="auto"/>
        </w:rPr>
        <w:t>（一）安全生产责任制度；</w:t>
      </w:r>
    </w:p>
    <w:p w14:paraId="6AEA156D">
      <w:pPr>
        <w:bidi w:val="0"/>
        <w:rPr>
          <w:rFonts w:hint="eastAsia"/>
          <w:color w:val="auto"/>
        </w:rPr>
      </w:pPr>
      <w:r>
        <w:rPr>
          <w:rFonts w:hint="eastAsia"/>
          <w:color w:val="auto"/>
        </w:rPr>
        <w:t>（二）安全生产例会制度；</w:t>
      </w:r>
    </w:p>
    <w:p w14:paraId="09870D85">
      <w:pPr>
        <w:bidi w:val="0"/>
        <w:rPr>
          <w:rFonts w:hint="eastAsia"/>
          <w:color w:val="auto"/>
        </w:rPr>
      </w:pPr>
      <w:r>
        <w:rPr>
          <w:rFonts w:hint="eastAsia"/>
          <w:color w:val="auto"/>
        </w:rPr>
        <w:t>（三）安全生产奖惩制度；</w:t>
      </w:r>
    </w:p>
    <w:p w14:paraId="071D3C64">
      <w:pPr>
        <w:bidi w:val="0"/>
        <w:rPr>
          <w:rFonts w:hint="eastAsia"/>
          <w:color w:val="auto"/>
        </w:rPr>
      </w:pPr>
      <w:r>
        <w:rPr>
          <w:rFonts w:hint="eastAsia"/>
          <w:color w:val="auto"/>
        </w:rPr>
        <w:t>（四）安全生产教育培训制度；</w:t>
      </w:r>
    </w:p>
    <w:p w14:paraId="649C1DF3">
      <w:pPr>
        <w:bidi w:val="0"/>
        <w:rPr>
          <w:rFonts w:hint="eastAsia"/>
          <w:color w:val="auto"/>
        </w:rPr>
      </w:pPr>
      <w:r>
        <w:rPr>
          <w:rFonts w:hint="eastAsia"/>
          <w:color w:val="auto"/>
        </w:rPr>
        <w:t>（五）安全生产检查制度；</w:t>
      </w:r>
    </w:p>
    <w:p w14:paraId="78FB558A">
      <w:pPr>
        <w:bidi w:val="0"/>
        <w:rPr>
          <w:rFonts w:hint="eastAsia"/>
          <w:color w:val="auto"/>
        </w:rPr>
      </w:pPr>
      <w:r>
        <w:rPr>
          <w:rFonts w:hint="eastAsia"/>
          <w:color w:val="auto"/>
        </w:rPr>
        <w:t>（六）生产经营场所、设备、设施安全管理制度；</w:t>
      </w:r>
    </w:p>
    <w:p w14:paraId="049A1C19">
      <w:pPr>
        <w:bidi w:val="0"/>
        <w:rPr>
          <w:rFonts w:hint="eastAsia"/>
          <w:color w:val="auto"/>
        </w:rPr>
      </w:pPr>
      <w:r>
        <w:rPr>
          <w:rFonts w:hint="eastAsia"/>
          <w:color w:val="auto"/>
        </w:rPr>
        <w:t>（七）安全生产风险分级管理控制制度；</w:t>
      </w:r>
    </w:p>
    <w:p w14:paraId="2D2D22A5">
      <w:pPr>
        <w:bidi w:val="0"/>
        <w:rPr>
          <w:rFonts w:hint="eastAsia"/>
          <w:color w:val="auto"/>
        </w:rPr>
      </w:pPr>
      <w:r>
        <w:rPr>
          <w:rFonts w:hint="eastAsia"/>
          <w:color w:val="auto"/>
        </w:rPr>
        <w:t>（八）危险源管理制度；</w:t>
      </w:r>
    </w:p>
    <w:p w14:paraId="757B064A">
      <w:pPr>
        <w:bidi w:val="0"/>
        <w:rPr>
          <w:rFonts w:hint="eastAsia"/>
          <w:color w:val="auto"/>
        </w:rPr>
      </w:pPr>
      <w:r>
        <w:rPr>
          <w:rFonts w:hint="eastAsia"/>
          <w:color w:val="auto"/>
        </w:rPr>
        <w:t>（九）安全生产应急管理和事故报告处理制度；</w:t>
      </w:r>
    </w:p>
    <w:p w14:paraId="7B89D05B">
      <w:pPr>
        <w:bidi w:val="0"/>
        <w:rPr>
          <w:rFonts w:hint="eastAsia"/>
          <w:color w:val="auto"/>
        </w:rPr>
      </w:pPr>
      <w:r>
        <w:rPr>
          <w:rFonts w:hint="eastAsia"/>
          <w:color w:val="auto"/>
        </w:rPr>
        <w:t>（十）危险作业、特种作业人员、劳动防护用品管理制度；</w:t>
      </w:r>
    </w:p>
    <w:p w14:paraId="64755808">
      <w:pPr>
        <w:bidi w:val="0"/>
        <w:rPr>
          <w:rFonts w:hint="eastAsia"/>
          <w:color w:val="auto"/>
        </w:rPr>
      </w:pPr>
      <w:r>
        <w:rPr>
          <w:rFonts w:hint="eastAsia"/>
          <w:color w:val="auto"/>
        </w:rPr>
        <w:t>（十一）法律法规规定的其他安全生产制度。</w:t>
      </w:r>
    </w:p>
    <w:p w14:paraId="4FC9BA46">
      <w:pPr>
        <w:bidi w:val="0"/>
        <w:rPr>
          <w:rFonts w:hint="eastAsia"/>
          <w:color w:val="auto"/>
        </w:rPr>
      </w:pPr>
      <w:r>
        <w:rPr>
          <w:rFonts w:hint="eastAsia"/>
          <w:color w:val="auto"/>
        </w:rPr>
        <w:t>23、根据《云南省安全生产条例》（云南省第十二届人民代表大会常务委员会第63号）第二十一条规定，生产经营单位进行高处作业、有限空间作业、危险物品充装和接卸作业、危险场所动火作业等危险作业，应当严格执行操作规程，落实安全措施，加强现场安全管理。</w:t>
      </w:r>
    </w:p>
    <w:p w14:paraId="3E4BEA05">
      <w:pPr>
        <w:bidi w:val="0"/>
        <w:rPr>
          <w:rFonts w:hint="eastAsia"/>
          <w:color w:val="auto"/>
        </w:rPr>
      </w:pPr>
      <w:r>
        <w:rPr>
          <w:rFonts w:hint="eastAsia"/>
          <w:color w:val="auto"/>
        </w:rPr>
        <w:t>24、根据《云南省安全生产条例》（云南省第十二届人民代表大会常务委员会第63号）第二十二条规定，生产经营单位应当按照有关规定对从业人员、被派遣劳动者和实习人员，以及离岗后重新上岗、换岗和采用新工艺、新技术、新材料或者使用新设备人员进行安全生产教育和培训。未经安全生产教育和培训合格的，不得安排上岗作业。</w:t>
      </w:r>
    </w:p>
    <w:p w14:paraId="33F4E06E">
      <w:pPr>
        <w:bidi w:val="0"/>
        <w:rPr>
          <w:color w:val="auto"/>
        </w:rPr>
      </w:pPr>
      <w:r>
        <w:rPr>
          <w:rFonts w:hint="eastAsia"/>
          <w:color w:val="auto"/>
        </w:rPr>
        <w:t>生产经营单位应当建立安全生产教育和培训档案，如实记录安全生产教育和培训的时间、地点、内容、师资、参加人员、考核结果等情况。</w:t>
      </w:r>
    </w:p>
    <w:p w14:paraId="1F874866">
      <w:pPr>
        <w:rPr>
          <w:color w:val="auto"/>
        </w:rPr>
      </w:pPr>
      <w:r>
        <w:rPr>
          <w:color w:val="auto"/>
        </w:rPr>
        <w:br w:type="page"/>
      </w:r>
    </w:p>
    <w:p w14:paraId="29F2068F">
      <w:pPr>
        <w:pStyle w:val="2"/>
        <w:bidi w:val="0"/>
        <w:rPr>
          <w:rFonts w:hint="eastAsia"/>
          <w:color w:val="auto"/>
        </w:rPr>
      </w:pPr>
      <w:bookmarkStart w:id="208" w:name="_Toc11452"/>
      <w:r>
        <w:rPr>
          <w:rFonts w:hint="eastAsia"/>
          <w:color w:val="auto"/>
        </w:rPr>
        <w:t>7 安全验收评价结论</w:t>
      </w:r>
      <w:bookmarkEnd w:id="208"/>
    </w:p>
    <w:p w14:paraId="2BB377E2">
      <w:pPr>
        <w:pStyle w:val="3"/>
        <w:bidi w:val="0"/>
        <w:rPr>
          <w:rFonts w:hint="eastAsia"/>
          <w:color w:val="auto"/>
        </w:rPr>
      </w:pPr>
      <w:bookmarkStart w:id="209" w:name="_Toc21012"/>
      <w:r>
        <w:rPr>
          <w:rFonts w:hint="eastAsia"/>
          <w:color w:val="auto"/>
        </w:rPr>
        <w:t>7.1 存在的主要危险、有害因素</w:t>
      </w:r>
      <w:bookmarkEnd w:id="209"/>
    </w:p>
    <w:p w14:paraId="348697E1">
      <w:pPr>
        <w:bidi w:val="0"/>
        <w:rPr>
          <w:rFonts w:hint="eastAsia"/>
          <w:color w:val="auto"/>
        </w:rPr>
      </w:pPr>
      <w:r>
        <w:rPr>
          <w:rFonts w:hint="eastAsia"/>
          <w:color w:val="auto"/>
        </w:rPr>
        <w:t>本报告按照《安全验收评价导则》（AQ 8003-2007）的相关要求，根据《企业职工伤亡事故分类》（GB 6441-1986）、《生产过程危险和有害因素分类与代码》（GB/T 13861-2022）的规定，按引起事故的先发诱导性原因、起因物、致害物、伤害方式等，对该项目进行了危险、有害因素分析、辨识，其结果表明：</w:t>
      </w:r>
    </w:p>
    <w:p w14:paraId="440DAEC5">
      <w:pPr>
        <w:bidi w:val="0"/>
        <w:rPr>
          <w:rFonts w:hint="eastAsia"/>
          <w:color w:val="auto"/>
        </w:rPr>
      </w:pPr>
      <w:r>
        <w:rPr>
          <w:rFonts w:hint="eastAsia"/>
          <w:color w:val="auto"/>
        </w:rPr>
        <w:t>1、项目存在的主要危险、有害物质有：柴油、变压器油、设备润滑油、乙炔、氧气等。</w:t>
      </w:r>
    </w:p>
    <w:p w14:paraId="7FF4A83E">
      <w:pPr>
        <w:bidi w:val="0"/>
        <w:rPr>
          <w:rFonts w:hint="eastAsia"/>
          <w:color w:val="auto"/>
        </w:rPr>
      </w:pPr>
      <w:r>
        <w:rPr>
          <w:rFonts w:hint="eastAsia"/>
          <w:color w:val="auto"/>
        </w:rPr>
        <w:t>2、该项目主要存在的危险有害因素是：机械伤害、物体打击、触电、淹溺、车辆伤害、高处坠落、</w:t>
      </w:r>
      <w:r>
        <w:rPr>
          <w:rFonts w:hint="eastAsia"/>
          <w:color w:val="auto"/>
          <w:lang w:val="en-US" w:eastAsia="zh-CN"/>
        </w:rPr>
        <w:t>起重伤害、</w:t>
      </w:r>
      <w:r>
        <w:rPr>
          <w:rFonts w:hint="eastAsia"/>
          <w:color w:val="auto"/>
        </w:rPr>
        <w:t>火灾、容器爆炸、化学腐蚀及化学灼伤、坍塌、滑坡、中毒窒息和设备、设施、工具、附件缺陷等。</w:t>
      </w:r>
    </w:p>
    <w:p w14:paraId="0077D000">
      <w:pPr>
        <w:bidi w:val="0"/>
        <w:rPr>
          <w:rFonts w:hint="eastAsia"/>
          <w:color w:val="auto"/>
        </w:rPr>
      </w:pPr>
      <w:r>
        <w:rPr>
          <w:rFonts w:hint="eastAsia"/>
          <w:color w:val="auto"/>
        </w:rPr>
        <w:t>3、事故易发及危险点是：各高平台及设备转动部位。</w:t>
      </w:r>
    </w:p>
    <w:p w14:paraId="369D783B">
      <w:pPr>
        <w:bidi w:val="0"/>
        <w:rPr>
          <w:rFonts w:hint="eastAsia"/>
          <w:color w:val="auto"/>
        </w:rPr>
      </w:pPr>
      <w:r>
        <w:rPr>
          <w:rFonts w:hint="eastAsia"/>
          <w:color w:val="auto"/>
        </w:rPr>
        <w:t>4、项目使用</w:t>
      </w:r>
      <w:r>
        <w:rPr>
          <w:rFonts w:hint="eastAsia"/>
          <w:color w:val="auto"/>
          <w:lang w:val="en-US" w:eastAsia="zh-CN"/>
        </w:rPr>
        <w:t>和储存</w:t>
      </w:r>
      <w:r>
        <w:rPr>
          <w:rFonts w:hint="eastAsia"/>
          <w:color w:val="auto"/>
        </w:rPr>
        <w:t>的危险化学品不构成重大危险源。</w:t>
      </w:r>
    </w:p>
    <w:p w14:paraId="319B1202">
      <w:pPr>
        <w:pStyle w:val="3"/>
        <w:bidi w:val="0"/>
        <w:rPr>
          <w:rFonts w:hint="eastAsia"/>
          <w:color w:val="auto"/>
        </w:rPr>
      </w:pPr>
      <w:bookmarkStart w:id="210" w:name="_Toc21620"/>
      <w:r>
        <w:rPr>
          <w:rFonts w:hint="eastAsia"/>
          <w:color w:val="auto"/>
        </w:rPr>
        <w:t>7.2 单元评价综述</w:t>
      </w:r>
      <w:bookmarkEnd w:id="210"/>
    </w:p>
    <w:p w14:paraId="115BC905">
      <w:pPr>
        <w:bidi w:val="0"/>
        <w:rPr>
          <w:rFonts w:hint="eastAsia"/>
          <w:color w:val="auto"/>
        </w:rPr>
      </w:pPr>
      <w:r>
        <w:rPr>
          <w:rFonts w:hint="eastAsia"/>
          <w:color w:val="auto"/>
        </w:rPr>
        <w:t>1、建设程序单元</w:t>
      </w:r>
    </w:p>
    <w:p w14:paraId="2E3C0718">
      <w:pPr>
        <w:bidi w:val="0"/>
        <w:rPr>
          <w:rFonts w:hint="eastAsia"/>
          <w:color w:val="auto"/>
        </w:rPr>
      </w:pPr>
      <w:r>
        <w:rPr>
          <w:rFonts w:hint="eastAsia"/>
          <w:color w:val="auto"/>
        </w:rPr>
        <w:t>本项目为技术改造建设项目，取得了投资备案证，该项目由有资质的单位完成了可研、安全预评价、初步设计及安全设施设计，并由有资质的单位完成了本项目的安全设施的施工建设，本项目的建设程序符合相关规范的要求。</w:t>
      </w:r>
    </w:p>
    <w:p w14:paraId="7A9AADBA">
      <w:pPr>
        <w:bidi w:val="0"/>
        <w:rPr>
          <w:rFonts w:hint="eastAsia"/>
          <w:color w:val="auto"/>
        </w:rPr>
      </w:pPr>
      <w:r>
        <w:rPr>
          <w:rFonts w:hint="eastAsia"/>
          <w:color w:val="auto"/>
        </w:rPr>
        <w:t>2、厂址及总平面布置单元</w:t>
      </w:r>
    </w:p>
    <w:p w14:paraId="718B1417">
      <w:pPr>
        <w:bidi w:val="0"/>
        <w:rPr>
          <w:rFonts w:hint="eastAsia"/>
          <w:color w:val="auto"/>
        </w:rPr>
      </w:pPr>
      <w:r>
        <w:rPr>
          <w:rFonts w:hint="eastAsia"/>
          <w:color w:val="auto"/>
        </w:rPr>
        <w:t>本项目位于</w:t>
      </w:r>
      <w:r>
        <w:rPr>
          <w:rFonts w:hint="eastAsia"/>
          <w:color w:val="auto"/>
          <w:lang w:eastAsia="zh-CN"/>
        </w:rPr>
        <w:t>昆明市寻甸县柯渡镇猴街办事处其纳海村</w:t>
      </w:r>
      <w:r>
        <w:rPr>
          <w:rFonts w:hint="eastAsia"/>
          <w:color w:val="auto"/>
        </w:rPr>
        <w:t>，选址符合当地规划；项目的总平面布置按工艺流程依山而建，总平面布置合理，功能设置分区划分明确，符合《工业企业总平面设计规范》及《选矿安全规程》等相关规范的要求，具备安全验收条件。</w:t>
      </w:r>
    </w:p>
    <w:p w14:paraId="1F507670">
      <w:pPr>
        <w:bidi w:val="0"/>
        <w:rPr>
          <w:rFonts w:hint="eastAsia"/>
          <w:color w:val="auto"/>
        </w:rPr>
      </w:pPr>
      <w:r>
        <w:rPr>
          <w:rFonts w:hint="eastAsia"/>
          <w:color w:val="auto"/>
        </w:rPr>
        <w:t>3、生产工艺及设备单元</w:t>
      </w:r>
    </w:p>
    <w:p w14:paraId="47238BD9">
      <w:pPr>
        <w:bidi w:val="0"/>
        <w:rPr>
          <w:rFonts w:hint="eastAsia"/>
          <w:color w:val="auto"/>
        </w:rPr>
      </w:pPr>
      <w:r>
        <w:rPr>
          <w:rFonts w:hint="eastAsia"/>
          <w:color w:val="auto"/>
        </w:rPr>
        <w:t>本项目采用的工艺流程为浓缩-输送-压滤，尾矿处理系统主要由浓缩车间、输送管线、压滤车间三部分组成。设备设施选用符合国家标准的产品，生产工艺成熟可靠，设备满足安全生产要求，安全设施均按《安全设施设计》的要求建设，符合《选矿安全规程》及《安全设施设计》等相关规范的要求，具备安全验收条件。</w:t>
      </w:r>
    </w:p>
    <w:p w14:paraId="38038444">
      <w:pPr>
        <w:bidi w:val="0"/>
        <w:rPr>
          <w:rFonts w:hint="eastAsia"/>
          <w:color w:val="auto"/>
        </w:rPr>
      </w:pPr>
      <w:r>
        <w:rPr>
          <w:rFonts w:hint="eastAsia"/>
          <w:color w:val="auto"/>
        </w:rPr>
        <w:t>4、公用工程及辅助设施单元</w:t>
      </w:r>
    </w:p>
    <w:p w14:paraId="46E20E0D">
      <w:pPr>
        <w:bidi w:val="0"/>
        <w:rPr>
          <w:rFonts w:hint="eastAsia"/>
          <w:color w:val="auto"/>
        </w:rPr>
      </w:pPr>
      <w:r>
        <w:rPr>
          <w:rFonts w:hint="eastAsia"/>
          <w:color w:val="auto"/>
        </w:rPr>
        <w:t>本项目供配电系统、给排水系统、消防给水系统及灭火器配置均按《安全设施设计》要求建设，满足《选矿安全规程》等规范的要求。同时，电气设施场所等危险区域配置相应的消防设施，基本能满足消防安全需要，具备安全验收条件。</w:t>
      </w:r>
    </w:p>
    <w:p w14:paraId="58BD628D">
      <w:pPr>
        <w:bidi w:val="0"/>
        <w:rPr>
          <w:rFonts w:hint="eastAsia"/>
          <w:color w:val="auto"/>
        </w:rPr>
      </w:pPr>
      <w:r>
        <w:rPr>
          <w:rFonts w:hint="eastAsia"/>
          <w:color w:val="auto"/>
        </w:rPr>
        <w:t>5、安全设施单元</w:t>
      </w:r>
    </w:p>
    <w:p w14:paraId="3256A6B8">
      <w:pPr>
        <w:bidi w:val="0"/>
        <w:rPr>
          <w:rFonts w:hint="eastAsia"/>
          <w:color w:val="auto"/>
        </w:rPr>
      </w:pPr>
      <w:r>
        <w:rPr>
          <w:rFonts w:hint="eastAsia"/>
          <w:color w:val="auto"/>
        </w:rPr>
        <w:t>本项目采取的常规防护设施能满足日常安全生产需求，应急设施能满足应急需求，个体防护设施配置到位，具备安全验收条件。</w:t>
      </w:r>
    </w:p>
    <w:p w14:paraId="40D1308C">
      <w:pPr>
        <w:bidi w:val="0"/>
        <w:rPr>
          <w:rFonts w:hint="eastAsia"/>
          <w:color w:val="auto"/>
        </w:rPr>
      </w:pPr>
      <w:r>
        <w:rPr>
          <w:rFonts w:hint="eastAsia"/>
          <w:color w:val="auto"/>
        </w:rPr>
        <w:t>6、安全管理单元</w:t>
      </w:r>
    </w:p>
    <w:p w14:paraId="63D6394D">
      <w:pPr>
        <w:bidi w:val="0"/>
        <w:rPr>
          <w:rFonts w:hint="eastAsia"/>
          <w:color w:val="auto"/>
        </w:rPr>
      </w:pPr>
      <w:r>
        <w:rPr>
          <w:rFonts w:hint="eastAsia"/>
          <w:color w:val="auto"/>
        </w:rPr>
        <w:t>本项目依法取得了企业营业执照，设置有职业健康安全环保部，企业任命了主要负责人及安全管理人员，</w:t>
      </w:r>
      <w:r>
        <w:rPr>
          <w:rFonts w:hint="eastAsia"/>
          <w:color w:val="auto"/>
          <w:lang w:val="en-US" w:eastAsia="zh-CN"/>
        </w:rPr>
        <w:t>主要负责人、</w:t>
      </w:r>
      <w:r>
        <w:rPr>
          <w:rFonts w:hint="eastAsia"/>
          <w:color w:val="auto"/>
        </w:rPr>
        <w:t>安全管理人员已参加了安全生产知识和管理能力培训，持证上岗</w:t>
      </w:r>
      <w:r>
        <w:rPr>
          <w:rFonts w:hint="eastAsia"/>
          <w:color w:val="auto"/>
          <w:lang w:eastAsia="zh-CN"/>
        </w:rPr>
        <w:t>。</w:t>
      </w:r>
      <w:r>
        <w:rPr>
          <w:rFonts w:hint="eastAsia"/>
          <w:color w:val="auto"/>
        </w:rPr>
        <w:t>企业建立、健全了各项安全职责、安全管理制度及安全操作规程，针对本项目编制了综合应急预案，预案已经专家评审并进行了备案；特种作业人员持证上岗，并配发了相应的劳动防护用品，企业安全管理《中华人民共和国安全生产法》等规范的要求，具备安全验收条件。</w:t>
      </w:r>
    </w:p>
    <w:p w14:paraId="5DFCD04A">
      <w:pPr>
        <w:bidi w:val="0"/>
        <w:rPr>
          <w:rFonts w:hint="eastAsia"/>
          <w:color w:val="auto"/>
        </w:rPr>
      </w:pPr>
      <w:r>
        <w:rPr>
          <w:rFonts w:hint="eastAsia"/>
          <w:color w:val="auto"/>
        </w:rPr>
        <w:t>7、参照《工贸企业重大事故隐患判定标准》（中华人民共和国应急管理部令第10号）检查判定，本项目目前不存在重大生产安全事故隐患。</w:t>
      </w:r>
    </w:p>
    <w:p w14:paraId="7A55D9F0">
      <w:pPr>
        <w:pStyle w:val="3"/>
        <w:bidi w:val="0"/>
        <w:rPr>
          <w:rFonts w:hint="eastAsia"/>
          <w:color w:val="auto"/>
        </w:rPr>
      </w:pPr>
      <w:bookmarkStart w:id="211" w:name="_Toc3659"/>
      <w:r>
        <w:rPr>
          <w:rFonts w:hint="eastAsia"/>
          <w:color w:val="auto"/>
        </w:rPr>
        <w:t>7.3 评价结论</w:t>
      </w:r>
      <w:bookmarkEnd w:id="211"/>
    </w:p>
    <w:p w14:paraId="45C33967">
      <w:pPr>
        <w:bidi w:val="0"/>
        <w:rPr>
          <w:rFonts w:hint="eastAsia"/>
          <w:color w:val="auto"/>
        </w:rPr>
      </w:pPr>
      <w:r>
        <w:rPr>
          <w:rFonts w:hint="eastAsia"/>
          <w:color w:val="auto"/>
        </w:rPr>
        <w:t>通过对本项目建设程序、厂址及总平面布置、所采用的工艺及装置设施、公用工程、安全设施及措施、已建立的安全管理体系等方面的综合分析评价，得出本项目的安全验收评价结论如下：</w:t>
      </w:r>
    </w:p>
    <w:p w14:paraId="1763C72F">
      <w:pPr>
        <w:bidi w:val="0"/>
        <w:rPr>
          <w:rFonts w:hint="eastAsia"/>
          <w:color w:val="auto"/>
        </w:rPr>
      </w:pPr>
      <w:r>
        <w:rPr>
          <w:rFonts w:hint="eastAsia"/>
          <w:color w:val="auto"/>
        </w:rPr>
        <w:t>本项目建设程序符合安全“三同时”要求，项目的总平面布置合理，采用的工艺系统及设备设施符合现行标准和规范要求，项目的公用工程能够满足项目安全运行需求；安全设施设计中提出的安全设施和安全技术措施基本得到落实，项目的安全管理机构、安全管理制度健全，安全生产责任制落实到位，安全生产保障系统运作有效，符合现行国家安全生产相关的法律、法规及技术标准的要求。</w:t>
      </w:r>
    </w:p>
    <w:p w14:paraId="5B426282">
      <w:pPr>
        <w:bidi w:val="0"/>
        <w:rPr>
          <w:b/>
          <w:bCs/>
          <w:color w:val="auto"/>
        </w:rPr>
      </w:pPr>
      <w:r>
        <w:rPr>
          <w:rFonts w:hint="eastAsia"/>
          <w:b/>
          <w:bCs/>
          <w:color w:val="auto"/>
        </w:rPr>
        <w:t>评价组认为：寻甸金林钛矿有限公司尾矿处理技改升级建设项目，建设程序符合“三同时”要求，安全设施设计中的安全设施和安全措施已得到落实，符合相关法律、法规、标准及规范的要求，具备安全验收的条件。</w:t>
      </w:r>
    </w:p>
    <w:p w14:paraId="2F6F25C3">
      <w:pPr>
        <w:bidi w:val="0"/>
        <w:rPr>
          <w:color w:val="auto"/>
        </w:rPr>
      </w:pPr>
    </w:p>
    <w:p w14:paraId="20409CF1">
      <w:pPr>
        <w:bidi w:val="0"/>
        <w:rPr>
          <w:color w:val="auto"/>
        </w:rPr>
      </w:pPr>
    </w:p>
    <w:p w14:paraId="6F3AF09D">
      <w:pPr>
        <w:rPr>
          <w:color w:val="auto"/>
        </w:rPr>
      </w:pPr>
      <w:r>
        <w:rPr>
          <w:color w:val="auto"/>
        </w:rPr>
        <w:br w:type="page"/>
      </w:r>
    </w:p>
    <w:p w14:paraId="113B0232">
      <w:pPr>
        <w:pStyle w:val="2"/>
        <w:bidi w:val="0"/>
        <w:rPr>
          <w:rFonts w:hint="default"/>
          <w:color w:val="auto"/>
          <w:lang w:val="en-US" w:eastAsia="zh-CN"/>
        </w:rPr>
      </w:pPr>
      <w:bookmarkStart w:id="212" w:name="_Toc5458"/>
      <w:r>
        <w:rPr>
          <w:rFonts w:hint="eastAsia"/>
          <w:color w:val="auto"/>
          <w:lang w:val="en-US" w:eastAsia="zh-CN"/>
        </w:rPr>
        <w:t>9 附件和附图</w:t>
      </w:r>
      <w:bookmarkEnd w:id="212"/>
    </w:p>
    <w:p w14:paraId="2D131C77">
      <w:pPr>
        <w:pStyle w:val="3"/>
        <w:bidi w:val="0"/>
        <w:rPr>
          <w:rFonts w:hint="default"/>
          <w:color w:val="auto"/>
          <w:lang w:val="en-US" w:eastAsia="zh-CN"/>
        </w:rPr>
      </w:pPr>
      <w:bookmarkStart w:id="213" w:name="_Toc15436"/>
      <w:r>
        <w:rPr>
          <w:rFonts w:hint="eastAsia"/>
          <w:color w:val="auto"/>
          <w:lang w:val="en-US" w:eastAsia="zh-CN"/>
        </w:rPr>
        <w:t>9.1 附件</w:t>
      </w:r>
      <w:bookmarkEnd w:id="213"/>
    </w:p>
    <w:p w14:paraId="77C18E10">
      <w:pPr>
        <w:bidi w:val="0"/>
        <w:rPr>
          <w:rFonts w:hint="eastAsia"/>
          <w:color w:val="auto"/>
          <w:lang w:val="en-US" w:eastAsia="zh-CN"/>
        </w:rPr>
      </w:pPr>
      <w:r>
        <w:rPr>
          <w:rFonts w:hint="eastAsia"/>
          <w:color w:val="auto"/>
          <w:lang w:val="en-US" w:eastAsia="zh-CN"/>
        </w:rPr>
        <w:t>1、安全验收评价委托书；</w:t>
      </w:r>
    </w:p>
    <w:p w14:paraId="590B92BB">
      <w:pPr>
        <w:bidi w:val="0"/>
        <w:rPr>
          <w:rFonts w:hint="eastAsia"/>
          <w:color w:val="auto"/>
          <w:lang w:val="en-US" w:eastAsia="zh-CN"/>
        </w:rPr>
      </w:pPr>
      <w:r>
        <w:rPr>
          <w:rFonts w:hint="eastAsia"/>
          <w:color w:val="auto"/>
          <w:lang w:val="en-US" w:eastAsia="zh-CN"/>
        </w:rPr>
        <w:t>2、材料真实性承诺书；</w:t>
      </w:r>
    </w:p>
    <w:p w14:paraId="17C871D5">
      <w:pPr>
        <w:bidi w:val="0"/>
        <w:rPr>
          <w:rFonts w:hint="eastAsia"/>
          <w:color w:val="auto"/>
          <w:lang w:val="en-US" w:eastAsia="zh-CN"/>
        </w:rPr>
      </w:pPr>
      <w:r>
        <w:rPr>
          <w:rFonts w:hint="eastAsia"/>
          <w:color w:val="auto"/>
          <w:lang w:val="en-US" w:eastAsia="zh-CN"/>
        </w:rPr>
        <w:t>3、营业执照；</w:t>
      </w:r>
    </w:p>
    <w:p w14:paraId="49A8E968">
      <w:pPr>
        <w:bidi w:val="0"/>
        <w:rPr>
          <w:rFonts w:hint="eastAsia"/>
          <w:color w:val="auto"/>
          <w:lang w:val="en-US" w:eastAsia="zh-CN"/>
        </w:rPr>
      </w:pPr>
      <w:r>
        <w:rPr>
          <w:rFonts w:hint="eastAsia"/>
          <w:color w:val="auto"/>
          <w:lang w:val="en-US" w:eastAsia="zh-CN"/>
        </w:rPr>
        <w:t>4、项目投资备案证；</w:t>
      </w:r>
    </w:p>
    <w:p w14:paraId="446A81F8">
      <w:pPr>
        <w:bidi w:val="0"/>
        <w:rPr>
          <w:rFonts w:hint="eastAsia"/>
          <w:color w:val="auto"/>
          <w:lang w:val="en-US" w:eastAsia="zh-CN"/>
        </w:rPr>
      </w:pPr>
      <w:r>
        <w:rPr>
          <w:rFonts w:hint="eastAsia"/>
          <w:color w:val="auto"/>
          <w:lang w:val="en-US" w:eastAsia="zh-CN"/>
        </w:rPr>
        <w:t>5、浓密机基础岩土工程详细勘察报告封面、资质、扉页；</w:t>
      </w:r>
    </w:p>
    <w:p w14:paraId="1E0FA4C1">
      <w:pPr>
        <w:bidi w:val="0"/>
        <w:rPr>
          <w:rFonts w:hint="eastAsia"/>
          <w:color w:val="auto"/>
          <w:lang w:val="en-US" w:eastAsia="zh-CN"/>
        </w:rPr>
      </w:pPr>
      <w:r>
        <w:rPr>
          <w:rFonts w:hint="eastAsia"/>
          <w:color w:val="auto"/>
          <w:lang w:val="en-US" w:eastAsia="zh-CN"/>
        </w:rPr>
        <w:t>6、寻甸金林钛矿有限公司尾矿处理技改升级建设项目详细勘察报告封面、资质、扉页；</w:t>
      </w:r>
    </w:p>
    <w:p w14:paraId="0582262D">
      <w:pPr>
        <w:bidi w:val="0"/>
        <w:rPr>
          <w:rFonts w:hint="eastAsia"/>
          <w:color w:val="auto"/>
          <w:lang w:val="en-US" w:eastAsia="zh-CN"/>
        </w:rPr>
      </w:pPr>
      <w:r>
        <w:rPr>
          <w:rFonts w:hint="eastAsia"/>
          <w:color w:val="auto"/>
          <w:lang w:val="en-US" w:eastAsia="zh-CN"/>
        </w:rPr>
        <w:t>7、初步设计封面、扉页及资质；</w:t>
      </w:r>
    </w:p>
    <w:p w14:paraId="4E10E74A">
      <w:pPr>
        <w:bidi w:val="0"/>
        <w:rPr>
          <w:rFonts w:hint="eastAsia"/>
          <w:color w:val="auto"/>
          <w:lang w:val="en-US" w:eastAsia="zh-CN"/>
        </w:rPr>
      </w:pPr>
      <w:r>
        <w:rPr>
          <w:rFonts w:hint="eastAsia"/>
          <w:color w:val="auto"/>
          <w:lang w:val="en-US" w:eastAsia="zh-CN"/>
        </w:rPr>
        <w:t>8、安全预评价扉页及资质；</w:t>
      </w:r>
    </w:p>
    <w:p w14:paraId="4F177E9C">
      <w:pPr>
        <w:bidi w:val="0"/>
        <w:rPr>
          <w:rFonts w:hint="eastAsia"/>
          <w:color w:val="auto"/>
          <w:lang w:val="en-US" w:eastAsia="zh-CN"/>
        </w:rPr>
      </w:pPr>
      <w:r>
        <w:rPr>
          <w:rFonts w:hint="eastAsia"/>
          <w:color w:val="auto"/>
          <w:lang w:val="en-US" w:eastAsia="zh-CN"/>
        </w:rPr>
        <w:t>9、安全设施设计扉页及资质；</w:t>
      </w:r>
    </w:p>
    <w:p w14:paraId="62E2F793">
      <w:pPr>
        <w:bidi w:val="0"/>
        <w:rPr>
          <w:rFonts w:hint="eastAsia"/>
          <w:color w:val="auto"/>
          <w:lang w:val="en-US" w:eastAsia="zh-CN"/>
        </w:rPr>
      </w:pPr>
      <w:r>
        <w:rPr>
          <w:rFonts w:hint="eastAsia"/>
          <w:color w:val="auto"/>
          <w:lang w:val="en-US" w:eastAsia="zh-CN"/>
        </w:rPr>
        <w:t>10、安全设施设计审批书；</w:t>
      </w:r>
    </w:p>
    <w:p w14:paraId="745C98EC">
      <w:pPr>
        <w:bidi w:val="0"/>
        <w:rPr>
          <w:rFonts w:hint="eastAsia"/>
          <w:color w:val="auto"/>
          <w:lang w:val="en-US" w:eastAsia="zh-CN"/>
        </w:rPr>
      </w:pPr>
      <w:r>
        <w:rPr>
          <w:rFonts w:hint="eastAsia"/>
          <w:color w:val="auto"/>
          <w:lang w:val="en-US" w:eastAsia="zh-CN"/>
        </w:rPr>
        <w:t>11、主要负责人和安全管理人员培训合格证；</w:t>
      </w:r>
    </w:p>
    <w:p w14:paraId="2716E5D4">
      <w:pPr>
        <w:bidi w:val="0"/>
        <w:rPr>
          <w:rFonts w:hint="eastAsia"/>
          <w:color w:val="auto"/>
          <w:lang w:val="en-US" w:eastAsia="zh-CN"/>
        </w:rPr>
      </w:pPr>
      <w:r>
        <w:rPr>
          <w:rFonts w:hint="eastAsia"/>
          <w:color w:val="auto"/>
          <w:lang w:val="en-US" w:eastAsia="zh-CN"/>
        </w:rPr>
        <w:t>12、特种作业人员及相关人员操作证；</w:t>
      </w:r>
    </w:p>
    <w:p w14:paraId="17C7FF7A">
      <w:pPr>
        <w:bidi w:val="0"/>
        <w:rPr>
          <w:rFonts w:hint="eastAsia"/>
          <w:color w:val="auto"/>
          <w:lang w:val="en-US" w:eastAsia="zh-CN"/>
        </w:rPr>
      </w:pPr>
      <w:r>
        <w:rPr>
          <w:rFonts w:hint="eastAsia"/>
          <w:color w:val="auto"/>
          <w:lang w:val="en-US" w:eastAsia="zh-CN"/>
        </w:rPr>
        <w:t>13、安全管理机构成立及主要负责人、安全员任命文件；</w:t>
      </w:r>
    </w:p>
    <w:p w14:paraId="3B39553B">
      <w:pPr>
        <w:bidi w:val="0"/>
        <w:rPr>
          <w:rFonts w:hint="eastAsia"/>
          <w:color w:val="auto"/>
          <w:lang w:val="en-US" w:eastAsia="zh-CN"/>
        </w:rPr>
      </w:pPr>
      <w:r>
        <w:rPr>
          <w:rFonts w:hint="eastAsia"/>
          <w:color w:val="auto"/>
          <w:lang w:val="en-US" w:eastAsia="zh-CN"/>
        </w:rPr>
        <w:t>14、安全管理制度、责任制及安全操作规程封面及目录；</w:t>
      </w:r>
    </w:p>
    <w:p w14:paraId="7F03FB44">
      <w:pPr>
        <w:bidi w:val="0"/>
        <w:rPr>
          <w:rFonts w:hint="eastAsia"/>
          <w:color w:val="auto"/>
          <w:lang w:val="en-US" w:eastAsia="zh-CN"/>
        </w:rPr>
      </w:pPr>
      <w:r>
        <w:rPr>
          <w:rFonts w:hint="eastAsia"/>
          <w:color w:val="auto"/>
          <w:lang w:val="en-US" w:eastAsia="zh-CN"/>
        </w:rPr>
        <w:t>15、安全管理台账目录；</w:t>
      </w:r>
    </w:p>
    <w:p w14:paraId="2493D3A6">
      <w:pPr>
        <w:bidi w:val="0"/>
        <w:rPr>
          <w:rFonts w:hint="eastAsia"/>
          <w:color w:val="auto"/>
          <w:lang w:val="en-US" w:eastAsia="zh-CN"/>
        </w:rPr>
      </w:pPr>
      <w:r>
        <w:rPr>
          <w:rFonts w:hint="eastAsia"/>
          <w:color w:val="auto"/>
          <w:lang w:val="en-US" w:eastAsia="zh-CN"/>
        </w:rPr>
        <w:t>16、工伤保险和安全生产责任保险缴费证明；</w:t>
      </w:r>
    </w:p>
    <w:p w14:paraId="6382C2CD">
      <w:pPr>
        <w:bidi w:val="0"/>
        <w:rPr>
          <w:rFonts w:hint="eastAsia"/>
          <w:color w:val="auto"/>
          <w:lang w:val="en-US" w:eastAsia="zh-CN"/>
        </w:rPr>
      </w:pPr>
      <w:r>
        <w:rPr>
          <w:rFonts w:hint="eastAsia"/>
          <w:color w:val="auto"/>
          <w:lang w:val="en-US" w:eastAsia="zh-CN"/>
        </w:rPr>
        <w:t>17、生产安全事故应急预案备案证明；</w:t>
      </w:r>
    </w:p>
    <w:p w14:paraId="291EB87D">
      <w:pPr>
        <w:bidi w:val="0"/>
        <w:rPr>
          <w:rFonts w:hint="eastAsia"/>
          <w:color w:val="auto"/>
          <w:lang w:val="en-US" w:eastAsia="zh-CN"/>
        </w:rPr>
      </w:pPr>
      <w:r>
        <w:rPr>
          <w:rFonts w:hint="eastAsia"/>
          <w:color w:val="auto"/>
          <w:lang w:val="en-US" w:eastAsia="zh-CN"/>
        </w:rPr>
        <w:t>18、医疗救护协议；</w:t>
      </w:r>
    </w:p>
    <w:p w14:paraId="41AA763D">
      <w:pPr>
        <w:bidi w:val="0"/>
        <w:rPr>
          <w:rFonts w:hint="eastAsia"/>
          <w:color w:val="auto"/>
          <w:lang w:val="en-US" w:eastAsia="zh-CN"/>
        </w:rPr>
      </w:pPr>
      <w:r>
        <w:rPr>
          <w:rFonts w:hint="eastAsia"/>
          <w:color w:val="auto"/>
          <w:lang w:val="en-US" w:eastAsia="zh-CN"/>
        </w:rPr>
        <w:t>19、尾矿销售协议；</w:t>
      </w:r>
    </w:p>
    <w:p w14:paraId="72C145C5">
      <w:pPr>
        <w:bidi w:val="0"/>
        <w:rPr>
          <w:rFonts w:hint="eastAsia"/>
          <w:color w:val="auto"/>
          <w:lang w:val="en-US" w:eastAsia="zh-CN"/>
        </w:rPr>
      </w:pPr>
      <w:r>
        <w:rPr>
          <w:rFonts w:hint="eastAsia"/>
          <w:color w:val="auto"/>
          <w:lang w:val="en-US" w:eastAsia="zh-CN"/>
        </w:rPr>
        <w:t>20、施工总结报告；</w:t>
      </w:r>
    </w:p>
    <w:p w14:paraId="5F22B3A7">
      <w:pPr>
        <w:bidi w:val="0"/>
        <w:rPr>
          <w:rFonts w:hint="eastAsia"/>
          <w:color w:val="auto"/>
          <w:lang w:val="en-US" w:eastAsia="zh-CN"/>
        </w:rPr>
      </w:pPr>
      <w:r>
        <w:rPr>
          <w:rFonts w:hint="eastAsia"/>
          <w:color w:val="auto"/>
          <w:lang w:val="en-US" w:eastAsia="zh-CN"/>
        </w:rPr>
        <w:t>21、监理总结报告；</w:t>
      </w:r>
    </w:p>
    <w:p w14:paraId="3D05C75F">
      <w:pPr>
        <w:bidi w:val="0"/>
        <w:rPr>
          <w:rFonts w:hint="eastAsia"/>
          <w:color w:val="auto"/>
          <w:lang w:val="en-US" w:eastAsia="zh-CN"/>
        </w:rPr>
      </w:pPr>
      <w:r>
        <w:rPr>
          <w:rFonts w:hint="eastAsia"/>
          <w:color w:val="auto"/>
          <w:lang w:val="en-US" w:eastAsia="zh-CN"/>
        </w:rPr>
        <w:t>22、试机情况总结；</w:t>
      </w:r>
    </w:p>
    <w:p w14:paraId="3F898D03">
      <w:pPr>
        <w:bidi w:val="0"/>
        <w:rPr>
          <w:rFonts w:hint="eastAsia"/>
          <w:color w:val="auto"/>
          <w:lang w:val="en-US" w:eastAsia="zh-CN"/>
        </w:rPr>
      </w:pPr>
      <w:r>
        <w:rPr>
          <w:rFonts w:hint="eastAsia"/>
          <w:color w:val="auto"/>
          <w:lang w:val="en-US" w:eastAsia="zh-CN"/>
        </w:rPr>
        <w:t>23、整改回复；</w:t>
      </w:r>
    </w:p>
    <w:p w14:paraId="65AD407D">
      <w:pPr>
        <w:bidi w:val="0"/>
        <w:rPr>
          <w:rFonts w:hint="default"/>
          <w:color w:val="auto"/>
          <w:lang w:val="en-US" w:eastAsia="zh-CN"/>
        </w:rPr>
      </w:pPr>
      <w:r>
        <w:rPr>
          <w:rFonts w:hint="eastAsia"/>
          <w:color w:val="auto"/>
          <w:lang w:val="en-US" w:eastAsia="zh-CN"/>
        </w:rPr>
        <w:t>24、设计变更；</w:t>
      </w:r>
    </w:p>
    <w:p w14:paraId="35F601F0">
      <w:pPr>
        <w:bidi w:val="0"/>
        <w:rPr>
          <w:rFonts w:hint="eastAsia"/>
          <w:color w:val="auto"/>
          <w:lang w:val="en-US" w:eastAsia="zh-CN"/>
        </w:rPr>
      </w:pPr>
      <w:r>
        <w:rPr>
          <w:rFonts w:hint="eastAsia"/>
          <w:color w:val="auto"/>
          <w:lang w:val="en-US" w:eastAsia="zh-CN"/>
        </w:rPr>
        <w:t>25、特种设备出厂合格证和使用登记证；</w:t>
      </w:r>
    </w:p>
    <w:p w14:paraId="0BB84A48">
      <w:pPr>
        <w:bidi w:val="0"/>
        <w:rPr>
          <w:rFonts w:hint="eastAsia"/>
          <w:color w:val="auto"/>
          <w:lang w:val="en-US" w:eastAsia="zh-CN"/>
        </w:rPr>
      </w:pPr>
      <w:r>
        <w:rPr>
          <w:rFonts w:hint="eastAsia"/>
          <w:color w:val="auto"/>
          <w:lang w:val="en-US" w:eastAsia="zh-CN"/>
        </w:rPr>
        <w:t>26、土地租赁协议；</w:t>
      </w:r>
    </w:p>
    <w:p w14:paraId="1CCBFDC5">
      <w:pPr>
        <w:bidi w:val="0"/>
        <w:rPr>
          <w:rFonts w:hint="default"/>
          <w:color w:val="auto"/>
          <w:lang w:val="en-US" w:eastAsia="zh-CN"/>
        </w:rPr>
      </w:pPr>
      <w:r>
        <w:rPr>
          <w:rFonts w:hint="eastAsia"/>
          <w:color w:val="auto"/>
          <w:lang w:val="en-US" w:eastAsia="zh-CN"/>
        </w:rPr>
        <w:t>27、防雷检测报告。</w:t>
      </w:r>
    </w:p>
    <w:p w14:paraId="6F1ECC18">
      <w:pPr>
        <w:pStyle w:val="3"/>
        <w:bidi w:val="0"/>
        <w:rPr>
          <w:rFonts w:hint="default"/>
          <w:color w:val="auto"/>
          <w:lang w:val="en-US" w:eastAsia="zh-CN"/>
        </w:rPr>
      </w:pPr>
      <w:bookmarkStart w:id="214" w:name="_Toc17951"/>
      <w:r>
        <w:rPr>
          <w:rFonts w:hint="eastAsia"/>
          <w:color w:val="auto"/>
          <w:lang w:val="en-US" w:eastAsia="zh-CN"/>
        </w:rPr>
        <w:t>9.2 附图</w:t>
      </w:r>
      <w:bookmarkEnd w:id="214"/>
    </w:p>
    <w:p w14:paraId="4FD795E4">
      <w:pPr>
        <w:bidi w:val="0"/>
        <w:rPr>
          <w:rFonts w:hint="default" w:eastAsia="宋体"/>
          <w:color w:val="auto"/>
          <w:lang w:val="en-US" w:eastAsia="zh-CN"/>
        </w:rPr>
      </w:pPr>
      <w:r>
        <w:rPr>
          <w:rFonts w:hint="eastAsia"/>
          <w:color w:val="auto"/>
          <w:lang w:val="en-US" w:eastAsia="zh-CN"/>
        </w:rPr>
        <w:t>1、总平面布置竣工图；</w:t>
      </w:r>
    </w:p>
    <w:p w14:paraId="67B7AFC3">
      <w:pPr>
        <w:bidi w:val="0"/>
        <w:rPr>
          <w:rFonts w:hint="default" w:eastAsia="宋体"/>
          <w:color w:val="auto"/>
          <w:lang w:val="en-US" w:eastAsia="zh-CN"/>
        </w:rPr>
      </w:pPr>
      <w:r>
        <w:rPr>
          <w:rFonts w:hint="eastAsia"/>
          <w:color w:val="auto"/>
          <w:lang w:val="en-US" w:eastAsia="zh-CN"/>
        </w:rPr>
        <w:t>2、压滤车间设备布置竣工图；</w:t>
      </w:r>
    </w:p>
    <w:p w14:paraId="0B1009B7">
      <w:pPr>
        <w:bidi w:val="0"/>
        <w:rPr>
          <w:rFonts w:hint="default" w:eastAsia="宋体"/>
          <w:color w:val="auto"/>
          <w:lang w:val="en-US" w:eastAsia="zh-CN"/>
        </w:rPr>
      </w:pPr>
      <w:r>
        <w:rPr>
          <w:rFonts w:hint="eastAsia"/>
          <w:color w:val="auto"/>
          <w:lang w:val="en-US" w:eastAsia="zh-CN"/>
        </w:rPr>
        <w:t>3、浓密机配置图；</w:t>
      </w:r>
    </w:p>
    <w:p w14:paraId="566B2D0A">
      <w:pPr>
        <w:bidi w:val="0"/>
        <w:rPr>
          <w:rFonts w:hint="default" w:eastAsia="宋体"/>
          <w:color w:val="auto"/>
          <w:lang w:val="en-US" w:eastAsia="zh-CN"/>
        </w:rPr>
      </w:pPr>
      <w:r>
        <w:rPr>
          <w:rFonts w:hint="eastAsia"/>
          <w:color w:val="auto"/>
          <w:lang w:val="en-US" w:eastAsia="zh-CN"/>
        </w:rPr>
        <w:t>4、挡土墙竣工图；</w:t>
      </w:r>
    </w:p>
    <w:p w14:paraId="22FEAC2B">
      <w:pPr>
        <w:bidi w:val="0"/>
        <w:rPr>
          <w:rFonts w:hint="default" w:eastAsia="宋体"/>
          <w:color w:val="auto"/>
          <w:lang w:val="en-US" w:eastAsia="zh-CN"/>
        </w:rPr>
      </w:pPr>
      <w:r>
        <w:rPr>
          <w:rFonts w:hint="eastAsia"/>
          <w:color w:val="auto"/>
          <w:lang w:val="en-US" w:eastAsia="zh-CN"/>
        </w:rPr>
        <w:t>5、供电系统竣工图。</w:t>
      </w:r>
    </w:p>
    <w:p w14:paraId="6FEDC846">
      <w:pPr>
        <w:bidi w:val="0"/>
        <w:rPr>
          <w:rFonts w:hint="default"/>
          <w:color w:val="auto"/>
          <w:lang w:val="en-US" w:eastAsia="zh-CN"/>
        </w:rPr>
      </w:pPr>
    </w:p>
    <w:sectPr>
      <w:footerReference r:id="rId10" w:type="default"/>
      <w:pgSz w:w="11905" w:h="16838"/>
      <w:pgMar w:top="1417" w:right="1134" w:bottom="1134" w:left="1587" w:header="851" w:footer="992" w:gutter="0"/>
      <w:pgBorders>
        <w:top w:val="thinThickSmallGap" w:color="auto" w:sz="12" w:space="1"/>
        <w:left w:val="none" w:sz="0" w:space="0"/>
        <w:bottom w:val="thickThinSmallGap" w:color="auto" w:sz="12" w:space="1"/>
        <w:right w:val="none" w:sz="0" w:space="0"/>
      </w:pgBorders>
      <w:cols w:space="0" w:num="1"/>
      <w:rtlGutter w:val="0"/>
      <w:docGrid w:type="lines" w:linePitch="3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78375">
    <w:pPr>
      <w:pBdr>
        <w:top w:val="none" w:color="auto" w:sz="0" w:space="1"/>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6B93C">
    <w:pPr>
      <w:pBdr>
        <w:top w:val="none" w:color="auto" w:sz="0" w:space="1"/>
      </w:pBdr>
      <w:tabs>
        <w:tab w:val="cente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0073B">
    <w:pPr>
      <w:keepNext w:val="0"/>
      <w:keepLines w:val="0"/>
      <w:pageBreakBefore w:val="0"/>
      <w:widowControl w:val="0"/>
      <w:pBdr>
        <w:top w:val="none" w:color="auto" w:sz="0" w:space="1"/>
        <w:left w:val="none" w:color="auto" w:sz="0" w:space="0"/>
        <w:bottom w:val="none" w:color="auto" w:sz="0" w:space="0"/>
        <w:right w:val="none" w:color="auto" w:sz="0" w:space="0"/>
        <w:between w:val="none" w:color="auto" w:sz="0" w:space="0"/>
      </w:pBdr>
      <w:tabs>
        <w:tab w:val="center" w:pos="4153"/>
      </w:tabs>
      <w:kinsoku/>
      <w:wordWrap/>
      <w:overflowPunct/>
      <w:topLinePunct w:val="0"/>
      <w:bidi w:val="0"/>
      <w:adjustRightInd/>
      <w:snapToGrid w:val="0"/>
      <w:spacing w:line="500" w:lineRule="exact"/>
      <w:ind w:firstLine="0" w:firstLineChars="0"/>
      <w:textAlignment w:val="auto"/>
      <w:rPr>
        <w:rFonts w:hint="eastAsia" w:ascii="Times New Roman" w:hAnsi="Times New Roman" w:eastAsia="宋体" w:cs="Times New Roman"/>
        <w:sz w:val="21"/>
        <w:lang w:eastAsia="zh-CN"/>
      </w:rPr>
    </w:pPr>
    <w:r>
      <w:rPr>
        <w:rFonts w:hint="eastAsia" w:ascii="Times New Roman" w:hAnsi="Times New Roman" w:eastAsia="宋体" w:cs="Times New Roman"/>
        <w:sz w:val="21"/>
        <w:lang w:eastAsia="zh-CN"/>
      </w:rPr>
      <w:drawing>
        <wp:inline distT="0" distB="0" distL="114300" distR="114300">
          <wp:extent cx="337820" cy="127635"/>
          <wp:effectExtent l="0" t="0" r="0" b="5715"/>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1"/>
                  <a:srcRect t="9578" b="16475"/>
                  <a:stretch>
                    <a:fillRect/>
                  </a:stretch>
                </pic:blipFill>
                <pic:spPr>
                  <a:xfrm>
                    <a:off x="0" y="0"/>
                    <a:ext cx="337820" cy="127635"/>
                  </a:xfrm>
                  <a:prstGeom prst="rect">
                    <a:avLst/>
                  </a:prstGeom>
                  <a:noFill/>
                  <a:ln>
                    <a:noFill/>
                  </a:ln>
                </pic:spPr>
              </pic:pic>
            </a:graphicData>
          </a:graphic>
        </wp:inline>
      </w:drawing>
    </w:r>
    <w:r>
      <w:rPr>
        <w:rFonts w:hint="eastAsia" w:ascii="Times New Roman" w:hAnsi="Times New Roman" w:eastAsia="宋体" w:cs="Times New Roman"/>
        <w:sz w:val="21"/>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66B7AB">
                          <w:pPr>
                            <w:pStyle w:val="12"/>
                            <w:keepNext w:val="0"/>
                            <w:keepLines w:val="0"/>
                            <w:pageBreakBefore w:val="0"/>
                            <w:widowControl w:val="0"/>
                            <w:kinsoku/>
                            <w:wordWrap/>
                            <w:overflowPunct/>
                            <w:topLinePunct w:val="0"/>
                            <w:bidi w:val="0"/>
                            <w:adjustRightInd/>
                            <w:snapToGrid w:val="0"/>
                            <w:spacing w:line="500" w:lineRule="exact"/>
                            <w:ind w:firstLine="0" w:firstLineChars="0"/>
                            <w:textAlignment w:val="auto"/>
                            <w:rPr>
                              <w:sz w:val="21"/>
                            </w:rPr>
                          </w:pPr>
                          <w:r>
                            <w:rPr>
                              <w:sz w:val="21"/>
                            </w:rPr>
                            <w:fldChar w:fldCharType="begin"/>
                          </w:r>
                          <w:r>
                            <w:rPr>
                              <w:sz w:val="21"/>
                            </w:rPr>
                            <w:instrText xml:space="preserve"> PAGE  \* MERGEFORMAT </w:instrText>
                          </w:r>
                          <w:r>
                            <w:rPr>
                              <w:sz w:val="21"/>
                            </w:rPr>
                            <w:fldChar w:fldCharType="separate"/>
                          </w:r>
                          <w:r>
                            <w:rPr>
                              <w:sz w:val="21"/>
                            </w:rPr>
                            <w:t>I</w:t>
                          </w:r>
                          <w:r>
                            <w:rPr>
                              <w:sz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566B7AB">
                    <w:pPr>
                      <w:pStyle w:val="12"/>
                      <w:keepNext w:val="0"/>
                      <w:keepLines w:val="0"/>
                      <w:pageBreakBefore w:val="0"/>
                      <w:widowControl w:val="0"/>
                      <w:kinsoku/>
                      <w:wordWrap/>
                      <w:overflowPunct/>
                      <w:topLinePunct w:val="0"/>
                      <w:bidi w:val="0"/>
                      <w:adjustRightInd/>
                      <w:snapToGrid w:val="0"/>
                      <w:spacing w:line="500" w:lineRule="exact"/>
                      <w:ind w:firstLine="0" w:firstLineChars="0"/>
                      <w:textAlignment w:val="auto"/>
                      <w:rPr>
                        <w:sz w:val="21"/>
                      </w:rPr>
                    </w:pPr>
                    <w:r>
                      <w:rPr>
                        <w:sz w:val="21"/>
                      </w:rPr>
                      <w:fldChar w:fldCharType="begin"/>
                    </w:r>
                    <w:r>
                      <w:rPr>
                        <w:sz w:val="21"/>
                      </w:rPr>
                      <w:instrText xml:space="preserve"> PAGE  \* MERGEFORMAT </w:instrText>
                    </w:r>
                    <w:r>
                      <w:rPr>
                        <w:sz w:val="21"/>
                      </w:rPr>
                      <w:fldChar w:fldCharType="separate"/>
                    </w:r>
                    <w:r>
                      <w:rPr>
                        <w:sz w:val="21"/>
                      </w:rPr>
                      <w:t>I</w:t>
                    </w:r>
                    <w:r>
                      <w:rPr>
                        <w:sz w:val="21"/>
                      </w:rPr>
                      <w:fldChar w:fldCharType="end"/>
                    </w:r>
                  </w:p>
                </w:txbxContent>
              </v:textbox>
            </v:shape>
          </w:pict>
        </mc:Fallback>
      </mc:AlternateContent>
    </w:r>
    <w:r>
      <w:rPr>
        <w:rFonts w:hint="eastAsia" w:ascii="Times New Roman" w:hAnsi="Times New Roman" w:eastAsia="宋体" w:cs="Times New Roman"/>
        <w:sz w:val="21"/>
        <w:szCs w:val="21"/>
        <w:lang w:eastAsia="zh-CN"/>
      </w:rPr>
      <w:t>辽宁诺诚安全科技有限公司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54056">
    <w:pPr>
      <w:keepNext w:val="0"/>
      <w:keepLines w:val="0"/>
      <w:pageBreakBefore w:val="0"/>
      <w:widowControl w:val="0"/>
      <w:pBdr>
        <w:top w:val="none" w:color="auto" w:sz="0" w:space="1"/>
        <w:left w:val="none" w:color="auto" w:sz="0" w:space="0"/>
        <w:bottom w:val="none" w:color="auto" w:sz="0" w:space="0"/>
        <w:right w:val="none" w:color="auto" w:sz="0" w:space="0"/>
        <w:between w:val="none" w:color="auto" w:sz="0" w:space="0"/>
      </w:pBdr>
      <w:tabs>
        <w:tab w:val="center" w:pos="4153"/>
      </w:tabs>
      <w:kinsoku/>
      <w:wordWrap/>
      <w:overflowPunct/>
      <w:topLinePunct w:val="0"/>
      <w:bidi w:val="0"/>
      <w:adjustRightInd/>
      <w:snapToGrid w:val="0"/>
      <w:spacing w:line="500" w:lineRule="exact"/>
      <w:ind w:firstLine="0" w:firstLineChars="0"/>
      <w:textAlignment w:val="auto"/>
      <w:rPr>
        <w:rFonts w:hint="eastAsia" w:ascii="Times New Roman" w:hAnsi="Times New Roman" w:eastAsia="宋体" w:cs="Times New Roman"/>
        <w:sz w:val="21"/>
        <w:lang w:eastAsia="zh-CN"/>
      </w:rPr>
    </w:pPr>
    <w:r>
      <w:rPr>
        <w:rFonts w:hint="eastAsia" w:ascii="Times New Roman" w:hAnsi="Times New Roman" w:eastAsia="宋体" w:cs="Times New Roman"/>
        <w:sz w:val="21"/>
        <w:lang w:eastAsia="zh-CN"/>
      </w:rPr>
      <w:drawing>
        <wp:inline distT="0" distB="0" distL="114300" distR="114300">
          <wp:extent cx="337820" cy="127635"/>
          <wp:effectExtent l="0" t="0" r="0" b="5715"/>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1"/>
                  <a:srcRect t="9578" b="16475"/>
                  <a:stretch>
                    <a:fillRect/>
                  </a:stretch>
                </pic:blipFill>
                <pic:spPr>
                  <a:xfrm>
                    <a:off x="0" y="0"/>
                    <a:ext cx="337820" cy="127635"/>
                  </a:xfrm>
                  <a:prstGeom prst="rect">
                    <a:avLst/>
                  </a:prstGeom>
                  <a:noFill/>
                  <a:ln>
                    <a:noFill/>
                  </a:ln>
                </pic:spPr>
              </pic:pic>
            </a:graphicData>
          </a:graphic>
        </wp:inline>
      </w:drawing>
    </w:r>
    <w:r>
      <w:rPr>
        <w:rFonts w:hint="eastAsia" w:ascii="Times New Roman" w:hAnsi="Times New Roman" w:eastAsia="宋体" w:cs="Times New Roman"/>
        <w:sz w:val="21"/>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EA849E">
                          <w:pPr>
                            <w:pStyle w:val="12"/>
                            <w:keepNext w:val="0"/>
                            <w:keepLines w:val="0"/>
                            <w:pageBreakBefore w:val="0"/>
                            <w:widowControl w:val="0"/>
                            <w:kinsoku/>
                            <w:wordWrap/>
                            <w:overflowPunct/>
                            <w:topLinePunct w:val="0"/>
                            <w:bidi w:val="0"/>
                            <w:adjustRightInd/>
                            <w:snapToGrid w:val="0"/>
                            <w:spacing w:line="500" w:lineRule="exact"/>
                            <w:ind w:firstLine="0" w:firstLineChars="0"/>
                            <w:textAlignment w:val="auto"/>
                            <w:rPr>
                              <w:sz w:val="21"/>
                            </w:rPr>
                          </w:pPr>
                          <w:r>
                            <w:rPr>
                              <w:sz w:val="21"/>
                            </w:rPr>
                            <w:fldChar w:fldCharType="begin"/>
                          </w:r>
                          <w:r>
                            <w:rPr>
                              <w:sz w:val="21"/>
                            </w:rPr>
                            <w:instrText xml:space="preserve"> PAGE  \* MERGEFORMAT </w:instrText>
                          </w:r>
                          <w:r>
                            <w:rPr>
                              <w:sz w:val="21"/>
                            </w:rPr>
                            <w:fldChar w:fldCharType="separate"/>
                          </w:r>
                          <w:r>
                            <w:rPr>
                              <w:sz w:val="21"/>
                            </w:rPr>
                            <w:t>I</w:t>
                          </w:r>
                          <w:r>
                            <w:rPr>
                              <w:sz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4FEA849E">
                    <w:pPr>
                      <w:pStyle w:val="12"/>
                      <w:keepNext w:val="0"/>
                      <w:keepLines w:val="0"/>
                      <w:pageBreakBefore w:val="0"/>
                      <w:widowControl w:val="0"/>
                      <w:kinsoku/>
                      <w:wordWrap/>
                      <w:overflowPunct/>
                      <w:topLinePunct w:val="0"/>
                      <w:bidi w:val="0"/>
                      <w:adjustRightInd/>
                      <w:snapToGrid w:val="0"/>
                      <w:spacing w:line="500" w:lineRule="exact"/>
                      <w:ind w:firstLine="0" w:firstLineChars="0"/>
                      <w:textAlignment w:val="auto"/>
                      <w:rPr>
                        <w:sz w:val="21"/>
                      </w:rPr>
                    </w:pPr>
                    <w:r>
                      <w:rPr>
                        <w:sz w:val="21"/>
                      </w:rPr>
                      <w:fldChar w:fldCharType="begin"/>
                    </w:r>
                    <w:r>
                      <w:rPr>
                        <w:sz w:val="21"/>
                      </w:rPr>
                      <w:instrText xml:space="preserve"> PAGE  \* MERGEFORMAT </w:instrText>
                    </w:r>
                    <w:r>
                      <w:rPr>
                        <w:sz w:val="21"/>
                      </w:rPr>
                      <w:fldChar w:fldCharType="separate"/>
                    </w:r>
                    <w:r>
                      <w:rPr>
                        <w:sz w:val="21"/>
                      </w:rPr>
                      <w:t>I</w:t>
                    </w:r>
                    <w:r>
                      <w:rPr>
                        <w:sz w:val="21"/>
                      </w:rPr>
                      <w:fldChar w:fldCharType="end"/>
                    </w:r>
                  </w:p>
                </w:txbxContent>
              </v:textbox>
            </v:shape>
          </w:pict>
        </mc:Fallback>
      </mc:AlternateContent>
    </w:r>
    <w:r>
      <w:rPr>
        <w:rFonts w:hint="eastAsia" w:ascii="Times New Roman" w:hAnsi="Times New Roman" w:eastAsia="宋体" w:cs="Times New Roman"/>
        <w:sz w:val="21"/>
        <w:szCs w:val="21"/>
        <w:lang w:eastAsia="zh-CN"/>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FC75F">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CC0D">
    <w:pPr>
      <w:pStyle w:val="13"/>
      <w:keepNext w:val="0"/>
      <w:keepLines w:val="0"/>
      <w:pageBreakBefore w:val="0"/>
      <w:widowControl w:val="0"/>
      <w:pBdr>
        <w:bottom w:val="none" w:color="auto" w:sz="0" w:space="1"/>
      </w:pBdr>
      <w:kinsoku/>
      <w:wordWrap/>
      <w:overflowPunct/>
      <w:topLinePunct w:val="0"/>
      <w:bidi w:val="0"/>
      <w:adjustRightInd/>
      <w:snapToGrid w:val="0"/>
      <w:spacing w:line="500" w:lineRule="exact"/>
      <w:ind w:firstLine="0" w:firstLineChars="0"/>
      <w:textAlignment w:val="auto"/>
      <w:rPr>
        <w:rFonts w:hint="default" w:eastAsia="宋体"/>
        <w:sz w:val="21"/>
        <w:lang w:val="en-US" w:eastAsia="zh-CN"/>
      </w:rPr>
    </w:pPr>
    <w:r>
      <w:rPr>
        <w:rFonts w:hint="eastAsia"/>
        <w:sz w:val="21"/>
        <w:lang w:eastAsia="zh-CN"/>
      </w:rPr>
      <w:t>寻甸金林钛矿有限公司尾矿处理技改升级建设项目</w:t>
    </w:r>
    <w:r>
      <w:rPr>
        <w:rFonts w:hint="eastAsia"/>
        <w:sz w:val="21"/>
        <w:lang w:val="en-US" w:eastAsia="zh-CN"/>
      </w:rPr>
      <w:t>安全验收评价报告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SystemFonts/>
  <w:bordersDoNotSurroundHeader w:val="1"/>
  <w:bordersDoNotSurroundFooter w:val="1"/>
  <w:documentProtection w:enforcement="0"/>
  <w:defaultTabStop w:val="420"/>
  <w:drawingGridHorizontalSpacing w:val="280"/>
  <w:drawingGridVerticalSpacing w:val="19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2ODNjYTQ2NjZmNzFhMjU5MjAzN2EzZjFmMjE3YWMifQ=="/>
  </w:docVars>
  <w:rsids>
    <w:rsidRoot w:val="00000000"/>
    <w:rsid w:val="00B76C54"/>
    <w:rsid w:val="08C07614"/>
    <w:rsid w:val="0AA718FF"/>
    <w:rsid w:val="0D9E63EC"/>
    <w:rsid w:val="0E5F3A87"/>
    <w:rsid w:val="103C4780"/>
    <w:rsid w:val="11C12FED"/>
    <w:rsid w:val="11DF17B7"/>
    <w:rsid w:val="13A51A62"/>
    <w:rsid w:val="174A0127"/>
    <w:rsid w:val="1A3C7E17"/>
    <w:rsid w:val="1C01174F"/>
    <w:rsid w:val="1C3878B8"/>
    <w:rsid w:val="2145055C"/>
    <w:rsid w:val="22A51EBF"/>
    <w:rsid w:val="246578F1"/>
    <w:rsid w:val="24A123C5"/>
    <w:rsid w:val="253300A6"/>
    <w:rsid w:val="25963AD3"/>
    <w:rsid w:val="2F996B56"/>
    <w:rsid w:val="337A237A"/>
    <w:rsid w:val="351A71D8"/>
    <w:rsid w:val="36315E74"/>
    <w:rsid w:val="36F62AE0"/>
    <w:rsid w:val="39B34CB8"/>
    <w:rsid w:val="3B864C70"/>
    <w:rsid w:val="3CA52FDE"/>
    <w:rsid w:val="3F2654E4"/>
    <w:rsid w:val="41BA5E63"/>
    <w:rsid w:val="441C387F"/>
    <w:rsid w:val="444A6219"/>
    <w:rsid w:val="48AE5803"/>
    <w:rsid w:val="4F951853"/>
    <w:rsid w:val="518C3082"/>
    <w:rsid w:val="523A167B"/>
    <w:rsid w:val="52B31B2D"/>
    <w:rsid w:val="53476745"/>
    <w:rsid w:val="563A60ED"/>
    <w:rsid w:val="56431446"/>
    <w:rsid w:val="574F3E1A"/>
    <w:rsid w:val="5CDC1CAC"/>
    <w:rsid w:val="5E1705E3"/>
    <w:rsid w:val="5EC073AC"/>
    <w:rsid w:val="5FB23D3A"/>
    <w:rsid w:val="600B20CB"/>
    <w:rsid w:val="602978D6"/>
    <w:rsid w:val="62D12E0F"/>
    <w:rsid w:val="6616014E"/>
    <w:rsid w:val="678F3DBF"/>
    <w:rsid w:val="685937D7"/>
    <w:rsid w:val="69163DBE"/>
    <w:rsid w:val="734168B5"/>
    <w:rsid w:val="7364681A"/>
    <w:rsid w:val="76EB5D53"/>
    <w:rsid w:val="772F1EFB"/>
    <w:rsid w:val="788E53D0"/>
    <w:rsid w:val="78EB47EE"/>
    <w:rsid w:val="796F3E42"/>
    <w:rsid w:val="7A7F0DB3"/>
    <w:rsid w:val="7D891584"/>
    <w:rsid w:val="7EE72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heme="minorBidi"/>
      <w:kern w:val="2"/>
      <w:sz w:val="28"/>
      <w:szCs w:val="28"/>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eastAsia="黑体"/>
      <w:kern w:val="44"/>
      <w:sz w:val="32"/>
    </w:rPr>
  </w:style>
  <w:style w:type="paragraph" w:styleId="3">
    <w:name w:val="heading 2"/>
    <w:basedOn w:val="1"/>
    <w:unhideWhenUsed/>
    <w:qFormat/>
    <w:uiPriority w:val="0"/>
    <w:pPr>
      <w:keepNext/>
      <w:keepLines/>
      <w:spacing w:beforeLines="0" w:beforeAutospacing="0" w:afterLines="0" w:afterAutospacing="0" w:line="360" w:lineRule="auto"/>
      <w:ind w:firstLine="0" w:firstLineChars="0"/>
      <w:jc w:val="center"/>
      <w:outlineLvl w:val="1"/>
    </w:pPr>
    <w:rPr>
      <w:rFonts w:ascii="Times New Roman" w:hAnsi="Times New Roman" w:eastAsia="黑体"/>
      <w:sz w:val="30"/>
    </w:rPr>
  </w:style>
  <w:style w:type="paragraph" w:styleId="4">
    <w:name w:val="heading 3"/>
    <w:basedOn w:val="1"/>
    <w:unhideWhenUsed/>
    <w:qFormat/>
    <w:uiPriority w:val="0"/>
    <w:pPr>
      <w:keepNext/>
      <w:keepLines/>
      <w:spacing w:beforeLines="0" w:beforeAutospacing="0" w:afterLines="0" w:afterAutospacing="0" w:line="360" w:lineRule="auto"/>
      <w:ind w:firstLine="0" w:firstLineChars="0"/>
      <w:outlineLvl w:val="2"/>
    </w:pPr>
    <w:rPr>
      <w:b/>
      <w:sz w:val="28"/>
    </w:rPr>
  </w:style>
  <w:style w:type="paragraph" w:styleId="5">
    <w:name w:val="heading 4"/>
    <w:basedOn w:val="1"/>
    <w:next w:val="1"/>
    <w:unhideWhenUsed/>
    <w:qFormat/>
    <w:uiPriority w:val="0"/>
    <w:pPr>
      <w:keepNext/>
      <w:keepLines/>
      <w:spacing w:beforeLines="0" w:beforeAutospacing="0" w:afterLines="0" w:afterAutospacing="0" w:line="360" w:lineRule="auto"/>
      <w:ind w:firstLine="0" w:firstLineChars="0"/>
      <w:outlineLvl w:val="3"/>
    </w:pPr>
    <w:rPr>
      <w:rFonts w:ascii="Times New Roman" w:hAnsi="Times New Roman" w:eastAsia="宋体"/>
      <w:b/>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rPr>
      <w:szCs w:val="24"/>
    </w:rPr>
  </w:style>
  <w:style w:type="paragraph" w:styleId="7">
    <w:name w:val="annotation text"/>
    <w:basedOn w:val="1"/>
    <w:qFormat/>
    <w:uiPriority w:val="0"/>
    <w:pPr>
      <w:jc w:val="left"/>
    </w:pPr>
  </w:style>
  <w:style w:type="paragraph" w:styleId="8">
    <w:name w:val="Body Text"/>
    <w:basedOn w:val="1"/>
    <w:next w:val="1"/>
    <w:qFormat/>
    <w:uiPriority w:val="0"/>
    <w:pPr>
      <w:spacing w:after="120"/>
    </w:pPr>
  </w:style>
  <w:style w:type="paragraph" w:styleId="9">
    <w:name w:val="Body Text Indent"/>
    <w:basedOn w:val="1"/>
    <w:next w:val="8"/>
    <w:qFormat/>
    <w:uiPriority w:val="0"/>
    <w:pPr>
      <w:ind w:leftChars="85" w:firstLine="540" w:firstLineChars="193"/>
    </w:pPr>
    <w:rPr>
      <w:sz w:val="28"/>
      <w:szCs w:val="24"/>
    </w:rPr>
  </w:style>
  <w:style w:type="paragraph" w:styleId="10">
    <w:name w:val="toc 3"/>
    <w:basedOn w:val="1"/>
    <w:next w:val="1"/>
    <w:qFormat/>
    <w:uiPriority w:val="0"/>
    <w:pPr>
      <w:ind w:left="840" w:leftChars="400"/>
    </w:pPr>
  </w:style>
  <w:style w:type="paragraph" w:styleId="11">
    <w:name w:val="Plain Text"/>
    <w:basedOn w:val="1"/>
    <w:qFormat/>
    <w:uiPriority w:val="99"/>
    <w:pPr>
      <w:widowControl/>
      <w:spacing w:before="100" w:beforeAutospacing="1" w:after="100" w:afterAutospacing="1"/>
      <w:jc w:val="left"/>
    </w:pPr>
    <w:rPr>
      <w:rFonts w:ascii="宋体" w:hAnsi="宋体" w:cs="宋体"/>
      <w:kern w:val="0"/>
      <w:sz w:val="24"/>
    </w:rPr>
  </w:style>
  <w:style w:type="paragraph" w:styleId="12">
    <w:name w:val="footer"/>
    <w:basedOn w:val="1"/>
    <w:next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First Indent"/>
    <w:basedOn w:val="8"/>
    <w:qFormat/>
    <w:uiPriority w:val="0"/>
    <w:pPr>
      <w:ind w:firstLineChars="100"/>
    </w:pPr>
    <w:rPr>
      <w:szCs w:val="24"/>
    </w:rPr>
  </w:style>
  <w:style w:type="paragraph" w:styleId="17">
    <w:name w:val="Body Text First Indent 2"/>
    <w:basedOn w:val="9"/>
    <w:next w:val="1"/>
    <w:qFormat/>
    <w:uiPriority w:val="0"/>
    <w:pPr>
      <w:spacing w:after="120"/>
      <w:ind w:left="420" w:leftChars="200" w:firstLine="420" w:firstLineChars="200"/>
    </w:pPr>
    <w:rPr>
      <w:sz w:val="21"/>
      <w:szCs w:val="20"/>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paragraph" w:customStyle="1" w:styleId="23">
    <w:name w:val="图、表名称"/>
    <w:basedOn w:val="1"/>
    <w:qFormat/>
    <w:uiPriority w:val="0"/>
    <w:pPr>
      <w:ind w:firstLine="0" w:firstLineChars="0"/>
      <w:jc w:val="center"/>
    </w:pPr>
    <w:rPr>
      <w:rFonts w:hint="eastAsia"/>
      <w:sz w:val="24"/>
    </w:rPr>
  </w:style>
  <w:style w:type="paragraph" w:customStyle="1" w:styleId="24">
    <w:name w:val="表格内容"/>
    <w:basedOn w:val="1"/>
    <w:qFormat/>
    <w:uiPriority w:val="0"/>
    <w:pPr>
      <w:spacing w:line="240" w:lineRule="auto"/>
      <w:ind w:firstLine="0" w:firstLineChars="0"/>
      <w:jc w:val="center"/>
    </w:pPr>
    <w:rPr>
      <w:rFonts w:hint="eastAsia"/>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158</Pages>
  <Words>11086</Words>
  <Characters>13901</Characters>
  <Lines>0</Lines>
  <Paragraphs>0</Paragraphs>
  <TotalTime>18</TotalTime>
  <ScaleCrop>false</ScaleCrop>
  <LinksUpToDate>false</LinksUpToDate>
  <CharactersWithSpaces>14317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2024-07-12T07:29:00Z</dcterms:created>
  <dc:creator>Administrator</dc:creator>
  <cp:lastModifiedBy>Lemon</cp:lastModifiedBy>
  <dcterms:modified xsi:type="dcterms:W3CDTF">2026-08-03T09:00:53Z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C8C3C1770ABF4F91B4676FF2B2C7C361_12</vt:lpwstr>
  </property>
  <property fmtid="{D5CDD505-2E9C-101B-9397-08002B2CF9AE}" pid="4" name="KSOTemplateDocerSaveRecord">
    <vt:lpwstr>eyJoZGlkIjoiYWM2ODNjYTQ2NjZmNzFhMjU5MjAzN2EzZjFmMjE3YWMiLCJ1c2VySWQiOiIzOTk0MDY5NTMifQ==</vt:lpwstr>
  </property>
</Properties>
</file>