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6CEF18">
      <w:pPr>
        <w:widowControl w:val="0"/>
        <w:kinsoku/>
        <w:wordWrap/>
        <w:overflowPunct/>
        <w:topLinePunct w:val="0"/>
        <w:bidi w:val="0"/>
        <w:ind w:firstLine="0" w:firstLineChars="0"/>
        <w:jc w:val="center"/>
        <w:textAlignment w:val="auto"/>
        <w:rPr>
          <w:rFonts w:hint="default" w:ascii="Times New Roman" w:hAnsi="Times New Roman" w:cs="Times New Roman"/>
          <w:b/>
          <w:color w:val="auto"/>
          <w:sz w:val="44"/>
          <w:szCs w:val="44"/>
        </w:rPr>
      </w:pPr>
      <w:bookmarkStart w:id="0" w:name="_Toc351826016"/>
      <w:bookmarkStart w:id="1" w:name="_Toc26809"/>
      <w:bookmarkStart w:id="2" w:name="_Toc422400073"/>
      <w:bookmarkStart w:id="3" w:name="_Toc20178"/>
      <w:bookmarkStart w:id="4" w:name="_Toc351965641"/>
      <w:bookmarkStart w:id="5" w:name="_Toc286933811"/>
      <w:bookmarkStart w:id="6" w:name="_Toc422486425"/>
      <w:bookmarkStart w:id="7" w:name="_Toc18407"/>
      <w:bookmarkStart w:id="8" w:name="_Toc286924050"/>
      <w:bookmarkStart w:id="9" w:name="_Toc422390763"/>
      <w:bookmarkStart w:id="10" w:name="_Toc352594010"/>
      <w:bookmarkStart w:id="11" w:name="_Toc268880334"/>
      <w:bookmarkStart w:id="12" w:name="_Toc283640394"/>
      <w:bookmarkStart w:id="13" w:name="_Toc6315"/>
      <w:bookmarkStart w:id="14" w:name="_Toc352007259"/>
      <w:bookmarkStart w:id="15" w:name="_Toc353381464"/>
      <w:bookmarkStart w:id="16" w:name="_Toc12891"/>
      <w:bookmarkStart w:id="17" w:name="_Toc352593146"/>
      <w:bookmarkStart w:id="18" w:name="_Toc24685"/>
      <w:bookmarkStart w:id="19" w:name="_Toc4806"/>
      <w:bookmarkStart w:id="20" w:name="_Toc422390914"/>
      <w:bookmarkStart w:id="21" w:name="_Toc1312"/>
      <w:bookmarkStart w:id="22" w:name="_Toc270607432"/>
      <w:bookmarkStart w:id="23" w:name="_Toc422390864"/>
      <w:bookmarkStart w:id="24" w:name="_Toc9098"/>
      <w:bookmarkStart w:id="25" w:name="_Toc283383318"/>
      <w:bookmarkStart w:id="26" w:name="_Toc351622917"/>
      <w:bookmarkStart w:id="27" w:name="_Toc27214"/>
      <w:bookmarkStart w:id="28" w:name="_Toc179884574"/>
      <w:bookmarkStart w:id="29" w:name="_Toc351622961"/>
      <w:bookmarkStart w:id="30" w:name="_Toc2343"/>
      <w:bookmarkStart w:id="31" w:name="_Toc292307145"/>
      <w:bookmarkStart w:id="32" w:name="_Toc351833214"/>
      <w:bookmarkStart w:id="33" w:name="_Toc300146857"/>
      <w:bookmarkStart w:id="34" w:name="_Toc268880197"/>
      <w:bookmarkStart w:id="35" w:name="_Toc283318311"/>
      <w:bookmarkStart w:id="36" w:name="_Toc12805"/>
      <w:bookmarkStart w:id="37" w:name="_Toc422486574"/>
    </w:p>
    <w:p w14:paraId="312A5157">
      <w:pPr>
        <w:widowControl w:val="0"/>
        <w:kinsoku/>
        <w:wordWrap/>
        <w:overflowPunct/>
        <w:topLinePunct w:val="0"/>
        <w:bidi w:val="0"/>
        <w:ind w:firstLine="0" w:firstLineChars="0"/>
        <w:textAlignment w:val="auto"/>
        <w:rPr>
          <w:rFonts w:hint="default" w:ascii="Times New Roman" w:hAnsi="Times New Roman" w:eastAsia="仿宋_GB2312" w:cs="Times New Roman"/>
          <w:color w:val="auto"/>
          <w:kern w:val="0"/>
          <w:sz w:val="24"/>
        </w:rPr>
      </w:pPr>
    </w:p>
    <w:p w14:paraId="116F097B">
      <w:pPr>
        <w:widowControl w:val="0"/>
        <w:kinsoku/>
        <w:wordWrap/>
        <w:overflowPunct/>
        <w:topLinePunct w:val="0"/>
        <w:bidi w:val="0"/>
        <w:ind w:firstLine="0" w:firstLineChars="0"/>
        <w:jc w:val="center"/>
        <w:textAlignment w:val="auto"/>
        <w:rPr>
          <w:rFonts w:hint="default" w:ascii="Times New Roman" w:hAnsi="Times New Roman" w:cs="Times New Roman"/>
          <w:b/>
          <w:color w:val="auto"/>
          <w:sz w:val="44"/>
          <w:szCs w:val="44"/>
          <w:lang w:val="en-US" w:eastAsia="zh-CN"/>
        </w:rPr>
      </w:pPr>
      <w:r>
        <w:rPr>
          <w:rFonts w:hint="eastAsia" w:cs="Times New Roman"/>
          <w:b/>
          <w:color w:val="auto"/>
          <w:sz w:val="44"/>
          <w:szCs w:val="44"/>
          <w:lang w:val="en-US" w:eastAsia="zh-CN"/>
        </w:rPr>
        <w:t>武定县花果箐钛矿采选厂</w:t>
      </w:r>
    </w:p>
    <w:p w14:paraId="41031861">
      <w:pPr>
        <w:widowControl w:val="0"/>
        <w:kinsoku/>
        <w:wordWrap/>
        <w:overflowPunct/>
        <w:topLinePunct w:val="0"/>
        <w:bidi w:val="0"/>
        <w:ind w:firstLine="0" w:firstLineChars="0"/>
        <w:jc w:val="center"/>
        <w:textAlignment w:val="auto"/>
        <w:rPr>
          <w:rFonts w:hint="default" w:ascii="Times New Roman" w:hAnsi="Times New Roman" w:cs="Times New Roman"/>
          <w:b/>
          <w:color w:val="auto"/>
          <w:sz w:val="44"/>
          <w:szCs w:val="44"/>
        </w:rPr>
      </w:pPr>
      <w:r>
        <w:rPr>
          <w:rFonts w:hint="eastAsia" w:cs="Times New Roman"/>
          <w:b/>
          <w:color w:val="auto"/>
          <w:sz w:val="44"/>
          <w:szCs w:val="44"/>
          <w:lang w:val="en-US" w:eastAsia="zh-CN"/>
        </w:rPr>
        <w:t>技改扩建项目</w:t>
      </w:r>
    </w:p>
    <w:p w14:paraId="343DBED0">
      <w:pPr>
        <w:widowControl w:val="0"/>
        <w:kinsoku/>
        <w:wordWrap/>
        <w:overflowPunct/>
        <w:topLinePunct w:val="0"/>
        <w:bidi w:val="0"/>
        <w:ind w:firstLine="0" w:firstLineChars="0"/>
        <w:textAlignment w:val="auto"/>
        <w:rPr>
          <w:rFonts w:hint="default" w:ascii="Times New Roman" w:hAnsi="Times New Roman" w:cs="Times New Roman"/>
          <w:color w:val="auto"/>
        </w:rPr>
      </w:pPr>
    </w:p>
    <w:p w14:paraId="380285DF">
      <w:pPr>
        <w:widowControl w:val="0"/>
        <w:kinsoku/>
        <w:wordWrap/>
        <w:overflowPunct/>
        <w:topLinePunct w:val="0"/>
        <w:bidi w:val="0"/>
        <w:spacing w:line="360" w:lineRule="auto"/>
        <w:ind w:firstLine="0" w:firstLineChars="0"/>
        <w:jc w:val="center"/>
        <w:textAlignment w:val="auto"/>
        <w:rPr>
          <w:rFonts w:hint="default" w:ascii="Times New Roman" w:hAnsi="Times New Roman" w:eastAsia="黑体" w:cs="Times New Roman"/>
          <w:b/>
          <w:color w:val="auto"/>
          <w:sz w:val="52"/>
          <w:szCs w:val="52"/>
        </w:rPr>
      </w:pPr>
    </w:p>
    <w:p w14:paraId="6C77DD5B">
      <w:pPr>
        <w:widowControl w:val="0"/>
        <w:kinsoku/>
        <w:wordWrap/>
        <w:overflowPunct/>
        <w:topLinePunct w:val="0"/>
        <w:bidi w:val="0"/>
        <w:spacing w:line="360" w:lineRule="auto"/>
        <w:ind w:firstLine="0" w:firstLineChars="0"/>
        <w:jc w:val="center"/>
        <w:textAlignment w:val="auto"/>
        <w:rPr>
          <w:rFonts w:hint="default" w:ascii="Times New Roman" w:hAnsi="Times New Roman" w:eastAsia="黑体" w:cs="Times New Roman"/>
          <w:b/>
          <w:color w:val="auto"/>
          <w:sz w:val="52"/>
          <w:szCs w:val="52"/>
        </w:rPr>
      </w:pPr>
    </w:p>
    <w:p w14:paraId="74A45F38">
      <w:pPr>
        <w:bidi w:val="0"/>
        <w:rPr>
          <w:rFonts w:hint="default"/>
          <w:color w:val="auto"/>
        </w:rPr>
      </w:pPr>
    </w:p>
    <w:p w14:paraId="741A2A34">
      <w:pPr>
        <w:widowControl w:val="0"/>
        <w:kinsoku/>
        <w:wordWrap/>
        <w:overflowPunct/>
        <w:topLinePunct w:val="0"/>
        <w:bidi w:val="0"/>
        <w:spacing w:line="360" w:lineRule="auto"/>
        <w:ind w:firstLine="0" w:firstLineChars="0"/>
        <w:jc w:val="center"/>
        <w:textAlignment w:val="auto"/>
        <w:rPr>
          <w:rFonts w:hint="default" w:ascii="Times New Roman" w:hAnsi="Times New Roman" w:eastAsia="黑体" w:cs="Times New Roman"/>
          <w:b/>
          <w:color w:val="auto"/>
          <w:sz w:val="52"/>
          <w:szCs w:val="52"/>
        </w:rPr>
      </w:pPr>
      <w:r>
        <w:rPr>
          <w:rFonts w:hint="default" w:ascii="Times New Roman" w:hAnsi="Times New Roman" w:eastAsia="黑体" w:cs="Times New Roman"/>
          <w:b/>
          <w:color w:val="auto"/>
          <w:sz w:val="52"/>
          <w:szCs w:val="52"/>
        </w:rPr>
        <w:t>安全</w:t>
      </w:r>
      <w:r>
        <w:rPr>
          <w:rFonts w:hint="eastAsia" w:eastAsia="黑体" w:cs="Times New Roman"/>
          <w:b/>
          <w:color w:val="auto"/>
          <w:sz w:val="52"/>
          <w:szCs w:val="52"/>
          <w:lang w:val="en-US" w:eastAsia="zh-CN"/>
        </w:rPr>
        <w:t>预</w:t>
      </w:r>
      <w:r>
        <w:rPr>
          <w:rFonts w:hint="default" w:ascii="Times New Roman" w:hAnsi="Times New Roman" w:eastAsia="黑体" w:cs="Times New Roman"/>
          <w:b/>
          <w:color w:val="auto"/>
          <w:sz w:val="52"/>
          <w:szCs w:val="52"/>
        </w:rPr>
        <w:t>评价报告</w:t>
      </w:r>
    </w:p>
    <w:p w14:paraId="2771831E">
      <w:pPr>
        <w:widowControl w:val="0"/>
        <w:kinsoku/>
        <w:wordWrap/>
        <w:overflowPunct/>
        <w:topLinePunct w:val="0"/>
        <w:bidi w:val="0"/>
        <w:ind w:firstLine="0" w:firstLineChars="0"/>
        <w:jc w:val="center"/>
        <w:textAlignment w:val="auto"/>
        <w:rPr>
          <w:rFonts w:hint="default" w:ascii="Times New Roman" w:hAnsi="Times New Roman" w:cs="Times New Roman"/>
          <w:b/>
          <w:color w:val="auto"/>
          <w:sz w:val="32"/>
          <w:szCs w:val="32"/>
        </w:rPr>
      </w:pPr>
    </w:p>
    <w:p w14:paraId="4F0C9835">
      <w:pPr>
        <w:widowControl w:val="0"/>
        <w:kinsoku/>
        <w:wordWrap/>
        <w:overflowPunct/>
        <w:topLinePunct w:val="0"/>
        <w:bidi w:val="0"/>
        <w:ind w:firstLine="0" w:firstLineChars="0"/>
        <w:textAlignment w:val="auto"/>
        <w:rPr>
          <w:rFonts w:hint="default" w:ascii="Times New Roman" w:hAnsi="Times New Roman" w:eastAsia="黑体" w:cs="Times New Roman"/>
          <w:color w:val="auto"/>
          <w:sz w:val="44"/>
        </w:rPr>
      </w:pPr>
    </w:p>
    <w:p w14:paraId="0F62CD03">
      <w:pPr>
        <w:widowControl w:val="0"/>
        <w:kinsoku/>
        <w:wordWrap/>
        <w:overflowPunct/>
        <w:topLinePunct w:val="0"/>
        <w:bidi w:val="0"/>
        <w:ind w:firstLine="0" w:firstLineChars="0"/>
        <w:textAlignment w:val="auto"/>
        <w:rPr>
          <w:rFonts w:hint="default" w:ascii="Times New Roman" w:hAnsi="Times New Roman" w:cs="Times New Roman"/>
          <w:color w:val="auto"/>
        </w:rPr>
      </w:pPr>
    </w:p>
    <w:p w14:paraId="3DD170DF">
      <w:pPr>
        <w:widowControl w:val="0"/>
        <w:kinsoku/>
        <w:wordWrap/>
        <w:overflowPunct/>
        <w:topLinePunct w:val="0"/>
        <w:bidi w:val="0"/>
        <w:spacing w:line="360" w:lineRule="auto"/>
        <w:ind w:firstLine="0" w:firstLineChars="0"/>
        <w:jc w:val="center"/>
        <w:textAlignment w:val="auto"/>
        <w:rPr>
          <w:rFonts w:hint="default" w:ascii="Times New Roman" w:hAnsi="Times New Roman" w:eastAsia="黑体" w:cs="Times New Roman"/>
          <w:color w:val="auto"/>
          <w:sz w:val="44"/>
        </w:rPr>
      </w:pPr>
    </w:p>
    <w:p w14:paraId="0305B8F8">
      <w:pPr>
        <w:widowControl w:val="0"/>
        <w:kinsoku/>
        <w:wordWrap/>
        <w:overflowPunct/>
        <w:topLinePunct w:val="0"/>
        <w:bidi w:val="0"/>
        <w:spacing w:line="360" w:lineRule="auto"/>
        <w:ind w:firstLine="0" w:firstLineChars="0"/>
        <w:jc w:val="center"/>
        <w:textAlignment w:val="auto"/>
        <w:rPr>
          <w:rFonts w:hint="default" w:ascii="Times New Roman" w:hAnsi="Times New Roman" w:eastAsia="黑体" w:cs="Times New Roman"/>
          <w:color w:val="auto"/>
          <w:sz w:val="44"/>
        </w:rPr>
      </w:pPr>
    </w:p>
    <w:p w14:paraId="35251A90">
      <w:pPr>
        <w:pStyle w:val="10"/>
        <w:widowControl w:val="0"/>
        <w:kinsoku/>
        <w:wordWrap/>
        <w:overflowPunct/>
        <w:topLinePunct w:val="0"/>
        <w:bidi w:val="0"/>
        <w:ind w:firstLine="0" w:firstLineChars="0"/>
        <w:textAlignment w:val="auto"/>
        <w:rPr>
          <w:rFonts w:hint="default" w:ascii="Times New Roman" w:hAnsi="Times New Roman" w:eastAsia="仿宋_GB2312" w:cs="Times New Roman"/>
          <w:color w:val="auto"/>
          <w:kern w:val="0"/>
          <w:sz w:val="24"/>
        </w:rPr>
      </w:pPr>
    </w:p>
    <w:p w14:paraId="253A8839">
      <w:pPr>
        <w:widowControl w:val="0"/>
        <w:kinsoku/>
        <w:wordWrap/>
        <w:overflowPunct/>
        <w:topLinePunct w:val="0"/>
        <w:bidi w:val="0"/>
        <w:ind w:firstLine="0" w:firstLineChars="0"/>
        <w:textAlignment w:val="auto"/>
        <w:rPr>
          <w:rFonts w:hint="default" w:ascii="Times New Roman" w:hAnsi="Times New Roman" w:eastAsia="仿宋_GB2312" w:cs="Times New Roman"/>
          <w:color w:val="auto"/>
          <w:kern w:val="0"/>
          <w:sz w:val="24"/>
        </w:rPr>
      </w:pPr>
    </w:p>
    <w:p w14:paraId="210D488E">
      <w:pPr>
        <w:widowControl w:val="0"/>
        <w:kinsoku/>
        <w:wordWrap/>
        <w:overflowPunct/>
        <w:topLinePunct w:val="0"/>
        <w:bidi w:val="0"/>
        <w:spacing w:line="360" w:lineRule="auto"/>
        <w:ind w:firstLine="0" w:firstLineChars="0"/>
        <w:jc w:val="center"/>
        <w:textAlignment w:val="auto"/>
        <w:rPr>
          <w:rFonts w:hint="default" w:ascii="Times New Roman" w:hAnsi="Times New Roman" w:eastAsia="黑体" w:cs="Times New Roman"/>
          <w:color w:val="auto"/>
          <w:sz w:val="44"/>
        </w:rPr>
      </w:pPr>
    </w:p>
    <w:p w14:paraId="087902C9">
      <w:pPr>
        <w:widowControl w:val="0"/>
        <w:kinsoku/>
        <w:wordWrap/>
        <w:overflowPunct/>
        <w:topLinePunct w:val="0"/>
        <w:bidi w:val="0"/>
        <w:ind w:firstLine="0" w:firstLineChars="0"/>
        <w:jc w:val="center"/>
        <w:textAlignment w:val="auto"/>
        <w:rPr>
          <w:rFonts w:hint="default" w:ascii="Times New Roman" w:hAnsi="Times New Roman" w:eastAsia="宋体" w:cs="Times New Roman"/>
          <w:b/>
          <w:color w:val="auto"/>
          <w:sz w:val="36"/>
          <w:szCs w:val="36"/>
          <w:lang w:eastAsia="zh-CN"/>
        </w:rPr>
      </w:pPr>
      <w:r>
        <w:rPr>
          <w:rFonts w:hint="default" w:ascii="Times New Roman" w:hAnsi="Times New Roman" w:cs="Times New Roman"/>
          <w:b/>
          <w:color w:val="auto"/>
          <w:sz w:val="36"/>
          <w:szCs w:val="36"/>
          <w:lang w:eastAsia="zh-CN"/>
        </w:rPr>
        <w:t>辽宁诺诚安全科技有限公司</w:t>
      </w:r>
    </w:p>
    <w:p w14:paraId="769C9D67">
      <w:pPr>
        <w:widowControl w:val="0"/>
        <w:kinsoku/>
        <w:wordWrap/>
        <w:overflowPunct/>
        <w:topLinePunct w:val="0"/>
        <w:bidi w:val="0"/>
        <w:ind w:firstLine="0" w:firstLineChars="0"/>
        <w:jc w:val="center"/>
        <w:textAlignment w:val="auto"/>
        <w:rPr>
          <w:rFonts w:hint="default" w:ascii="Times New Roman" w:hAnsi="Times New Roman" w:eastAsia="宋体" w:cs="Times New Roman"/>
          <w:b/>
          <w:color w:val="auto"/>
          <w:sz w:val="32"/>
          <w:szCs w:val="32"/>
          <w:lang w:val="en-US" w:eastAsia="zh-CN"/>
        </w:rPr>
      </w:pPr>
      <w:r>
        <w:rPr>
          <w:rFonts w:hint="default" w:ascii="Times New Roman" w:hAnsi="Times New Roman" w:cs="Times New Roman"/>
          <w:b/>
          <w:color w:val="auto"/>
          <w:sz w:val="32"/>
          <w:szCs w:val="32"/>
        </w:rPr>
        <w:t>资质证书编号：APJ-（辽）-0</w:t>
      </w:r>
      <w:r>
        <w:rPr>
          <w:rFonts w:hint="default" w:ascii="Times New Roman" w:hAnsi="Times New Roman" w:cs="Times New Roman"/>
          <w:b/>
          <w:color w:val="auto"/>
          <w:sz w:val="32"/>
          <w:szCs w:val="32"/>
          <w:lang w:val="en-US" w:eastAsia="zh-CN"/>
        </w:rPr>
        <w:t>21</w:t>
      </w:r>
    </w:p>
    <w:p w14:paraId="4AA358F3">
      <w:pPr>
        <w:widowControl w:val="0"/>
        <w:kinsoku/>
        <w:wordWrap/>
        <w:overflowPunct/>
        <w:topLinePunct w:val="0"/>
        <w:bidi w:val="0"/>
        <w:ind w:firstLine="0" w:firstLineChars="0"/>
        <w:jc w:val="center"/>
        <w:textAlignment w:val="auto"/>
        <w:rPr>
          <w:rFonts w:hint="default" w:ascii="Times New Roman" w:hAnsi="Times New Roman" w:cs="Times New Roman"/>
          <w:b/>
          <w:color w:val="auto"/>
          <w:sz w:val="32"/>
          <w:szCs w:val="32"/>
        </w:rPr>
        <w:sectPr>
          <w:headerReference r:id="rId5" w:type="default"/>
          <w:footerReference r:id="rId6" w:type="default"/>
          <w:pgSz w:w="11905" w:h="16838"/>
          <w:pgMar w:top="1417" w:right="1134" w:bottom="1134" w:left="1587" w:header="851" w:footer="992" w:gutter="0"/>
          <w:pgBorders>
            <w:top w:val="none" w:sz="0" w:space="0"/>
            <w:left w:val="none" w:sz="0" w:space="0"/>
            <w:bottom w:val="none" w:sz="0" w:space="0"/>
            <w:right w:val="none" w:sz="0" w:space="0"/>
          </w:pgBorders>
          <w:pgNumType w:fmt="upperRoman" w:start="1"/>
          <w:cols w:space="0" w:num="1"/>
          <w:rtlGutter w:val="0"/>
          <w:docGrid w:type="lines" w:linePitch="386" w:charSpace="0"/>
        </w:sectPr>
      </w:pPr>
      <w:r>
        <w:rPr>
          <w:rFonts w:hint="default" w:ascii="Times New Roman" w:hAnsi="Times New Roman" w:cs="Times New Roman"/>
          <w:b/>
          <w:color w:val="auto"/>
          <w:sz w:val="32"/>
          <w:szCs w:val="32"/>
        </w:rPr>
        <w:t>202</w:t>
      </w:r>
      <w:r>
        <w:rPr>
          <w:rFonts w:hint="eastAsia" w:cs="Times New Roman"/>
          <w:b/>
          <w:color w:val="auto"/>
          <w:sz w:val="32"/>
          <w:szCs w:val="32"/>
          <w:lang w:val="en-US" w:eastAsia="zh-CN"/>
        </w:rPr>
        <w:t>5</w:t>
      </w:r>
      <w:r>
        <w:rPr>
          <w:rFonts w:hint="default" w:ascii="Times New Roman" w:hAnsi="Times New Roman" w:cs="Times New Roman"/>
          <w:b/>
          <w:color w:val="auto"/>
          <w:sz w:val="32"/>
          <w:szCs w:val="32"/>
        </w:rPr>
        <w:t>年</w:t>
      </w:r>
      <w:r>
        <w:rPr>
          <w:rFonts w:hint="eastAsia" w:cs="Times New Roman"/>
          <w:b/>
          <w:color w:val="auto"/>
          <w:sz w:val="32"/>
          <w:szCs w:val="32"/>
          <w:lang w:val="en-US" w:eastAsia="zh-CN"/>
        </w:rPr>
        <w:t>04</w:t>
      </w:r>
      <w:r>
        <w:rPr>
          <w:rFonts w:hint="default" w:ascii="Times New Roman" w:hAnsi="Times New Roman" w:cs="Times New Roman"/>
          <w:b/>
          <w:color w:val="auto"/>
          <w:sz w:val="32"/>
          <w:szCs w:val="32"/>
        </w:rPr>
        <w:t>月</w:t>
      </w:r>
    </w:p>
    <w:p w14:paraId="08AB8B50">
      <w:pPr>
        <w:widowControl w:val="0"/>
        <w:kinsoku/>
        <w:wordWrap/>
        <w:overflowPunct/>
        <w:topLinePunct w:val="0"/>
        <w:bidi w:val="0"/>
        <w:spacing w:line="360" w:lineRule="auto"/>
        <w:ind w:firstLine="0" w:firstLineChars="0"/>
        <w:jc w:val="right"/>
        <w:textAlignment w:val="auto"/>
        <w:rPr>
          <w:rFonts w:hint="default" w:ascii="Times New Roman" w:hAnsi="Times New Roman" w:eastAsia="宋体" w:cs="Times New Roman"/>
          <w:b/>
          <w:bCs w:val="0"/>
          <w:color w:val="auto"/>
          <w:sz w:val="28"/>
          <w:szCs w:val="28"/>
          <w:highlight w:val="none"/>
          <w:lang w:val="en-US" w:eastAsia="zh-CN"/>
        </w:rPr>
      </w:pPr>
      <w:r>
        <w:rPr>
          <w:rFonts w:hint="default" w:ascii="Times New Roman" w:hAnsi="Times New Roman" w:eastAsia="宋体" w:cs="Times New Roman"/>
          <w:b/>
          <w:bCs w:val="0"/>
          <w:color w:val="auto"/>
          <w:sz w:val="28"/>
          <w:szCs w:val="28"/>
          <w:highlight w:val="none"/>
          <w:lang w:val="en-US" w:eastAsia="zh-CN"/>
        </w:rPr>
        <w:t>NCAP/KS-YP-2025-012</w:t>
      </w:r>
    </w:p>
    <w:p w14:paraId="0D163749">
      <w:pPr>
        <w:widowControl w:val="0"/>
        <w:kinsoku/>
        <w:wordWrap/>
        <w:overflowPunct/>
        <w:topLinePunct w:val="0"/>
        <w:bidi w:val="0"/>
        <w:ind w:firstLine="0" w:firstLineChars="0"/>
        <w:jc w:val="center"/>
        <w:textAlignment w:val="auto"/>
        <w:rPr>
          <w:rFonts w:hint="default" w:ascii="Times New Roman" w:hAnsi="Times New Roman" w:cs="Times New Roman"/>
          <w:b/>
          <w:color w:val="auto"/>
          <w:sz w:val="32"/>
          <w:szCs w:val="32"/>
          <w:lang w:val="en-US" w:eastAsia="zh-CN"/>
        </w:rPr>
      </w:pPr>
    </w:p>
    <w:p w14:paraId="1EBF1585">
      <w:pPr>
        <w:widowControl w:val="0"/>
        <w:kinsoku/>
        <w:wordWrap/>
        <w:overflowPunct/>
        <w:topLinePunct w:val="0"/>
        <w:bidi w:val="0"/>
        <w:ind w:firstLine="0" w:firstLineChars="0"/>
        <w:textAlignment w:val="auto"/>
        <w:rPr>
          <w:rFonts w:hint="default" w:ascii="Times New Roman" w:hAnsi="Times New Roman" w:cs="Times New Roman"/>
          <w:color w:val="auto"/>
          <w:lang w:val="en-US" w:eastAsia="zh-CN"/>
        </w:rPr>
      </w:pPr>
    </w:p>
    <w:p w14:paraId="0D0637F6">
      <w:pPr>
        <w:widowControl w:val="0"/>
        <w:kinsoku/>
        <w:wordWrap/>
        <w:overflowPunct/>
        <w:topLinePunct w:val="0"/>
        <w:bidi w:val="0"/>
        <w:ind w:firstLine="0" w:firstLineChars="0"/>
        <w:jc w:val="center"/>
        <w:textAlignment w:val="auto"/>
        <w:rPr>
          <w:rFonts w:hint="default" w:ascii="Times New Roman" w:hAnsi="Times New Roman" w:cs="Times New Roman"/>
          <w:b/>
          <w:color w:val="auto"/>
          <w:sz w:val="32"/>
          <w:szCs w:val="32"/>
        </w:rPr>
      </w:pPr>
    </w:p>
    <w:p w14:paraId="0E7FAD5B">
      <w:pPr>
        <w:widowControl w:val="0"/>
        <w:kinsoku/>
        <w:wordWrap/>
        <w:overflowPunct/>
        <w:topLinePunct w:val="0"/>
        <w:bidi w:val="0"/>
        <w:ind w:firstLine="0" w:firstLineChars="0"/>
        <w:jc w:val="center"/>
        <w:textAlignment w:val="auto"/>
        <w:rPr>
          <w:rFonts w:hint="default" w:ascii="Times New Roman" w:hAnsi="Times New Roman" w:cs="Times New Roman"/>
          <w:b/>
          <w:color w:val="auto"/>
          <w:sz w:val="32"/>
          <w:szCs w:val="32"/>
          <w:lang w:val="en-US" w:eastAsia="zh-CN"/>
        </w:rPr>
      </w:pPr>
      <w:r>
        <w:rPr>
          <w:rFonts w:hint="eastAsia" w:cs="Times New Roman"/>
          <w:b/>
          <w:color w:val="auto"/>
          <w:sz w:val="32"/>
          <w:szCs w:val="32"/>
          <w:lang w:val="en-US" w:eastAsia="zh-CN"/>
        </w:rPr>
        <w:t>武定县花果箐钛矿采选厂</w:t>
      </w:r>
    </w:p>
    <w:p w14:paraId="686350AC">
      <w:pPr>
        <w:widowControl w:val="0"/>
        <w:kinsoku/>
        <w:wordWrap/>
        <w:overflowPunct/>
        <w:topLinePunct w:val="0"/>
        <w:bidi w:val="0"/>
        <w:ind w:firstLine="0" w:firstLineChars="0"/>
        <w:jc w:val="center"/>
        <w:textAlignment w:val="auto"/>
        <w:rPr>
          <w:rFonts w:hint="default" w:ascii="Times New Roman" w:hAnsi="Times New Roman" w:cs="Times New Roman"/>
          <w:b/>
          <w:color w:val="auto"/>
          <w:sz w:val="32"/>
          <w:szCs w:val="32"/>
        </w:rPr>
      </w:pPr>
      <w:r>
        <w:rPr>
          <w:rFonts w:hint="eastAsia" w:cs="Times New Roman"/>
          <w:b/>
          <w:color w:val="auto"/>
          <w:sz w:val="32"/>
          <w:szCs w:val="32"/>
          <w:lang w:val="en-US" w:eastAsia="zh-CN"/>
        </w:rPr>
        <w:t>技改扩建项目</w:t>
      </w:r>
    </w:p>
    <w:p w14:paraId="2C38BE1A">
      <w:pPr>
        <w:widowControl w:val="0"/>
        <w:kinsoku/>
        <w:wordWrap/>
        <w:overflowPunct/>
        <w:topLinePunct w:val="0"/>
        <w:bidi w:val="0"/>
        <w:ind w:firstLine="0" w:firstLineChars="0"/>
        <w:textAlignment w:val="auto"/>
        <w:rPr>
          <w:rFonts w:hint="default" w:ascii="Times New Roman" w:hAnsi="Times New Roman" w:cs="Times New Roman"/>
          <w:color w:val="auto"/>
        </w:rPr>
      </w:pPr>
    </w:p>
    <w:p w14:paraId="787ECFFA">
      <w:pPr>
        <w:widowControl w:val="0"/>
        <w:kinsoku/>
        <w:wordWrap/>
        <w:overflowPunct/>
        <w:topLinePunct w:val="0"/>
        <w:bidi w:val="0"/>
        <w:ind w:firstLine="0" w:firstLineChars="0"/>
        <w:jc w:val="center"/>
        <w:textAlignment w:val="auto"/>
        <w:rPr>
          <w:rFonts w:hint="default" w:ascii="Times New Roman" w:hAnsi="Times New Roman" w:cs="Times New Roman"/>
          <w:b/>
          <w:color w:val="auto"/>
          <w:sz w:val="44"/>
          <w:szCs w:val="44"/>
        </w:rPr>
      </w:pPr>
    </w:p>
    <w:p w14:paraId="3B58DBF9">
      <w:pPr>
        <w:widowControl w:val="0"/>
        <w:kinsoku/>
        <w:wordWrap/>
        <w:overflowPunct/>
        <w:topLinePunct w:val="0"/>
        <w:bidi w:val="0"/>
        <w:ind w:firstLine="0" w:firstLineChars="0"/>
        <w:jc w:val="center"/>
        <w:textAlignment w:val="auto"/>
        <w:rPr>
          <w:rFonts w:hint="default" w:ascii="Times New Roman" w:hAnsi="Times New Roman" w:cs="Times New Roman"/>
          <w:b/>
          <w:color w:val="auto"/>
          <w:sz w:val="44"/>
          <w:szCs w:val="44"/>
        </w:rPr>
      </w:pPr>
    </w:p>
    <w:p w14:paraId="7DC8C074">
      <w:pPr>
        <w:widowControl w:val="0"/>
        <w:kinsoku/>
        <w:wordWrap/>
        <w:overflowPunct/>
        <w:topLinePunct w:val="0"/>
        <w:bidi w:val="0"/>
        <w:ind w:firstLine="0" w:firstLineChars="0"/>
        <w:jc w:val="center"/>
        <w:textAlignment w:val="auto"/>
        <w:rPr>
          <w:rFonts w:hint="default" w:ascii="Times New Roman" w:hAnsi="Times New Roman" w:cs="Times New Roman"/>
          <w:b/>
          <w:color w:val="auto"/>
          <w:sz w:val="44"/>
          <w:szCs w:val="44"/>
        </w:rPr>
      </w:pPr>
      <w:r>
        <w:rPr>
          <w:rFonts w:hint="default" w:ascii="Times New Roman" w:hAnsi="Times New Roman" w:cs="Times New Roman"/>
          <w:b/>
          <w:color w:val="auto"/>
          <w:sz w:val="44"/>
          <w:szCs w:val="44"/>
        </w:rPr>
        <w:t>安全预评价报告</w:t>
      </w:r>
    </w:p>
    <w:p w14:paraId="5D02DB7F">
      <w:pPr>
        <w:widowControl w:val="0"/>
        <w:kinsoku/>
        <w:wordWrap/>
        <w:overflowPunct/>
        <w:topLinePunct w:val="0"/>
        <w:bidi w:val="0"/>
        <w:spacing w:line="360" w:lineRule="auto"/>
        <w:ind w:firstLine="0" w:firstLineChars="0"/>
        <w:jc w:val="center"/>
        <w:textAlignment w:val="auto"/>
        <w:rPr>
          <w:rFonts w:hint="default" w:ascii="Times New Roman" w:hAnsi="Times New Roman" w:eastAsia="黑体" w:cs="Times New Roman"/>
          <w:color w:val="auto"/>
          <w:sz w:val="28"/>
        </w:rPr>
      </w:pPr>
    </w:p>
    <w:p w14:paraId="7168601A">
      <w:pPr>
        <w:widowControl w:val="0"/>
        <w:kinsoku/>
        <w:wordWrap/>
        <w:overflowPunct/>
        <w:topLinePunct w:val="0"/>
        <w:bidi w:val="0"/>
        <w:spacing w:line="360" w:lineRule="auto"/>
        <w:ind w:firstLine="0" w:firstLineChars="0"/>
        <w:jc w:val="center"/>
        <w:textAlignment w:val="auto"/>
        <w:rPr>
          <w:rFonts w:hint="default" w:ascii="Times New Roman" w:hAnsi="Times New Roman" w:eastAsia="黑体" w:cs="Times New Roman"/>
          <w:color w:val="auto"/>
          <w:sz w:val="28"/>
        </w:rPr>
      </w:pPr>
    </w:p>
    <w:p w14:paraId="53511385">
      <w:pPr>
        <w:widowControl w:val="0"/>
        <w:kinsoku/>
        <w:wordWrap/>
        <w:overflowPunct/>
        <w:topLinePunct w:val="0"/>
        <w:bidi w:val="0"/>
        <w:spacing w:line="360" w:lineRule="auto"/>
        <w:ind w:firstLine="0" w:firstLineChars="0"/>
        <w:jc w:val="center"/>
        <w:textAlignment w:val="auto"/>
        <w:rPr>
          <w:rFonts w:hint="default" w:ascii="Times New Roman" w:hAnsi="Times New Roman" w:eastAsia="黑体" w:cs="Times New Roman"/>
          <w:color w:val="auto"/>
          <w:sz w:val="28"/>
        </w:rPr>
      </w:pPr>
    </w:p>
    <w:p w14:paraId="10948DFE">
      <w:pPr>
        <w:widowControl w:val="0"/>
        <w:kinsoku/>
        <w:wordWrap/>
        <w:overflowPunct/>
        <w:topLinePunct w:val="0"/>
        <w:bidi w:val="0"/>
        <w:spacing w:line="360" w:lineRule="auto"/>
        <w:ind w:firstLine="0" w:firstLineChars="0"/>
        <w:jc w:val="center"/>
        <w:textAlignment w:val="auto"/>
        <w:rPr>
          <w:rFonts w:hint="default" w:ascii="Times New Roman" w:hAnsi="Times New Roman" w:eastAsia="黑体" w:cs="Times New Roman"/>
          <w:color w:val="auto"/>
          <w:sz w:val="28"/>
        </w:rPr>
      </w:pPr>
    </w:p>
    <w:p w14:paraId="2488EB41">
      <w:pPr>
        <w:widowControl w:val="0"/>
        <w:kinsoku/>
        <w:wordWrap/>
        <w:overflowPunct/>
        <w:topLinePunct w:val="0"/>
        <w:bidi w:val="0"/>
        <w:spacing w:line="360" w:lineRule="auto"/>
        <w:ind w:firstLine="0" w:firstLineChars="0"/>
        <w:jc w:val="center"/>
        <w:textAlignment w:val="auto"/>
        <w:rPr>
          <w:rFonts w:hint="default" w:ascii="Times New Roman" w:hAnsi="Times New Roman" w:eastAsia="黑体" w:cs="Times New Roman"/>
          <w:color w:val="auto"/>
          <w:sz w:val="28"/>
        </w:rPr>
      </w:pPr>
    </w:p>
    <w:p w14:paraId="03B70A43">
      <w:pPr>
        <w:widowControl w:val="0"/>
        <w:kinsoku/>
        <w:wordWrap/>
        <w:overflowPunct/>
        <w:topLinePunct w:val="0"/>
        <w:bidi w:val="0"/>
        <w:spacing w:line="360" w:lineRule="auto"/>
        <w:ind w:firstLine="0" w:firstLineChars="0"/>
        <w:jc w:val="center"/>
        <w:textAlignment w:val="auto"/>
        <w:rPr>
          <w:rFonts w:hint="default" w:ascii="Times New Roman" w:hAnsi="Times New Roman" w:eastAsia="黑体" w:cs="Times New Roman"/>
          <w:color w:val="auto"/>
          <w:sz w:val="28"/>
        </w:rPr>
      </w:pPr>
    </w:p>
    <w:p w14:paraId="1DD08269">
      <w:pPr>
        <w:widowControl w:val="0"/>
        <w:kinsoku/>
        <w:wordWrap/>
        <w:overflowPunct/>
        <w:topLinePunct w:val="0"/>
        <w:bidi w:val="0"/>
        <w:spacing w:line="360" w:lineRule="auto"/>
        <w:ind w:firstLine="0" w:firstLineChars="0"/>
        <w:jc w:val="center"/>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cs="Times New Roman"/>
          <w:color w:val="auto"/>
          <w:sz w:val="28"/>
          <w:szCs w:val="28"/>
        </w:rPr>
        <w:t>法定代表人：</w:t>
      </w:r>
      <w:r>
        <w:rPr>
          <w:rFonts w:hint="default" w:ascii="Times New Roman" w:hAnsi="Times New Roman" w:cs="Times New Roman"/>
          <w:color w:val="auto"/>
          <w:sz w:val="28"/>
          <w:szCs w:val="28"/>
          <w:lang w:val="en-US" w:eastAsia="zh-CN"/>
        </w:rPr>
        <w:t>孙同辉</w:t>
      </w:r>
    </w:p>
    <w:p w14:paraId="582361B6">
      <w:pPr>
        <w:widowControl w:val="0"/>
        <w:kinsoku/>
        <w:wordWrap/>
        <w:overflowPunct/>
        <w:topLinePunct w:val="0"/>
        <w:bidi w:val="0"/>
        <w:spacing w:line="360" w:lineRule="auto"/>
        <w:ind w:firstLine="0" w:firstLineChars="0"/>
        <w:jc w:val="center"/>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cs="Times New Roman"/>
          <w:color w:val="auto"/>
          <w:sz w:val="28"/>
          <w:szCs w:val="28"/>
        </w:rPr>
        <w:t>技术负责人：</w:t>
      </w:r>
      <w:r>
        <w:rPr>
          <w:rFonts w:hint="default" w:ascii="Times New Roman" w:hAnsi="Times New Roman" w:cs="Times New Roman"/>
          <w:color w:val="auto"/>
          <w:sz w:val="28"/>
          <w:szCs w:val="28"/>
          <w:lang w:val="en-US" w:eastAsia="zh-CN"/>
        </w:rPr>
        <w:t>张廷辉</w:t>
      </w:r>
    </w:p>
    <w:p w14:paraId="290FA7B4">
      <w:pPr>
        <w:widowControl w:val="0"/>
        <w:kinsoku/>
        <w:wordWrap/>
        <w:overflowPunct/>
        <w:topLinePunct w:val="0"/>
        <w:bidi w:val="0"/>
        <w:spacing w:line="360" w:lineRule="auto"/>
        <w:ind w:firstLine="0" w:firstLineChars="0"/>
        <w:jc w:val="center"/>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cs="Times New Roman"/>
          <w:color w:val="auto"/>
          <w:sz w:val="28"/>
          <w:szCs w:val="28"/>
        </w:rPr>
        <w:t>评价项目负责人：</w:t>
      </w:r>
      <w:r>
        <w:rPr>
          <w:rFonts w:hint="default" w:ascii="Times New Roman" w:hAnsi="Times New Roman" w:cs="Times New Roman"/>
          <w:color w:val="auto"/>
          <w:sz w:val="28"/>
          <w:szCs w:val="28"/>
          <w:lang w:val="en-US" w:eastAsia="zh-CN"/>
        </w:rPr>
        <w:t>杨会明</w:t>
      </w:r>
    </w:p>
    <w:p w14:paraId="3695CF09">
      <w:pPr>
        <w:widowControl w:val="0"/>
        <w:kinsoku/>
        <w:wordWrap/>
        <w:overflowPunct/>
        <w:topLinePunct w:val="0"/>
        <w:bidi w:val="0"/>
        <w:ind w:firstLine="0" w:firstLineChars="0"/>
        <w:jc w:val="center"/>
        <w:textAlignment w:val="auto"/>
        <w:rPr>
          <w:rFonts w:hint="default" w:ascii="Times New Roman" w:hAnsi="Times New Roman" w:cs="Times New Roman"/>
          <w:b/>
          <w:color w:val="auto"/>
          <w:sz w:val="24"/>
        </w:rPr>
      </w:pPr>
      <w:r>
        <w:rPr>
          <w:rFonts w:hint="eastAsia" w:cs="Times New Roman"/>
          <w:b/>
          <w:color w:val="auto"/>
          <w:sz w:val="24"/>
          <w:lang w:val="en-US" w:eastAsia="zh-CN"/>
        </w:rPr>
        <w:t>完成日期：</w:t>
      </w:r>
      <w:r>
        <w:rPr>
          <w:rFonts w:hint="default" w:ascii="Times New Roman" w:hAnsi="Times New Roman" w:cs="Times New Roman"/>
          <w:b/>
          <w:color w:val="auto"/>
          <w:sz w:val="24"/>
        </w:rPr>
        <w:t>202</w:t>
      </w:r>
      <w:r>
        <w:rPr>
          <w:rFonts w:hint="eastAsia" w:cs="Times New Roman"/>
          <w:b/>
          <w:color w:val="auto"/>
          <w:sz w:val="24"/>
          <w:lang w:val="en-US" w:eastAsia="zh-CN"/>
        </w:rPr>
        <w:t>5</w:t>
      </w:r>
      <w:r>
        <w:rPr>
          <w:rFonts w:hint="default" w:ascii="Times New Roman" w:hAnsi="Times New Roman" w:cs="Times New Roman"/>
          <w:b/>
          <w:color w:val="auto"/>
          <w:sz w:val="24"/>
        </w:rPr>
        <w:t>年</w:t>
      </w:r>
      <w:r>
        <w:rPr>
          <w:rFonts w:hint="eastAsia" w:cs="Times New Roman"/>
          <w:b/>
          <w:color w:val="auto"/>
          <w:sz w:val="24"/>
          <w:lang w:val="en-US" w:eastAsia="zh-CN"/>
        </w:rPr>
        <w:t>04</w:t>
      </w:r>
      <w:r>
        <w:rPr>
          <w:rFonts w:hint="default" w:ascii="Times New Roman" w:hAnsi="Times New Roman" w:cs="Times New Roman"/>
          <w:b/>
          <w:color w:val="auto"/>
          <w:sz w:val="24"/>
        </w:rPr>
        <w:t>月</w:t>
      </w:r>
    </w:p>
    <w:p w14:paraId="3B770FBC">
      <w:pPr>
        <w:widowControl w:val="0"/>
        <w:kinsoku/>
        <w:wordWrap/>
        <w:overflowPunct/>
        <w:topLinePunct w:val="0"/>
        <w:bidi w:val="0"/>
        <w:ind w:firstLine="0" w:firstLineChars="0"/>
        <w:jc w:val="center"/>
        <w:textAlignment w:val="auto"/>
        <w:rPr>
          <w:rFonts w:hint="default" w:ascii="Times New Roman" w:hAnsi="Times New Roman" w:cs="Times New Roman"/>
          <w:color w:val="auto"/>
        </w:rPr>
        <w:sectPr>
          <w:footerReference r:id="rId7" w:type="default"/>
          <w:pgSz w:w="11905" w:h="16838"/>
          <w:pgMar w:top="1417" w:right="1134" w:bottom="1134" w:left="1587" w:header="851" w:footer="992" w:gutter="0"/>
          <w:pgBorders>
            <w:top w:val="none" w:sz="0" w:space="0"/>
            <w:left w:val="none" w:sz="0" w:space="0"/>
            <w:bottom w:val="none" w:sz="0" w:space="0"/>
            <w:right w:val="none" w:sz="0" w:space="0"/>
          </w:pgBorders>
          <w:pgNumType w:fmt="upperRoman" w:start="1"/>
          <w:cols w:space="0" w:num="1"/>
          <w:rtlGutter w:val="0"/>
          <w:docGrid w:type="lines" w:linePitch="386" w:charSpace="0"/>
        </w:sectPr>
      </w:pPr>
      <w:r>
        <w:rPr>
          <w:rFonts w:hint="default" w:ascii="Times New Roman" w:hAnsi="Times New Roman" w:cs="Times New Roman"/>
          <w:color w:val="auto"/>
          <w:szCs w:val="21"/>
        </w:rPr>
        <w:t>（安全评价机构公章）</w:t>
      </w:r>
      <w:bookmarkStart w:id="38" w:name="_Toc17072"/>
      <w:bookmarkStart w:id="39" w:name="_Toc25642"/>
    </w:p>
    <w:p w14:paraId="6939632A">
      <w:pPr>
        <w:pageBreakBefore/>
        <w:widowControl w:val="0"/>
        <w:kinsoku/>
        <w:wordWrap/>
        <w:overflowPunct/>
        <w:topLinePunct w:val="0"/>
        <w:bidi w:val="0"/>
        <w:ind w:firstLine="0" w:firstLineChars="0"/>
        <w:jc w:val="center"/>
        <w:textAlignment w:val="auto"/>
        <w:rPr>
          <w:rFonts w:hint="default" w:ascii="Times New Roman" w:hAnsi="Times New Roman" w:cs="Times New Roman"/>
          <w:b/>
          <w:color w:val="auto"/>
          <w:sz w:val="32"/>
          <w:szCs w:val="32"/>
        </w:rPr>
      </w:pPr>
      <w:bookmarkStart w:id="40" w:name="_Toc2958"/>
      <w:bookmarkStart w:id="41" w:name="_Toc16397"/>
      <w:bookmarkStart w:id="42" w:name="_Toc1021"/>
      <w:bookmarkStart w:id="43" w:name="_Toc19156"/>
      <w:bookmarkStart w:id="44" w:name="_Toc5600"/>
      <w:bookmarkStart w:id="45" w:name="_Toc7609"/>
      <w:bookmarkStart w:id="46" w:name="_Toc17128"/>
      <w:bookmarkStart w:id="47" w:name="_Toc22273"/>
      <w:r>
        <w:rPr>
          <w:rFonts w:hint="default" w:ascii="Times New Roman" w:hAnsi="Times New Roman" w:cs="Times New Roman"/>
          <w:b/>
          <w:color w:val="auto"/>
          <w:kern w:val="0"/>
          <w:sz w:val="32"/>
          <w:szCs w:val="32"/>
        </w:rPr>
        <w:t>评价人员</w:t>
      </w:r>
    </w:p>
    <w:tbl>
      <w:tblPr>
        <w:tblStyle w:val="14"/>
        <w:tblW w:w="98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4"/>
        <w:gridCol w:w="1236"/>
        <w:gridCol w:w="1387"/>
        <w:gridCol w:w="2300"/>
        <w:gridCol w:w="1880"/>
        <w:gridCol w:w="1594"/>
      </w:tblGrid>
      <w:tr w14:paraId="2EBB0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tcBorders>
              <w:top w:val="single" w:color="auto" w:sz="4" w:space="0"/>
              <w:left w:val="single" w:color="auto" w:sz="4" w:space="0"/>
              <w:bottom w:val="single" w:color="auto" w:sz="4" w:space="0"/>
              <w:right w:val="single" w:color="auto" w:sz="4" w:space="0"/>
            </w:tcBorders>
            <w:noWrap w:val="0"/>
            <w:vAlign w:val="center"/>
          </w:tcPr>
          <w:p w14:paraId="1761DA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评价单位</w:t>
            </w:r>
          </w:p>
        </w:tc>
        <w:tc>
          <w:tcPr>
            <w:tcW w:w="8397" w:type="dxa"/>
            <w:gridSpan w:val="5"/>
            <w:tcBorders>
              <w:top w:val="single" w:color="auto" w:sz="4" w:space="0"/>
              <w:left w:val="single" w:color="auto" w:sz="4" w:space="0"/>
              <w:bottom w:val="single" w:color="auto" w:sz="4" w:space="0"/>
              <w:right w:val="single" w:color="auto" w:sz="4" w:space="0"/>
            </w:tcBorders>
            <w:noWrap w:val="0"/>
            <w:vAlign w:val="center"/>
          </w:tcPr>
          <w:p w14:paraId="73C781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辽宁</w:t>
            </w:r>
            <w:r>
              <w:rPr>
                <w:rFonts w:hint="default" w:ascii="Times New Roman" w:hAnsi="Times New Roman" w:eastAsia="宋体" w:cs="Times New Roman"/>
                <w:color w:val="auto"/>
                <w:sz w:val="24"/>
                <w:lang w:val="en-US" w:eastAsia="zh-CN"/>
              </w:rPr>
              <w:t>诺诚安全科技</w:t>
            </w:r>
            <w:r>
              <w:rPr>
                <w:rFonts w:hint="default" w:ascii="Times New Roman" w:hAnsi="Times New Roman" w:eastAsia="宋体" w:cs="Times New Roman"/>
                <w:color w:val="auto"/>
                <w:sz w:val="24"/>
              </w:rPr>
              <w:t>有限公司</w:t>
            </w:r>
          </w:p>
        </w:tc>
      </w:tr>
      <w:tr w14:paraId="14006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tcBorders>
              <w:top w:val="single" w:color="auto" w:sz="4" w:space="0"/>
              <w:left w:val="single" w:color="auto" w:sz="4" w:space="0"/>
              <w:bottom w:val="single" w:color="auto" w:sz="4" w:space="0"/>
              <w:right w:val="single" w:color="auto" w:sz="4" w:space="0"/>
            </w:tcBorders>
            <w:noWrap w:val="0"/>
            <w:vAlign w:val="center"/>
          </w:tcPr>
          <w:p w14:paraId="48C6E6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项目名称</w:t>
            </w:r>
          </w:p>
        </w:tc>
        <w:tc>
          <w:tcPr>
            <w:tcW w:w="8397" w:type="dxa"/>
            <w:gridSpan w:val="5"/>
            <w:tcBorders>
              <w:top w:val="single" w:color="auto" w:sz="4" w:space="0"/>
              <w:left w:val="single" w:color="auto" w:sz="4" w:space="0"/>
              <w:bottom w:val="single" w:color="auto" w:sz="4" w:space="0"/>
              <w:right w:val="single" w:color="auto" w:sz="4" w:space="0"/>
            </w:tcBorders>
            <w:noWrap w:val="0"/>
            <w:vAlign w:val="center"/>
          </w:tcPr>
          <w:p w14:paraId="109DB8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szCs w:val="22"/>
                <w:lang w:val="en-US" w:eastAsia="zh-CN"/>
              </w:rPr>
              <w:t>武定县花果箐钛矿采选厂技改扩建项目安全预评价</w:t>
            </w:r>
          </w:p>
        </w:tc>
      </w:tr>
      <w:tr w14:paraId="770A9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tcBorders>
              <w:top w:val="single" w:color="auto" w:sz="4" w:space="0"/>
              <w:left w:val="single" w:color="auto" w:sz="4" w:space="0"/>
              <w:bottom w:val="single" w:color="auto" w:sz="4" w:space="0"/>
              <w:right w:val="single" w:color="auto" w:sz="4" w:space="0"/>
            </w:tcBorders>
            <w:noWrap w:val="0"/>
            <w:vAlign w:val="center"/>
          </w:tcPr>
          <w:p w14:paraId="4BDF48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评价人员</w:t>
            </w:r>
          </w:p>
        </w:tc>
        <w:tc>
          <w:tcPr>
            <w:tcW w:w="1236" w:type="dxa"/>
            <w:tcBorders>
              <w:top w:val="single" w:color="auto" w:sz="4" w:space="0"/>
              <w:left w:val="single" w:color="auto" w:sz="4" w:space="0"/>
              <w:bottom w:val="single" w:color="auto" w:sz="4" w:space="0"/>
              <w:right w:val="single" w:color="auto" w:sz="4" w:space="0"/>
            </w:tcBorders>
            <w:noWrap w:val="0"/>
            <w:vAlign w:val="center"/>
          </w:tcPr>
          <w:p w14:paraId="2521F9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姓  名</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4B89B1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2"/>
                <w:lang w:val="zh-CN" w:eastAsia="zh-CN" w:bidi="zh-CN"/>
              </w:rPr>
            </w:pPr>
            <w:r>
              <w:rPr>
                <w:rFonts w:hint="default" w:ascii="Times New Roman" w:hAnsi="Times New Roman" w:eastAsia="宋体" w:cs="Times New Roman"/>
                <w:color w:val="auto"/>
                <w:sz w:val="24"/>
              </w:rPr>
              <w:t>专业能力</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1FB94D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2"/>
                <w:lang w:val="zh-CN" w:eastAsia="zh-CN" w:bidi="zh-CN"/>
              </w:rPr>
            </w:pPr>
            <w:r>
              <w:rPr>
                <w:rFonts w:hint="default" w:ascii="Times New Roman" w:hAnsi="Times New Roman" w:eastAsia="宋体" w:cs="Times New Roman"/>
                <w:color w:val="auto"/>
                <w:sz w:val="24"/>
              </w:rPr>
              <w:t>资格证书号</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39843C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2"/>
                <w:lang w:val="zh-CN" w:eastAsia="zh-CN" w:bidi="zh-CN"/>
              </w:rPr>
            </w:pPr>
            <w:r>
              <w:rPr>
                <w:rFonts w:hint="default" w:ascii="Times New Roman" w:hAnsi="Times New Roman" w:eastAsia="宋体" w:cs="Times New Roman"/>
                <w:color w:val="auto"/>
                <w:sz w:val="24"/>
              </w:rPr>
              <w:t>从业登记编号</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13B9ED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签  字</w:t>
            </w:r>
          </w:p>
        </w:tc>
      </w:tr>
      <w:tr w14:paraId="67F4C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tcBorders>
              <w:top w:val="single" w:color="auto" w:sz="4" w:space="0"/>
              <w:left w:val="single" w:color="auto" w:sz="4" w:space="0"/>
              <w:bottom w:val="single" w:color="auto" w:sz="4" w:space="0"/>
              <w:right w:val="single" w:color="auto" w:sz="4" w:space="0"/>
            </w:tcBorders>
            <w:noWrap w:val="0"/>
            <w:vAlign w:val="center"/>
          </w:tcPr>
          <w:p w14:paraId="0498BF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项目负责人</w:t>
            </w:r>
          </w:p>
        </w:tc>
        <w:tc>
          <w:tcPr>
            <w:tcW w:w="1236" w:type="dxa"/>
            <w:tcBorders>
              <w:top w:val="single" w:color="auto" w:sz="4" w:space="0"/>
              <w:left w:val="single" w:color="auto" w:sz="4" w:space="0"/>
              <w:bottom w:val="single" w:color="auto" w:sz="4" w:space="0"/>
              <w:right w:val="single" w:color="auto" w:sz="4" w:space="0"/>
            </w:tcBorders>
            <w:noWrap w:val="0"/>
            <w:vAlign w:val="center"/>
          </w:tcPr>
          <w:p w14:paraId="4D4C9E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kern w:val="0"/>
                <w:sz w:val="24"/>
                <w:szCs w:val="24"/>
                <w:lang w:bidi="zh-CN"/>
              </w:rPr>
              <w:t>杨会明</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239BB2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eastAsia" w:cs="Times New Roman"/>
                <w:color w:val="auto"/>
                <w:kern w:val="0"/>
                <w:sz w:val="24"/>
                <w:szCs w:val="24"/>
                <w:lang w:val="en-US" w:bidi="zh-CN"/>
              </w:rPr>
              <w:t>通风</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28C2A2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zh-CN" w:eastAsia="zh-CN"/>
              </w:rPr>
            </w:pPr>
            <w:r>
              <w:rPr>
                <w:rFonts w:hint="default" w:ascii="Times New Roman" w:hAnsi="Times New Roman" w:eastAsia="宋体" w:cs="Times New Roman"/>
                <w:color w:val="auto"/>
                <w:kern w:val="0"/>
                <w:sz w:val="24"/>
                <w:szCs w:val="24"/>
                <w:lang w:bidi="zh-CN"/>
              </w:rPr>
              <w:fldChar w:fldCharType="begin"/>
            </w:r>
            <w:r>
              <w:rPr>
                <w:rFonts w:hint="default" w:ascii="Times New Roman" w:hAnsi="Times New Roman" w:eastAsia="宋体" w:cs="Times New Roman"/>
                <w:color w:val="auto"/>
                <w:kern w:val="0"/>
                <w:sz w:val="24"/>
                <w:szCs w:val="24"/>
                <w:lang w:bidi="zh-CN"/>
              </w:rPr>
              <w:instrText xml:space="preserve"> HYPERLINK "http://cydj.5anquan.com/Admin/AprySearch/path=/Files/Image/ApryImg/Profession/Edit4239/" \o "http://cydj.5anquan.com/Admin/AprySearch/path=/Files/Image/ApryImg/Profession/Edit4239/" </w:instrText>
            </w:r>
            <w:r>
              <w:rPr>
                <w:rFonts w:hint="default" w:ascii="Times New Roman" w:hAnsi="Times New Roman" w:eastAsia="宋体" w:cs="Times New Roman"/>
                <w:color w:val="auto"/>
                <w:kern w:val="0"/>
                <w:sz w:val="24"/>
                <w:szCs w:val="24"/>
                <w:lang w:bidi="zh-CN"/>
              </w:rPr>
              <w:fldChar w:fldCharType="separate"/>
            </w:r>
            <w:r>
              <w:rPr>
                <w:rFonts w:hint="default" w:ascii="Times New Roman" w:hAnsi="Times New Roman" w:eastAsia="宋体" w:cs="Times New Roman"/>
                <w:color w:val="auto"/>
                <w:kern w:val="0"/>
                <w:sz w:val="24"/>
                <w:szCs w:val="24"/>
                <w:lang w:bidi="zh-CN"/>
              </w:rPr>
              <w:t>S011053000110192003194</w:t>
            </w:r>
            <w:r>
              <w:rPr>
                <w:rFonts w:hint="default" w:ascii="Times New Roman" w:hAnsi="Times New Roman" w:eastAsia="宋体" w:cs="Times New Roman"/>
                <w:color w:val="auto"/>
                <w:kern w:val="0"/>
                <w:sz w:val="24"/>
                <w:szCs w:val="24"/>
                <w:lang w:bidi="zh-CN"/>
              </w:rPr>
              <w:fldChar w:fldCharType="end"/>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4EDDEC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zh-CN" w:eastAsia="zh-CN"/>
              </w:rPr>
            </w:pPr>
            <w:r>
              <w:rPr>
                <w:rFonts w:hint="default" w:ascii="Times New Roman" w:hAnsi="Times New Roman" w:eastAsia="宋体" w:cs="Times New Roman"/>
                <w:color w:val="auto"/>
                <w:kern w:val="0"/>
                <w:sz w:val="24"/>
                <w:szCs w:val="24"/>
                <w:lang w:bidi="zh-CN"/>
              </w:rPr>
              <w:t>024910</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0524D7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13346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vMerge w:val="restart"/>
            <w:tcBorders>
              <w:left w:val="single" w:color="auto" w:sz="4" w:space="0"/>
              <w:right w:val="single" w:color="auto" w:sz="4" w:space="0"/>
            </w:tcBorders>
            <w:noWrap w:val="0"/>
            <w:vAlign w:val="center"/>
          </w:tcPr>
          <w:p w14:paraId="1BAD8C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eastAsia" w:cs="Times New Roman"/>
                <w:color w:val="auto"/>
                <w:sz w:val="24"/>
                <w:lang w:val="en-US" w:eastAsia="zh-CN"/>
              </w:rPr>
              <w:t>项目组成员</w:t>
            </w:r>
          </w:p>
        </w:tc>
        <w:tc>
          <w:tcPr>
            <w:tcW w:w="1236" w:type="dxa"/>
            <w:tcBorders>
              <w:top w:val="single" w:color="auto" w:sz="4" w:space="0"/>
              <w:left w:val="single" w:color="auto" w:sz="4" w:space="0"/>
              <w:bottom w:val="single" w:color="auto" w:sz="4" w:space="0"/>
              <w:right w:val="single" w:color="auto" w:sz="4" w:space="0"/>
            </w:tcBorders>
            <w:noWrap w:val="0"/>
            <w:vAlign w:val="center"/>
          </w:tcPr>
          <w:p w14:paraId="65BF36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r>
              <w:rPr>
                <w:rFonts w:hint="default" w:ascii="Times New Roman" w:hAnsi="Times New Roman" w:eastAsia="宋体" w:cs="Times New Roman"/>
                <w:color w:val="auto"/>
                <w:kern w:val="0"/>
                <w:sz w:val="24"/>
                <w:szCs w:val="24"/>
                <w:lang w:val="en-US" w:bidi="zh-CN"/>
              </w:rPr>
              <w:t>李欣泽</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1D78BB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en-US" w:bidi="zh-CN"/>
              </w:rPr>
            </w:pPr>
            <w:r>
              <w:rPr>
                <w:rFonts w:hint="eastAsia" w:ascii="Times New Roman" w:hAnsi="Times New Roman" w:eastAsia="宋体" w:cs="Times New Roman"/>
                <w:color w:val="auto"/>
                <w:kern w:val="0"/>
                <w:sz w:val="24"/>
                <w:szCs w:val="24"/>
                <w:lang w:val="en-US" w:bidi="zh-CN"/>
              </w:rPr>
              <w:t>安全</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34BE37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r>
              <w:rPr>
                <w:rFonts w:hint="default" w:ascii="Times New Roman" w:hAnsi="Times New Roman" w:eastAsia="宋体" w:cs="Times New Roman"/>
                <w:color w:val="auto"/>
                <w:kern w:val="0"/>
                <w:sz w:val="24"/>
                <w:szCs w:val="24"/>
                <w:lang w:bidi="zh-CN"/>
              </w:rPr>
              <w:t>1600000000200299</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768D3B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r>
              <w:rPr>
                <w:rFonts w:hint="default" w:ascii="Times New Roman" w:hAnsi="Times New Roman" w:eastAsia="宋体" w:cs="Times New Roman"/>
                <w:color w:val="auto"/>
                <w:kern w:val="0"/>
                <w:sz w:val="24"/>
                <w:szCs w:val="24"/>
                <w:lang w:bidi="zh-CN"/>
              </w:rPr>
              <w:t>019600</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2AF1B6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66532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vMerge w:val="continue"/>
            <w:tcBorders>
              <w:left w:val="single" w:color="auto" w:sz="4" w:space="0"/>
              <w:right w:val="single" w:color="auto" w:sz="4" w:space="0"/>
            </w:tcBorders>
            <w:noWrap w:val="0"/>
            <w:vAlign w:val="center"/>
          </w:tcPr>
          <w:p w14:paraId="357FB5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c>
          <w:tcPr>
            <w:tcW w:w="1236" w:type="dxa"/>
            <w:tcBorders>
              <w:top w:val="single" w:color="auto" w:sz="4" w:space="0"/>
              <w:left w:val="single" w:color="auto" w:sz="4" w:space="0"/>
              <w:bottom w:val="single" w:color="auto" w:sz="4" w:space="0"/>
              <w:right w:val="single" w:color="auto" w:sz="4" w:space="0"/>
            </w:tcBorders>
            <w:noWrap w:val="0"/>
            <w:vAlign w:val="center"/>
          </w:tcPr>
          <w:p w14:paraId="20754F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en-US" w:eastAsia="zh-CN" w:bidi="zh-CN"/>
              </w:rPr>
            </w:pPr>
            <w:r>
              <w:rPr>
                <w:rFonts w:hint="eastAsia" w:cs="Times New Roman"/>
                <w:color w:val="auto"/>
                <w:kern w:val="0"/>
                <w:sz w:val="24"/>
                <w:szCs w:val="24"/>
                <w:lang w:val="en-US" w:eastAsia="zh-CN" w:bidi="zh-CN"/>
              </w:rPr>
              <w:t>侯  岗</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0332EE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eastAsia" w:cs="Times New Roman"/>
                <w:color w:val="auto"/>
                <w:sz w:val="24"/>
                <w:lang w:val="en-US" w:eastAsia="zh-CN"/>
              </w:rPr>
              <w:t>电气</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6953BF6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rPr>
                <w:rFonts w:hint="default" w:ascii="Times New Roman" w:hAnsi="Times New Roman" w:eastAsia="宋体" w:cs="Times New Roman"/>
                <w:color w:val="auto"/>
                <w:sz w:val="24"/>
                <w:lang w:val="zh-CN" w:eastAsia="zh-CN"/>
              </w:rPr>
            </w:pPr>
            <w:r>
              <w:rPr>
                <w:rFonts w:hint="eastAsia" w:ascii="Times New Roman" w:hAnsi="Times New Roman" w:cs="Times New Roman"/>
                <w:color w:val="auto"/>
                <w:kern w:val="0"/>
                <w:sz w:val="24"/>
                <w:szCs w:val="24"/>
                <w:lang w:val="en-US" w:eastAsia="zh-CN" w:bidi="zh-CN"/>
              </w:rPr>
              <w:t>1500000000302693</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290AAFA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rPr>
                <w:rFonts w:hint="default" w:ascii="Times New Roman" w:hAnsi="Times New Roman" w:eastAsia="宋体" w:cs="Times New Roman"/>
                <w:color w:val="auto"/>
                <w:sz w:val="24"/>
                <w:lang w:val="en-US" w:eastAsia="zh-CN"/>
              </w:rPr>
            </w:pPr>
            <w:r>
              <w:rPr>
                <w:rFonts w:hint="eastAsia" w:ascii="Times New Roman" w:hAnsi="Times New Roman" w:cs="Times New Roman"/>
                <w:color w:val="auto"/>
                <w:kern w:val="0"/>
                <w:sz w:val="24"/>
                <w:szCs w:val="24"/>
                <w:lang w:val="en-US" w:eastAsia="zh-CN" w:bidi="zh-CN"/>
              </w:rPr>
              <w:t>026194</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6DB53B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7DEE8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vMerge w:val="continue"/>
            <w:tcBorders>
              <w:left w:val="single" w:color="auto" w:sz="4" w:space="0"/>
              <w:right w:val="single" w:color="auto" w:sz="4" w:space="0"/>
            </w:tcBorders>
            <w:noWrap w:val="0"/>
            <w:vAlign w:val="center"/>
          </w:tcPr>
          <w:p w14:paraId="6078E0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c>
          <w:tcPr>
            <w:tcW w:w="1236" w:type="dxa"/>
            <w:tcBorders>
              <w:top w:val="single" w:color="auto" w:sz="4" w:space="0"/>
              <w:left w:val="single" w:color="auto" w:sz="4" w:space="0"/>
              <w:bottom w:val="single" w:color="auto" w:sz="4" w:space="0"/>
              <w:right w:val="single" w:color="auto" w:sz="4" w:space="0"/>
            </w:tcBorders>
            <w:noWrap w:val="0"/>
            <w:vAlign w:val="center"/>
          </w:tcPr>
          <w:p w14:paraId="405B01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en-US" w:eastAsia="zh-CN" w:bidi="zh-CN"/>
              </w:rPr>
            </w:pPr>
            <w:r>
              <w:rPr>
                <w:rFonts w:hint="default" w:ascii="Times New Roman" w:hAnsi="Times New Roman" w:eastAsia="宋体" w:cs="Times New Roman"/>
                <w:color w:val="auto"/>
                <w:kern w:val="0"/>
                <w:sz w:val="24"/>
                <w:szCs w:val="24"/>
                <w:lang w:bidi="zh-CN"/>
              </w:rPr>
              <w:t>安东亮</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1DF7FA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kern w:val="0"/>
                <w:sz w:val="24"/>
                <w:szCs w:val="24"/>
                <w:lang w:bidi="zh-CN"/>
              </w:rPr>
              <w:t>采矿</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599BBB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kern w:val="0"/>
                <w:sz w:val="24"/>
                <w:szCs w:val="24"/>
                <w:lang w:bidi="zh-CN"/>
              </w:rPr>
              <w:t>S011053000110203001658</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70A536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kern w:val="0"/>
                <w:sz w:val="24"/>
                <w:szCs w:val="24"/>
                <w:lang w:bidi="zh-CN"/>
              </w:rPr>
              <w:t>042539</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2BC342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0DCF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vMerge w:val="continue"/>
            <w:tcBorders>
              <w:left w:val="single" w:color="auto" w:sz="4" w:space="0"/>
              <w:right w:val="single" w:color="auto" w:sz="4" w:space="0"/>
            </w:tcBorders>
            <w:noWrap w:val="0"/>
            <w:vAlign w:val="center"/>
          </w:tcPr>
          <w:p w14:paraId="0B21C6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c>
          <w:tcPr>
            <w:tcW w:w="1236" w:type="dxa"/>
            <w:tcBorders>
              <w:top w:val="single" w:color="auto" w:sz="4" w:space="0"/>
              <w:left w:val="single" w:color="auto" w:sz="4" w:space="0"/>
              <w:bottom w:val="single" w:color="auto" w:sz="4" w:space="0"/>
              <w:right w:val="single" w:color="auto" w:sz="4" w:space="0"/>
            </w:tcBorders>
            <w:noWrap w:val="0"/>
            <w:vAlign w:val="center"/>
          </w:tcPr>
          <w:p w14:paraId="66C9A3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r>
              <w:rPr>
                <w:rFonts w:hint="default" w:ascii="Times New Roman" w:hAnsi="Times New Roman" w:eastAsia="宋体" w:cs="Times New Roman"/>
                <w:color w:val="auto"/>
                <w:kern w:val="0"/>
                <w:sz w:val="24"/>
                <w:szCs w:val="24"/>
                <w:lang w:bidi="zh-CN"/>
              </w:rPr>
              <w:t>杨  伍</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72BB11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r>
              <w:rPr>
                <w:rFonts w:hint="default" w:ascii="Times New Roman" w:hAnsi="Times New Roman" w:eastAsia="宋体" w:cs="Times New Roman"/>
                <w:color w:val="auto"/>
                <w:kern w:val="0"/>
                <w:sz w:val="24"/>
                <w:szCs w:val="24"/>
                <w:lang w:bidi="zh-CN"/>
              </w:rPr>
              <w:t>水工结构</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68138C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r>
              <w:rPr>
                <w:rFonts w:hint="default" w:ascii="Times New Roman" w:hAnsi="Times New Roman" w:eastAsia="宋体" w:cs="Times New Roman"/>
                <w:color w:val="auto"/>
                <w:kern w:val="0"/>
                <w:sz w:val="24"/>
                <w:szCs w:val="24"/>
                <w:lang w:bidi="zh-CN"/>
              </w:rPr>
              <w:fldChar w:fldCharType="begin"/>
            </w:r>
            <w:r>
              <w:rPr>
                <w:rFonts w:hint="default" w:ascii="Times New Roman" w:hAnsi="Times New Roman" w:eastAsia="宋体" w:cs="Times New Roman"/>
                <w:color w:val="auto"/>
                <w:kern w:val="0"/>
                <w:sz w:val="24"/>
                <w:szCs w:val="24"/>
                <w:lang w:bidi="zh-CN"/>
              </w:rPr>
              <w:instrText xml:space="preserve"> HYPERLINK "http://cydj.5anquan.com/Admin/AprySearch/path=/Files/Image/ApryImg/Profession/Edit9607/" \o "http://cydj.5anquan.com/Admin/AprySearch/path=/Files/Image/ApryImg/Profession/Edit9607/" </w:instrText>
            </w:r>
            <w:r>
              <w:rPr>
                <w:rFonts w:hint="default" w:ascii="Times New Roman" w:hAnsi="Times New Roman" w:eastAsia="宋体" w:cs="Times New Roman"/>
                <w:color w:val="auto"/>
                <w:kern w:val="0"/>
                <w:sz w:val="24"/>
                <w:szCs w:val="24"/>
                <w:lang w:bidi="zh-CN"/>
              </w:rPr>
              <w:fldChar w:fldCharType="separate"/>
            </w:r>
            <w:r>
              <w:rPr>
                <w:rFonts w:hint="default" w:ascii="Times New Roman" w:hAnsi="Times New Roman" w:eastAsia="宋体" w:cs="Times New Roman"/>
                <w:color w:val="auto"/>
                <w:kern w:val="0"/>
                <w:sz w:val="24"/>
                <w:szCs w:val="24"/>
                <w:lang w:bidi="zh-CN"/>
              </w:rPr>
              <w:t>1100000000302455</w:t>
            </w:r>
            <w:r>
              <w:rPr>
                <w:rFonts w:hint="default" w:ascii="Times New Roman" w:hAnsi="Times New Roman" w:eastAsia="宋体" w:cs="Times New Roman"/>
                <w:color w:val="auto"/>
                <w:kern w:val="0"/>
                <w:sz w:val="24"/>
                <w:szCs w:val="24"/>
                <w:lang w:bidi="zh-CN"/>
              </w:rPr>
              <w:fldChar w:fldCharType="end"/>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7F3216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r>
              <w:rPr>
                <w:rFonts w:hint="default" w:ascii="Times New Roman" w:hAnsi="Times New Roman" w:eastAsia="宋体" w:cs="Times New Roman"/>
                <w:color w:val="auto"/>
                <w:kern w:val="0"/>
                <w:sz w:val="24"/>
                <w:szCs w:val="24"/>
                <w:lang w:bidi="zh-CN"/>
              </w:rPr>
              <w:t>020433</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5804A3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4AA2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vMerge w:val="continue"/>
            <w:tcBorders>
              <w:left w:val="single" w:color="auto" w:sz="4" w:space="0"/>
              <w:right w:val="single" w:color="auto" w:sz="4" w:space="0"/>
            </w:tcBorders>
            <w:noWrap w:val="0"/>
            <w:vAlign w:val="center"/>
          </w:tcPr>
          <w:p w14:paraId="0D818C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c>
          <w:tcPr>
            <w:tcW w:w="1236" w:type="dxa"/>
            <w:tcBorders>
              <w:top w:val="single" w:color="auto" w:sz="4" w:space="0"/>
              <w:left w:val="single" w:color="auto" w:sz="4" w:space="0"/>
              <w:bottom w:val="single" w:color="auto" w:sz="4" w:space="0"/>
              <w:right w:val="single" w:color="auto" w:sz="4" w:space="0"/>
            </w:tcBorders>
            <w:noWrap w:val="0"/>
            <w:vAlign w:val="center"/>
          </w:tcPr>
          <w:p w14:paraId="5ABBDE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en-US" w:eastAsia="zh-CN" w:bidi="zh-CN"/>
              </w:rPr>
            </w:pPr>
            <w:r>
              <w:rPr>
                <w:rFonts w:hint="default" w:ascii="Times New Roman" w:hAnsi="Times New Roman" w:eastAsia="宋体" w:cs="Times New Roman"/>
                <w:color w:val="auto"/>
                <w:kern w:val="0"/>
                <w:sz w:val="24"/>
                <w:szCs w:val="24"/>
                <w:lang w:bidi="zh-CN"/>
              </w:rPr>
              <w:t>王英楠</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5A1F3E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kern w:val="0"/>
                <w:sz w:val="24"/>
                <w:szCs w:val="24"/>
                <w:lang w:bidi="zh-CN"/>
              </w:rPr>
              <w:t>地质</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5CA8E7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kern w:val="0"/>
                <w:sz w:val="24"/>
                <w:szCs w:val="24"/>
                <w:lang w:bidi="zh-CN"/>
              </w:rPr>
              <w:t>1100000000302557</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5F0E8D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kern w:val="0"/>
                <w:sz w:val="24"/>
                <w:szCs w:val="24"/>
                <w:lang w:bidi="zh-CN"/>
              </w:rPr>
              <w:t>020437</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13A808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50CFC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vMerge w:val="continue"/>
            <w:tcBorders>
              <w:left w:val="single" w:color="auto" w:sz="4" w:space="0"/>
              <w:right w:val="single" w:color="auto" w:sz="4" w:space="0"/>
            </w:tcBorders>
            <w:noWrap w:val="0"/>
            <w:vAlign w:val="center"/>
          </w:tcPr>
          <w:p w14:paraId="7B6672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c>
          <w:tcPr>
            <w:tcW w:w="1236" w:type="dxa"/>
            <w:tcBorders>
              <w:top w:val="single" w:color="auto" w:sz="4" w:space="0"/>
              <w:left w:val="single" w:color="auto" w:sz="4" w:space="0"/>
              <w:bottom w:val="single" w:color="auto" w:sz="4" w:space="0"/>
              <w:right w:val="single" w:color="auto" w:sz="4" w:space="0"/>
            </w:tcBorders>
            <w:noWrap w:val="0"/>
            <w:vAlign w:val="center"/>
          </w:tcPr>
          <w:p w14:paraId="3033A6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en-US" w:bidi="zh-CN"/>
              </w:rPr>
            </w:pPr>
            <w:r>
              <w:rPr>
                <w:rFonts w:hint="eastAsia" w:cs="Times New Roman"/>
                <w:color w:val="auto"/>
                <w:kern w:val="0"/>
                <w:sz w:val="24"/>
                <w:szCs w:val="24"/>
                <w:lang w:val="en-US" w:bidi="zh-CN"/>
              </w:rPr>
              <w:t>于贺苓</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76F7F8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en-US" w:bidi="zh-CN"/>
              </w:rPr>
            </w:pPr>
            <w:r>
              <w:rPr>
                <w:rFonts w:hint="eastAsia" w:cs="Times New Roman"/>
                <w:color w:val="auto"/>
                <w:kern w:val="0"/>
                <w:sz w:val="24"/>
                <w:szCs w:val="24"/>
                <w:lang w:val="en-US" w:bidi="zh-CN"/>
              </w:rPr>
              <w:t>机械</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4F7765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en-US" w:bidi="zh-CN"/>
              </w:rPr>
            </w:pPr>
            <w:r>
              <w:rPr>
                <w:rFonts w:hint="eastAsia" w:cs="Times New Roman"/>
                <w:color w:val="auto"/>
                <w:kern w:val="0"/>
                <w:sz w:val="24"/>
                <w:szCs w:val="24"/>
                <w:lang w:val="en-US" w:bidi="zh-CN"/>
              </w:rPr>
              <w:t>1500000000302540</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49E4CC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en-US" w:bidi="zh-CN"/>
              </w:rPr>
            </w:pPr>
            <w:r>
              <w:rPr>
                <w:rFonts w:hint="eastAsia" w:cs="Times New Roman"/>
                <w:color w:val="auto"/>
                <w:kern w:val="0"/>
                <w:sz w:val="24"/>
                <w:szCs w:val="24"/>
                <w:lang w:val="en-US" w:bidi="zh-CN"/>
              </w:rPr>
              <w:t>026191</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53197A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433FD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vMerge w:val="restart"/>
            <w:tcBorders>
              <w:top w:val="single" w:color="auto" w:sz="4" w:space="0"/>
              <w:left w:val="single" w:color="auto" w:sz="4" w:space="0"/>
              <w:right w:val="single" w:color="auto" w:sz="4" w:space="0"/>
            </w:tcBorders>
            <w:noWrap w:val="0"/>
            <w:vAlign w:val="center"/>
          </w:tcPr>
          <w:p w14:paraId="7EC3C1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报告编制人</w:t>
            </w:r>
          </w:p>
        </w:tc>
        <w:tc>
          <w:tcPr>
            <w:tcW w:w="1236" w:type="dxa"/>
            <w:tcBorders>
              <w:top w:val="single" w:color="auto" w:sz="4" w:space="0"/>
              <w:left w:val="single" w:color="auto" w:sz="4" w:space="0"/>
              <w:bottom w:val="single" w:color="auto" w:sz="4" w:space="0"/>
              <w:right w:val="single" w:color="auto" w:sz="4" w:space="0"/>
            </w:tcBorders>
            <w:noWrap w:val="0"/>
            <w:vAlign w:val="center"/>
          </w:tcPr>
          <w:p w14:paraId="4C2761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kern w:val="0"/>
                <w:sz w:val="24"/>
                <w:szCs w:val="24"/>
                <w:lang w:bidi="zh-CN"/>
              </w:rPr>
              <w:t>杨会明</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39DAF8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zh-CN" w:eastAsia="zh-CN"/>
              </w:rPr>
            </w:pPr>
            <w:r>
              <w:rPr>
                <w:rFonts w:hint="eastAsia" w:cs="Times New Roman"/>
                <w:color w:val="auto"/>
                <w:kern w:val="0"/>
                <w:sz w:val="24"/>
                <w:szCs w:val="24"/>
                <w:lang w:val="en-US" w:bidi="zh-CN"/>
              </w:rPr>
              <w:t>通风</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22EA05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zh-CN" w:eastAsia="zh-CN"/>
              </w:rPr>
            </w:pPr>
            <w:r>
              <w:rPr>
                <w:rFonts w:hint="default" w:ascii="Times New Roman" w:hAnsi="Times New Roman" w:eastAsia="宋体" w:cs="Times New Roman"/>
                <w:color w:val="auto"/>
                <w:kern w:val="0"/>
                <w:sz w:val="24"/>
                <w:szCs w:val="24"/>
                <w:lang w:bidi="zh-CN"/>
              </w:rPr>
              <w:fldChar w:fldCharType="begin"/>
            </w:r>
            <w:r>
              <w:rPr>
                <w:rFonts w:hint="default" w:ascii="Times New Roman" w:hAnsi="Times New Roman" w:eastAsia="宋体" w:cs="Times New Roman"/>
                <w:color w:val="auto"/>
                <w:kern w:val="0"/>
                <w:sz w:val="24"/>
                <w:szCs w:val="24"/>
                <w:lang w:bidi="zh-CN"/>
              </w:rPr>
              <w:instrText xml:space="preserve"> HYPERLINK "http://cydj.5anquan.com/Admin/AprySearch/path=/Files/Image/ApryImg/Profession/Edit4239/" \o "http://cydj.5anquan.com/Admin/AprySearch/path=/Files/Image/ApryImg/Profession/Edit4239/" </w:instrText>
            </w:r>
            <w:r>
              <w:rPr>
                <w:rFonts w:hint="default" w:ascii="Times New Roman" w:hAnsi="Times New Roman" w:eastAsia="宋体" w:cs="Times New Roman"/>
                <w:color w:val="auto"/>
                <w:kern w:val="0"/>
                <w:sz w:val="24"/>
                <w:szCs w:val="24"/>
                <w:lang w:bidi="zh-CN"/>
              </w:rPr>
              <w:fldChar w:fldCharType="separate"/>
            </w:r>
            <w:r>
              <w:rPr>
                <w:rFonts w:hint="default" w:ascii="Times New Roman" w:hAnsi="Times New Roman" w:eastAsia="宋体" w:cs="Times New Roman"/>
                <w:color w:val="auto"/>
                <w:kern w:val="0"/>
                <w:sz w:val="24"/>
                <w:szCs w:val="24"/>
                <w:lang w:bidi="zh-CN"/>
              </w:rPr>
              <w:t>S011053000110192003194</w:t>
            </w:r>
            <w:r>
              <w:rPr>
                <w:rFonts w:hint="default" w:ascii="Times New Roman" w:hAnsi="Times New Roman" w:eastAsia="宋体" w:cs="Times New Roman"/>
                <w:color w:val="auto"/>
                <w:kern w:val="0"/>
                <w:sz w:val="24"/>
                <w:szCs w:val="24"/>
                <w:lang w:bidi="zh-CN"/>
              </w:rPr>
              <w:fldChar w:fldCharType="end"/>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3436CE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zh-CN" w:eastAsia="zh-CN"/>
              </w:rPr>
            </w:pPr>
            <w:r>
              <w:rPr>
                <w:rFonts w:hint="default" w:ascii="Times New Roman" w:hAnsi="Times New Roman" w:eastAsia="宋体" w:cs="Times New Roman"/>
                <w:color w:val="auto"/>
                <w:kern w:val="0"/>
                <w:sz w:val="24"/>
                <w:szCs w:val="24"/>
                <w:lang w:bidi="zh-CN"/>
              </w:rPr>
              <w:t>024910</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737D4B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2BB12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vMerge w:val="continue"/>
            <w:tcBorders>
              <w:left w:val="single" w:color="auto" w:sz="4" w:space="0"/>
              <w:bottom w:val="single" w:color="auto" w:sz="4" w:space="0"/>
              <w:right w:val="single" w:color="auto" w:sz="4" w:space="0"/>
            </w:tcBorders>
            <w:noWrap w:val="0"/>
            <w:vAlign w:val="center"/>
          </w:tcPr>
          <w:p w14:paraId="44033E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c>
          <w:tcPr>
            <w:tcW w:w="1236" w:type="dxa"/>
            <w:tcBorders>
              <w:top w:val="single" w:color="auto" w:sz="4" w:space="0"/>
              <w:left w:val="single" w:color="auto" w:sz="4" w:space="0"/>
              <w:bottom w:val="single" w:color="auto" w:sz="4" w:space="0"/>
              <w:right w:val="single" w:color="auto" w:sz="4" w:space="0"/>
            </w:tcBorders>
            <w:noWrap w:val="0"/>
            <w:vAlign w:val="center"/>
          </w:tcPr>
          <w:p w14:paraId="171CF8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r>
              <w:rPr>
                <w:rFonts w:hint="default" w:ascii="Times New Roman" w:hAnsi="Times New Roman" w:eastAsia="宋体" w:cs="Times New Roman"/>
                <w:color w:val="auto"/>
                <w:kern w:val="0"/>
                <w:sz w:val="24"/>
                <w:szCs w:val="24"/>
                <w:lang w:bidi="zh-CN"/>
              </w:rPr>
              <w:t>安东亮</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6B8C62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en-US" w:bidi="zh-CN"/>
              </w:rPr>
            </w:pPr>
            <w:r>
              <w:rPr>
                <w:rFonts w:hint="default" w:ascii="Times New Roman" w:hAnsi="Times New Roman" w:eastAsia="宋体" w:cs="Times New Roman"/>
                <w:color w:val="auto"/>
                <w:kern w:val="0"/>
                <w:sz w:val="24"/>
                <w:szCs w:val="24"/>
                <w:lang w:bidi="zh-CN"/>
              </w:rPr>
              <w:t>采矿</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3826BF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r>
              <w:rPr>
                <w:rFonts w:hint="default" w:ascii="Times New Roman" w:hAnsi="Times New Roman" w:eastAsia="宋体" w:cs="Times New Roman"/>
                <w:color w:val="auto"/>
                <w:kern w:val="0"/>
                <w:sz w:val="24"/>
                <w:szCs w:val="24"/>
                <w:lang w:bidi="zh-CN"/>
              </w:rPr>
              <w:t>S011053000110203001658</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164141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r>
              <w:rPr>
                <w:rFonts w:hint="default" w:ascii="Times New Roman" w:hAnsi="Times New Roman" w:eastAsia="宋体" w:cs="Times New Roman"/>
                <w:color w:val="auto"/>
                <w:kern w:val="0"/>
                <w:sz w:val="24"/>
                <w:szCs w:val="24"/>
                <w:lang w:bidi="zh-CN"/>
              </w:rPr>
              <w:t>042539</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724CB6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085CE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tcBorders>
              <w:top w:val="single" w:color="auto" w:sz="4" w:space="0"/>
              <w:left w:val="single" w:color="auto" w:sz="4" w:space="0"/>
              <w:bottom w:val="single" w:color="auto" w:sz="4" w:space="0"/>
              <w:right w:val="single" w:color="auto" w:sz="4" w:space="0"/>
            </w:tcBorders>
            <w:noWrap w:val="0"/>
            <w:vAlign w:val="center"/>
          </w:tcPr>
          <w:p w14:paraId="22A38F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报告审核人</w:t>
            </w:r>
          </w:p>
        </w:tc>
        <w:tc>
          <w:tcPr>
            <w:tcW w:w="1236" w:type="dxa"/>
            <w:tcBorders>
              <w:top w:val="single" w:color="auto" w:sz="4" w:space="0"/>
              <w:left w:val="single" w:color="auto" w:sz="4" w:space="0"/>
              <w:bottom w:val="single" w:color="auto" w:sz="4" w:space="0"/>
              <w:right w:val="single" w:color="auto" w:sz="4" w:space="0"/>
            </w:tcBorders>
            <w:noWrap w:val="0"/>
            <w:vAlign w:val="center"/>
          </w:tcPr>
          <w:p w14:paraId="19D7BF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kern w:val="0"/>
                <w:sz w:val="24"/>
                <w:szCs w:val="24"/>
                <w:lang w:bidi="zh-CN"/>
              </w:rPr>
              <w:t>李</w:t>
            </w:r>
            <w:r>
              <w:rPr>
                <w:rFonts w:hint="eastAsia" w:cs="Times New Roman"/>
                <w:color w:val="auto"/>
                <w:kern w:val="0"/>
                <w:sz w:val="24"/>
                <w:szCs w:val="24"/>
                <w:lang w:val="en-US" w:bidi="zh-CN"/>
              </w:rPr>
              <w:t xml:space="preserve">  </w:t>
            </w:r>
            <w:r>
              <w:rPr>
                <w:rFonts w:hint="default" w:ascii="Times New Roman" w:hAnsi="Times New Roman" w:eastAsia="宋体" w:cs="Times New Roman"/>
                <w:color w:val="auto"/>
                <w:kern w:val="0"/>
                <w:sz w:val="24"/>
                <w:szCs w:val="24"/>
                <w:lang w:bidi="zh-CN"/>
              </w:rPr>
              <w:t>超</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6A08A0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2"/>
                <w:lang w:val="en-US" w:eastAsia="zh-CN" w:bidi="zh-CN"/>
              </w:rPr>
            </w:pPr>
            <w:r>
              <w:rPr>
                <w:rFonts w:hint="default" w:ascii="Times New Roman" w:hAnsi="Times New Roman" w:eastAsia="宋体" w:cs="Times New Roman"/>
                <w:color w:val="auto"/>
                <w:kern w:val="0"/>
                <w:sz w:val="24"/>
                <w:szCs w:val="24"/>
                <w:lang w:bidi="zh-CN"/>
              </w:rPr>
              <w:t>安全</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368437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2"/>
                <w:lang w:val="zh-CN" w:eastAsia="zh-CN" w:bidi="zh-CN"/>
              </w:rPr>
            </w:pPr>
            <w:r>
              <w:rPr>
                <w:rFonts w:hint="default" w:ascii="Times New Roman" w:hAnsi="Times New Roman" w:eastAsia="宋体" w:cs="Times New Roman"/>
                <w:color w:val="auto"/>
                <w:kern w:val="0"/>
                <w:sz w:val="24"/>
                <w:szCs w:val="24"/>
                <w:lang w:bidi="zh-CN"/>
              </w:rPr>
              <w:t>S011021000110202000521</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3DEB14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2"/>
                <w:lang w:val="zh-CN" w:eastAsia="zh-CN" w:bidi="zh-CN"/>
              </w:rPr>
            </w:pPr>
            <w:r>
              <w:rPr>
                <w:rFonts w:hint="default" w:ascii="Times New Roman" w:hAnsi="Times New Roman" w:eastAsia="宋体" w:cs="Times New Roman"/>
                <w:color w:val="auto"/>
                <w:kern w:val="0"/>
                <w:sz w:val="24"/>
                <w:szCs w:val="24"/>
                <w:lang w:bidi="zh-CN"/>
              </w:rPr>
              <w:t>041289</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26761D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7DA3F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tcBorders>
              <w:top w:val="single" w:color="auto" w:sz="4" w:space="0"/>
              <w:left w:val="single" w:color="auto" w:sz="4" w:space="0"/>
              <w:bottom w:val="single" w:color="auto" w:sz="4" w:space="0"/>
              <w:right w:val="single" w:color="auto" w:sz="4" w:space="0"/>
            </w:tcBorders>
            <w:noWrap w:val="0"/>
            <w:vAlign w:val="center"/>
          </w:tcPr>
          <w:p w14:paraId="669DE9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过程控制</w:t>
            </w:r>
          </w:p>
          <w:p w14:paraId="6658EC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负责人</w:t>
            </w:r>
          </w:p>
        </w:tc>
        <w:tc>
          <w:tcPr>
            <w:tcW w:w="1236" w:type="dxa"/>
            <w:tcBorders>
              <w:top w:val="single" w:color="auto" w:sz="4" w:space="0"/>
              <w:left w:val="single" w:color="auto" w:sz="4" w:space="0"/>
              <w:bottom w:val="single" w:color="auto" w:sz="4" w:space="0"/>
              <w:right w:val="single" w:color="auto" w:sz="4" w:space="0"/>
            </w:tcBorders>
            <w:noWrap w:val="0"/>
            <w:vAlign w:val="center"/>
          </w:tcPr>
          <w:p w14:paraId="40522D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en-US" w:eastAsia="zh-CN" w:bidi="zh-CN"/>
              </w:rPr>
            </w:pPr>
            <w:r>
              <w:rPr>
                <w:rFonts w:hint="default" w:ascii="Times New Roman" w:hAnsi="Times New Roman" w:eastAsia="宋体" w:cs="Times New Roman"/>
                <w:color w:val="auto"/>
                <w:kern w:val="0"/>
                <w:sz w:val="24"/>
                <w:szCs w:val="24"/>
                <w:lang w:val="en-US" w:eastAsia="zh-CN" w:bidi="zh-CN"/>
              </w:rPr>
              <w:t>吴家辉</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073EDA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en-US" w:eastAsia="zh-CN" w:bidi="zh-CN"/>
              </w:rPr>
            </w:pPr>
            <w:r>
              <w:rPr>
                <w:rFonts w:hint="default" w:ascii="Times New Roman" w:hAnsi="Times New Roman" w:eastAsia="宋体" w:cs="Times New Roman"/>
                <w:color w:val="auto"/>
                <w:kern w:val="0"/>
                <w:sz w:val="24"/>
                <w:szCs w:val="24"/>
                <w:lang w:val="en-US" w:eastAsia="zh-CN" w:bidi="zh-CN"/>
              </w:rPr>
              <w:t>/</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12F675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zh-CN" w:eastAsia="zh-CN" w:bidi="zh-CN"/>
              </w:rPr>
            </w:pPr>
            <w:r>
              <w:rPr>
                <w:rFonts w:hint="default" w:ascii="Times New Roman" w:hAnsi="Times New Roman" w:eastAsia="宋体" w:cs="Times New Roman"/>
                <w:color w:val="auto"/>
                <w:kern w:val="0"/>
                <w:sz w:val="24"/>
                <w:szCs w:val="24"/>
                <w:lang w:val="zh-CN" w:eastAsia="zh-CN" w:bidi="zh-CN"/>
              </w:rPr>
              <w:t>CAWS210000230300034</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2D0819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zh-CN" w:eastAsia="zh-CN" w:bidi="zh-CN"/>
              </w:rPr>
            </w:pPr>
            <w:r>
              <w:rPr>
                <w:rFonts w:hint="default" w:ascii="Times New Roman" w:hAnsi="Times New Roman" w:eastAsia="宋体" w:cs="Times New Roman"/>
                <w:color w:val="auto"/>
                <w:kern w:val="0"/>
                <w:sz w:val="24"/>
                <w:szCs w:val="24"/>
                <w:lang w:val="zh-CN" w:eastAsia="zh-CN" w:bidi="zh-CN"/>
              </w:rPr>
              <w:t>043015</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7DA35E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p>
        </w:tc>
      </w:tr>
      <w:tr w14:paraId="6E4D6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tcBorders>
              <w:top w:val="single" w:color="auto" w:sz="4" w:space="0"/>
              <w:left w:val="single" w:color="auto" w:sz="4" w:space="0"/>
              <w:bottom w:val="single" w:color="auto" w:sz="4" w:space="0"/>
              <w:right w:val="single" w:color="auto" w:sz="4" w:space="0"/>
            </w:tcBorders>
            <w:noWrap w:val="0"/>
            <w:vAlign w:val="center"/>
          </w:tcPr>
          <w:p w14:paraId="12C597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技术负责人</w:t>
            </w:r>
          </w:p>
        </w:tc>
        <w:tc>
          <w:tcPr>
            <w:tcW w:w="1236" w:type="dxa"/>
            <w:tcBorders>
              <w:top w:val="single" w:color="auto" w:sz="4" w:space="0"/>
              <w:left w:val="single" w:color="auto" w:sz="4" w:space="0"/>
              <w:bottom w:val="single" w:color="auto" w:sz="4" w:space="0"/>
              <w:right w:val="single" w:color="auto" w:sz="4" w:space="0"/>
            </w:tcBorders>
            <w:noWrap w:val="0"/>
            <w:vAlign w:val="center"/>
          </w:tcPr>
          <w:p w14:paraId="48DB49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2"/>
                <w:lang w:val="en-US" w:eastAsia="zh-CN" w:bidi="zh-CN"/>
              </w:rPr>
            </w:pPr>
            <w:r>
              <w:rPr>
                <w:rFonts w:hint="default" w:ascii="Times New Roman" w:hAnsi="Times New Roman" w:eastAsia="宋体" w:cs="Times New Roman"/>
                <w:color w:val="auto"/>
                <w:kern w:val="0"/>
                <w:sz w:val="24"/>
                <w:szCs w:val="24"/>
                <w:lang w:bidi="zh-CN"/>
              </w:rPr>
              <w:t>张廷辉</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5B9500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2"/>
                <w:lang w:val="en-US" w:eastAsia="zh-CN" w:bidi="zh-CN"/>
              </w:rPr>
            </w:pPr>
            <w:r>
              <w:rPr>
                <w:rFonts w:hint="eastAsia" w:cs="Times New Roman"/>
                <w:color w:val="auto"/>
                <w:kern w:val="0"/>
                <w:sz w:val="24"/>
                <w:szCs w:val="24"/>
                <w:lang w:val="en-US" w:bidi="zh-CN"/>
              </w:rPr>
              <w:t>安全</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764883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2"/>
                <w:lang w:val="en-US" w:eastAsia="zh-CN" w:bidi="zh-CN"/>
              </w:rPr>
            </w:pPr>
            <w:r>
              <w:rPr>
                <w:rFonts w:hint="default" w:ascii="Times New Roman" w:hAnsi="Times New Roman" w:eastAsia="宋体" w:cs="Times New Roman"/>
                <w:color w:val="auto"/>
                <w:kern w:val="0"/>
                <w:sz w:val="24"/>
                <w:szCs w:val="24"/>
                <w:lang w:bidi="zh-CN"/>
              </w:rPr>
              <w:t>1200000000100119</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69177C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2"/>
                <w:lang w:val="en-US" w:eastAsia="zh-CN" w:bidi="zh-CN"/>
              </w:rPr>
            </w:pPr>
            <w:r>
              <w:rPr>
                <w:rFonts w:hint="default" w:ascii="Times New Roman" w:hAnsi="Times New Roman" w:eastAsia="宋体" w:cs="Times New Roman"/>
                <w:color w:val="auto"/>
                <w:kern w:val="0"/>
                <w:sz w:val="24"/>
                <w:szCs w:val="24"/>
                <w:lang w:bidi="zh-CN"/>
              </w:rPr>
              <w:t>009798</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2E379E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bl>
    <w:p w14:paraId="1360BE65">
      <w:pPr>
        <w:bidi w:val="0"/>
        <w:rPr>
          <w:rFonts w:hint="default"/>
          <w:color w:val="auto"/>
        </w:rPr>
      </w:pPr>
    </w:p>
    <w:p w14:paraId="683E95CB">
      <w:pPr>
        <w:bidi w:val="0"/>
        <w:rPr>
          <w:rFonts w:hint="default"/>
          <w:color w:val="auto"/>
        </w:rPr>
        <w:sectPr>
          <w:pgSz w:w="11905" w:h="16838"/>
          <w:pgMar w:top="1417" w:right="1134" w:bottom="1134" w:left="1587" w:header="851" w:footer="992" w:gutter="0"/>
          <w:pgBorders>
            <w:top w:val="none" w:sz="0" w:space="0"/>
            <w:left w:val="none" w:sz="0" w:space="0"/>
            <w:bottom w:val="none" w:sz="0" w:space="0"/>
            <w:right w:val="none" w:sz="0" w:space="0"/>
          </w:pgBorders>
          <w:pgNumType w:fmt="upperRoman" w:start="1"/>
          <w:cols w:space="0" w:num="1"/>
          <w:rtlGutter w:val="0"/>
          <w:docGrid w:type="lines" w:linePitch="386" w:charSpace="0"/>
        </w:sectPr>
      </w:pPr>
    </w:p>
    <w:p w14:paraId="68D8AEE4">
      <w:pPr>
        <w:keepNext/>
        <w:keepLines/>
        <w:pageBreakBefore w:val="0"/>
        <w:widowControl w:val="0"/>
        <w:kinsoku/>
        <w:wordWrap/>
        <w:overflowPunct/>
        <w:topLinePunct w:val="0"/>
        <w:autoSpaceDE w:val="0"/>
        <w:autoSpaceDN w:val="0"/>
        <w:bidi w:val="0"/>
        <w:adjustRightInd w:val="0"/>
        <w:snapToGrid w:val="0"/>
        <w:ind w:firstLine="0" w:firstLineChars="0"/>
        <w:jc w:val="center"/>
        <w:textAlignment w:val="auto"/>
        <w:outlineLvl w:val="9"/>
        <w:rPr>
          <w:rFonts w:hint="default" w:ascii="Times New Roman" w:hAnsi="Times New Roman" w:eastAsia="黑体" w:cs="Times New Roman"/>
          <w:bCs/>
          <w:color w:val="auto"/>
          <w:kern w:val="44"/>
          <w:sz w:val="32"/>
        </w:rPr>
      </w:pPr>
      <w:bookmarkStart w:id="48" w:name="_Toc29356"/>
      <w:bookmarkStart w:id="49" w:name="_Toc13666"/>
      <w:bookmarkStart w:id="50" w:name="_Toc7244"/>
      <w:r>
        <w:rPr>
          <w:rFonts w:hint="default" w:ascii="Times New Roman" w:hAnsi="Times New Roman" w:eastAsia="黑体" w:cs="Times New Roman"/>
          <w:bCs/>
          <w:color w:val="auto"/>
          <w:kern w:val="44"/>
          <w:sz w:val="32"/>
        </w:rPr>
        <w:t>前 言</w:t>
      </w:r>
      <w:bookmarkEnd w:id="40"/>
      <w:bookmarkEnd w:id="41"/>
      <w:bookmarkEnd w:id="42"/>
      <w:bookmarkEnd w:id="43"/>
      <w:bookmarkEnd w:id="44"/>
      <w:bookmarkEnd w:id="45"/>
      <w:bookmarkEnd w:id="46"/>
      <w:bookmarkEnd w:id="47"/>
      <w:bookmarkEnd w:id="48"/>
      <w:bookmarkEnd w:id="49"/>
      <w:bookmarkEnd w:id="50"/>
    </w:p>
    <w:p w14:paraId="3B48A5CB">
      <w:pPr>
        <w:ind w:firstLine="618" w:firstLineChars="221"/>
        <w:rPr>
          <w:rFonts w:hint="default" w:ascii="Times New Roman" w:hAnsi="Times New Roman" w:cs="Times New Roman"/>
          <w:color w:val="auto"/>
          <w:sz w:val="28"/>
          <w:szCs w:val="28"/>
        </w:rPr>
      </w:pPr>
      <w:r>
        <w:rPr>
          <w:rFonts w:hint="eastAsia" w:cs="Times New Roman"/>
          <w:color w:val="auto"/>
          <w:sz w:val="28"/>
          <w:szCs w:val="28"/>
          <w:lang w:eastAsia="zh-CN"/>
        </w:rPr>
        <w:t>“</w:t>
      </w:r>
      <w:r>
        <w:rPr>
          <w:rFonts w:hint="default" w:ascii="Times New Roman" w:hAnsi="Times New Roman" w:cs="Times New Roman"/>
          <w:color w:val="auto"/>
          <w:sz w:val="28"/>
          <w:szCs w:val="28"/>
        </w:rPr>
        <w:t>安全第一、预防为主、综合治理</w:t>
      </w:r>
      <w:r>
        <w:rPr>
          <w:rFonts w:hint="eastAsia" w:cs="Times New Roman"/>
          <w:color w:val="auto"/>
          <w:sz w:val="28"/>
          <w:szCs w:val="28"/>
          <w:lang w:eastAsia="zh-CN"/>
        </w:rPr>
        <w:t>”</w:t>
      </w:r>
      <w:r>
        <w:rPr>
          <w:rFonts w:hint="default" w:ascii="Times New Roman" w:hAnsi="Times New Roman" w:cs="Times New Roman"/>
          <w:color w:val="auto"/>
          <w:sz w:val="28"/>
          <w:szCs w:val="28"/>
        </w:rPr>
        <w:t>是我们党和国家始终不渝的安全生产方针。各行各业开展安全评价正是突出</w:t>
      </w:r>
      <w:r>
        <w:rPr>
          <w:rFonts w:hint="eastAsia" w:cs="Times New Roman"/>
          <w:color w:val="auto"/>
          <w:sz w:val="28"/>
          <w:szCs w:val="28"/>
          <w:lang w:eastAsia="zh-CN"/>
        </w:rPr>
        <w:t>“</w:t>
      </w:r>
      <w:r>
        <w:rPr>
          <w:rFonts w:hint="default" w:ascii="Times New Roman" w:hAnsi="Times New Roman" w:cs="Times New Roman"/>
          <w:color w:val="auto"/>
          <w:sz w:val="28"/>
          <w:szCs w:val="28"/>
        </w:rPr>
        <w:t>安全第一</w:t>
      </w:r>
      <w:r>
        <w:rPr>
          <w:rFonts w:hint="eastAsia" w:cs="Times New Roman"/>
          <w:color w:val="auto"/>
          <w:sz w:val="28"/>
          <w:szCs w:val="28"/>
          <w:lang w:eastAsia="zh-CN"/>
        </w:rPr>
        <w:t>”</w:t>
      </w:r>
      <w:r>
        <w:rPr>
          <w:rFonts w:hint="default" w:ascii="Times New Roman" w:hAnsi="Times New Roman" w:cs="Times New Roman"/>
          <w:color w:val="auto"/>
          <w:sz w:val="28"/>
          <w:szCs w:val="28"/>
        </w:rPr>
        <w:t>、体现</w:t>
      </w:r>
      <w:r>
        <w:rPr>
          <w:rFonts w:hint="eastAsia" w:cs="Times New Roman"/>
          <w:color w:val="auto"/>
          <w:sz w:val="28"/>
          <w:szCs w:val="28"/>
          <w:lang w:eastAsia="zh-CN"/>
        </w:rPr>
        <w:t>“</w:t>
      </w:r>
      <w:r>
        <w:rPr>
          <w:rFonts w:hint="default" w:ascii="Times New Roman" w:hAnsi="Times New Roman" w:cs="Times New Roman"/>
          <w:color w:val="auto"/>
          <w:sz w:val="28"/>
          <w:szCs w:val="28"/>
        </w:rPr>
        <w:t>预防为主</w:t>
      </w:r>
      <w:r>
        <w:rPr>
          <w:rFonts w:hint="eastAsia" w:cs="Times New Roman"/>
          <w:color w:val="auto"/>
          <w:sz w:val="28"/>
          <w:szCs w:val="28"/>
          <w:lang w:eastAsia="zh-CN"/>
        </w:rPr>
        <w:t>”</w:t>
      </w:r>
      <w:r>
        <w:rPr>
          <w:rFonts w:hint="default" w:ascii="Times New Roman" w:hAnsi="Times New Roman" w:cs="Times New Roman"/>
          <w:color w:val="auto"/>
          <w:sz w:val="28"/>
          <w:szCs w:val="28"/>
        </w:rPr>
        <w:t>的一项重要工作，是</w:t>
      </w:r>
      <w:r>
        <w:rPr>
          <w:rFonts w:hint="eastAsia" w:cs="Times New Roman"/>
          <w:color w:val="auto"/>
          <w:sz w:val="28"/>
          <w:szCs w:val="28"/>
          <w:lang w:eastAsia="zh-CN"/>
        </w:rPr>
        <w:t>“</w:t>
      </w:r>
      <w:r>
        <w:rPr>
          <w:rFonts w:hint="default" w:ascii="Times New Roman" w:hAnsi="Times New Roman" w:cs="Times New Roman"/>
          <w:color w:val="auto"/>
          <w:sz w:val="28"/>
          <w:szCs w:val="28"/>
        </w:rPr>
        <w:t>安全第一，预防为主</w:t>
      </w:r>
      <w:r>
        <w:rPr>
          <w:rFonts w:hint="eastAsia" w:cs="Times New Roman"/>
          <w:color w:val="auto"/>
          <w:sz w:val="28"/>
          <w:szCs w:val="28"/>
          <w:lang w:eastAsia="zh-CN"/>
        </w:rPr>
        <w:t>”</w:t>
      </w:r>
      <w:r>
        <w:rPr>
          <w:rFonts w:hint="default" w:ascii="Times New Roman" w:hAnsi="Times New Roman" w:cs="Times New Roman"/>
          <w:color w:val="auto"/>
          <w:sz w:val="28"/>
          <w:szCs w:val="28"/>
        </w:rPr>
        <w:t>方针在安全生产上的具体体现。</w:t>
      </w:r>
    </w:p>
    <w:p w14:paraId="3F878E86">
      <w:pPr>
        <w:ind w:firstLine="618" w:firstLineChars="221"/>
        <w:rPr>
          <w:rFonts w:hint="default" w:ascii="Times New Roman" w:hAnsi="Times New Roman" w:cs="Times New Roman"/>
          <w:color w:val="auto"/>
          <w:sz w:val="28"/>
          <w:szCs w:val="28"/>
        </w:rPr>
      </w:pPr>
      <w:r>
        <w:rPr>
          <w:rFonts w:hint="default" w:ascii="Times New Roman" w:hAnsi="Times New Roman" w:cs="Times New Roman"/>
          <w:color w:val="auto"/>
          <w:sz w:val="28"/>
          <w:szCs w:val="28"/>
        </w:rPr>
        <w:t>《中华人民共和国安全生产法》第三十一条规定：生产经营单位新建、改建、扩建工程项目（以下统称建设项目）的安全设施，必须与主体工程同时设计、同时施工、同时投入生产和使用。安全设施投资应当纳入建设项目概算。根据《中华人民共和国安全生产法》、《建设项目安全设施</w:t>
      </w:r>
      <w:r>
        <w:rPr>
          <w:rFonts w:hint="eastAsia" w:cs="Times New Roman"/>
          <w:color w:val="auto"/>
          <w:sz w:val="28"/>
          <w:szCs w:val="28"/>
          <w:lang w:eastAsia="zh-CN"/>
        </w:rPr>
        <w:t>“</w:t>
      </w:r>
      <w:r>
        <w:rPr>
          <w:rFonts w:hint="default" w:ascii="Times New Roman" w:hAnsi="Times New Roman" w:cs="Times New Roman"/>
          <w:color w:val="auto"/>
          <w:sz w:val="28"/>
          <w:szCs w:val="28"/>
        </w:rPr>
        <w:t>三同时</w:t>
      </w:r>
      <w:r>
        <w:rPr>
          <w:rFonts w:hint="eastAsia" w:cs="Times New Roman"/>
          <w:color w:val="auto"/>
          <w:sz w:val="28"/>
          <w:szCs w:val="28"/>
          <w:lang w:eastAsia="zh-CN"/>
        </w:rPr>
        <w:t>”</w:t>
      </w:r>
      <w:r>
        <w:rPr>
          <w:rFonts w:hint="default" w:ascii="Times New Roman" w:hAnsi="Times New Roman" w:cs="Times New Roman"/>
          <w:color w:val="auto"/>
          <w:sz w:val="28"/>
          <w:szCs w:val="28"/>
        </w:rPr>
        <w:t>监督管理办法》（原安监总局令第77号修订）等国家有关安全生产法律、法规，</w:t>
      </w:r>
      <w:r>
        <w:rPr>
          <w:rFonts w:hint="eastAsia" w:cs="Times New Roman"/>
          <w:color w:val="auto"/>
          <w:sz w:val="28"/>
          <w:szCs w:val="28"/>
          <w:lang w:eastAsia="zh-CN"/>
        </w:rPr>
        <w:t>武定县花果箐钛矿采选厂</w:t>
      </w:r>
      <w:r>
        <w:rPr>
          <w:rFonts w:hint="default" w:ascii="Times New Roman" w:hAnsi="Times New Roman" w:cs="Times New Roman"/>
          <w:color w:val="auto"/>
          <w:sz w:val="28"/>
          <w:szCs w:val="28"/>
        </w:rPr>
        <w:t>于202</w:t>
      </w:r>
      <w:r>
        <w:rPr>
          <w:rFonts w:hint="eastAsia" w:cs="Times New Roman"/>
          <w:color w:val="auto"/>
          <w:sz w:val="28"/>
          <w:szCs w:val="28"/>
          <w:lang w:val="en-US" w:eastAsia="zh-CN"/>
        </w:rPr>
        <w:t>5</w:t>
      </w:r>
      <w:r>
        <w:rPr>
          <w:rFonts w:hint="default" w:ascii="Times New Roman" w:hAnsi="Times New Roman" w:cs="Times New Roman"/>
          <w:color w:val="auto"/>
          <w:sz w:val="28"/>
          <w:szCs w:val="28"/>
        </w:rPr>
        <w:t>年0</w:t>
      </w:r>
      <w:r>
        <w:rPr>
          <w:rFonts w:hint="eastAsia" w:cs="Times New Roman"/>
          <w:color w:val="auto"/>
          <w:sz w:val="28"/>
          <w:szCs w:val="28"/>
          <w:lang w:val="en-US" w:eastAsia="zh-CN"/>
        </w:rPr>
        <w:t>4</w:t>
      </w:r>
      <w:r>
        <w:rPr>
          <w:rFonts w:hint="default" w:ascii="Times New Roman" w:hAnsi="Times New Roman" w:cs="Times New Roman"/>
          <w:color w:val="auto"/>
          <w:sz w:val="28"/>
          <w:szCs w:val="28"/>
        </w:rPr>
        <w:t>月委托云南德成规划设计有限公司编制了《</w:t>
      </w:r>
      <w:r>
        <w:rPr>
          <w:rFonts w:hint="eastAsia" w:cs="Times New Roman"/>
          <w:color w:val="auto"/>
          <w:sz w:val="28"/>
          <w:szCs w:val="28"/>
          <w:lang w:eastAsia="zh-CN"/>
        </w:rPr>
        <w:t>武定县花果箐钛矿采选厂技改扩建项目</w:t>
      </w:r>
      <w:r>
        <w:rPr>
          <w:rFonts w:hint="default" w:ascii="Times New Roman" w:hAnsi="Times New Roman" w:cs="Times New Roman"/>
          <w:color w:val="auto"/>
          <w:sz w:val="28"/>
          <w:szCs w:val="28"/>
        </w:rPr>
        <w:t>初步设计》。</w:t>
      </w:r>
      <w:r>
        <w:rPr>
          <w:rFonts w:hint="eastAsia" w:cs="Times New Roman"/>
          <w:color w:val="auto"/>
          <w:sz w:val="28"/>
          <w:szCs w:val="28"/>
          <w:lang w:eastAsia="zh-CN"/>
        </w:rPr>
        <w:t>武定县花果箐钛矿采选厂技改扩建项目</w:t>
      </w:r>
      <w:r>
        <w:rPr>
          <w:rFonts w:hint="default" w:ascii="Times New Roman" w:hAnsi="Times New Roman" w:cs="Times New Roman"/>
          <w:color w:val="auto"/>
          <w:sz w:val="28"/>
          <w:szCs w:val="28"/>
        </w:rPr>
        <w:t>，需开展安全设施</w:t>
      </w:r>
      <w:r>
        <w:rPr>
          <w:rFonts w:hint="eastAsia" w:cs="Times New Roman"/>
          <w:color w:val="auto"/>
          <w:sz w:val="28"/>
          <w:szCs w:val="28"/>
          <w:lang w:eastAsia="zh-CN"/>
        </w:rPr>
        <w:t>“</w:t>
      </w:r>
      <w:r>
        <w:rPr>
          <w:rFonts w:hint="default" w:ascii="Times New Roman" w:hAnsi="Times New Roman" w:cs="Times New Roman"/>
          <w:color w:val="auto"/>
          <w:sz w:val="28"/>
          <w:szCs w:val="28"/>
        </w:rPr>
        <w:t>三同时</w:t>
      </w:r>
      <w:r>
        <w:rPr>
          <w:rFonts w:hint="eastAsia" w:cs="Times New Roman"/>
          <w:color w:val="auto"/>
          <w:sz w:val="28"/>
          <w:szCs w:val="28"/>
          <w:lang w:eastAsia="zh-CN"/>
        </w:rPr>
        <w:t>”</w:t>
      </w:r>
      <w:r>
        <w:rPr>
          <w:rFonts w:hint="default" w:ascii="Times New Roman" w:hAnsi="Times New Roman" w:cs="Times New Roman"/>
          <w:color w:val="auto"/>
          <w:sz w:val="28"/>
          <w:szCs w:val="28"/>
        </w:rPr>
        <w:t>工作。</w:t>
      </w:r>
    </w:p>
    <w:p w14:paraId="2DB44993">
      <w:pPr>
        <w:ind w:firstLine="618" w:firstLineChars="221"/>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根据《中华人民共和国安全生产法》（中华人民共和国主席令[2021]第88号修订，2021年9月1日实施）、《建设项目安全设施</w:t>
      </w:r>
      <w:r>
        <w:rPr>
          <w:rFonts w:hint="eastAsia" w:cs="Times New Roman"/>
          <w:color w:val="auto"/>
          <w:sz w:val="28"/>
          <w:szCs w:val="28"/>
          <w:lang w:eastAsia="zh-CN"/>
        </w:rPr>
        <w:t>“</w:t>
      </w:r>
      <w:r>
        <w:rPr>
          <w:rFonts w:hint="default" w:ascii="Times New Roman" w:hAnsi="Times New Roman" w:cs="Times New Roman"/>
          <w:color w:val="auto"/>
          <w:sz w:val="28"/>
          <w:szCs w:val="28"/>
        </w:rPr>
        <w:t>三同时</w:t>
      </w:r>
      <w:r>
        <w:rPr>
          <w:rFonts w:hint="eastAsia" w:cs="Times New Roman"/>
          <w:color w:val="auto"/>
          <w:sz w:val="28"/>
          <w:szCs w:val="28"/>
          <w:lang w:eastAsia="zh-CN"/>
        </w:rPr>
        <w:t>”</w:t>
      </w:r>
      <w:r>
        <w:rPr>
          <w:rFonts w:hint="default" w:ascii="Times New Roman" w:hAnsi="Times New Roman" w:cs="Times New Roman"/>
          <w:color w:val="auto"/>
          <w:sz w:val="28"/>
          <w:szCs w:val="28"/>
        </w:rPr>
        <w:t>监督管理办法》（原国家安全监管总局令第77号修订，2015年5月1日实施）等国家有关安全生产法律、法规，受</w:t>
      </w:r>
      <w:r>
        <w:rPr>
          <w:rFonts w:hint="eastAsia" w:cs="Times New Roman"/>
          <w:color w:val="auto"/>
          <w:sz w:val="28"/>
          <w:szCs w:val="28"/>
          <w:lang w:eastAsia="zh-CN"/>
        </w:rPr>
        <w:t>武定县花果箐钛矿采选厂</w:t>
      </w:r>
      <w:r>
        <w:rPr>
          <w:rFonts w:hint="default" w:ascii="Times New Roman" w:hAnsi="Times New Roman" w:cs="Times New Roman"/>
          <w:color w:val="auto"/>
          <w:sz w:val="28"/>
          <w:szCs w:val="28"/>
        </w:rPr>
        <w:t>的委托，辽宁诺诚安全科技有限公司承担了</w:t>
      </w:r>
      <w:r>
        <w:rPr>
          <w:rFonts w:hint="eastAsia" w:cs="Times New Roman"/>
          <w:color w:val="auto"/>
          <w:sz w:val="28"/>
          <w:szCs w:val="28"/>
          <w:lang w:eastAsia="zh-CN"/>
        </w:rPr>
        <w:t>武定县花果箐钛矿采选厂技改扩建项目</w:t>
      </w:r>
      <w:r>
        <w:rPr>
          <w:rFonts w:hint="default" w:ascii="Times New Roman" w:hAnsi="Times New Roman" w:cs="Times New Roman"/>
          <w:color w:val="auto"/>
          <w:sz w:val="28"/>
          <w:szCs w:val="28"/>
        </w:rPr>
        <w:t>安全预评价工作。</w:t>
      </w:r>
    </w:p>
    <w:p w14:paraId="18F93EE0">
      <w:pPr>
        <w:bidi w:val="0"/>
        <w:rPr>
          <w:rFonts w:hint="default"/>
          <w:color w:val="auto"/>
        </w:rPr>
      </w:pPr>
      <w:r>
        <w:rPr>
          <w:rFonts w:hint="default"/>
          <w:color w:val="auto"/>
        </w:rPr>
        <w:t>在接受</w:t>
      </w:r>
      <w:r>
        <w:rPr>
          <w:rFonts w:hint="eastAsia"/>
          <w:color w:val="auto"/>
          <w:lang w:eastAsia="zh-CN"/>
        </w:rPr>
        <w:t>武定县花果箐钛矿采选厂技改扩建项目</w:t>
      </w:r>
      <w:r>
        <w:rPr>
          <w:rFonts w:hint="default"/>
          <w:color w:val="auto"/>
        </w:rPr>
        <w:t>安全评价工作的委托之后，辽宁诺诚安全科技有限公司立即组成安全评价组投入项目安全预评价工作。评价组于202</w:t>
      </w:r>
      <w:r>
        <w:rPr>
          <w:rFonts w:hint="eastAsia"/>
          <w:color w:val="auto"/>
          <w:lang w:val="en-US" w:eastAsia="zh-CN"/>
        </w:rPr>
        <w:t>5</w:t>
      </w:r>
      <w:r>
        <w:rPr>
          <w:rFonts w:hint="default"/>
          <w:color w:val="auto"/>
        </w:rPr>
        <w:t>年0</w:t>
      </w:r>
      <w:r>
        <w:rPr>
          <w:rFonts w:hint="eastAsia"/>
          <w:color w:val="auto"/>
          <w:lang w:val="en-US" w:eastAsia="zh-CN"/>
        </w:rPr>
        <w:t>3</w:t>
      </w:r>
      <w:r>
        <w:rPr>
          <w:rFonts w:hint="default"/>
          <w:color w:val="auto"/>
        </w:rPr>
        <w:t>月2</w:t>
      </w:r>
      <w:r>
        <w:rPr>
          <w:rFonts w:hint="eastAsia"/>
          <w:color w:val="auto"/>
          <w:lang w:val="en-US" w:eastAsia="zh-CN"/>
        </w:rPr>
        <w:t>5</w:t>
      </w:r>
      <w:r>
        <w:rPr>
          <w:rFonts w:hint="default"/>
          <w:color w:val="auto"/>
        </w:rPr>
        <w:t>日进场对</w:t>
      </w:r>
      <w:r>
        <w:rPr>
          <w:rFonts w:hint="eastAsia"/>
          <w:color w:val="auto"/>
          <w:lang w:eastAsia="zh-CN"/>
        </w:rPr>
        <w:t>武定县花果箐钛矿采选厂技改扩建项目</w:t>
      </w:r>
      <w:r>
        <w:rPr>
          <w:rFonts w:hint="default"/>
          <w:color w:val="auto"/>
        </w:rPr>
        <w:t>进行初步现场调查和资料收集工作。评价组在系统调查分析的基础上，对照国家或行业有关安全法律法规、标准和规范，对该项目及项目初步设计涉及的危险、有害因素进行分析和评价，采用可靠、适用的评价方法对项目进行安全预评价，得出评价结论，并提出科学、合理、可行的安全技术和管理措施，为该项目建设生产提供依据，最后编制成《</w:t>
      </w:r>
      <w:r>
        <w:rPr>
          <w:rFonts w:hint="eastAsia"/>
          <w:color w:val="auto"/>
          <w:lang w:eastAsia="zh-CN"/>
        </w:rPr>
        <w:t>武定县花果箐钛矿采选厂技改扩建项目</w:t>
      </w:r>
      <w:r>
        <w:rPr>
          <w:rFonts w:hint="default"/>
          <w:color w:val="auto"/>
        </w:rPr>
        <w:t>安全预评价报告》。</w:t>
      </w:r>
    </w:p>
    <w:p w14:paraId="7ACE4A65">
      <w:pPr>
        <w:bidi w:val="0"/>
        <w:rPr>
          <w:rFonts w:hint="default"/>
          <w:color w:val="auto"/>
        </w:rPr>
      </w:pPr>
      <w:r>
        <w:rPr>
          <w:rFonts w:hint="default"/>
          <w:color w:val="auto"/>
        </w:rPr>
        <w:t>在该项目的安全预评价过程中得到了武定县花果箐钛矿采选厂等有关领导和技术人员的大力支持，同时在报告中引用了一些专家学者的研究成果和技术资料，在此一并表示感谢！</w:t>
      </w:r>
    </w:p>
    <w:p w14:paraId="31F053AE">
      <w:pPr>
        <w:bidi w:val="0"/>
        <w:rPr>
          <w:rFonts w:hint="default"/>
          <w:color w:val="auto"/>
        </w:rPr>
      </w:pPr>
    </w:p>
    <w:p w14:paraId="0782F9B0">
      <w:pPr>
        <w:rPr>
          <w:rFonts w:hint="default" w:ascii="Times New Roman" w:hAnsi="Times New Roman" w:cs="Times New Roman"/>
          <w:color w:val="auto"/>
        </w:rPr>
        <w:sectPr>
          <w:pgSz w:w="11905" w:h="16838"/>
          <w:pgMar w:top="1417" w:right="1134" w:bottom="1134" w:left="1587" w:header="851" w:footer="992" w:gutter="0"/>
          <w:pgBorders>
            <w:top w:val="none" w:sz="0" w:space="0"/>
            <w:left w:val="none" w:sz="0" w:space="0"/>
            <w:bottom w:val="none" w:sz="0" w:space="0"/>
            <w:right w:val="none" w:sz="0" w:space="0"/>
          </w:pgBorders>
          <w:pgNumType w:fmt="upperRoman" w:start="1"/>
          <w:cols w:space="0" w:num="1"/>
          <w:rtlGutter w:val="0"/>
          <w:docGrid w:type="lines" w:linePitch="386" w:charSpace="0"/>
        </w:sect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14:paraId="4290671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黑体"/>
          <w:color w:val="auto"/>
          <w:sz w:val="32"/>
          <w:lang w:val="en-US" w:eastAsia="zh-CN"/>
        </w:rPr>
      </w:pPr>
      <w:r>
        <w:rPr>
          <w:rFonts w:hint="eastAsia" w:eastAsia="黑体"/>
          <w:color w:val="auto"/>
          <w:sz w:val="32"/>
          <w:lang w:val="en-US" w:eastAsia="zh-CN"/>
        </w:rPr>
        <w:t>目录</w:t>
      </w:r>
    </w:p>
    <w:p w14:paraId="6D5C10A3">
      <w:pPr>
        <w:pStyle w:val="12"/>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rPr>
        <w:fldChar w:fldCharType="begin"/>
      </w:r>
      <w:r>
        <w:rPr>
          <w:color w:val="auto"/>
        </w:rPr>
        <w:instrText xml:space="preserve">TOC \o "1-3" \h \u </w:instrText>
      </w:r>
      <w:r>
        <w:rPr>
          <w:color w:val="auto"/>
        </w:rPr>
        <w:fldChar w:fldCharType="separate"/>
      </w:r>
      <w:r>
        <w:rPr>
          <w:color w:val="auto"/>
          <w:sz w:val="24"/>
        </w:rPr>
        <w:fldChar w:fldCharType="begin"/>
      </w:r>
      <w:r>
        <w:rPr>
          <w:color w:val="auto"/>
          <w:sz w:val="24"/>
        </w:rPr>
        <w:instrText xml:space="preserve"> HYPERLINK \l _Toc28419 </w:instrText>
      </w:r>
      <w:r>
        <w:rPr>
          <w:color w:val="auto"/>
          <w:sz w:val="24"/>
        </w:rPr>
        <w:fldChar w:fldCharType="separate"/>
      </w:r>
      <w:r>
        <w:rPr>
          <w:rFonts w:hint="eastAsia"/>
          <w:color w:val="auto"/>
          <w:sz w:val="24"/>
        </w:rPr>
        <w:t>1 编制说明</w:t>
      </w:r>
      <w:r>
        <w:rPr>
          <w:color w:val="auto"/>
          <w:sz w:val="24"/>
        </w:rPr>
        <w:tab/>
      </w:r>
      <w:r>
        <w:rPr>
          <w:color w:val="auto"/>
          <w:sz w:val="24"/>
        </w:rPr>
        <w:fldChar w:fldCharType="begin"/>
      </w:r>
      <w:r>
        <w:rPr>
          <w:color w:val="auto"/>
          <w:sz w:val="24"/>
        </w:rPr>
        <w:instrText xml:space="preserve"> PAGEREF _Toc28419 \h </w:instrText>
      </w:r>
      <w:r>
        <w:rPr>
          <w:color w:val="auto"/>
          <w:sz w:val="24"/>
        </w:rPr>
        <w:fldChar w:fldCharType="separate"/>
      </w:r>
      <w:r>
        <w:rPr>
          <w:color w:val="auto"/>
          <w:sz w:val="24"/>
        </w:rPr>
        <w:t>1</w:t>
      </w:r>
      <w:r>
        <w:rPr>
          <w:color w:val="auto"/>
          <w:sz w:val="24"/>
        </w:rPr>
        <w:fldChar w:fldCharType="end"/>
      </w:r>
      <w:r>
        <w:rPr>
          <w:color w:val="auto"/>
          <w:sz w:val="24"/>
        </w:rPr>
        <w:fldChar w:fldCharType="end"/>
      </w:r>
    </w:p>
    <w:p w14:paraId="2BA6E60A">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_Toc26410 </w:instrText>
      </w:r>
      <w:r>
        <w:rPr>
          <w:color w:val="auto"/>
          <w:sz w:val="24"/>
        </w:rPr>
        <w:fldChar w:fldCharType="separate"/>
      </w:r>
      <w:r>
        <w:rPr>
          <w:rFonts w:hint="eastAsia"/>
          <w:color w:val="auto"/>
          <w:sz w:val="24"/>
        </w:rPr>
        <w:t>1.1 评价目的及范围</w:t>
      </w:r>
      <w:r>
        <w:rPr>
          <w:color w:val="auto"/>
          <w:sz w:val="24"/>
        </w:rPr>
        <w:tab/>
      </w:r>
      <w:r>
        <w:rPr>
          <w:color w:val="auto"/>
          <w:sz w:val="24"/>
        </w:rPr>
        <w:fldChar w:fldCharType="begin"/>
      </w:r>
      <w:r>
        <w:rPr>
          <w:color w:val="auto"/>
          <w:sz w:val="24"/>
        </w:rPr>
        <w:instrText xml:space="preserve"> PAGEREF _Toc26410 \h </w:instrText>
      </w:r>
      <w:r>
        <w:rPr>
          <w:color w:val="auto"/>
          <w:sz w:val="24"/>
        </w:rPr>
        <w:fldChar w:fldCharType="separate"/>
      </w:r>
      <w:r>
        <w:rPr>
          <w:color w:val="auto"/>
          <w:sz w:val="24"/>
        </w:rPr>
        <w:t>1</w:t>
      </w:r>
      <w:r>
        <w:rPr>
          <w:color w:val="auto"/>
          <w:sz w:val="24"/>
        </w:rPr>
        <w:fldChar w:fldCharType="end"/>
      </w:r>
      <w:r>
        <w:rPr>
          <w:color w:val="auto"/>
          <w:sz w:val="24"/>
        </w:rPr>
        <w:fldChar w:fldCharType="end"/>
      </w:r>
    </w:p>
    <w:p w14:paraId="2A7F0B61">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_Toc3265 </w:instrText>
      </w:r>
      <w:r>
        <w:rPr>
          <w:color w:val="auto"/>
          <w:sz w:val="24"/>
        </w:rPr>
        <w:fldChar w:fldCharType="separate"/>
      </w:r>
      <w:r>
        <w:rPr>
          <w:rFonts w:hint="eastAsia"/>
          <w:color w:val="auto"/>
          <w:sz w:val="24"/>
        </w:rPr>
        <w:t>1.1.1 评价目的</w:t>
      </w:r>
      <w:r>
        <w:rPr>
          <w:color w:val="auto"/>
          <w:sz w:val="24"/>
        </w:rPr>
        <w:tab/>
      </w:r>
      <w:r>
        <w:rPr>
          <w:color w:val="auto"/>
          <w:sz w:val="24"/>
        </w:rPr>
        <w:fldChar w:fldCharType="begin"/>
      </w:r>
      <w:r>
        <w:rPr>
          <w:color w:val="auto"/>
          <w:sz w:val="24"/>
        </w:rPr>
        <w:instrText xml:space="preserve"> PAGEREF _Toc3265 \h </w:instrText>
      </w:r>
      <w:r>
        <w:rPr>
          <w:color w:val="auto"/>
          <w:sz w:val="24"/>
        </w:rPr>
        <w:fldChar w:fldCharType="separate"/>
      </w:r>
      <w:r>
        <w:rPr>
          <w:color w:val="auto"/>
          <w:sz w:val="24"/>
        </w:rPr>
        <w:t>1</w:t>
      </w:r>
      <w:r>
        <w:rPr>
          <w:color w:val="auto"/>
          <w:sz w:val="24"/>
        </w:rPr>
        <w:fldChar w:fldCharType="end"/>
      </w:r>
      <w:r>
        <w:rPr>
          <w:color w:val="auto"/>
          <w:sz w:val="24"/>
        </w:rPr>
        <w:fldChar w:fldCharType="end"/>
      </w:r>
    </w:p>
    <w:p w14:paraId="0A451503">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_Toc7363 </w:instrText>
      </w:r>
      <w:r>
        <w:rPr>
          <w:color w:val="auto"/>
          <w:sz w:val="24"/>
        </w:rPr>
        <w:fldChar w:fldCharType="separate"/>
      </w:r>
      <w:r>
        <w:rPr>
          <w:rFonts w:hint="eastAsia"/>
          <w:color w:val="auto"/>
          <w:sz w:val="24"/>
        </w:rPr>
        <w:t>1.1.2 评价范围</w:t>
      </w:r>
      <w:r>
        <w:rPr>
          <w:color w:val="auto"/>
          <w:sz w:val="24"/>
        </w:rPr>
        <w:tab/>
      </w:r>
      <w:r>
        <w:rPr>
          <w:color w:val="auto"/>
          <w:sz w:val="24"/>
        </w:rPr>
        <w:fldChar w:fldCharType="begin"/>
      </w:r>
      <w:r>
        <w:rPr>
          <w:color w:val="auto"/>
          <w:sz w:val="24"/>
        </w:rPr>
        <w:instrText xml:space="preserve"> PAGEREF _Toc7363 \h </w:instrText>
      </w:r>
      <w:r>
        <w:rPr>
          <w:color w:val="auto"/>
          <w:sz w:val="24"/>
        </w:rPr>
        <w:fldChar w:fldCharType="separate"/>
      </w:r>
      <w:r>
        <w:rPr>
          <w:color w:val="auto"/>
          <w:sz w:val="24"/>
        </w:rPr>
        <w:t>1</w:t>
      </w:r>
      <w:r>
        <w:rPr>
          <w:color w:val="auto"/>
          <w:sz w:val="24"/>
        </w:rPr>
        <w:fldChar w:fldCharType="end"/>
      </w:r>
      <w:r>
        <w:rPr>
          <w:color w:val="auto"/>
          <w:sz w:val="24"/>
        </w:rPr>
        <w:fldChar w:fldCharType="end"/>
      </w:r>
    </w:p>
    <w:p w14:paraId="46871D32">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_Toc10650 </w:instrText>
      </w:r>
      <w:r>
        <w:rPr>
          <w:color w:val="auto"/>
          <w:sz w:val="24"/>
        </w:rPr>
        <w:fldChar w:fldCharType="separate"/>
      </w:r>
      <w:r>
        <w:rPr>
          <w:rFonts w:hint="eastAsia"/>
          <w:color w:val="auto"/>
          <w:sz w:val="24"/>
        </w:rPr>
        <w:t>1.1.3 评价原则</w:t>
      </w:r>
      <w:r>
        <w:rPr>
          <w:color w:val="auto"/>
          <w:sz w:val="24"/>
        </w:rPr>
        <w:tab/>
      </w:r>
      <w:r>
        <w:rPr>
          <w:color w:val="auto"/>
          <w:sz w:val="24"/>
        </w:rPr>
        <w:fldChar w:fldCharType="begin"/>
      </w:r>
      <w:r>
        <w:rPr>
          <w:color w:val="auto"/>
          <w:sz w:val="24"/>
        </w:rPr>
        <w:instrText xml:space="preserve"> PAGEREF _Toc10650 \h </w:instrText>
      </w:r>
      <w:r>
        <w:rPr>
          <w:color w:val="auto"/>
          <w:sz w:val="24"/>
        </w:rPr>
        <w:fldChar w:fldCharType="separate"/>
      </w:r>
      <w:r>
        <w:rPr>
          <w:color w:val="auto"/>
          <w:sz w:val="24"/>
        </w:rPr>
        <w:t>1</w:t>
      </w:r>
      <w:r>
        <w:rPr>
          <w:color w:val="auto"/>
          <w:sz w:val="24"/>
        </w:rPr>
        <w:fldChar w:fldCharType="end"/>
      </w:r>
      <w:r>
        <w:rPr>
          <w:color w:val="auto"/>
          <w:sz w:val="24"/>
        </w:rPr>
        <w:fldChar w:fldCharType="end"/>
      </w:r>
    </w:p>
    <w:p w14:paraId="77A0839A">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_Toc20205 </w:instrText>
      </w:r>
      <w:r>
        <w:rPr>
          <w:color w:val="auto"/>
          <w:sz w:val="24"/>
        </w:rPr>
        <w:fldChar w:fldCharType="separate"/>
      </w:r>
      <w:r>
        <w:rPr>
          <w:rFonts w:hint="eastAsia"/>
          <w:color w:val="auto"/>
          <w:sz w:val="24"/>
        </w:rPr>
        <w:t>1.2 评价依据</w:t>
      </w:r>
      <w:r>
        <w:rPr>
          <w:color w:val="auto"/>
          <w:sz w:val="24"/>
        </w:rPr>
        <w:tab/>
      </w:r>
      <w:r>
        <w:rPr>
          <w:color w:val="auto"/>
          <w:sz w:val="24"/>
        </w:rPr>
        <w:fldChar w:fldCharType="begin"/>
      </w:r>
      <w:r>
        <w:rPr>
          <w:color w:val="auto"/>
          <w:sz w:val="24"/>
        </w:rPr>
        <w:instrText xml:space="preserve"> PAGEREF _Toc20205 \h </w:instrText>
      </w:r>
      <w:r>
        <w:rPr>
          <w:color w:val="auto"/>
          <w:sz w:val="24"/>
        </w:rPr>
        <w:fldChar w:fldCharType="separate"/>
      </w:r>
      <w:r>
        <w:rPr>
          <w:color w:val="auto"/>
          <w:sz w:val="24"/>
        </w:rPr>
        <w:t>2</w:t>
      </w:r>
      <w:r>
        <w:rPr>
          <w:color w:val="auto"/>
          <w:sz w:val="24"/>
        </w:rPr>
        <w:fldChar w:fldCharType="end"/>
      </w:r>
      <w:r>
        <w:rPr>
          <w:color w:val="auto"/>
          <w:sz w:val="24"/>
        </w:rPr>
        <w:fldChar w:fldCharType="end"/>
      </w:r>
    </w:p>
    <w:p w14:paraId="2BDCFCF3">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_Toc13343 </w:instrText>
      </w:r>
      <w:r>
        <w:rPr>
          <w:color w:val="auto"/>
          <w:sz w:val="24"/>
        </w:rPr>
        <w:fldChar w:fldCharType="separate"/>
      </w:r>
      <w:r>
        <w:rPr>
          <w:rFonts w:hint="eastAsia"/>
          <w:color w:val="auto"/>
          <w:sz w:val="24"/>
        </w:rPr>
        <w:t>1.2.1 国家法律</w:t>
      </w:r>
      <w:r>
        <w:rPr>
          <w:color w:val="auto"/>
          <w:sz w:val="24"/>
        </w:rPr>
        <w:tab/>
      </w:r>
      <w:r>
        <w:rPr>
          <w:color w:val="auto"/>
          <w:sz w:val="24"/>
        </w:rPr>
        <w:fldChar w:fldCharType="begin"/>
      </w:r>
      <w:r>
        <w:rPr>
          <w:color w:val="auto"/>
          <w:sz w:val="24"/>
        </w:rPr>
        <w:instrText xml:space="preserve"> PAGEREF _Toc13343 \h </w:instrText>
      </w:r>
      <w:r>
        <w:rPr>
          <w:color w:val="auto"/>
          <w:sz w:val="24"/>
        </w:rPr>
        <w:fldChar w:fldCharType="separate"/>
      </w:r>
      <w:r>
        <w:rPr>
          <w:color w:val="auto"/>
          <w:sz w:val="24"/>
        </w:rPr>
        <w:t>2</w:t>
      </w:r>
      <w:r>
        <w:rPr>
          <w:color w:val="auto"/>
          <w:sz w:val="24"/>
        </w:rPr>
        <w:fldChar w:fldCharType="end"/>
      </w:r>
      <w:r>
        <w:rPr>
          <w:color w:val="auto"/>
          <w:sz w:val="24"/>
        </w:rPr>
        <w:fldChar w:fldCharType="end"/>
      </w:r>
    </w:p>
    <w:p w14:paraId="3AD10CF8">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_Toc6899 </w:instrText>
      </w:r>
      <w:r>
        <w:rPr>
          <w:color w:val="auto"/>
          <w:sz w:val="24"/>
        </w:rPr>
        <w:fldChar w:fldCharType="separate"/>
      </w:r>
      <w:r>
        <w:rPr>
          <w:rFonts w:hint="eastAsia"/>
          <w:color w:val="auto"/>
          <w:sz w:val="24"/>
        </w:rPr>
        <w:t>1.2.2 行政法规</w:t>
      </w:r>
      <w:r>
        <w:rPr>
          <w:color w:val="auto"/>
          <w:sz w:val="24"/>
        </w:rPr>
        <w:tab/>
      </w:r>
      <w:r>
        <w:rPr>
          <w:color w:val="auto"/>
          <w:sz w:val="24"/>
        </w:rPr>
        <w:fldChar w:fldCharType="begin"/>
      </w:r>
      <w:r>
        <w:rPr>
          <w:color w:val="auto"/>
          <w:sz w:val="24"/>
        </w:rPr>
        <w:instrText xml:space="preserve"> PAGEREF _Toc6899 \h </w:instrText>
      </w:r>
      <w:r>
        <w:rPr>
          <w:color w:val="auto"/>
          <w:sz w:val="24"/>
        </w:rPr>
        <w:fldChar w:fldCharType="separate"/>
      </w:r>
      <w:r>
        <w:rPr>
          <w:color w:val="auto"/>
          <w:sz w:val="24"/>
        </w:rPr>
        <w:t>3</w:t>
      </w:r>
      <w:r>
        <w:rPr>
          <w:color w:val="auto"/>
          <w:sz w:val="24"/>
        </w:rPr>
        <w:fldChar w:fldCharType="end"/>
      </w:r>
      <w:r>
        <w:rPr>
          <w:color w:val="auto"/>
          <w:sz w:val="24"/>
        </w:rPr>
        <w:fldChar w:fldCharType="end"/>
      </w:r>
    </w:p>
    <w:p w14:paraId="6E7E84DC">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_Toc8555 </w:instrText>
      </w:r>
      <w:r>
        <w:rPr>
          <w:color w:val="auto"/>
          <w:sz w:val="24"/>
        </w:rPr>
        <w:fldChar w:fldCharType="separate"/>
      </w:r>
      <w:r>
        <w:rPr>
          <w:rFonts w:hint="eastAsia"/>
          <w:color w:val="auto"/>
          <w:sz w:val="24"/>
        </w:rPr>
        <w:t>1.2.3 部门规章</w:t>
      </w:r>
      <w:r>
        <w:rPr>
          <w:color w:val="auto"/>
          <w:sz w:val="24"/>
        </w:rPr>
        <w:tab/>
      </w:r>
      <w:r>
        <w:rPr>
          <w:color w:val="auto"/>
          <w:sz w:val="24"/>
        </w:rPr>
        <w:fldChar w:fldCharType="begin"/>
      </w:r>
      <w:r>
        <w:rPr>
          <w:color w:val="auto"/>
          <w:sz w:val="24"/>
        </w:rPr>
        <w:instrText xml:space="preserve"> PAGEREF _Toc8555 \h </w:instrText>
      </w:r>
      <w:r>
        <w:rPr>
          <w:color w:val="auto"/>
          <w:sz w:val="24"/>
        </w:rPr>
        <w:fldChar w:fldCharType="separate"/>
      </w:r>
      <w:r>
        <w:rPr>
          <w:color w:val="auto"/>
          <w:sz w:val="24"/>
        </w:rPr>
        <w:t>4</w:t>
      </w:r>
      <w:r>
        <w:rPr>
          <w:color w:val="auto"/>
          <w:sz w:val="24"/>
        </w:rPr>
        <w:fldChar w:fldCharType="end"/>
      </w:r>
      <w:r>
        <w:rPr>
          <w:color w:val="auto"/>
          <w:sz w:val="24"/>
        </w:rPr>
        <w:fldChar w:fldCharType="end"/>
      </w:r>
    </w:p>
    <w:p w14:paraId="0F9D4F8E">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_Toc8859 </w:instrText>
      </w:r>
      <w:r>
        <w:rPr>
          <w:color w:val="auto"/>
          <w:sz w:val="24"/>
        </w:rPr>
        <w:fldChar w:fldCharType="separate"/>
      </w:r>
      <w:r>
        <w:rPr>
          <w:rFonts w:hint="eastAsia"/>
          <w:color w:val="auto"/>
          <w:sz w:val="24"/>
        </w:rPr>
        <w:t>1.2.4 地方性法规及文件</w:t>
      </w:r>
      <w:r>
        <w:rPr>
          <w:color w:val="auto"/>
          <w:sz w:val="24"/>
        </w:rPr>
        <w:tab/>
      </w:r>
      <w:r>
        <w:rPr>
          <w:color w:val="auto"/>
          <w:sz w:val="24"/>
        </w:rPr>
        <w:fldChar w:fldCharType="begin"/>
      </w:r>
      <w:r>
        <w:rPr>
          <w:color w:val="auto"/>
          <w:sz w:val="24"/>
        </w:rPr>
        <w:instrText xml:space="preserve"> PAGEREF _Toc8859 \h </w:instrText>
      </w:r>
      <w:r>
        <w:rPr>
          <w:color w:val="auto"/>
          <w:sz w:val="24"/>
        </w:rPr>
        <w:fldChar w:fldCharType="separate"/>
      </w:r>
      <w:r>
        <w:rPr>
          <w:color w:val="auto"/>
          <w:sz w:val="24"/>
        </w:rPr>
        <w:t>6</w:t>
      </w:r>
      <w:r>
        <w:rPr>
          <w:color w:val="auto"/>
          <w:sz w:val="24"/>
        </w:rPr>
        <w:fldChar w:fldCharType="end"/>
      </w:r>
      <w:r>
        <w:rPr>
          <w:color w:val="auto"/>
          <w:sz w:val="24"/>
        </w:rPr>
        <w:fldChar w:fldCharType="end"/>
      </w:r>
    </w:p>
    <w:p w14:paraId="4799640C">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_Toc20723 </w:instrText>
      </w:r>
      <w:r>
        <w:rPr>
          <w:color w:val="auto"/>
          <w:sz w:val="24"/>
        </w:rPr>
        <w:fldChar w:fldCharType="separate"/>
      </w:r>
      <w:r>
        <w:rPr>
          <w:rFonts w:hint="eastAsia"/>
          <w:color w:val="auto"/>
          <w:sz w:val="24"/>
        </w:rPr>
        <w:t>1.2.5 标准规范</w:t>
      </w:r>
      <w:r>
        <w:rPr>
          <w:color w:val="auto"/>
          <w:sz w:val="24"/>
        </w:rPr>
        <w:tab/>
      </w:r>
      <w:r>
        <w:rPr>
          <w:color w:val="auto"/>
          <w:sz w:val="24"/>
        </w:rPr>
        <w:fldChar w:fldCharType="begin"/>
      </w:r>
      <w:r>
        <w:rPr>
          <w:color w:val="auto"/>
          <w:sz w:val="24"/>
        </w:rPr>
        <w:instrText xml:space="preserve"> PAGEREF _Toc20723 \h </w:instrText>
      </w:r>
      <w:r>
        <w:rPr>
          <w:color w:val="auto"/>
          <w:sz w:val="24"/>
        </w:rPr>
        <w:fldChar w:fldCharType="separate"/>
      </w:r>
      <w:r>
        <w:rPr>
          <w:color w:val="auto"/>
          <w:sz w:val="24"/>
        </w:rPr>
        <w:t>7</w:t>
      </w:r>
      <w:r>
        <w:rPr>
          <w:color w:val="auto"/>
          <w:sz w:val="24"/>
        </w:rPr>
        <w:fldChar w:fldCharType="end"/>
      </w:r>
      <w:r>
        <w:rPr>
          <w:color w:val="auto"/>
          <w:sz w:val="24"/>
        </w:rPr>
        <w:fldChar w:fldCharType="end"/>
      </w:r>
    </w:p>
    <w:p w14:paraId="0B4CACEF">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_Toc8485 </w:instrText>
      </w:r>
      <w:r>
        <w:rPr>
          <w:color w:val="auto"/>
          <w:sz w:val="24"/>
        </w:rPr>
        <w:fldChar w:fldCharType="separate"/>
      </w:r>
      <w:r>
        <w:rPr>
          <w:rFonts w:hint="eastAsia"/>
          <w:color w:val="auto"/>
          <w:sz w:val="24"/>
        </w:rPr>
        <w:t>1.2.6 行业规范</w:t>
      </w:r>
      <w:r>
        <w:rPr>
          <w:color w:val="auto"/>
          <w:sz w:val="24"/>
        </w:rPr>
        <w:tab/>
      </w:r>
      <w:r>
        <w:rPr>
          <w:color w:val="auto"/>
          <w:sz w:val="24"/>
        </w:rPr>
        <w:fldChar w:fldCharType="begin"/>
      </w:r>
      <w:r>
        <w:rPr>
          <w:color w:val="auto"/>
          <w:sz w:val="24"/>
        </w:rPr>
        <w:instrText xml:space="preserve"> PAGEREF _Toc8485 \h </w:instrText>
      </w:r>
      <w:r>
        <w:rPr>
          <w:color w:val="auto"/>
          <w:sz w:val="24"/>
        </w:rPr>
        <w:fldChar w:fldCharType="separate"/>
      </w:r>
      <w:r>
        <w:rPr>
          <w:color w:val="auto"/>
          <w:sz w:val="24"/>
        </w:rPr>
        <w:t>11</w:t>
      </w:r>
      <w:r>
        <w:rPr>
          <w:color w:val="auto"/>
          <w:sz w:val="24"/>
        </w:rPr>
        <w:fldChar w:fldCharType="end"/>
      </w:r>
      <w:r>
        <w:rPr>
          <w:color w:val="auto"/>
          <w:sz w:val="24"/>
        </w:rPr>
        <w:fldChar w:fldCharType="end"/>
      </w:r>
    </w:p>
    <w:p w14:paraId="4A69DCA4">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_Toc3088 </w:instrText>
      </w:r>
      <w:r>
        <w:rPr>
          <w:color w:val="auto"/>
          <w:sz w:val="24"/>
        </w:rPr>
        <w:fldChar w:fldCharType="separate"/>
      </w:r>
      <w:r>
        <w:rPr>
          <w:rFonts w:hint="eastAsia"/>
          <w:color w:val="auto"/>
          <w:sz w:val="24"/>
        </w:rPr>
        <w:t>1.2.7 技术文件及有关资料</w:t>
      </w:r>
      <w:r>
        <w:rPr>
          <w:color w:val="auto"/>
          <w:sz w:val="24"/>
        </w:rPr>
        <w:tab/>
      </w:r>
      <w:r>
        <w:rPr>
          <w:color w:val="auto"/>
          <w:sz w:val="24"/>
        </w:rPr>
        <w:fldChar w:fldCharType="begin"/>
      </w:r>
      <w:r>
        <w:rPr>
          <w:color w:val="auto"/>
          <w:sz w:val="24"/>
        </w:rPr>
        <w:instrText xml:space="preserve"> PAGEREF _Toc3088 \h </w:instrText>
      </w:r>
      <w:r>
        <w:rPr>
          <w:color w:val="auto"/>
          <w:sz w:val="24"/>
        </w:rPr>
        <w:fldChar w:fldCharType="separate"/>
      </w:r>
      <w:r>
        <w:rPr>
          <w:color w:val="auto"/>
          <w:sz w:val="24"/>
        </w:rPr>
        <w:t>11</w:t>
      </w:r>
      <w:r>
        <w:rPr>
          <w:color w:val="auto"/>
          <w:sz w:val="24"/>
        </w:rPr>
        <w:fldChar w:fldCharType="end"/>
      </w:r>
      <w:r>
        <w:rPr>
          <w:color w:val="auto"/>
          <w:sz w:val="24"/>
        </w:rPr>
        <w:fldChar w:fldCharType="end"/>
      </w:r>
    </w:p>
    <w:p w14:paraId="3A4989AF">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_Toc12598 </w:instrText>
      </w:r>
      <w:r>
        <w:rPr>
          <w:color w:val="auto"/>
          <w:sz w:val="24"/>
        </w:rPr>
        <w:fldChar w:fldCharType="separate"/>
      </w:r>
      <w:r>
        <w:rPr>
          <w:rFonts w:hint="eastAsia"/>
          <w:color w:val="auto"/>
          <w:sz w:val="24"/>
        </w:rPr>
        <w:t>1.3 评价程序</w:t>
      </w:r>
      <w:r>
        <w:rPr>
          <w:color w:val="auto"/>
          <w:sz w:val="24"/>
        </w:rPr>
        <w:tab/>
      </w:r>
      <w:r>
        <w:rPr>
          <w:color w:val="auto"/>
          <w:sz w:val="24"/>
        </w:rPr>
        <w:fldChar w:fldCharType="begin"/>
      </w:r>
      <w:r>
        <w:rPr>
          <w:color w:val="auto"/>
          <w:sz w:val="24"/>
        </w:rPr>
        <w:instrText xml:space="preserve"> PAGEREF _Toc12598 \h </w:instrText>
      </w:r>
      <w:r>
        <w:rPr>
          <w:color w:val="auto"/>
          <w:sz w:val="24"/>
        </w:rPr>
        <w:fldChar w:fldCharType="separate"/>
      </w:r>
      <w:r>
        <w:rPr>
          <w:color w:val="auto"/>
          <w:sz w:val="24"/>
        </w:rPr>
        <w:t>11</w:t>
      </w:r>
      <w:r>
        <w:rPr>
          <w:color w:val="auto"/>
          <w:sz w:val="24"/>
        </w:rPr>
        <w:fldChar w:fldCharType="end"/>
      </w:r>
      <w:r>
        <w:rPr>
          <w:color w:val="auto"/>
          <w:sz w:val="24"/>
        </w:rPr>
        <w:fldChar w:fldCharType="end"/>
      </w:r>
    </w:p>
    <w:p w14:paraId="0D12D2A0">
      <w:pPr>
        <w:pStyle w:val="12"/>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_Toc26306 </w:instrText>
      </w:r>
      <w:r>
        <w:rPr>
          <w:color w:val="auto"/>
          <w:sz w:val="24"/>
        </w:rPr>
        <w:fldChar w:fldCharType="separate"/>
      </w:r>
      <w:r>
        <w:rPr>
          <w:rFonts w:hint="eastAsia"/>
          <w:color w:val="auto"/>
          <w:sz w:val="24"/>
        </w:rPr>
        <w:t>2 建设项目概述</w:t>
      </w:r>
      <w:r>
        <w:rPr>
          <w:color w:val="auto"/>
          <w:sz w:val="24"/>
        </w:rPr>
        <w:tab/>
      </w:r>
      <w:r>
        <w:rPr>
          <w:color w:val="auto"/>
          <w:sz w:val="24"/>
        </w:rPr>
        <w:fldChar w:fldCharType="begin"/>
      </w:r>
      <w:r>
        <w:rPr>
          <w:color w:val="auto"/>
          <w:sz w:val="24"/>
        </w:rPr>
        <w:instrText xml:space="preserve"> PAGEREF _Toc26306 \h </w:instrText>
      </w:r>
      <w:r>
        <w:rPr>
          <w:color w:val="auto"/>
          <w:sz w:val="24"/>
        </w:rPr>
        <w:fldChar w:fldCharType="separate"/>
      </w:r>
      <w:r>
        <w:rPr>
          <w:color w:val="auto"/>
          <w:sz w:val="24"/>
        </w:rPr>
        <w:t>13</w:t>
      </w:r>
      <w:r>
        <w:rPr>
          <w:color w:val="auto"/>
          <w:sz w:val="24"/>
        </w:rPr>
        <w:fldChar w:fldCharType="end"/>
      </w:r>
      <w:r>
        <w:rPr>
          <w:color w:val="auto"/>
          <w:sz w:val="24"/>
        </w:rPr>
        <w:fldChar w:fldCharType="end"/>
      </w:r>
    </w:p>
    <w:p w14:paraId="17AC9009">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_Toc4885 </w:instrText>
      </w:r>
      <w:r>
        <w:rPr>
          <w:color w:val="auto"/>
          <w:sz w:val="24"/>
        </w:rPr>
        <w:fldChar w:fldCharType="separate"/>
      </w:r>
      <w:r>
        <w:rPr>
          <w:rFonts w:hint="eastAsia"/>
          <w:color w:val="auto"/>
          <w:sz w:val="24"/>
        </w:rPr>
        <w:t>2.1 建设单位概况</w:t>
      </w:r>
      <w:r>
        <w:rPr>
          <w:color w:val="auto"/>
          <w:sz w:val="24"/>
        </w:rPr>
        <w:tab/>
      </w:r>
      <w:r>
        <w:rPr>
          <w:color w:val="auto"/>
          <w:sz w:val="24"/>
        </w:rPr>
        <w:fldChar w:fldCharType="begin"/>
      </w:r>
      <w:r>
        <w:rPr>
          <w:color w:val="auto"/>
          <w:sz w:val="24"/>
        </w:rPr>
        <w:instrText xml:space="preserve"> PAGEREF _Toc4885 \h </w:instrText>
      </w:r>
      <w:r>
        <w:rPr>
          <w:color w:val="auto"/>
          <w:sz w:val="24"/>
        </w:rPr>
        <w:fldChar w:fldCharType="separate"/>
      </w:r>
      <w:r>
        <w:rPr>
          <w:color w:val="auto"/>
          <w:sz w:val="24"/>
        </w:rPr>
        <w:t>15</w:t>
      </w:r>
      <w:r>
        <w:rPr>
          <w:color w:val="auto"/>
          <w:sz w:val="24"/>
        </w:rPr>
        <w:fldChar w:fldCharType="end"/>
      </w:r>
      <w:r>
        <w:rPr>
          <w:color w:val="auto"/>
          <w:sz w:val="24"/>
        </w:rPr>
        <w:fldChar w:fldCharType="end"/>
      </w:r>
    </w:p>
    <w:p w14:paraId="7B0DB2B5">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_Toc13163 </w:instrText>
      </w:r>
      <w:r>
        <w:rPr>
          <w:color w:val="auto"/>
          <w:sz w:val="24"/>
        </w:rPr>
        <w:fldChar w:fldCharType="separate"/>
      </w:r>
      <w:r>
        <w:rPr>
          <w:rFonts w:hint="eastAsia"/>
          <w:color w:val="auto"/>
          <w:sz w:val="24"/>
        </w:rPr>
        <w:t>2.1.1 建设单位简介</w:t>
      </w:r>
      <w:r>
        <w:rPr>
          <w:color w:val="auto"/>
          <w:sz w:val="24"/>
        </w:rPr>
        <w:tab/>
      </w:r>
      <w:r>
        <w:rPr>
          <w:color w:val="auto"/>
          <w:sz w:val="24"/>
        </w:rPr>
        <w:fldChar w:fldCharType="begin"/>
      </w:r>
      <w:r>
        <w:rPr>
          <w:color w:val="auto"/>
          <w:sz w:val="24"/>
        </w:rPr>
        <w:instrText xml:space="preserve"> PAGEREF _Toc13163 \h </w:instrText>
      </w:r>
      <w:r>
        <w:rPr>
          <w:color w:val="auto"/>
          <w:sz w:val="24"/>
        </w:rPr>
        <w:fldChar w:fldCharType="separate"/>
      </w:r>
      <w:r>
        <w:rPr>
          <w:color w:val="auto"/>
          <w:sz w:val="24"/>
        </w:rPr>
        <w:t>15</w:t>
      </w:r>
      <w:r>
        <w:rPr>
          <w:color w:val="auto"/>
          <w:sz w:val="24"/>
        </w:rPr>
        <w:fldChar w:fldCharType="end"/>
      </w:r>
      <w:r>
        <w:rPr>
          <w:color w:val="auto"/>
          <w:sz w:val="24"/>
        </w:rPr>
        <w:fldChar w:fldCharType="end"/>
      </w:r>
    </w:p>
    <w:p w14:paraId="59C06D99">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_Toc32233 </w:instrText>
      </w:r>
      <w:r>
        <w:rPr>
          <w:color w:val="auto"/>
          <w:sz w:val="24"/>
        </w:rPr>
        <w:fldChar w:fldCharType="separate"/>
      </w:r>
      <w:r>
        <w:rPr>
          <w:rFonts w:hint="eastAsia"/>
          <w:color w:val="auto"/>
          <w:sz w:val="24"/>
        </w:rPr>
        <w:t>2.1.2 立项情况</w:t>
      </w:r>
      <w:r>
        <w:rPr>
          <w:color w:val="auto"/>
          <w:sz w:val="24"/>
        </w:rPr>
        <w:tab/>
      </w:r>
      <w:r>
        <w:rPr>
          <w:color w:val="auto"/>
          <w:sz w:val="24"/>
        </w:rPr>
        <w:fldChar w:fldCharType="begin"/>
      </w:r>
      <w:r>
        <w:rPr>
          <w:color w:val="auto"/>
          <w:sz w:val="24"/>
        </w:rPr>
        <w:instrText xml:space="preserve"> PAGEREF _Toc32233 \h </w:instrText>
      </w:r>
      <w:r>
        <w:rPr>
          <w:color w:val="auto"/>
          <w:sz w:val="24"/>
        </w:rPr>
        <w:fldChar w:fldCharType="separate"/>
      </w:r>
      <w:r>
        <w:rPr>
          <w:color w:val="auto"/>
          <w:sz w:val="24"/>
        </w:rPr>
        <w:t>16</w:t>
      </w:r>
      <w:r>
        <w:rPr>
          <w:color w:val="auto"/>
          <w:sz w:val="24"/>
        </w:rPr>
        <w:fldChar w:fldCharType="end"/>
      </w:r>
      <w:r>
        <w:rPr>
          <w:color w:val="auto"/>
          <w:sz w:val="24"/>
        </w:rPr>
        <w:fldChar w:fldCharType="end"/>
      </w:r>
    </w:p>
    <w:p w14:paraId="49A0C855">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_Toc2462 </w:instrText>
      </w:r>
      <w:r>
        <w:rPr>
          <w:color w:val="auto"/>
          <w:sz w:val="24"/>
        </w:rPr>
        <w:fldChar w:fldCharType="separate"/>
      </w:r>
      <w:r>
        <w:rPr>
          <w:rFonts w:hint="eastAsia"/>
          <w:color w:val="auto"/>
          <w:sz w:val="24"/>
        </w:rPr>
        <w:t>2.1.3 项目地理位置及交通情况</w:t>
      </w:r>
      <w:r>
        <w:rPr>
          <w:color w:val="auto"/>
          <w:sz w:val="24"/>
        </w:rPr>
        <w:tab/>
      </w:r>
      <w:r>
        <w:rPr>
          <w:color w:val="auto"/>
          <w:sz w:val="24"/>
        </w:rPr>
        <w:fldChar w:fldCharType="begin"/>
      </w:r>
      <w:r>
        <w:rPr>
          <w:color w:val="auto"/>
          <w:sz w:val="24"/>
        </w:rPr>
        <w:instrText xml:space="preserve"> PAGEREF _Toc2462 \h </w:instrText>
      </w:r>
      <w:r>
        <w:rPr>
          <w:color w:val="auto"/>
          <w:sz w:val="24"/>
        </w:rPr>
        <w:fldChar w:fldCharType="separate"/>
      </w:r>
      <w:r>
        <w:rPr>
          <w:color w:val="auto"/>
          <w:sz w:val="24"/>
        </w:rPr>
        <w:t>17</w:t>
      </w:r>
      <w:r>
        <w:rPr>
          <w:color w:val="auto"/>
          <w:sz w:val="24"/>
        </w:rPr>
        <w:fldChar w:fldCharType="end"/>
      </w:r>
      <w:r>
        <w:rPr>
          <w:color w:val="auto"/>
          <w:sz w:val="24"/>
        </w:rPr>
        <w:fldChar w:fldCharType="end"/>
      </w:r>
    </w:p>
    <w:p w14:paraId="401A5741">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_Toc7133 </w:instrText>
      </w:r>
      <w:r>
        <w:rPr>
          <w:color w:val="auto"/>
          <w:sz w:val="24"/>
        </w:rPr>
        <w:fldChar w:fldCharType="separate"/>
      </w:r>
      <w:r>
        <w:rPr>
          <w:rFonts w:hint="eastAsia"/>
          <w:color w:val="auto"/>
          <w:sz w:val="24"/>
        </w:rPr>
        <w:t>2.1.4 项目周边环境</w:t>
      </w:r>
      <w:r>
        <w:rPr>
          <w:color w:val="auto"/>
          <w:sz w:val="24"/>
        </w:rPr>
        <w:tab/>
      </w:r>
      <w:r>
        <w:rPr>
          <w:color w:val="auto"/>
          <w:sz w:val="24"/>
        </w:rPr>
        <w:fldChar w:fldCharType="begin"/>
      </w:r>
      <w:r>
        <w:rPr>
          <w:color w:val="auto"/>
          <w:sz w:val="24"/>
        </w:rPr>
        <w:instrText xml:space="preserve"> PAGEREF _Toc7133 \h </w:instrText>
      </w:r>
      <w:r>
        <w:rPr>
          <w:color w:val="auto"/>
          <w:sz w:val="24"/>
        </w:rPr>
        <w:fldChar w:fldCharType="separate"/>
      </w:r>
      <w:r>
        <w:rPr>
          <w:color w:val="auto"/>
          <w:sz w:val="24"/>
        </w:rPr>
        <w:t>18</w:t>
      </w:r>
      <w:r>
        <w:rPr>
          <w:color w:val="auto"/>
          <w:sz w:val="24"/>
        </w:rPr>
        <w:fldChar w:fldCharType="end"/>
      </w:r>
      <w:r>
        <w:rPr>
          <w:color w:val="auto"/>
          <w:sz w:val="24"/>
        </w:rPr>
        <w:fldChar w:fldCharType="end"/>
      </w:r>
    </w:p>
    <w:p w14:paraId="15147292">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_Toc8249 </w:instrText>
      </w:r>
      <w:r>
        <w:rPr>
          <w:color w:val="auto"/>
          <w:sz w:val="24"/>
        </w:rPr>
        <w:fldChar w:fldCharType="separate"/>
      </w:r>
      <w:r>
        <w:rPr>
          <w:rFonts w:hint="eastAsia"/>
          <w:color w:val="auto"/>
          <w:sz w:val="24"/>
        </w:rPr>
        <w:t>2.2 自然环境</w:t>
      </w:r>
      <w:r>
        <w:rPr>
          <w:color w:val="auto"/>
          <w:sz w:val="24"/>
        </w:rPr>
        <w:tab/>
      </w:r>
      <w:r>
        <w:rPr>
          <w:color w:val="auto"/>
          <w:sz w:val="24"/>
        </w:rPr>
        <w:fldChar w:fldCharType="begin"/>
      </w:r>
      <w:r>
        <w:rPr>
          <w:color w:val="auto"/>
          <w:sz w:val="24"/>
        </w:rPr>
        <w:instrText xml:space="preserve"> PAGEREF _Toc8249 \h </w:instrText>
      </w:r>
      <w:r>
        <w:rPr>
          <w:color w:val="auto"/>
          <w:sz w:val="24"/>
        </w:rPr>
        <w:fldChar w:fldCharType="separate"/>
      </w:r>
      <w:r>
        <w:rPr>
          <w:color w:val="auto"/>
          <w:sz w:val="24"/>
        </w:rPr>
        <w:t>19</w:t>
      </w:r>
      <w:r>
        <w:rPr>
          <w:color w:val="auto"/>
          <w:sz w:val="24"/>
        </w:rPr>
        <w:fldChar w:fldCharType="end"/>
      </w:r>
      <w:r>
        <w:rPr>
          <w:color w:val="auto"/>
          <w:sz w:val="24"/>
        </w:rPr>
        <w:fldChar w:fldCharType="end"/>
      </w:r>
    </w:p>
    <w:p w14:paraId="6C47ABDD">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_Toc4170 </w:instrText>
      </w:r>
      <w:r>
        <w:rPr>
          <w:color w:val="auto"/>
          <w:sz w:val="24"/>
        </w:rPr>
        <w:fldChar w:fldCharType="separate"/>
      </w:r>
      <w:r>
        <w:rPr>
          <w:rFonts w:hint="eastAsia"/>
          <w:color w:val="auto"/>
          <w:sz w:val="24"/>
        </w:rPr>
        <w:t>2.2.1 气象条件</w:t>
      </w:r>
      <w:r>
        <w:rPr>
          <w:color w:val="auto"/>
          <w:sz w:val="24"/>
        </w:rPr>
        <w:tab/>
      </w:r>
      <w:r>
        <w:rPr>
          <w:color w:val="auto"/>
          <w:sz w:val="24"/>
        </w:rPr>
        <w:fldChar w:fldCharType="begin"/>
      </w:r>
      <w:r>
        <w:rPr>
          <w:color w:val="auto"/>
          <w:sz w:val="24"/>
        </w:rPr>
        <w:instrText xml:space="preserve"> PAGEREF _Toc4170 \h </w:instrText>
      </w:r>
      <w:r>
        <w:rPr>
          <w:color w:val="auto"/>
          <w:sz w:val="24"/>
        </w:rPr>
        <w:fldChar w:fldCharType="separate"/>
      </w:r>
      <w:r>
        <w:rPr>
          <w:color w:val="auto"/>
          <w:sz w:val="24"/>
        </w:rPr>
        <w:t>19</w:t>
      </w:r>
      <w:r>
        <w:rPr>
          <w:color w:val="auto"/>
          <w:sz w:val="24"/>
        </w:rPr>
        <w:fldChar w:fldCharType="end"/>
      </w:r>
      <w:r>
        <w:rPr>
          <w:color w:val="auto"/>
          <w:sz w:val="24"/>
        </w:rPr>
        <w:fldChar w:fldCharType="end"/>
      </w:r>
    </w:p>
    <w:p w14:paraId="1F70D15C">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_Toc32088 </w:instrText>
      </w:r>
      <w:r>
        <w:rPr>
          <w:color w:val="auto"/>
          <w:sz w:val="24"/>
        </w:rPr>
        <w:fldChar w:fldCharType="separate"/>
      </w:r>
      <w:r>
        <w:rPr>
          <w:rFonts w:hint="eastAsia"/>
          <w:color w:val="auto"/>
          <w:sz w:val="24"/>
          <w:lang w:val="en-US" w:eastAsia="zh-CN"/>
        </w:rPr>
        <w:t>2.2.2 区域地质构造</w:t>
      </w:r>
      <w:r>
        <w:rPr>
          <w:color w:val="auto"/>
          <w:sz w:val="24"/>
        </w:rPr>
        <w:tab/>
      </w:r>
      <w:r>
        <w:rPr>
          <w:color w:val="auto"/>
          <w:sz w:val="24"/>
        </w:rPr>
        <w:fldChar w:fldCharType="begin"/>
      </w:r>
      <w:r>
        <w:rPr>
          <w:color w:val="auto"/>
          <w:sz w:val="24"/>
        </w:rPr>
        <w:instrText xml:space="preserve"> PAGEREF _Toc32088 \h </w:instrText>
      </w:r>
      <w:r>
        <w:rPr>
          <w:color w:val="auto"/>
          <w:sz w:val="24"/>
        </w:rPr>
        <w:fldChar w:fldCharType="separate"/>
      </w:r>
      <w:r>
        <w:rPr>
          <w:color w:val="auto"/>
          <w:sz w:val="24"/>
        </w:rPr>
        <w:t>19</w:t>
      </w:r>
      <w:r>
        <w:rPr>
          <w:color w:val="auto"/>
          <w:sz w:val="24"/>
        </w:rPr>
        <w:fldChar w:fldCharType="end"/>
      </w:r>
      <w:r>
        <w:rPr>
          <w:color w:val="auto"/>
          <w:sz w:val="24"/>
        </w:rPr>
        <w:fldChar w:fldCharType="end"/>
      </w:r>
    </w:p>
    <w:p w14:paraId="10BDC2DB">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_Toc8286 </w:instrText>
      </w:r>
      <w:r>
        <w:rPr>
          <w:color w:val="auto"/>
          <w:sz w:val="24"/>
        </w:rPr>
        <w:fldChar w:fldCharType="separate"/>
      </w:r>
      <w:r>
        <w:rPr>
          <w:rFonts w:hint="eastAsia"/>
          <w:color w:val="auto"/>
          <w:sz w:val="24"/>
        </w:rPr>
        <w:t>2.</w:t>
      </w:r>
      <w:r>
        <w:rPr>
          <w:rFonts w:hint="eastAsia"/>
          <w:color w:val="auto"/>
          <w:sz w:val="24"/>
          <w:lang w:val="en-US" w:eastAsia="zh-CN"/>
        </w:rPr>
        <w:t>2.3</w:t>
      </w:r>
      <w:r>
        <w:rPr>
          <w:rFonts w:hint="eastAsia"/>
          <w:color w:val="auto"/>
          <w:sz w:val="24"/>
        </w:rPr>
        <w:t xml:space="preserve"> 地震及区域稳定性</w:t>
      </w:r>
      <w:r>
        <w:rPr>
          <w:color w:val="auto"/>
          <w:sz w:val="24"/>
        </w:rPr>
        <w:tab/>
      </w:r>
      <w:r>
        <w:rPr>
          <w:color w:val="auto"/>
          <w:sz w:val="24"/>
        </w:rPr>
        <w:fldChar w:fldCharType="begin"/>
      </w:r>
      <w:r>
        <w:rPr>
          <w:color w:val="auto"/>
          <w:sz w:val="24"/>
        </w:rPr>
        <w:instrText xml:space="preserve"> PAGEREF _Toc8286 \h </w:instrText>
      </w:r>
      <w:r>
        <w:rPr>
          <w:color w:val="auto"/>
          <w:sz w:val="24"/>
        </w:rPr>
        <w:fldChar w:fldCharType="separate"/>
      </w:r>
      <w:r>
        <w:rPr>
          <w:color w:val="auto"/>
          <w:sz w:val="24"/>
        </w:rPr>
        <w:t>20</w:t>
      </w:r>
      <w:r>
        <w:rPr>
          <w:color w:val="auto"/>
          <w:sz w:val="24"/>
        </w:rPr>
        <w:fldChar w:fldCharType="end"/>
      </w:r>
      <w:r>
        <w:rPr>
          <w:color w:val="auto"/>
          <w:sz w:val="24"/>
        </w:rPr>
        <w:fldChar w:fldCharType="end"/>
      </w:r>
    </w:p>
    <w:p w14:paraId="357C5A16">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_Toc21226 </w:instrText>
      </w:r>
      <w:r>
        <w:rPr>
          <w:color w:val="auto"/>
          <w:sz w:val="24"/>
        </w:rPr>
        <w:fldChar w:fldCharType="separate"/>
      </w:r>
      <w:r>
        <w:rPr>
          <w:rFonts w:hint="eastAsia"/>
          <w:color w:val="auto"/>
          <w:sz w:val="24"/>
          <w:lang w:val="en-US" w:eastAsia="zh-CN"/>
        </w:rPr>
        <w:t xml:space="preserve">2.2.4 </w:t>
      </w:r>
      <w:r>
        <w:rPr>
          <w:rFonts w:hint="eastAsia"/>
          <w:color w:val="auto"/>
          <w:sz w:val="24"/>
        </w:rPr>
        <w:t>水文</w:t>
      </w:r>
      <w:r>
        <w:rPr>
          <w:color w:val="auto"/>
          <w:sz w:val="24"/>
        </w:rPr>
        <w:tab/>
      </w:r>
      <w:r>
        <w:rPr>
          <w:color w:val="auto"/>
          <w:sz w:val="24"/>
        </w:rPr>
        <w:fldChar w:fldCharType="begin"/>
      </w:r>
      <w:r>
        <w:rPr>
          <w:color w:val="auto"/>
          <w:sz w:val="24"/>
        </w:rPr>
        <w:instrText xml:space="preserve"> PAGEREF _Toc21226 \h </w:instrText>
      </w:r>
      <w:r>
        <w:rPr>
          <w:color w:val="auto"/>
          <w:sz w:val="24"/>
        </w:rPr>
        <w:fldChar w:fldCharType="separate"/>
      </w:r>
      <w:r>
        <w:rPr>
          <w:color w:val="auto"/>
          <w:sz w:val="24"/>
        </w:rPr>
        <w:t>20</w:t>
      </w:r>
      <w:r>
        <w:rPr>
          <w:color w:val="auto"/>
          <w:sz w:val="24"/>
        </w:rPr>
        <w:fldChar w:fldCharType="end"/>
      </w:r>
      <w:r>
        <w:rPr>
          <w:color w:val="auto"/>
          <w:sz w:val="24"/>
        </w:rPr>
        <w:fldChar w:fldCharType="end"/>
      </w:r>
    </w:p>
    <w:p w14:paraId="29801B33">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_Toc6620 </w:instrText>
      </w:r>
      <w:r>
        <w:rPr>
          <w:color w:val="auto"/>
          <w:sz w:val="24"/>
        </w:rPr>
        <w:fldChar w:fldCharType="separate"/>
      </w:r>
      <w:r>
        <w:rPr>
          <w:rFonts w:hint="eastAsia"/>
          <w:color w:val="auto"/>
          <w:sz w:val="24"/>
          <w:lang w:val="en-US" w:eastAsia="zh-CN"/>
        </w:rPr>
        <w:t xml:space="preserve">2.2.5 </w:t>
      </w:r>
      <w:r>
        <w:rPr>
          <w:rFonts w:hint="eastAsia"/>
          <w:color w:val="auto"/>
          <w:sz w:val="24"/>
        </w:rPr>
        <w:t>地形地貌</w:t>
      </w:r>
      <w:r>
        <w:rPr>
          <w:color w:val="auto"/>
          <w:sz w:val="24"/>
        </w:rPr>
        <w:tab/>
      </w:r>
      <w:r>
        <w:rPr>
          <w:color w:val="auto"/>
          <w:sz w:val="24"/>
        </w:rPr>
        <w:fldChar w:fldCharType="begin"/>
      </w:r>
      <w:r>
        <w:rPr>
          <w:color w:val="auto"/>
          <w:sz w:val="24"/>
        </w:rPr>
        <w:instrText xml:space="preserve"> PAGEREF _Toc6620 \h </w:instrText>
      </w:r>
      <w:r>
        <w:rPr>
          <w:color w:val="auto"/>
          <w:sz w:val="24"/>
        </w:rPr>
        <w:fldChar w:fldCharType="separate"/>
      </w:r>
      <w:r>
        <w:rPr>
          <w:color w:val="auto"/>
          <w:sz w:val="24"/>
        </w:rPr>
        <w:t>20</w:t>
      </w:r>
      <w:r>
        <w:rPr>
          <w:color w:val="auto"/>
          <w:sz w:val="24"/>
        </w:rPr>
        <w:fldChar w:fldCharType="end"/>
      </w:r>
      <w:r>
        <w:rPr>
          <w:color w:val="auto"/>
          <w:sz w:val="24"/>
        </w:rPr>
        <w:fldChar w:fldCharType="end"/>
      </w:r>
    </w:p>
    <w:p w14:paraId="4DE27272">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_Toc21746 </w:instrText>
      </w:r>
      <w:r>
        <w:rPr>
          <w:color w:val="auto"/>
          <w:sz w:val="24"/>
        </w:rPr>
        <w:fldChar w:fldCharType="separate"/>
      </w:r>
      <w:r>
        <w:rPr>
          <w:rFonts w:hint="eastAsia"/>
          <w:color w:val="auto"/>
          <w:sz w:val="24"/>
        </w:rPr>
        <w:t>2.2.6 勘察报告结论</w:t>
      </w:r>
      <w:r>
        <w:rPr>
          <w:color w:val="auto"/>
          <w:sz w:val="24"/>
        </w:rPr>
        <w:tab/>
      </w:r>
      <w:r>
        <w:rPr>
          <w:color w:val="auto"/>
          <w:sz w:val="24"/>
        </w:rPr>
        <w:fldChar w:fldCharType="begin"/>
      </w:r>
      <w:r>
        <w:rPr>
          <w:color w:val="auto"/>
          <w:sz w:val="24"/>
        </w:rPr>
        <w:instrText xml:space="preserve"> PAGEREF _Toc21746 \h </w:instrText>
      </w:r>
      <w:r>
        <w:rPr>
          <w:color w:val="auto"/>
          <w:sz w:val="24"/>
        </w:rPr>
        <w:fldChar w:fldCharType="separate"/>
      </w:r>
      <w:r>
        <w:rPr>
          <w:color w:val="auto"/>
          <w:sz w:val="24"/>
        </w:rPr>
        <w:t>20</w:t>
      </w:r>
      <w:r>
        <w:rPr>
          <w:color w:val="auto"/>
          <w:sz w:val="24"/>
        </w:rPr>
        <w:fldChar w:fldCharType="end"/>
      </w:r>
      <w:r>
        <w:rPr>
          <w:color w:val="auto"/>
          <w:sz w:val="24"/>
        </w:rPr>
        <w:fldChar w:fldCharType="end"/>
      </w:r>
    </w:p>
    <w:p w14:paraId="29BDAD0E">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_Toc12513 </w:instrText>
      </w:r>
      <w:r>
        <w:rPr>
          <w:color w:val="auto"/>
          <w:sz w:val="24"/>
        </w:rPr>
        <w:fldChar w:fldCharType="separate"/>
      </w:r>
      <w:r>
        <w:rPr>
          <w:rFonts w:hint="eastAsia"/>
          <w:color w:val="auto"/>
          <w:sz w:val="24"/>
        </w:rPr>
        <w:t>2.3 项目建设条件</w:t>
      </w:r>
      <w:r>
        <w:rPr>
          <w:color w:val="auto"/>
          <w:sz w:val="24"/>
        </w:rPr>
        <w:tab/>
      </w:r>
      <w:r>
        <w:rPr>
          <w:color w:val="auto"/>
          <w:sz w:val="24"/>
        </w:rPr>
        <w:fldChar w:fldCharType="begin"/>
      </w:r>
      <w:r>
        <w:rPr>
          <w:color w:val="auto"/>
          <w:sz w:val="24"/>
        </w:rPr>
        <w:instrText xml:space="preserve"> PAGEREF _Toc12513 \h </w:instrText>
      </w:r>
      <w:r>
        <w:rPr>
          <w:color w:val="auto"/>
          <w:sz w:val="24"/>
        </w:rPr>
        <w:fldChar w:fldCharType="separate"/>
      </w:r>
      <w:r>
        <w:rPr>
          <w:color w:val="auto"/>
          <w:sz w:val="24"/>
        </w:rPr>
        <w:t>21</w:t>
      </w:r>
      <w:r>
        <w:rPr>
          <w:color w:val="auto"/>
          <w:sz w:val="24"/>
        </w:rPr>
        <w:fldChar w:fldCharType="end"/>
      </w:r>
      <w:r>
        <w:rPr>
          <w:color w:val="auto"/>
          <w:sz w:val="24"/>
        </w:rPr>
        <w:fldChar w:fldCharType="end"/>
      </w:r>
    </w:p>
    <w:p w14:paraId="5A48D18E">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_Toc32433 </w:instrText>
      </w:r>
      <w:r>
        <w:rPr>
          <w:color w:val="auto"/>
          <w:sz w:val="24"/>
        </w:rPr>
        <w:fldChar w:fldCharType="separate"/>
      </w:r>
      <w:r>
        <w:rPr>
          <w:rFonts w:hint="eastAsia"/>
          <w:color w:val="auto"/>
          <w:sz w:val="24"/>
          <w:lang w:val="en-US" w:eastAsia="zh-CN"/>
        </w:rPr>
        <w:t>2.3.1</w:t>
      </w:r>
      <w:r>
        <w:rPr>
          <w:rFonts w:hint="eastAsia"/>
          <w:color w:val="auto"/>
          <w:sz w:val="24"/>
        </w:rPr>
        <w:t xml:space="preserve"> 地质资源条件</w:t>
      </w:r>
      <w:r>
        <w:rPr>
          <w:color w:val="auto"/>
          <w:sz w:val="24"/>
        </w:rPr>
        <w:tab/>
      </w:r>
      <w:r>
        <w:rPr>
          <w:color w:val="auto"/>
          <w:sz w:val="24"/>
        </w:rPr>
        <w:fldChar w:fldCharType="begin"/>
      </w:r>
      <w:r>
        <w:rPr>
          <w:color w:val="auto"/>
          <w:sz w:val="24"/>
        </w:rPr>
        <w:instrText xml:space="preserve"> PAGEREF _Toc32433 \h </w:instrText>
      </w:r>
      <w:r>
        <w:rPr>
          <w:color w:val="auto"/>
          <w:sz w:val="24"/>
        </w:rPr>
        <w:fldChar w:fldCharType="separate"/>
      </w:r>
      <w:r>
        <w:rPr>
          <w:color w:val="auto"/>
          <w:sz w:val="24"/>
        </w:rPr>
        <w:t>21</w:t>
      </w:r>
      <w:r>
        <w:rPr>
          <w:color w:val="auto"/>
          <w:sz w:val="24"/>
        </w:rPr>
        <w:fldChar w:fldCharType="end"/>
      </w:r>
      <w:r>
        <w:rPr>
          <w:color w:val="auto"/>
          <w:sz w:val="24"/>
        </w:rPr>
        <w:fldChar w:fldCharType="end"/>
      </w:r>
    </w:p>
    <w:p w14:paraId="3F3CC40E">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_Toc5336 </w:instrText>
      </w:r>
      <w:r>
        <w:rPr>
          <w:color w:val="auto"/>
          <w:sz w:val="24"/>
        </w:rPr>
        <w:fldChar w:fldCharType="separate"/>
      </w:r>
      <w:r>
        <w:rPr>
          <w:rFonts w:hint="eastAsia"/>
          <w:color w:val="auto"/>
          <w:sz w:val="24"/>
          <w:lang w:val="en-US" w:eastAsia="zh-CN"/>
        </w:rPr>
        <w:t>2.3</w:t>
      </w:r>
      <w:r>
        <w:rPr>
          <w:rFonts w:hint="eastAsia"/>
          <w:color w:val="auto"/>
          <w:sz w:val="24"/>
        </w:rPr>
        <w:t>.2 水源条件</w:t>
      </w:r>
      <w:r>
        <w:rPr>
          <w:color w:val="auto"/>
          <w:sz w:val="24"/>
        </w:rPr>
        <w:tab/>
      </w:r>
      <w:r>
        <w:rPr>
          <w:color w:val="auto"/>
          <w:sz w:val="24"/>
        </w:rPr>
        <w:fldChar w:fldCharType="begin"/>
      </w:r>
      <w:r>
        <w:rPr>
          <w:color w:val="auto"/>
          <w:sz w:val="24"/>
        </w:rPr>
        <w:instrText xml:space="preserve"> PAGEREF _Toc5336 \h </w:instrText>
      </w:r>
      <w:r>
        <w:rPr>
          <w:color w:val="auto"/>
          <w:sz w:val="24"/>
        </w:rPr>
        <w:fldChar w:fldCharType="separate"/>
      </w:r>
      <w:r>
        <w:rPr>
          <w:color w:val="auto"/>
          <w:sz w:val="24"/>
        </w:rPr>
        <w:t>21</w:t>
      </w:r>
      <w:r>
        <w:rPr>
          <w:color w:val="auto"/>
          <w:sz w:val="24"/>
        </w:rPr>
        <w:fldChar w:fldCharType="end"/>
      </w:r>
      <w:r>
        <w:rPr>
          <w:color w:val="auto"/>
          <w:sz w:val="24"/>
        </w:rPr>
        <w:fldChar w:fldCharType="end"/>
      </w:r>
    </w:p>
    <w:p w14:paraId="5EB5ED69">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_Toc9811 </w:instrText>
      </w:r>
      <w:r>
        <w:rPr>
          <w:color w:val="auto"/>
          <w:sz w:val="24"/>
        </w:rPr>
        <w:fldChar w:fldCharType="separate"/>
      </w:r>
      <w:r>
        <w:rPr>
          <w:rFonts w:hint="eastAsia"/>
          <w:color w:val="auto"/>
          <w:sz w:val="24"/>
          <w:lang w:val="en-US" w:eastAsia="zh-CN"/>
        </w:rPr>
        <w:t>2.3</w:t>
      </w:r>
      <w:r>
        <w:rPr>
          <w:rFonts w:hint="eastAsia"/>
          <w:color w:val="auto"/>
          <w:sz w:val="24"/>
        </w:rPr>
        <w:t>.3 供电条件</w:t>
      </w:r>
      <w:r>
        <w:rPr>
          <w:color w:val="auto"/>
          <w:sz w:val="24"/>
        </w:rPr>
        <w:tab/>
      </w:r>
      <w:r>
        <w:rPr>
          <w:color w:val="auto"/>
          <w:sz w:val="24"/>
        </w:rPr>
        <w:fldChar w:fldCharType="begin"/>
      </w:r>
      <w:r>
        <w:rPr>
          <w:color w:val="auto"/>
          <w:sz w:val="24"/>
        </w:rPr>
        <w:instrText xml:space="preserve"> PAGEREF _Toc9811 \h </w:instrText>
      </w:r>
      <w:r>
        <w:rPr>
          <w:color w:val="auto"/>
          <w:sz w:val="24"/>
        </w:rPr>
        <w:fldChar w:fldCharType="separate"/>
      </w:r>
      <w:r>
        <w:rPr>
          <w:color w:val="auto"/>
          <w:sz w:val="24"/>
        </w:rPr>
        <w:t>21</w:t>
      </w:r>
      <w:r>
        <w:rPr>
          <w:color w:val="auto"/>
          <w:sz w:val="24"/>
        </w:rPr>
        <w:fldChar w:fldCharType="end"/>
      </w:r>
      <w:r>
        <w:rPr>
          <w:color w:val="auto"/>
          <w:sz w:val="24"/>
        </w:rPr>
        <w:fldChar w:fldCharType="end"/>
      </w:r>
    </w:p>
    <w:p w14:paraId="27549C41">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_Toc15870 </w:instrText>
      </w:r>
      <w:r>
        <w:rPr>
          <w:color w:val="auto"/>
          <w:sz w:val="24"/>
        </w:rPr>
        <w:fldChar w:fldCharType="separate"/>
      </w:r>
      <w:r>
        <w:rPr>
          <w:rFonts w:hint="eastAsia"/>
          <w:color w:val="auto"/>
          <w:sz w:val="24"/>
          <w:lang w:val="en-US" w:eastAsia="zh-CN"/>
        </w:rPr>
        <w:t>2.3</w:t>
      </w:r>
      <w:r>
        <w:rPr>
          <w:rFonts w:hint="eastAsia"/>
          <w:color w:val="auto"/>
          <w:sz w:val="24"/>
        </w:rPr>
        <w:t>.4 选矿厂用地</w:t>
      </w:r>
      <w:r>
        <w:rPr>
          <w:color w:val="auto"/>
          <w:sz w:val="24"/>
        </w:rPr>
        <w:tab/>
      </w:r>
      <w:r>
        <w:rPr>
          <w:color w:val="auto"/>
          <w:sz w:val="24"/>
        </w:rPr>
        <w:fldChar w:fldCharType="begin"/>
      </w:r>
      <w:r>
        <w:rPr>
          <w:color w:val="auto"/>
          <w:sz w:val="24"/>
        </w:rPr>
        <w:instrText xml:space="preserve"> PAGEREF _Toc15870 \h </w:instrText>
      </w:r>
      <w:r>
        <w:rPr>
          <w:color w:val="auto"/>
          <w:sz w:val="24"/>
        </w:rPr>
        <w:fldChar w:fldCharType="separate"/>
      </w:r>
      <w:r>
        <w:rPr>
          <w:color w:val="auto"/>
          <w:sz w:val="24"/>
        </w:rPr>
        <w:t>22</w:t>
      </w:r>
      <w:r>
        <w:rPr>
          <w:color w:val="auto"/>
          <w:sz w:val="24"/>
        </w:rPr>
        <w:fldChar w:fldCharType="end"/>
      </w:r>
      <w:r>
        <w:rPr>
          <w:color w:val="auto"/>
          <w:sz w:val="24"/>
        </w:rPr>
        <w:fldChar w:fldCharType="end"/>
      </w:r>
    </w:p>
    <w:p w14:paraId="16F22619">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_Toc31447 </w:instrText>
      </w:r>
      <w:r>
        <w:rPr>
          <w:color w:val="auto"/>
          <w:sz w:val="24"/>
        </w:rPr>
        <w:fldChar w:fldCharType="separate"/>
      </w:r>
      <w:r>
        <w:rPr>
          <w:rFonts w:hint="eastAsia"/>
          <w:color w:val="auto"/>
          <w:sz w:val="24"/>
          <w:lang w:val="en-US" w:eastAsia="zh-CN"/>
        </w:rPr>
        <w:t>2.3</w:t>
      </w:r>
      <w:r>
        <w:rPr>
          <w:rFonts w:hint="eastAsia"/>
          <w:color w:val="auto"/>
          <w:sz w:val="24"/>
        </w:rPr>
        <w:t>.5 建筑材料</w:t>
      </w:r>
      <w:r>
        <w:rPr>
          <w:color w:val="auto"/>
          <w:sz w:val="24"/>
        </w:rPr>
        <w:tab/>
      </w:r>
      <w:r>
        <w:rPr>
          <w:color w:val="auto"/>
          <w:sz w:val="24"/>
        </w:rPr>
        <w:fldChar w:fldCharType="begin"/>
      </w:r>
      <w:r>
        <w:rPr>
          <w:color w:val="auto"/>
          <w:sz w:val="24"/>
        </w:rPr>
        <w:instrText xml:space="preserve"> PAGEREF _Toc31447 \h </w:instrText>
      </w:r>
      <w:r>
        <w:rPr>
          <w:color w:val="auto"/>
          <w:sz w:val="24"/>
        </w:rPr>
        <w:fldChar w:fldCharType="separate"/>
      </w:r>
      <w:r>
        <w:rPr>
          <w:color w:val="auto"/>
          <w:sz w:val="24"/>
        </w:rPr>
        <w:t>22</w:t>
      </w:r>
      <w:r>
        <w:rPr>
          <w:color w:val="auto"/>
          <w:sz w:val="24"/>
        </w:rPr>
        <w:fldChar w:fldCharType="end"/>
      </w:r>
      <w:r>
        <w:rPr>
          <w:color w:val="auto"/>
          <w:sz w:val="24"/>
        </w:rPr>
        <w:fldChar w:fldCharType="end"/>
      </w:r>
    </w:p>
    <w:p w14:paraId="1FDB4776">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_Toc16429 </w:instrText>
      </w:r>
      <w:r>
        <w:rPr>
          <w:color w:val="auto"/>
          <w:sz w:val="24"/>
        </w:rPr>
        <w:fldChar w:fldCharType="separate"/>
      </w:r>
      <w:r>
        <w:rPr>
          <w:rFonts w:hint="eastAsia"/>
          <w:color w:val="auto"/>
          <w:sz w:val="24"/>
          <w:lang w:val="en-US" w:eastAsia="zh-CN"/>
        </w:rPr>
        <w:t xml:space="preserve">2.4 </w:t>
      </w:r>
      <w:r>
        <w:rPr>
          <w:rFonts w:hint="eastAsia"/>
          <w:color w:val="auto"/>
          <w:sz w:val="24"/>
        </w:rPr>
        <w:t>建设方案</w:t>
      </w:r>
      <w:r>
        <w:rPr>
          <w:color w:val="auto"/>
          <w:sz w:val="24"/>
        </w:rPr>
        <w:tab/>
      </w:r>
      <w:r>
        <w:rPr>
          <w:color w:val="auto"/>
          <w:sz w:val="24"/>
        </w:rPr>
        <w:fldChar w:fldCharType="begin"/>
      </w:r>
      <w:r>
        <w:rPr>
          <w:color w:val="auto"/>
          <w:sz w:val="24"/>
        </w:rPr>
        <w:instrText xml:space="preserve"> PAGEREF _Toc16429 \h </w:instrText>
      </w:r>
      <w:r>
        <w:rPr>
          <w:color w:val="auto"/>
          <w:sz w:val="24"/>
        </w:rPr>
        <w:fldChar w:fldCharType="separate"/>
      </w:r>
      <w:r>
        <w:rPr>
          <w:color w:val="auto"/>
          <w:sz w:val="24"/>
        </w:rPr>
        <w:t>22</w:t>
      </w:r>
      <w:r>
        <w:rPr>
          <w:color w:val="auto"/>
          <w:sz w:val="24"/>
        </w:rPr>
        <w:fldChar w:fldCharType="end"/>
      </w:r>
      <w:r>
        <w:rPr>
          <w:color w:val="auto"/>
          <w:sz w:val="24"/>
        </w:rPr>
        <w:fldChar w:fldCharType="end"/>
      </w:r>
    </w:p>
    <w:p w14:paraId="280C8904">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_Toc9790 </w:instrText>
      </w:r>
      <w:r>
        <w:rPr>
          <w:color w:val="auto"/>
          <w:sz w:val="24"/>
        </w:rPr>
        <w:fldChar w:fldCharType="separate"/>
      </w:r>
      <w:r>
        <w:rPr>
          <w:rFonts w:hint="eastAsia"/>
          <w:color w:val="auto"/>
          <w:sz w:val="24"/>
          <w:lang w:val="en-US" w:eastAsia="zh-CN"/>
        </w:rPr>
        <w:t xml:space="preserve">2.4.1 </w:t>
      </w:r>
      <w:r>
        <w:rPr>
          <w:rFonts w:hint="eastAsia"/>
          <w:color w:val="auto"/>
          <w:sz w:val="24"/>
        </w:rPr>
        <w:t>建设规模</w:t>
      </w:r>
      <w:r>
        <w:rPr>
          <w:color w:val="auto"/>
          <w:sz w:val="24"/>
        </w:rPr>
        <w:tab/>
      </w:r>
      <w:r>
        <w:rPr>
          <w:color w:val="auto"/>
          <w:sz w:val="24"/>
        </w:rPr>
        <w:fldChar w:fldCharType="begin"/>
      </w:r>
      <w:r>
        <w:rPr>
          <w:color w:val="auto"/>
          <w:sz w:val="24"/>
        </w:rPr>
        <w:instrText xml:space="preserve"> PAGEREF _Toc9790 \h </w:instrText>
      </w:r>
      <w:r>
        <w:rPr>
          <w:color w:val="auto"/>
          <w:sz w:val="24"/>
        </w:rPr>
        <w:fldChar w:fldCharType="separate"/>
      </w:r>
      <w:r>
        <w:rPr>
          <w:color w:val="auto"/>
          <w:sz w:val="24"/>
        </w:rPr>
        <w:t>22</w:t>
      </w:r>
      <w:r>
        <w:rPr>
          <w:color w:val="auto"/>
          <w:sz w:val="24"/>
        </w:rPr>
        <w:fldChar w:fldCharType="end"/>
      </w:r>
      <w:r>
        <w:rPr>
          <w:color w:val="auto"/>
          <w:sz w:val="24"/>
        </w:rPr>
        <w:fldChar w:fldCharType="end"/>
      </w:r>
    </w:p>
    <w:p w14:paraId="3E911DDE">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_Toc5310 </w:instrText>
      </w:r>
      <w:r>
        <w:rPr>
          <w:color w:val="auto"/>
          <w:sz w:val="24"/>
        </w:rPr>
        <w:fldChar w:fldCharType="separate"/>
      </w:r>
      <w:r>
        <w:rPr>
          <w:rFonts w:hint="eastAsia"/>
          <w:color w:val="auto"/>
          <w:sz w:val="24"/>
          <w:lang w:val="en-US" w:eastAsia="zh-CN"/>
        </w:rPr>
        <w:t>2.4.2 工作制度</w:t>
      </w:r>
      <w:r>
        <w:rPr>
          <w:color w:val="auto"/>
          <w:sz w:val="24"/>
        </w:rPr>
        <w:tab/>
      </w:r>
      <w:r>
        <w:rPr>
          <w:color w:val="auto"/>
          <w:sz w:val="24"/>
        </w:rPr>
        <w:fldChar w:fldCharType="begin"/>
      </w:r>
      <w:r>
        <w:rPr>
          <w:color w:val="auto"/>
          <w:sz w:val="24"/>
        </w:rPr>
        <w:instrText xml:space="preserve"> PAGEREF _Toc5310 \h </w:instrText>
      </w:r>
      <w:r>
        <w:rPr>
          <w:color w:val="auto"/>
          <w:sz w:val="24"/>
        </w:rPr>
        <w:fldChar w:fldCharType="separate"/>
      </w:r>
      <w:r>
        <w:rPr>
          <w:color w:val="auto"/>
          <w:sz w:val="24"/>
        </w:rPr>
        <w:t>22</w:t>
      </w:r>
      <w:r>
        <w:rPr>
          <w:color w:val="auto"/>
          <w:sz w:val="24"/>
        </w:rPr>
        <w:fldChar w:fldCharType="end"/>
      </w:r>
      <w:r>
        <w:rPr>
          <w:color w:val="auto"/>
          <w:sz w:val="24"/>
        </w:rPr>
        <w:fldChar w:fldCharType="end"/>
      </w:r>
    </w:p>
    <w:p w14:paraId="51AE719D">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_Toc24148 </w:instrText>
      </w:r>
      <w:r>
        <w:rPr>
          <w:color w:val="auto"/>
          <w:sz w:val="24"/>
        </w:rPr>
        <w:fldChar w:fldCharType="separate"/>
      </w:r>
      <w:r>
        <w:rPr>
          <w:rFonts w:hint="eastAsia"/>
          <w:color w:val="auto"/>
          <w:sz w:val="24"/>
          <w:lang w:val="en-US" w:eastAsia="zh-CN"/>
        </w:rPr>
        <w:t>2.4.3 产品方案</w:t>
      </w:r>
      <w:r>
        <w:rPr>
          <w:color w:val="auto"/>
          <w:sz w:val="24"/>
        </w:rPr>
        <w:tab/>
      </w:r>
      <w:r>
        <w:rPr>
          <w:color w:val="auto"/>
          <w:sz w:val="24"/>
        </w:rPr>
        <w:fldChar w:fldCharType="begin"/>
      </w:r>
      <w:r>
        <w:rPr>
          <w:color w:val="auto"/>
          <w:sz w:val="24"/>
        </w:rPr>
        <w:instrText xml:space="preserve"> PAGEREF _Toc24148 \h </w:instrText>
      </w:r>
      <w:r>
        <w:rPr>
          <w:color w:val="auto"/>
          <w:sz w:val="24"/>
        </w:rPr>
        <w:fldChar w:fldCharType="separate"/>
      </w:r>
      <w:r>
        <w:rPr>
          <w:color w:val="auto"/>
          <w:sz w:val="24"/>
        </w:rPr>
        <w:t>22</w:t>
      </w:r>
      <w:r>
        <w:rPr>
          <w:color w:val="auto"/>
          <w:sz w:val="24"/>
        </w:rPr>
        <w:fldChar w:fldCharType="end"/>
      </w:r>
      <w:r>
        <w:rPr>
          <w:color w:val="auto"/>
          <w:sz w:val="24"/>
        </w:rPr>
        <w:fldChar w:fldCharType="end"/>
      </w:r>
    </w:p>
    <w:p w14:paraId="4183FAB7">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_Toc7365 </w:instrText>
      </w:r>
      <w:r>
        <w:rPr>
          <w:color w:val="auto"/>
          <w:sz w:val="24"/>
        </w:rPr>
        <w:fldChar w:fldCharType="separate"/>
      </w:r>
      <w:r>
        <w:rPr>
          <w:rFonts w:hint="eastAsia"/>
          <w:color w:val="auto"/>
          <w:sz w:val="24"/>
          <w:lang w:val="en-US" w:eastAsia="zh-CN"/>
        </w:rPr>
        <w:t>2.5 选矿</w:t>
      </w:r>
      <w:r>
        <w:rPr>
          <w:color w:val="auto"/>
          <w:sz w:val="24"/>
        </w:rPr>
        <w:tab/>
      </w:r>
      <w:r>
        <w:rPr>
          <w:color w:val="auto"/>
          <w:sz w:val="24"/>
        </w:rPr>
        <w:fldChar w:fldCharType="begin"/>
      </w:r>
      <w:r>
        <w:rPr>
          <w:color w:val="auto"/>
          <w:sz w:val="24"/>
        </w:rPr>
        <w:instrText xml:space="preserve"> PAGEREF _Toc7365 \h </w:instrText>
      </w:r>
      <w:r>
        <w:rPr>
          <w:color w:val="auto"/>
          <w:sz w:val="24"/>
        </w:rPr>
        <w:fldChar w:fldCharType="separate"/>
      </w:r>
      <w:r>
        <w:rPr>
          <w:color w:val="auto"/>
          <w:sz w:val="24"/>
        </w:rPr>
        <w:t>22</w:t>
      </w:r>
      <w:r>
        <w:rPr>
          <w:color w:val="auto"/>
          <w:sz w:val="24"/>
        </w:rPr>
        <w:fldChar w:fldCharType="end"/>
      </w:r>
      <w:r>
        <w:rPr>
          <w:color w:val="auto"/>
          <w:sz w:val="24"/>
        </w:rPr>
        <w:fldChar w:fldCharType="end"/>
      </w:r>
    </w:p>
    <w:p w14:paraId="165B0703">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_Toc16517 </w:instrText>
      </w:r>
      <w:r>
        <w:rPr>
          <w:color w:val="auto"/>
          <w:sz w:val="24"/>
        </w:rPr>
        <w:fldChar w:fldCharType="separate"/>
      </w:r>
      <w:r>
        <w:rPr>
          <w:rFonts w:hint="eastAsia"/>
          <w:color w:val="auto"/>
          <w:sz w:val="24"/>
          <w:lang w:val="en-US" w:eastAsia="zh-CN"/>
        </w:rPr>
        <w:t xml:space="preserve">2.5.1 </w:t>
      </w:r>
      <w:r>
        <w:rPr>
          <w:rFonts w:hint="eastAsia"/>
          <w:color w:val="auto"/>
          <w:sz w:val="24"/>
        </w:rPr>
        <w:t>技改扩建选矿厂与原选矿厂关系</w:t>
      </w:r>
      <w:r>
        <w:rPr>
          <w:color w:val="auto"/>
          <w:sz w:val="24"/>
        </w:rPr>
        <w:tab/>
      </w:r>
      <w:r>
        <w:rPr>
          <w:color w:val="auto"/>
          <w:sz w:val="24"/>
        </w:rPr>
        <w:fldChar w:fldCharType="begin"/>
      </w:r>
      <w:r>
        <w:rPr>
          <w:color w:val="auto"/>
          <w:sz w:val="24"/>
        </w:rPr>
        <w:instrText xml:space="preserve"> PAGEREF _Toc16517 \h </w:instrText>
      </w:r>
      <w:r>
        <w:rPr>
          <w:color w:val="auto"/>
          <w:sz w:val="24"/>
        </w:rPr>
        <w:fldChar w:fldCharType="separate"/>
      </w:r>
      <w:r>
        <w:rPr>
          <w:color w:val="auto"/>
          <w:sz w:val="24"/>
        </w:rPr>
        <w:t>22</w:t>
      </w:r>
      <w:r>
        <w:rPr>
          <w:color w:val="auto"/>
          <w:sz w:val="24"/>
        </w:rPr>
        <w:fldChar w:fldCharType="end"/>
      </w:r>
      <w:r>
        <w:rPr>
          <w:color w:val="auto"/>
          <w:sz w:val="24"/>
        </w:rPr>
        <w:fldChar w:fldCharType="end"/>
      </w:r>
    </w:p>
    <w:p w14:paraId="06CF24E6">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_Toc26108 </w:instrText>
      </w:r>
      <w:r>
        <w:rPr>
          <w:color w:val="auto"/>
          <w:sz w:val="24"/>
        </w:rPr>
        <w:fldChar w:fldCharType="separate"/>
      </w:r>
      <w:r>
        <w:rPr>
          <w:rFonts w:hint="eastAsia"/>
          <w:color w:val="auto"/>
          <w:sz w:val="24"/>
          <w:lang w:val="en-US" w:eastAsia="zh-CN"/>
        </w:rPr>
        <w:t>2.5.2 工艺流程</w:t>
      </w:r>
      <w:r>
        <w:rPr>
          <w:color w:val="auto"/>
          <w:sz w:val="24"/>
        </w:rPr>
        <w:tab/>
      </w:r>
      <w:r>
        <w:rPr>
          <w:color w:val="auto"/>
          <w:sz w:val="24"/>
        </w:rPr>
        <w:fldChar w:fldCharType="begin"/>
      </w:r>
      <w:r>
        <w:rPr>
          <w:color w:val="auto"/>
          <w:sz w:val="24"/>
        </w:rPr>
        <w:instrText xml:space="preserve"> PAGEREF _Toc26108 \h </w:instrText>
      </w:r>
      <w:r>
        <w:rPr>
          <w:color w:val="auto"/>
          <w:sz w:val="24"/>
        </w:rPr>
        <w:fldChar w:fldCharType="separate"/>
      </w:r>
      <w:r>
        <w:rPr>
          <w:color w:val="auto"/>
          <w:sz w:val="24"/>
        </w:rPr>
        <w:t>23</w:t>
      </w:r>
      <w:r>
        <w:rPr>
          <w:color w:val="auto"/>
          <w:sz w:val="24"/>
        </w:rPr>
        <w:fldChar w:fldCharType="end"/>
      </w:r>
      <w:r>
        <w:rPr>
          <w:color w:val="auto"/>
          <w:sz w:val="24"/>
        </w:rPr>
        <w:fldChar w:fldCharType="end"/>
      </w:r>
    </w:p>
    <w:p w14:paraId="0A2CBBCB">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_Toc31136 </w:instrText>
      </w:r>
      <w:r>
        <w:rPr>
          <w:color w:val="auto"/>
          <w:sz w:val="24"/>
        </w:rPr>
        <w:fldChar w:fldCharType="separate"/>
      </w:r>
      <w:r>
        <w:rPr>
          <w:rFonts w:hint="eastAsia"/>
          <w:color w:val="auto"/>
          <w:sz w:val="24"/>
          <w:lang w:val="en-US" w:eastAsia="zh-CN"/>
        </w:rPr>
        <w:t>2.5.3 主要设备</w:t>
      </w:r>
      <w:r>
        <w:rPr>
          <w:color w:val="auto"/>
          <w:sz w:val="24"/>
        </w:rPr>
        <w:tab/>
      </w:r>
      <w:r>
        <w:rPr>
          <w:color w:val="auto"/>
          <w:sz w:val="24"/>
        </w:rPr>
        <w:fldChar w:fldCharType="begin"/>
      </w:r>
      <w:r>
        <w:rPr>
          <w:color w:val="auto"/>
          <w:sz w:val="24"/>
        </w:rPr>
        <w:instrText xml:space="preserve"> PAGEREF _Toc31136 \h </w:instrText>
      </w:r>
      <w:r>
        <w:rPr>
          <w:color w:val="auto"/>
          <w:sz w:val="24"/>
        </w:rPr>
        <w:fldChar w:fldCharType="separate"/>
      </w:r>
      <w:r>
        <w:rPr>
          <w:color w:val="auto"/>
          <w:sz w:val="24"/>
        </w:rPr>
        <w:t>24</w:t>
      </w:r>
      <w:r>
        <w:rPr>
          <w:color w:val="auto"/>
          <w:sz w:val="24"/>
        </w:rPr>
        <w:fldChar w:fldCharType="end"/>
      </w:r>
      <w:r>
        <w:rPr>
          <w:color w:val="auto"/>
          <w:sz w:val="24"/>
        </w:rPr>
        <w:fldChar w:fldCharType="end"/>
      </w:r>
    </w:p>
    <w:p w14:paraId="1595048C">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_Toc20490 </w:instrText>
      </w:r>
      <w:r>
        <w:rPr>
          <w:color w:val="auto"/>
          <w:sz w:val="24"/>
        </w:rPr>
        <w:fldChar w:fldCharType="separate"/>
      </w:r>
      <w:r>
        <w:rPr>
          <w:rFonts w:hint="eastAsia"/>
          <w:color w:val="auto"/>
          <w:sz w:val="24"/>
          <w:lang w:val="en-US" w:eastAsia="zh-CN"/>
        </w:rPr>
        <w:t xml:space="preserve">2.5.4 </w:t>
      </w:r>
      <w:r>
        <w:rPr>
          <w:rFonts w:hint="eastAsia"/>
          <w:color w:val="auto"/>
          <w:sz w:val="24"/>
        </w:rPr>
        <w:t>厂房布置和设备配置</w:t>
      </w:r>
      <w:r>
        <w:rPr>
          <w:color w:val="auto"/>
          <w:sz w:val="24"/>
        </w:rPr>
        <w:tab/>
      </w:r>
      <w:r>
        <w:rPr>
          <w:color w:val="auto"/>
          <w:sz w:val="24"/>
        </w:rPr>
        <w:fldChar w:fldCharType="begin"/>
      </w:r>
      <w:r>
        <w:rPr>
          <w:color w:val="auto"/>
          <w:sz w:val="24"/>
        </w:rPr>
        <w:instrText xml:space="preserve"> PAGEREF _Toc20490 \h </w:instrText>
      </w:r>
      <w:r>
        <w:rPr>
          <w:color w:val="auto"/>
          <w:sz w:val="24"/>
        </w:rPr>
        <w:fldChar w:fldCharType="separate"/>
      </w:r>
      <w:r>
        <w:rPr>
          <w:color w:val="auto"/>
          <w:sz w:val="24"/>
        </w:rPr>
        <w:t>25</w:t>
      </w:r>
      <w:r>
        <w:rPr>
          <w:color w:val="auto"/>
          <w:sz w:val="24"/>
        </w:rPr>
        <w:fldChar w:fldCharType="end"/>
      </w:r>
      <w:r>
        <w:rPr>
          <w:color w:val="auto"/>
          <w:sz w:val="24"/>
        </w:rPr>
        <w:fldChar w:fldCharType="end"/>
      </w:r>
    </w:p>
    <w:p w14:paraId="6E798EDD">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_Toc122 </w:instrText>
      </w:r>
      <w:r>
        <w:rPr>
          <w:color w:val="auto"/>
          <w:sz w:val="24"/>
        </w:rPr>
        <w:fldChar w:fldCharType="separate"/>
      </w:r>
      <w:r>
        <w:rPr>
          <w:rFonts w:hint="eastAsia"/>
          <w:color w:val="auto"/>
          <w:sz w:val="24"/>
          <w:lang w:val="en-US" w:eastAsia="zh-CN"/>
        </w:rPr>
        <w:t xml:space="preserve">2.5.5 </w:t>
      </w:r>
      <w:r>
        <w:rPr>
          <w:rFonts w:hint="eastAsia"/>
          <w:color w:val="auto"/>
          <w:sz w:val="24"/>
        </w:rPr>
        <w:t>选矿厂装备水平及自动化</w:t>
      </w:r>
      <w:r>
        <w:rPr>
          <w:color w:val="auto"/>
          <w:sz w:val="24"/>
        </w:rPr>
        <w:tab/>
      </w:r>
      <w:r>
        <w:rPr>
          <w:color w:val="auto"/>
          <w:sz w:val="24"/>
        </w:rPr>
        <w:fldChar w:fldCharType="begin"/>
      </w:r>
      <w:r>
        <w:rPr>
          <w:color w:val="auto"/>
          <w:sz w:val="24"/>
        </w:rPr>
        <w:instrText xml:space="preserve"> PAGEREF _Toc122 \h </w:instrText>
      </w:r>
      <w:r>
        <w:rPr>
          <w:color w:val="auto"/>
          <w:sz w:val="24"/>
        </w:rPr>
        <w:fldChar w:fldCharType="separate"/>
      </w:r>
      <w:r>
        <w:rPr>
          <w:color w:val="auto"/>
          <w:sz w:val="24"/>
        </w:rPr>
        <w:t>26</w:t>
      </w:r>
      <w:r>
        <w:rPr>
          <w:color w:val="auto"/>
          <w:sz w:val="24"/>
        </w:rPr>
        <w:fldChar w:fldCharType="end"/>
      </w:r>
      <w:r>
        <w:rPr>
          <w:color w:val="auto"/>
          <w:sz w:val="24"/>
        </w:rPr>
        <w:fldChar w:fldCharType="end"/>
      </w:r>
    </w:p>
    <w:p w14:paraId="1BEAE7CC">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_Toc23825 </w:instrText>
      </w:r>
      <w:r>
        <w:rPr>
          <w:color w:val="auto"/>
          <w:sz w:val="24"/>
        </w:rPr>
        <w:fldChar w:fldCharType="separate"/>
      </w:r>
      <w:r>
        <w:rPr>
          <w:rFonts w:hint="eastAsia"/>
          <w:color w:val="auto"/>
          <w:sz w:val="24"/>
          <w:lang w:val="en-US" w:eastAsia="zh-CN"/>
        </w:rPr>
        <w:t>2.5.6</w:t>
      </w:r>
      <w:r>
        <w:rPr>
          <w:rFonts w:hint="eastAsia"/>
          <w:color w:val="auto"/>
          <w:sz w:val="24"/>
        </w:rPr>
        <w:t xml:space="preserve"> 辅助设施</w:t>
      </w:r>
      <w:r>
        <w:rPr>
          <w:color w:val="auto"/>
          <w:sz w:val="24"/>
        </w:rPr>
        <w:tab/>
      </w:r>
      <w:r>
        <w:rPr>
          <w:color w:val="auto"/>
          <w:sz w:val="24"/>
        </w:rPr>
        <w:fldChar w:fldCharType="begin"/>
      </w:r>
      <w:r>
        <w:rPr>
          <w:color w:val="auto"/>
          <w:sz w:val="24"/>
        </w:rPr>
        <w:instrText xml:space="preserve"> PAGEREF _Toc23825 \h </w:instrText>
      </w:r>
      <w:r>
        <w:rPr>
          <w:color w:val="auto"/>
          <w:sz w:val="24"/>
        </w:rPr>
        <w:fldChar w:fldCharType="separate"/>
      </w:r>
      <w:r>
        <w:rPr>
          <w:color w:val="auto"/>
          <w:sz w:val="24"/>
        </w:rPr>
        <w:t>26</w:t>
      </w:r>
      <w:r>
        <w:rPr>
          <w:color w:val="auto"/>
          <w:sz w:val="24"/>
        </w:rPr>
        <w:fldChar w:fldCharType="end"/>
      </w:r>
      <w:r>
        <w:rPr>
          <w:color w:val="auto"/>
          <w:sz w:val="24"/>
        </w:rPr>
        <w:fldChar w:fldCharType="end"/>
      </w:r>
    </w:p>
    <w:p w14:paraId="569EAE21">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_Toc8903 </w:instrText>
      </w:r>
      <w:r>
        <w:rPr>
          <w:color w:val="auto"/>
          <w:sz w:val="24"/>
        </w:rPr>
        <w:fldChar w:fldCharType="separate"/>
      </w:r>
      <w:r>
        <w:rPr>
          <w:rFonts w:hint="eastAsia"/>
          <w:color w:val="auto"/>
          <w:sz w:val="24"/>
          <w:lang w:val="en-US" w:eastAsia="zh-CN"/>
        </w:rPr>
        <w:t xml:space="preserve">2.5.7 </w:t>
      </w:r>
      <w:r>
        <w:rPr>
          <w:rFonts w:hint="eastAsia"/>
          <w:color w:val="auto"/>
          <w:sz w:val="24"/>
        </w:rPr>
        <w:t>其他设施</w:t>
      </w:r>
      <w:r>
        <w:rPr>
          <w:color w:val="auto"/>
          <w:sz w:val="24"/>
        </w:rPr>
        <w:tab/>
      </w:r>
      <w:r>
        <w:rPr>
          <w:color w:val="auto"/>
          <w:sz w:val="24"/>
        </w:rPr>
        <w:fldChar w:fldCharType="begin"/>
      </w:r>
      <w:r>
        <w:rPr>
          <w:color w:val="auto"/>
          <w:sz w:val="24"/>
        </w:rPr>
        <w:instrText xml:space="preserve"> PAGEREF _Toc8903 \h </w:instrText>
      </w:r>
      <w:r>
        <w:rPr>
          <w:color w:val="auto"/>
          <w:sz w:val="24"/>
        </w:rPr>
        <w:fldChar w:fldCharType="separate"/>
      </w:r>
      <w:r>
        <w:rPr>
          <w:color w:val="auto"/>
          <w:sz w:val="24"/>
        </w:rPr>
        <w:t>26</w:t>
      </w:r>
      <w:r>
        <w:rPr>
          <w:color w:val="auto"/>
          <w:sz w:val="24"/>
        </w:rPr>
        <w:fldChar w:fldCharType="end"/>
      </w:r>
      <w:r>
        <w:rPr>
          <w:color w:val="auto"/>
          <w:sz w:val="24"/>
        </w:rPr>
        <w:fldChar w:fldCharType="end"/>
      </w:r>
    </w:p>
    <w:p w14:paraId="7C960B54">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_Toc4009 </w:instrText>
      </w:r>
      <w:r>
        <w:rPr>
          <w:color w:val="auto"/>
          <w:sz w:val="24"/>
        </w:rPr>
        <w:fldChar w:fldCharType="separate"/>
      </w:r>
      <w:r>
        <w:rPr>
          <w:rFonts w:hint="eastAsia"/>
          <w:color w:val="auto"/>
          <w:sz w:val="24"/>
        </w:rPr>
        <w:t>2.6 总图运输</w:t>
      </w:r>
      <w:r>
        <w:rPr>
          <w:color w:val="auto"/>
          <w:sz w:val="24"/>
        </w:rPr>
        <w:tab/>
      </w:r>
      <w:r>
        <w:rPr>
          <w:color w:val="auto"/>
          <w:sz w:val="24"/>
        </w:rPr>
        <w:fldChar w:fldCharType="begin"/>
      </w:r>
      <w:r>
        <w:rPr>
          <w:color w:val="auto"/>
          <w:sz w:val="24"/>
        </w:rPr>
        <w:instrText xml:space="preserve"> PAGEREF _Toc4009 \h </w:instrText>
      </w:r>
      <w:r>
        <w:rPr>
          <w:color w:val="auto"/>
          <w:sz w:val="24"/>
        </w:rPr>
        <w:fldChar w:fldCharType="separate"/>
      </w:r>
      <w:r>
        <w:rPr>
          <w:color w:val="auto"/>
          <w:sz w:val="24"/>
        </w:rPr>
        <w:t>26</w:t>
      </w:r>
      <w:r>
        <w:rPr>
          <w:color w:val="auto"/>
          <w:sz w:val="24"/>
        </w:rPr>
        <w:fldChar w:fldCharType="end"/>
      </w:r>
      <w:r>
        <w:rPr>
          <w:color w:val="auto"/>
          <w:sz w:val="24"/>
        </w:rPr>
        <w:fldChar w:fldCharType="end"/>
      </w:r>
    </w:p>
    <w:p w14:paraId="575E0A31">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_Toc23975 </w:instrText>
      </w:r>
      <w:r>
        <w:rPr>
          <w:color w:val="auto"/>
          <w:sz w:val="24"/>
        </w:rPr>
        <w:fldChar w:fldCharType="separate"/>
      </w:r>
      <w:r>
        <w:rPr>
          <w:rFonts w:hint="eastAsia"/>
          <w:color w:val="auto"/>
          <w:sz w:val="24"/>
        </w:rPr>
        <w:t>2.6.1 总平面布置</w:t>
      </w:r>
      <w:r>
        <w:rPr>
          <w:color w:val="auto"/>
          <w:sz w:val="24"/>
        </w:rPr>
        <w:tab/>
      </w:r>
      <w:r>
        <w:rPr>
          <w:color w:val="auto"/>
          <w:sz w:val="24"/>
        </w:rPr>
        <w:fldChar w:fldCharType="begin"/>
      </w:r>
      <w:r>
        <w:rPr>
          <w:color w:val="auto"/>
          <w:sz w:val="24"/>
        </w:rPr>
        <w:instrText xml:space="preserve"> PAGEREF _Toc23975 \h </w:instrText>
      </w:r>
      <w:r>
        <w:rPr>
          <w:color w:val="auto"/>
          <w:sz w:val="24"/>
        </w:rPr>
        <w:fldChar w:fldCharType="separate"/>
      </w:r>
      <w:r>
        <w:rPr>
          <w:color w:val="auto"/>
          <w:sz w:val="24"/>
        </w:rPr>
        <w:t>26</w:t>
      </w:r>
      <w:r>
        <w:rPr>
          <w:color w:val="auto"/>
          <w:sz w:val="24"/>
        </w:rPr>
        <w:fldChar w:fldCharType="end"/>
      </w:r>
      <w:r>
        <w:rPr>
          <w:color w:val="auto"/>
          <w:sz w:val="24"/>
        </w:rPr>
        <w:fldChar w:fldCharType="end"/>
      </w:r>
    </w:p>
    <w:p w14:paraId="5F4EA669">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_Toc2480 </w:instrText>
      </w:r>
      <w:r>
        <w:rPr>
          <w:color w:val="auto"/>
          <w:sz w:val="24"/>
        </w:rPr>
        <w:fldChar w:fldCharType="separate"/>
      </w:r>
      <w:r>
        <w:rPr>
          <w:rFonts w:hint="eastAsia"/>
          <w:color w:val="auto"/>
          <w:sz w:val="24"/>
          <w:lang w:val="en-US" w:eastAsia="zh-CN"/>
        </w:rPr>
        <w:t xml:space="preserve">2.6.2 </w:t>
      </w:r>
      <w:r>
        <w:rPr>
          <w:rFonts w:hint="eastAsia"/>
          <w:color w:val="auto"/>
          <w:sz w:val="24"/>
        </w:rPr>
        <w:t>内外部运输</w:t>
      </w:r>
      <w:r>
        <w:rPr>
          <w:color w:val="auto"/>
          <w:sz w:val="24"/>
        </w:rPr>
        <w:tab/>
      </w:r>
      <w:r>
        <w:rPr>
          <w:color w:val="auto"/>
          <w:sz w:val="24"/>
        </w:rPr>
        <w:fldChar w:fldCharType="begin"/>
      </w:r>
      <w:r>
        <w:rPr>
          <w:color w:val="auto"/>
          <w:sz w:val="24"/>
        </w:rPr>
        <w:instrText xml:space="preserve"> PAGEREF _Toc2480 \h </w:instrText>
      </w:r>
      <w:r>
        <w:rPr>
          <w:color w:val="auto"/>
          <w:sz w:val="24"/>
        </w:rPr>
        <w:fldChar w:fldCharType="separate"/>
      </w:r>
      <w:r>
        <w:rPr>
          <w:color w:val="auto"/>
          <w:sz w:val="24"/>
        </w:rPr>
        <w:t>28</w:t>
      </w:r>
      <w:r>
        <w:rPr>
          <w:color w:val="auto"/>
          <w:sz w:val="24"/>
        </w:rPr>
        <w:fldChar w:fldCharType="end"/>
      </w:r>
      <w:r>
        <w:rPr>
          <w:color w:val="auto"/>
          <w:sz w:val="24"/>
        </w:rPr>
        <w:fldChar w:fldCharType="end"/>
      </w:r>
    </w:p>
    <w:p w14:paraId="5B953B69">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_Toc1980 </w:instrText>
      </w:r>
      <w:r>
        <w:rPr>
          <w:color w:val="auto"/>
          <w:sz w:val="24"/>
        </w:rPr>
        <w:fldChar w:fldCharType="separate"/>
      </w:r>
      <w:r>
        <w:rPr>
          <w:rFonts w:hint="eastAsia"/>
          <w:color w:val="auto"/>
          <w:sz w:val="24"/>
          <w:lang w:val="en-US" w:eastAsia="zh-CN"/>
        </w:rPr>
        <w:t>2.6.3 厂区道路</w:t>
      </w:r>
      <w:r>
        <w:rPr>
          <w:color w:val="auto"/>
          <w:sz w:val="24"/>
        </w:rPr>
        <w:tab/>
      </w:r>
      <w:r>
        <w:rPr>
          <w:color w:val="auto"/>
          <w:sz w:val="24"/>
        </w:rPr>
        <w:fldChar w:fldCharType="begin"/>
      </w:r>
      <w:r>
        <w:rPr>
          <w:color w:val="auto"/>
          <w:sz w:val="24"/>
        </w:rPr>
        <w:instrText xml:space="preserve"> PAGEREF _Toc1980 \h </w:instrText>
      </w:r>
      <w:r>
        <w:rPr>
          <w:color w:val="auto"/>
          <w:sz w:val="24"/>
        </w:rPr>
        <w:fldChar w:fldCharType="separate"/>
      </w:r>
      <w:r>
        <w:rPr>
          <w:color w:val="auto"/>
          <w:sz w:val="24"/>
        </w:rPr>
        <w:t>28</w:t>
      </w:r>
      <w:r>
        <w:rPr>
          <w:color w:val="auto"/>
          <w:sz w:val="24"/>
        </w:rPr>
        <w:fldChar w:fldCharType="end"/>
      </w:r>
      <w:r>
        <w:rPr>
          <w:color w:val="auto"/>
          <w:sz w:val="24"/>
        </w:rPr>
        <w:fldChar w:fldCharType="end"/>
      </w:r>
    </w:p>
    <w:p w14:paraId="22B74008">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_Toc31381 </w:instrText>
      </w:r>
      <w:r>
        <w:rPr>
          <w:color w:val="auto"/>
          <w:sz w:val="24"/>
        </w:rPr>
        <w:fldChar w:fldCharType="separate"/>
      </w:r>
      <w:r>
        <w:rPr>
          <w:rFonts w:hint="eastAsia"/>
          <w:color w:val="auto"/>
          <w:sz w:val="24"/>
          <w:lang w:val="en-US" w:eastAsia="zh-CN"/>
        </w:rPr>
        <w:t>2.6.4 厂区绿化</w:t>
      </w:r>
      <w:r>
        <w:rPr>
          <w:color w:val="auto"/>
          <w:sz w:val="24"/>
        </w:rPr>
        <w:tab/>
      </w:r>
      <w:r>
        <w:rPr>
          <w:color w:val="auto"/>
          <w:sz w:val="24"/>
        </w:rPr>
        <w:fldChar w:fldCharType="begin"/>
      </w:r>
      <w:r>
        <w:rPr>
          <w:color w:val="auto"/>
          <w:sz w:val="24"/>
        </w:rPr>
        <w:instrText xml:space="preserve"> PAGEREF _Toc31381 \h </w:instrText>
      </w:r>
      <w:r>
        <w:rPr>
          <w:color w:val="auto"/>
          <w:sz w:val="24"/>
        </w:rPr>
        <w:fldChar w:fldCharType="separate"/>
      </w:r>
      <w:r>
        <w:rPr>
          <w:color w:val="auto"/>
          <w:sz w:val="24"/>
        </w:rPr>
        <w:t>28</w:t>
      </w:r>
      <w:r>
        <w:rPr>
          <w:color w:val="auto"/>
          <w:sz w:val="24"/>
        </w:rPr>
        <w:fldChar w:fldCharType="end"/>
      </w:r>
      <w:r>
        <w:rPr>
          <w:color w:val="auto"/>
          <w:sz w:val="24"/>
        </w:rPr>
        <w:fldChar w:fldCharType="end"/>
      </w:r>
    </w:p>
    <w:p w14:paraId="1E8BB9E4">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_Toc16575 </w:instrText>
      </w:r>
      <w:r>
        <w:rPr>
          <w:color w:val="auto"/>
          <w:sz w:val="24"/>
        </w:rPr>
        <w:fldChar w:fldCharType="separate"/>
      </w:r>
      <w:r>
        <w:rPr>
          <w:rFonts w:hint="eastAsia"/>
          <w:color w:val="auto"/>
          <w:sz w:val="24"/>
        </w:rPr>
        <w:t>2.7 给排水</w:t>
      </w:r>
      <w:r>
        <w:rPr>
          <w:color w:val="auto"/>
          <w:sz w:val="24"/>
        </w:rPr>
        <w:tab/>
      </w:r>
      <w:r>
        <w:rPr>
          <w:color w:val="auto"/>
          <w:sz w:val="24"/>
        </w:rPr>
        <w:fldChar w:fldCharType="begin"/>
      </w:r>
      <w:r>
        <w:rPr>
          <w:color w:val="auto"/>
          <w:sz w:val="24"/>
        </w:rPr>
        <w:instrText xml:space="preserve"> PAGEREF _Toc16575 \h </w:instrText>
      </w:r>
      <w:r>
        <w:rPr>
          <w:color w:val="auto"/>
          <w:sz w:val="24"/>
        </w:rPr>
        <w:fldChar w:fldCharType="separate"/>
      </w:r>
      <w:r>
        <w:rPr>
          <w:color w:val="auto"/>
          <w:sz w:val="24"/>
        </w:rPr>
        <w:t>28</w:t>
      </w:r>
      <w:r>
        <w:rPr>
          <w:color w:val="auto"/>
          <w:sz w:val="24"/>
        </w:rPr>
        <w:fldChar w:fldCharType="end"/>
      </w:r>
      <w:r>
        <w:rPr>
          <w:color w:val="auto"/>
          <w:sz w:val="24"/>
        </w:rPr>
        <w:fldChar w:fldCharType="end"/>
      </w:r>
    </w:p>
    <w:p w14:paraId="102405A9">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_Toc8462 </w:instrText>
      </w:r>
      <w:r>
        <w:rPr>
          <w:color w:val="auto"/>
          <w:sz w:val="24"/>
        </w:rPr>
        <w:fldChar w:fldCharType="separate"/>
      </w:r>
      <w:r>
        <w:rPr>
          <w:rFonts w:hint="eastAsia"/>
          <w:color w:val="auto"/>
          <w:sz w:val="24"/>
          <w:lang w:val="en-US" w:eastAsia="zh-CN"/>
        </w:rPr>
        <w:t xml:space="preserve">2.7.1 </w:t>
      </w:r>
      <w:r>
        <w:rPr>
          <w:rFonts w:hint="eastAsia"/>
          <w:color w:val="auto"/>
          <w:sz w:val="24"/>
        </w:rPr>
        <w:t>供水水源</w:t>
      </w:r>
      <w:r>
        <w:rPr>
          <w:color w:val="auto"/>
          <w:sz w:val="24"/>
        </w:rPr>
        <w:tab/>
      </w:r>
      <w:r>
        <w:rPr>
          <w:color w:val="auto"/>
          <w:sz w:val="24"/>
        </w:rPr>
        <w:fldChar w:fldCharType="begin"/>
      </w:r>
      <w:r>
        <w:rPr>
          <w:color w:val="auto"/>
          <w:sz w:val="24"/>
        </w:rPr>
        <w:instrText xml:space="preserve"> PAGEREF _Toc8462 \h </w:instrText>
      </w:r>
      <w:r>
        <w:rPr>
          <w:color w:val="auto"/>
          <w:sz w:val="24"/>
        </w:rPr>
        <w:fldChar w:fldCharType="separate"/>
      </w:r>
      <w:r>
        <w:rPr>
          <w:color w:val="auto"/>
          <w:sz w:val="24"/>
        </w:rPr>
        <w:t>28</w:t>
      </w:r>
      <w:r>
        <w:rPr>
          <w:color w:val="auto"/>
          <w:sz w:val="24"/>
        </w:rPr>
        <w:fldChar w:fldCharType="end"/>
      </w:r>
      <w:r>
        <w:rPr>
          <w:color w:val="auto"/>
          <w:sz w:val="24"/>
        </w:rPr>
        <w:fldChar w:fldCharType="end"/>
      </w:r>
    </w:p>
    <w:p w14:paraId="70A5B151">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_Toc31471 </w:instrText>
      </w:r>
      <w:r>
        <w:rPr>
          <w:color w:val="auto"/>
          <w:sz w:val="24"/>
        </w:rPr>
        <w:fldChar w:fldCharType="separate"/>
      </w:r>
      <w:r>
        <w:rPr>
          <w:rFonts w:hint="eastAsia"/>
          <w:color w:val="auto"/>
          <w:sz w:val="24"/>
          <w:lang w:val="en-US" w:eastAsia="zh-CN"/>
        </w:rPr>
        <w:t xml:space="preserve">2.7.2 </w:t>
      </w:r>
      <w:r>
        <w:rPr>
          <w:rFonts w:hint="eastAsia"/>
          <w:color w:val="auto"/>
          <w:sz w:val="24"/>
        </w:rPr>
        <w:t>用水量标准及用水量</w:t>
      </w:r>
      <w:r>
        <w:rPr>
          <w:color w:val="auto"/>
          <w:sz w:val="24"/>
        </w:rPr>
        <w:tab/>
      </w:r>
      <w:r>
        <w:rPr>
          <w:color w:val="auto"/>
          <w:sz w:val="24"/>
        </w:rPr>
        <w:fldChar w:fldCharType="begin"/>
      </w:r>
      <w:r>
        <w:rPr>
          <w:color w:val="auto"/>
          <w:sz w:val="24"/>
        </w:rPr>
        <w:instrText xml:space="preserve"> PAGEREF _Toc31471 \h </w:instrText>
      </w:r>
      <w:r>
        <w:rPr>
          <w:color w:val="auto"/>
          <w:sz w:val="24"/>
        </w:rPr>
        <w:fldChar w:fldCharType="separate"/>
      </w:r>
      <w:r>
        <w:rPr>
          <w:color w:val="auto"/>
          <w:sz w:val="24"/>
        </w:rPr>
        <w:t>29</w:t>
      </w:r>
      <w:r>
        <w:rPr>
          <w:color w:val="auto"/>
          <w:sz w:val="24"/>
        </w:rPr>
        <w:fldChar w:fldCharType="end"/>
      </w:r>
      <w:r>
        <w:rPr>
          <w:color w:val="auto"/>
          <w:sz w:val="24"/>
        </w:rPr>
        <w:fldChar w:fldCharType="end"/>
      </w:r>
    </w:p>
    <w:p w14:paraId="2361BE60">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_Toc848 </w:instrText>
      </w:r>
      <w:r>
        <w:rPr>
          <w:color w:val="auto"/>
          <w:sz w:val="24"/>
        </w:rPr>
        <w:fldChar w:fldCharType="separate"/>
      </w:r>
      <w:r>
        <w:rPr>
          <w:rFonts w:hint="eastAsia"/>
          <w:color w:val="auto"/>
          <w:sz w:val="24"/>
          <w:lang w:val="en-US" w:eastAsia="zh-CN"/>
        </w:rPr>
        <w:t>2.7.3 供水</w:t>
      </w:r>
      <w:r>
        <w:rPr>
          <w:color w:val="auto"/>
          <w:sz w:val="24"/>
        </w:rPr>
        <w:tab/>
      </w:r>
      <w:r>
        <w:rPr>
          <w:color w:val="auto"/>
          <w:sz w:val="24"/>
        </w:rPr>
        <w:fldChar w:fldCharType="begin"/>
      </w:r>
      <w:r>
        <w:rPr>
          <w:color w:val="auto"/>
          <w:sz w:val="24"/>
        </w:rPr>
        <w:instrText xml:space="preserve"> PAGEREF _Toc848 \h </w:instrText>
      </w:r>
      <w:r>
        <w:rPr>
          <w:color w:val="auto"/>
          <w:sz w:val="24"/>
        </w:rPr>
        <w:fldChar w:fldCharType="separate"/>
      </w:r>
      <w:r>
        <w:rPr>
          <w:color w:val="auto"/>
          <w:sz w:val="24"/>
        </w:rPr>
        <w:t>29</w:t>
      </w:r>
      <w:r>
        <w:rPr>
          <w:color w:val="auto"/>
          <w:sz w:val="24"/>
        </w:rPr>
        <w:fldChar w:fldCharType="end"/>
      </w:r>
      <w:r>
        <w:rPr>
          <w:color w:val="auto"/>
          <w:sz w:val="24"/>
        </w:rPr>
        <w:fldChar w:fldCharType="end"/>
      </w:r>
    </w:p>
    <w:p w14:paraId="0D90B700">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_Toc21716 </w:instrText>
      </w:r>
      <w:r>
        <w:rPr>
          <w:color w:val="auto"/>
          <w:sz w:val="24"/>
        </w:rPr>
        <w:fldChar w:fldCharType="separate"/>
      </w:r>
      <w:r>
        <w:rPr>
          <w:rFonts w:hint="eastAsia"/>
          <w:color w:val="auto"/>
          <w:sz w:val="24"/>
          <w:lang w:val="en-US" w:eastAsia="zh-CN"/>
        </w:rPr>
        <w:t xml:space="preserve">2.7.4 </w:t>
      </w:r>
      <w:r>
        <w:rPr>
          <w:rFonts w:hint="eastAsia"/>
          <w:color w:val="auto"/>
          <w:sz w:val="24"/>
        </w:rPr>
        <w:t>排水</w:t>
      </w:r>
      <w:r>
        <w:rPr>
          <w:color w:val="auto"/>
          <w:sz w:val="24"/>
        </w:rPr>
        <w:tab/>
      </w:r>
      <w:r>
        <w:rPr>
          <w:color w:val="auto"/>
          <w:sz w:val="24"/>
        </w:rPr>
        <w:fldChar w:fldCharType="begin"/>
      </w:r>
      <w:r>
        <w:rPr>
          <w:color w:val="auto"/>
          <w:sz w:val="24"/>
        </w:rPr>
        <w:instrText xml:space="preserve"> PAGEREF _Toc21716 \h </w:instrText>
      </w:r>
      <w:r>
        <w:rPr>
          <w:color w:val="auto"/>
          <w:sz w:val="24"/>
        </w:rPr>
        <w:fldChar w:fldCharType="separate"/>
      </w:r>
      <w:r>
        <w:rPr>
          <w:color w:val="auto"/>
          <w:sz w:val="24"/>
        </w:rPr>
        <w:t>30</w:t>
      </w:r>
      <w:r>
        <w:rPr>
          <w:color w:val="auto"/>
          <w:sz w:val="24"/>
        </w:rPr>
        <w:fldChar w:fldCharType="end"/>
      </w:r>
      <w:r>
        <w:rPr>
          <w:color w:val="auto"/>
          <w:sz w:val="24"/>
        </w:rPr>
        <w:fldChar w:fldCharType="end"/>
      </w:r>
    </w:p>
    <w:p w14:paraId="3ABFBD31">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_Toc23110 </w:instrText>
      </w:r>
      <w:r>
        <w:rPr>
          <w:color w:val="auto"/>
          <w:sz w:val="24"/>
        </w:rPr>
        <w:fldChar w:fldCharType="separate"/>
      </w:r>
      <w:r>
        <w:rPr>
          <w:rFonts w:hint="eastAsia"/>
          <w:color w:val="auto"/>
          <w:sz w:val="24"/>
          <w:lang w:val="en-US" w:eastAsia="zh-CN"/>
        </w:rPr>
        <w:t xml:space="preserve">2.7.5 </w:t>
      </w:r>
      <w:r>
        <w:rPr>
          <w:rFonts w:hint="eastAsia"/>
          <w:color w:val="auto"/>
          <w:sz w:val="24"/>
        </w:rPr>
        <w:t>消防</w:t>
      </w:r>
      <w:r>
        <w:rPr>
          <w:color w:val="auto"/>
          <w:sz w:val="24"/>
        </w:rPr>
        <w:tab/>
      </w:r>
      <w:r>
        <w:rPr>
          <w:color w:val="auto"/>
          <w:sz w:val="24"/>
        </w:rPr>
        <w:fldChar w:fldCharType="begin"/>
      </w:r>
      <w:r>
        <w:rPr>
          <w:color w:val="auto"/>
          <w:sz w:val="24"/>
        </w:rPr>
        <w:instrText xml:space="preserve"> PAGEREF _Toc23110 \h </w:instrText>
      </w:r>
      <w:r>
        <w:rPr>
          <w:color w:val="auto"/>
          <w:sz w:val="24"/>
        </w:rPr>
        <w:fldChar w:fldCharType="separate"/>
      </w:r>
      <w:r>
        <w:rPr>
          <w:color w:val="auto"/>
          <w:sz w:val="24"/>
        </w:rPr>
        <w:t>30</w:t>
      </w:r>
      <w:r>
        <w:rPr>
          <w:color w:val="auto"/>
          <w:sz w:val="24"/>
        </w:rPr>
        <w:fldChar w:fldCharType="end"/>
      </w:r>
      <w:r>
        <w:rPr>
          <w:color w:val="auto"/>
          <w:sz w:val="24"/>
        </w:rPr>
        <w:fldChar w:fldCharType="end"/>
      </w:r>
    </w:p>
    <w:p w14:paraId="46FD7BC3">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_Toc28193 </w:instrText>
      </w:r>
      <w:r>
        <w:rPr>
          <w:color w:val="auto"/>
          <w:sz w:val="24"/>
        </w:rPr>
        <w:fldChar w:fldCharType="separate"/>
      </w:r>
      <w:r>
        <w:rPr>
          <w:rFonts w:hint="eastAsia"/>
          <w:color w:val="auto"/>
          <w:sz w:val="24"/>
          <w:lang w:val="en-US" w:eastAsia="zh-CN"/>
        </w:rPr>
        <w:t>2.8 供配电</w:t>
      </w:r>
      <w:r>
        <w:rPr>
          <w:color w:val="auto"/>
          <w:sz w:val="24"/>
        </w:rPr>
        <w:tab/>
      </w:r>
      <w:r>
        <w:rPr>
          <w:color w:val="auto"/>
          <w:sz w:val="24"/>
        </w:rPr>
        <w:fldChar w:fldCharType="begin"/>
      </w:r>
      <w:r>
        <w:rPr>
          <w:color w:val="auto"/>
          <w:sz w:val="24"/>
        </w:rPr>
        <w:instrText xml:space="preserve"> PAGEREF _Toc28193 \h </w:instrText>
      </w:r>
      <w:r>
        <w:rPr>
          <w:color w:val="auto"/>
          <w:sz w:val="24"/>
        </w:rPr>
        <w:fldChar w:fldCharType="separate"/>
      </w:r>
      <w:r>
        <w:rPr>
          <w:color w:val="auto"/>
          <w:sz w:val="24"/>
        </w:rPr>
        <w:t>31</w:t>
      </w:r>
      <w:r>
        <w:rPr>
          <w:color w:val="auto"/>
          <w:sz w:val="24"/>
        </w:rPr>
        <w:fldChar w:fldCharType="end"/>
      </w:r>
      <w:r>
        <w:rPr>
          <w:color w:val="auto"/>
          <w:sz w:val="24"/>
        </w:rPr>
        <w:fldChar w:fldCharType="end"/>
      </w:r>
    </w:p>
    <w:p w14:paraId="3194B12C">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_Toc20326 </w:instrText>
      </w:r>
      <w:r>
        <w:rPr>
          <w:color w:val="auto"/>
          <w:sz w:val="24"/>
        </w:rPr>
        <w:fldChar w:fldCharType="separate"/>
      </w:r>
      <w:r>
        <w:rPr>
          <w:rFonts w:hint="eastAsia"/>
          <w:color w:val="auto"/>
          <w:sz w:val="24"/>
          <w:lang w:val="en-US" w:eastAsia="zh-CN"/>
        </w:rPr>
        <w:t xml:space="preserve">2.8.1 </w:t>
      </w:r>
      <w:r>
        <w:rPr>
          <w:rFonts w:hint="eastAsia"/>
          <w:color w:val="auto"/>
          <w:sz w:val="24"/>
        </w:rPr>
        <w:t>供电</w:t>
      </w:r>
      <w:r>
        <w:rPr>
          <w:color w:val="auto"/>
          <w:sz w:val="24"/>
        </w:rPr>
        <w:tab/>
      </w:r>
      <w:r>
        <w:rPr>
          <w:color w:val="auto"/>
          <w:sz w:val="24"/>
        </w:rPr>
        <w:fldChar w:fldCharType="begin"/>
      </w:r>
      <w:r>
        <w:rPr>
          <w:color w:val="auto"/>
          <w:sz w:val="24"/>
        </w:rPr>
        <w:instrText xml:space="preserve"> PAGEREF _Toc20326 \h </w:instrText>
      </w:r>
      <w:r>
        <w:rPr>
          <w:color w:val="auto"/>
          <w:sz w:val="24"/>
        </w:rPr>
        <w:fldChar w:fldCharType="separate"/>
      </w:r>
      <w:r>
        <w:rPr>
          <w:color w:val="auto"/>
          <w:sz w:val="24"/>
        </w:rPr>
        <w:t>31</w:t>
      </w:r>
      <w:r>
        <w:rPr>
          <w:color w:val="auto"/>
          <w:sz w:val="24"/>
        </w:rPr>
        <w:fldChar w:fldCharType="end"/>
      </w:r>
      <w:r>
        <w:rPr>
          <w:color w:val="auto"/>
          <w:sz w:val="24"/>
        </w:rPr>
        <w:fldChar w:fldCharType="end"/>
      </w:r>
    </w:p>
    <w:p w14:paraId="6B5E6105">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_Toc30921 </w:instrText>
      </w:r>
      <w:r>
        <w:rPr>
          <w:color w:val="auto"/>
          <w:sz w:val="24"/>
        </w:rPr>
        <w:fldChar w:fldCharType="separate"/>
      </w:r>
      <w:r>
        <w:rPr>
          <w:rFonts w:hint="eastAsia"/>
          <w:color w:val="auto"/>
          <w:sz w:val="24"/>
          <w:lang w:val="en-US" w:eastAsia="zh-CN"/>
        </w:rPr>
        <w:t xml:space="preserve">2.8.2 </w:t>
      </w:r>
      <w:r>
        <w:rPr>
          <w:rFonts w:hint="eastAsia"/>
          <w:color w:val="auto"/>
          <w:sz w:val="24"/>
        </w:rPr>
        <w:t>主要设备及输配电线路选择</w:t>
      </w:r>
      <w:r>
        <w:rPr>
          <w:color w:val="auto"/>
          <w:sz w:val="24"/>
        </w:rPr>
        <w:tab/>
      </w:r>
      <w:r>
        <w:rPr>
          <w:color w:val="auto"/>
          <w:sz w:val="24"/>
        </w:rPr>
        <w:fldChar w:fldCharType="begin"/>
      </w:r>
      <w:r>
        <w:rPr>
          <w:color w:val="auto"/>
          <w:sz w:val="24"/>
        </w:rPr>
        <w:instrText xml:space="preserve"> PAGEREF _Toc30921 \h </w:instrText>
      </w:r>
      <w:r>
        <w:rPr>
          <w:color w:val="auto"/>
          <w:sz w:val="24"/>
        </w:rPr>
        <w:fldChar w:fldCharType="separate"/>
      </w:r>
      <w:r>
        <w:rPr>
          <w:color w:val="auto"/>
          <w:sz w:val="24"/>
        </w:rPr>
        <w:t>31</w:t>
      </w:r>
      <w:r>
        <w:rPr>
          <w:color w:val="auto"/>
          <w:sz w:val="24"/>
        </w:rPr>
        <w:fldChar w:fldCharType="end"/>
      </w:r>
      <w:r>
        <w:rPr>
          <w:color w:val="auto"/>
          <w:sz w:val="24"/>
        </w:rPr>
        <w:fldChar w:fldCharType="end"/>
      </w:r>
    </w:p>
    <w:p w14:paraId="2D821187">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_Toc27133 </w:instrText>
      </w:r>
      <w:r>
        <w:rPr>
          <w:color w:val="auto"/>
          <w:sz w:val="24"/>
        </w:rPr>
        <w:fldChar w:fldCharType="separate"/>
      </w:r>
      <w:r>
        <w:rPr>
          <w:rFonts w:hint="eastAsia"/>
          <w:color w:val="auto"/>
          <w:sz w:val="24"/>
          <w:lang w:val="en-US" w:eastAsia="zh-CN"/>
        </w:rPr>
        <w:t xml:space="preserve">2.8.3 </w:t>
      </w:r>
      <w:r>
        <w:rPr>
          <w:rFonts w:hint="eastAsia"/>
          <w:color w:val="auto"/>
          <w:sz w:val="24"/>
        </w:rPr>
        <w:t>无功补偿及谐波治理</w:t>
      </w:r>
      <w:r>
        <w:rPr>
          <w:color w:val="auto"/>
          <w:sz w:val="24"/>
        </w:rPr>
        <w:tab/>
      </w:r>
      <w:r>
        <w:rPr>
          <w:color w:val="auto"/>
          <w:sz w:val="24"/>
        </w:rPr>
        <w:fldChar w:fldCharType="begin"/>
      </w:r>
      <w:r>
        <w:rPr>
          <w:color w:val="auto"/>
          <w:sz w:val="24"/>
        </w:rPr>
        <w:instrText xml:space="preserve"> PAGEREF _Toc27133 \h </w:instrText>
      </w:r>
      <w:r>
        <w:rPr>
          <w:color w:val="auto"/>
          <w:sz w:val="24"/>
        </w:rPr>
        <w:fldChar w:fldCharType="separate"/>
      </w:r>
      <w:r>
        <w:rPr>
          <w:color w:val="auto"/>
          <w:sz w:val="24"/>
        </w:rPr>
        <w:t>32</w:t>
      </w:r>
      <w:r>
        <w:rPr>
          <w:color w:val="auto"/>
          <w:sz w:val="24"/>
        </w:rPr>
        <w:fldChar w:fldCharType="end"/>
      </w:r>
      <w:r>
        <w:rPr>
          <w:color w:val="auto"/>
          <w:sz w:val="24"/>
        </w:rPr>
        <w:fldChar w:fldCharType="end"/>
      </w:r>
    </w:p>
    <w:p w14:paraId="6063D131">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_Toc3959 </w:instrText>
      </w:r>
      <w:r>
        <w:rPr>
          <w:color w:val="auto"/>
          <w:sz w:val="24"/>
        </w:rPr>
        <w:fldChar w:fldCharType="separate"/>
      </w:r>
      <w:r>
        <w:rPr>
          <w:rFonts w:hint="eastAsia"/>
          <w:color w:val="auto"/>
          <w:sz w:val="24"/>
          <w:lang w:val="en-US" w:eastAsia="zh-CN"/>
        </w:rPr>
        <w:t xml:space="preserve">2.8.4 </w:t>
      </w:r>
      <w:r>
        <w:rPr>
          <w:rFonts w:hint="eastAsia"/>
          <w:color w:val="auto"/>
          <w:sz w:val="24"/>
        </w:rPr>
        <w:t>继电保护、过电压保护与防雷</w:t>
      </w:r>
      <w:r>
        <w:rPr>
          <w:color w:val="auto"/>
          <w:sz w:val="24"/>
        </w:rPr>
        <w:tab/>
      </w:r>
      <w:r>
        <w:rPr>
          <w:color w:val="auto"/>
          <w:sz w:val="24"/>
        </w:rPr>
        <w:fldChar w:fldCharType="begin"/>
      </w:r>
      <w:r>
        <w:rPr>
          <w:color w:val="auto"/>
          <w:sz w:val="24"/>
        </w:rPr>
        <w:instrText xml:space="preserve"> PAGEREF _Toc3959 \h </w:instrText>
      </w:r>
      <w:r>
        <w:rPr>
          <w:color w:val="auto"/>
          <w:sz w:val="24"/>
        </w:rPr>
        <w:fldChar w:fldCharType="separate"/>
      </w:r>
      <w:r>
        <w:rPr>
          <w:color w:val="auto"/>
          <w:sz w:val="24"/>
        </w:rPr>
        <w:t>33</w:t>
      </w:r>
      <w:r>
        <w:rPr>
          <w:color w:val="auto"/>
          <w:sz w:val="24"/>
        </w:rPr>
        <w:fldChar w:fldCharType="end"/>
      </w:r>
      <w:r>
        <w:rPr>
          <w:color w:val="auto"/>
          <w:sz w:val="24"/>
        </w:rPr>
        <w:fldChar w:fldCharType="end"/>
      </w:r>
    </w:p>
    <w:p w14:paraId="7CCA516B">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_Toc12346 </w:instrText>
      </w:r>
      <w:r>
        <w:rPr>
          <w:color w:val="auto"/>
          <w:sz w:val="24"/>
        </w:rPr>
        <w:fldChar w:fldCharType="separate"/>
      </w:r>
      <w:r>
        <w:rPr>
          <w:rFonts w:hint="eastAsia"/>
          <w:color w:val="auto"/>
          <w:sz w:val="24"/>
          <w:lang w:val="en-US" w:eastAsia="zh-CN"/>
        </w:rPr>
        <w:t xml:space="preserve">2.8.5 </w:t>
      </w:r>
      <w:r>
        <w:rPr>
          <w:rFonts w:hint="eastAsia"/>
          <w:color w:val="auto"/>
          <w:sz w:val="24"/>
        </w:rPr>
        <w:t>电气照明</w:t>
      </w:r>
      <w:r>
        <w:rPr>
          <w:color w:val="auto"/>
          <w:sz w:val="24"/>
        </w:rPr>
        <w:tab/>
      </w:r>
      <w:r>
        <w:rPr>
          <w:color w:val="auto"/>
          <w:sz w:val="24"/>
        </w:rPr>
        <w:fldChar w:fldCharType="begin"/>
      </w:r>
      <w:r>
        <w:rPr>
          <w:color w:val="auto"/>
          <w:sz w:val="24"/>
        </w:rPr>
        <w:instrText xml:space="preserve"> PAGEREF _Toc12346 \h </w:instrText>
      </w:r>
      <w:r>
        <w:rPr>
          <w:color w:val="auto"/>
          <w:sz w:val="24"/>
        </w:rPr>
        <w:fldChar w:fldCharType="separate"/>
      </w:r>
      <w:r>
        <w:rPr>
          <w:color w:val="auto"/>
          <w:sz w:val="24"/>
        </w:rPr>
        <w:t>33</w:t>
      </w:r>
      <w:r>
        <w:rPr>
          <w:color w:val="auto"/>
          <w:sz w:val="24"/>
        </w:rPr>
        <w:fldChar w:fldCharType="end"/>
      </w:r>
      <w:r>
        <w:rPr>
          <w:color w:val="auto"/>
          <w:sz w:val="24"/>
        </w:rPr>
        <w:fldChar w:fldCharType="end"/>
      </w:r>
    </w:p>
    <w:p w14:paraId="78CFA906">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_Toc25867 </w:instrText>
      </w:r>
      <w:r>
        <w:rPr>
          <w:color w:val="auto"/>
          <w:sz w:val="24"/>
        </w:rPr>
        <w:fldChar w:fldCharType="separate"/>
      </w:r>
      <w:r>
        <w:rPr>
          <w:rFonts w:hint="eastAsia"/>
          <w:color w:val="auto"/>
          <w:sz w:val="24"/>
          <w:lang w:val="en-US" w:eastAsia="zh-CN"/>
        </w:rPr>
        <w:t xml:space="preserve">2.8.6 </w:t>
      </w:r>
      <w:r>
        <w:rPr>
          <w:rFonts w:hint="eastAsia"/>
          <w:color w:val="auto"/>
          <w:sz w:val="24"/>
        </w:rPr>
        <w:t>防雷及接地</w:t>
      </w:r>
      <w:r>
        <w:rPr>
          <w:color w:val="auto"/>
          <w:sz w:val="24"/>
        </w:rPr>
        <w:tab/>
      </w:r>
      <w:r>
        <w:rPr>
          <w:color w:val="auto"/>
          <w:sz w:val="24"/>
        </w:rPr>
        <w:fldChar w:fldCharType="begin"/>
      </w:r>
      <w:r>
        <w:rPr>
          <w:color w:val="auto"/>
          <w:sz w:val="24"/>
        </w:rPr>
        <w:instrText xml:space="preserve"> PAGEREF _Toc25867 \h </w:instrText>
      </w:r>
      <w:r>
        <w:rPr>
          <w:color w:val="auto"/>
          <w:sz w:val="24"/>
        </w:rPr>
        <w:fldChar w:fldCharType="separate"/>
      </w:r>
      <w:r>
        <w:rPr>
          <w:color w:val="auto"/>
          <w:sz w:val="24"/>
        </w:rPr>
        <w:t>34</w:t>
      </w:r>
      <w:r>
        <w:rPr>
          <w:color w:val="auto"/>
          <w:sz w:val="24"/>
        </w:rPr>
        <w:fldChar w:fldCharType="end"/>
      </w:r>
      <w:r>
        <w:rPr>
          <w:color w:val="auto"/>
          <w:sz w:val="24"/>
        </w:rPr>
        <w:fldChar w:fldCharType="end"/>
      </w:r>
    </w:p>
    <w:p w14:paraId="71E4F028">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_Toc24897 </w:instrText>
      </w:r>
      <w:r>
        <w:rPr>
          <w:color w:val="auto"/>
          <w:sz w:val="24"/>
        </w:rPr>
        <w:fldChar w:fldCharType="separate"/>
      </w:r>
      <w:r>
        <w:rPr>
          <w:rFonts w:hint="eastAsia"/>
          <w:color w:val="auto"/>
          <w:sz w:val="24"/>
          <w:lang w:val="en-US" w:eastAsia="zh-CN"/>
        </w:rPr>
        <w:t xml:space="preserve">2.8.7 </w:t>
      </w:r>
      <w:r>
        <w:rPr>
          <w:rFonts w:hint="eastAsia"/>
          <w:color w:val="auto"/>
          <w:sz w:val="24"/>
        </w:rPr>
        <w:t>电气防火</w:t>
      </w:r>
      <w:r>
        <w:rPr>
          <w:color w:val="auto"/>
          <w:sz w:val="24"/>
        </w:rPr>
        <w:tab/>
      </w:r>
      <w:r>
        <w:rPr>
          <w:color w:val="auto"/>
          <w:sz w:val="24"/>
        </w:rPr>
        <w:fldChar w:fldCharType="begin"/>
      </w:r>
      <w:r>
        <w:rPr>
          <w:color w:val="auto"/>
          <w:sz w:val="24"/>
        </w:rPr>
        <w:instrText xml:space="preserve"> PAGEREF _Toc24897 \h </w:instrText>
      </w:r>
      <w:r>
        <w:rPr>
          <w:color w:val="auto"/>
          <w:sz w:val="24"/>
        </w:rPr>
        <w:fldChar w:fldCharType="separate"/>
      </w:r>
      <w:r>
        <w:rPr>
          <w:color w:val="auto"/>
          <w:sz w:val="24"/>
        </w:rPr>
        <w:t>34</w:t>
      </w:r>
      <w:r>
        <w:rPr>
          <w:color w:val="auto"/>
          <w:sz w:val="24"/>
        </w:rPr>
        <w:fldChar w:fldCharType="end"/>
      </w:r>
      <w:r>
        <w:rPr>
          <w:color w:val="auto"/>
          <w:sz w:val="24"/>
        </w:rPr>
        <w:fldChar w:fldCharType="end"/>
      </w:r>
    </w:p>
    <w:p w14:paraId="6CBC2CC4">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_Toc15566 </w:instrText>
      </w:r>
      <w:r>
        <w:rPr>
          <w:color w:val="auto"/>
          <w:sz w:val="24"/>
        </w:rPr>
        <w:fldChar w:fldCharType="separate"/>
      </w:r>
      <w:r>
        <w:rPr>
          <w:rFonts w:hint="eastAsia"/>
          <w:color w:val="auto"/>
          <w:sz w:val="24"/>
          <w:lang w:val="en-US" w:eastAsia="zh-CN"/>
        </w:rPr>
        <w:t xml:space="preserve">2.8.8 </w:t>
      </w:r>
      <w:r>
        <w:rPr>
          <w:rFonts w:hint="eastAsia"/>
          <w:color w:val="auto"/>
          <w:sz w:val="24"/>
        </w:rPr>
        <w:t>通信</w:t>
      </w:r>
      <w:r>
        <w:rPr>
          <w:color w:val="auto"/>
          <w:sz w:val="24"/>
        </w:rPr>
        <w:tab/>
      </w:r>
      <w:r>
        <w:rPr>
          <w:color w:val="auto"/>
          <w:sz w:val="24"/>
        </w:rPr>
        <w:fldChar w:fldCharType="begin"/>
      </w:r>
      <w:r>
        <w:rPr>
          <w:color w:val="auto"/>
          <w:sz w:val="24"/>
        </w:rPr>
        <w:instrText xml:space="preserve"> PAGEREF _Toc15566 \h </w:instrText>
      </w:r>
      <w:r>
        <w:rPr>
          <w:color w:val="auto"/>
          <w:sz w:val="24"/>
        </w:rPr>
        <w:fldChar w:fldCharType="separate"/>
      </w:r>
      <w:r>
        <w:rPr>
          <w:color w:val="auto"/>
          <w:sz w:val="24"/>
        </w:rPr>
        <w:t>34</w:t>
      </w:r>
      <w:r>
        <w:rPr>
          <w:color w:val="auto"/>
          <w:sz w:val="24"/>
        </w:rPr>
        <w:fldChar w:fldCharType="end"/>
      </w:r>
      <w:r>
        <w:rPr>
          <w:color w:val="auto"/>
          <w:sz w:val="24"/>
        </w:rPr>
        <w:fldChar w:fldCharType="end"/>
      </w:r>
    </w:p>
    <w:p w14:paraId="622BEF7D">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_Toc6404 </w:instrText>
      </w:r>
      <w:r>
        <w:rPr>
          <w:color w:val="auto"/>
          <w:sz w:val="24"/>
        </w:rPr>
        <w:fldChar w:fldCharType="separate"/>
      </w:r>
      <w:r>
        <w:rPr>
          <w:rFonts w:hint="eastAsia"/>
          <w:color w:val="auto"/>
          <w:sz w:val="24"/>
        </w:rPr>
        <w:t>2.</w:t>
      </w:r>
      <w:r>
        <w:rPr>
          <w:rFonts w:hint="eastAsia"/>
          <w:color w:val="auto"/>
          <w:sz w:val="24"/>
          <w:lang w:val="en-US" w:eastAsia="zh-CN"/>
        </w:rPr>
        <w:t>9</w:t>
      </w:r>
      <w:r>
        <w:rPr>
          <w:rFonts w:hint="eastAsia"/>
          <w:color w:val="auto"/>
          <w:sz w:val="24"/>
        </w:rPr>
        <w:t xml:space="preserve"> 安全管理</w:t>
      </w:r>
      <w:r>
        <w:rPr>
          <w:color w:val="auto"/>
          <w:sz w:val="24"/>
        </w:rPr>
        <w:tab/>
      </w:r>
      <w:r>
        <w:rPr>
          <w:color w:val="auto"/>
          <w:sz w:val="24"/>
        </w:rPr>
        <w:fldChar w:fldCharType="begin"/>
      </w:r>
      <w:r>
        <w:rPr>
          <w:color w:val="auto"/>
          <w:sz w:val="24"/>
        </w:rPr>
        <w:instrText xml:space="preserve"> PAGEREF _Toc6404 \h </w:instrText>
      </w:r>
      <w:r>
        <w:rPr>
          <w:color w:val="auto"/>
          <w:sz w:val="24"/>
        </w:rPr>
        <w:fldChar w:fldCharType="separate"/>
      </w:r>
      <w:r>
        <w:rPr>
          <w:color w:val="auto"/>
          <w:sz w:val="24"/>
        </w:rPr>
        <w:t>34</w:t>
      </w:r>
      <w:r>
        <w:rPr>
          <w:color w:val="auto"/>
          <w:sz w:val="24"/>
        </w:rPr>
        <w:fldChar w:fldCharType="end"/>
      </w:r>
      <w:r>
        <w:rPr>
          <w:color w:val="auto"/>
          <w:sz w:val="24"/>
        </w:rPr>
        <w:fldChar w:fldCharType="end"/>
      </w:r>
    </w:p>
    <w:p w14:paraId="28B7B2C5">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_Toc22908 </w:instrText>
      </w:r>
      <w:r>
        <w:rPr>
          <w:color w:val="auto"/>
          <w:sz w:val="24"/>
        </w:rPr>
        <w:fldChar w:fldCharType="separate"/>
      </w:r>
      <w:r>
        <w:rPr>
          <w:rFonts w:hint="eastAsia"/>
          <w:color w:val="auto"/>
          <w:sz w:val="24"/>
        </w:rPr>
        <w:t>2.</w:t>
      </w:r>
      <w:r>
        <w:rPr>
          <w:rFonts w:hint="eastAsia"/>
          <w:color w:val="auto"/>
          <w:sz w:val="24"/>
          <w:lang w:val="en-US" w:eastAsia="zh-CN"/>
        </w:rPr>
        <w:t>9</w:t>
      </w:r>
      <w:r>
        <w:rPr>
          <w:rFonts w:hint="eastAsia"/>
          <w:color w:val="auto"/>
          <w:sz w:val="24"/>
        </w:rPr>
        <w:t>.1 安全管理机构</w:t>
      </w:r>
      <w:r>
        <w:rPr>
          <w:color w:val="auto"/>
          <w:sz w:val="24"/>
        </w:rPr>
        <w:tab/>
      </w:r>
      <w:r>
        <w:rPr>
          <w:color w:val="auto"/>
          <w:sz w:val="24"/>
        </w:rPr>
        <w:fldChar w:fldCharType="begin"/>
      </w:r>
      <w:r>
        <w:rPr>
          <w:color w:val="auto"/>
          <w:sz w:val="24"/>
        </w:rPr>
        <w:instrText xml:space="preserve"> PAGEREF _Toc22908 \h </w:instrText>
      </w:r>
      <w:r>
        <w:rPr>
          <w:color w:val="auto"/>
          <w:sz w:val="24"/>
        </w:rPr>
        <w:fldChar w:fldCharType="separate"/>
      </w:r>
      <w:r>
        <w:rPr>
          <w:color w:val="auto"/>
          <w:sz w:val="24"/>
        </w:rPr>
        <w:t>34</w:t>
      </w:r>
      <w:r>
        <w:rPr>
          <w:color w:val="auto"/>
          <w:sz w:val="24"/>
        </w:rPr>
        <w:fldChar w:fldCharType="end"/>
      </w:r>
      <w:r>
        <w:rPr>
          <w:color w:val="auto"/>
          <w:sz w:val="24"/>
        </w:rPr>
        <w:fldChar w:fldCharType="end"/>
      </w:r>
    </w:p>
    <w:p w14:paraId="0A00EF0A">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_Toc29623 </w:instrText>
      </w:r>
      <w:r>
        <w:rPr>
          <w:color w:val="auto"/>
          <w:sz w:val="24"/>
        </w:rPr>
        <w:fldChar w:fldCharType="separate"/>
      </w:r>
      <w:r>
        <w:rPr>
          <w:rFonts w:hint="eastAsia"/>
          <w:color w:val="auto"/>
          <w:sz w:val="24"/>
        </w:rPr>
        <w:t>2.</w:t>
      </w:r>
      <w:r>
        <w:rPr>
          <w:rFonts w:hint="eastAsia"/>
          <w:color w:val="auto"/>
          <w:sz w:val="24"/>
          <w:lang w:val="en-US" w:eastAsia="zh-CN"/>
        </w:rPr>
        <w:t>9</w:t>
      </w:r>
      <w:r>
        <w:rPr>
          <w:rFonts w:hint="eastAsia"/>
          <w:color w:val="auto"/>
          <w:sz w:val="24"/>
        </w:rPr>
        <w:t>.2 生产经营单位主要负责人、安全管理人员</w:t>
      </w:r>
      <w:r>
        <w:rPr>
          <w:color w:val="auto"/>
          <w:sz w:val="24"/>
        </w:rPr>
        <w:tab/>
      </w:r>
      <w:r>
        <w:rPr>
          <w:color w:val="auto"/>
          <w:sz w:val="24"/>
        </w:rPr>
        <w:fldChar w:fldCharType="begin"/>
      </w:r>
      <w:r>
        <w:rPr>
          <w:color w:val="auto"/>
          <w:sz w:val="24"/>
        </w:rPr>
        <w:instrText xml:space="preserve"> PAGEREF _Toc29623 \h </w:instrText>
      </w:r>
      <w:r>
        <w:rPr>
          <w:color w:val="auto"/>
          <w:sz w:val="24"/>
        </w:rPr>
        <w:fldChar w:fldCharType="separate"/>
      </w:r>
      <w:r>
        <w:rPr>
          <w:color w:val="auto"/>
          <w:sz w:val="24"/>
        </w:rPr>
        <w:t>35</w:t>
      </w:r>
      <w:r>
        <w:rPr>
          <w:color w:val="auto"/>
          <w:sz w:val="24"/>
        </w:rPr>
        <w:fldChar w:fldCharType="end"/>
      </w:r>
      <w:r>
        <w:rPr>
          <w:color w:val="auto"/>
          <w:sz w:val="24"/>
        </w:rPr>
        <w:fldChar w:fldCharType="end"/>
      </w:r>
    </w:p>
    <w:p w14:paraId="0AF879A7">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_Toc16719 </w:instrText>
      </w:r>
      <w:r>
        <w:rPr>
          <w:color w:val="auto"/>
          <w:sz w:val="24"/>
        </w:rPr>
        <w:fldChar w:fldCharType="separate"/>
      </w:r>
      <w:r>
        <w:rPr>
          <w:rFonts w:hint="eastAsia"/>
          <w:color w:val="auto"/>
          <w:sz w:val="24"/>
        </w:rPr>
        <w:t>2.</w:t>
      </w:r>
      <w:r>
        <w:rPr>
          <w:rFonts w:hint="eastAsia"/>
          <w:color w:val="auto"/>
          <w:sz w:val="24"/>
          <w:lang w:val="en-US" w:eastAsia="zh-CN"/>
        </w:rPr>
        <w:t>9</w:t>
      </w:r>
      <w:r>
        <w:rPr>
          <w:rFonts w:hint="eastAsia"/>
          <w:color w:val="auto"/>
          <w:sz w:val="24"/>
        </w:rPr>
        <w:t>.3 特种作业人员</w:t>
      </w:r>
      <w:r>
        <w:rPr>
          <w:color w:val="auto"/>
          <w:sz w:val="24"/>
        </w:rPr>
        <w:tab/>
      </w:r>
      <w:r>
        <w:rPr>
          <w:color w:val="auto"/>
          <w:sz w:val="24"/>
        </w:rPr>
        <w:fldChar w:fldCharType="begin"/>
      </w:r>
      <w:r>
        <w:rPr>
          <w:color w:val="auto"/>
          <w:sz w:val="24"/>
        </w:rPr>
        <w:instrText xml:space="preserve"> PAGEREF _Toc16719 \h </w:instrText>
      </w:r>
      <w:r>
        <w:rPr>
          <w:color w:val="auto"/>
          <w:sz w:val="24"/>
        </w:rPr>
        <w:fldChar w:fldCharType="separate"/>
      </w:r>
      <w:r>
        <w:rPr>
          <w:color w:val="auto"/>
          <w:sz w:val="24"/>
        </w:rPr>
        <w:t>35</w:t>
      </w:r>
      <w:r>
        <w:rPr>
          <w:color w:val="auto"/>
          <w:sz w:val="24"/>
        </w:rPr>
        <w:fldChar w:fldCharType="end"/>
      </w:r>
      <w:r>
        <w:rPr>
          <w:color w:val="auto"/>
          <w:sz w:val="24"/>
        </w:rPr>
        <w:fldChar w:fldCharType="end"/>
      </w:r>
    </w:p>
    <w:p w14:paraId="022D9E4D">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_Toc13851 </w:instrText>
      </w:r>
      <w:r>
        <w:rPr>
          <w:color w:val="auto"/>
          <w:sz w:val="24"/>
        </w:rPr>
        <w:fldChar w:fldCharType="separate"/>
      </w:r>
      <w:r>
        <w:rPr>
          <w:rFonts w:hint="eastAsia"/>
          <w:color w:val="auto"/>
          <w:sz w:val="24"/>
        </w:rPr>
        <w:t>2.</w:t>
      </w:r>
      <w:r>
        <w:rPr>
          <w:rFonts w:hint="eastAsia"/>
          <w:color w:val="auto"/>
          <w:sz w:val="24"/>
          <w:lang w:val="en-US" w:eastAsia="zh-CN"/>
        </w:rPr>
        <w:t>9</w:t>
      </w:r>
      <w:r>
        <w:rPr>
          <w:rFonts w:hint="eastAsia"/>
          <w:color w:val="auto"/>
          <w:sz w:val="24"/>
        </w:rPr>
        <w:t>.4 从业人员</w:t>
      </w:r>
      <w:r>
        <w:rPr>
          <w:color w:val="auto"/>
          <w:sz w:val="24"/>
        </w:rPr>
        <w:tab/>
      </w:r>
      <w:r>
        <w:rPr>
          <w:color w:val="auto"/>
          <w:sz w:val="24"/>
        </w:rPr>
        <w:fldChar w:fldCharType="begin"/>
      </w:r>
      <w:r>
        <w:rPr>
          <w:color w:val="auto"/>
          <w:sz w:val="24"/>
        </w:rPr>
        <w:instrText xml:space="preserve"> PAGEREF _Toc13851 \h </w:instrText>
      </w:r>
      <w:r>
        <w:rPr>
          <w:color w:val="auto"/>
          <w:sz w:val="24"/>
        </w:rPr>
        <w:fldChar w:fldCharType="separate"/>
      </w:r>
      <w:r>
        <w:rPr>
          <w:color w:val="auto"/>
          <w:sz w:val="24"/>
        </w:rPr>
        <w:t>36</w:t>
      </w:r>
      <w:r>
        <w:rPr>
          <w:color w:val="auto"/>
          <w:sz w:val="24"/>
        </w:rPr>
        <w:fldChar w:fldCharType="end"/>
      </w:r>
      <w:r>
        <w:rPr>
          <w:color w:val="auto"/>
          <w:sz w:val="24"/>
        </w:rPr>
        <w:fldChar w:fldCharType="end"/>
      </w:r>
    </w:p>
    <w:p w14:paraId="2458FD80">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_Toc26544 </w:instrText>
      </w:r>
      <w:r>
        <w:rPr>
          <w:color w:val="auto"/>
          <w:sz w:val="24"/>
        </w:rPr>
        <w:fldChar w:fldCharType="separate"/>
      </w:r>
      <w:r>
        <w:rPr>
          <w:rFonts w:hint="eastAsia"/>
          <w:color w:val="auto"/>
          <w:sz w:val="24"/>
        </w:rPr>
        <w:t>2.</w:t>
      </w:r>
      <w:r>
        <w:rPr>
          <w:rFonts w:hint="eastAsia"/>
          <w:color w:val="auto"/>
          <w:sz w:val="24"/>
          <w:lang w:val="en-US" w:eastAsia="zh-CN"/>
        </w:rPr>
        <w:t>9</w:t>
      </w:r>
      <w:r>
        <w:rPr>
          <w:rFonts w:hint="eastAsia"/>
          <w:color w:val="auto"/>
          <w:sz w:val="24"/>
        </w:rPr>
        <w:t>.5 外协人员及相关方人员</w:t>
      </w:r>
      <w:r>
        <w:rPr>
          <w:color w:val="auto"/>
          <w:sz w:val="24"/>
        </w:rPr>
        <w:tab/>
      </w:r>
      <w:r>
        <w:rPr>
          <w:color w:val="auto"/>
          <w:sz w:val="24"/>
        </w:rPr>
        <w:fldChar w:fldCharType="begin"/>
      </w:r>
      <w:r>
        <w:rPr>
          <w:color w:val="auto"/>
          <w:sz w:val="24"/>
        </w:rPr>
        <w:instrText xml:space="preserve"> PAGEREF _Toc26544 \h </w:instrText>
      </w:r>
      <w:r>
        <w:rPr>
          <w:color w:val="auto"/>
          <w:sz w:val="24"/>
        </w:rPr>
        <w:fldChar w:fldCharType="separate"/>
      </w:r>
      <w:r>
        <w:rPr>
          <w:color w:val="auto"/>
          <w:sz w:val="24"/>
        </w:rPr>
        <w:t>36</w:t>
      </w:r>
      <w:r>
        <w:rPr>
          <w:color w:val="auto"/>
          <w:sz w:val="24"/>
        </w:rPr>
        <w:fldChar w:fldCharType="end"/>
      </w:r>
      <w:r>
        <w:rPr>
          <w:color w:val="auto"/>
          <w:sz w:val="24"/>
        </w:rPr>
        <w:fldChar w:fldCharType="end"/>
      </w:r>
    </w:p>
    <w:p w14:paraId="22CD84E3">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_Toc26870 </w:instrText>
      </w:r>
      <w:r>
        <w:rPr>
          <w:color w:val="auto"/>
          <w:sz w:val="24"/>
        </w:rPr>
        <w:fldChar w:fldCharType="separate"/>
      </w:r>
      <w:r>
        <w:rPr>
          <w:rFonts w:hint="eastAsia"/>
          <w:color w:val="auto"/>
          <w:sz w:val="24"/>
        </w:rPr>
        <w:t>2.1</w:t>
      </w:r>
      <w:r>
        <w:rPr>
          <w:rFonts w:hint="eastAsia"/>
          <w:color w:val="auto"/>
          <w:sz w:val="24"/>
          <w:lang w:val="en-US" w:eastAsia="zh-CN"/>
        </w:rPr>
        <w:t>0</w:t>
      </w:r>
      <w:r>
        <w:rPr>
          <w:rFonts w:hint="eastAsia"/>
          <w:color w:val="auto"/>
          <w:sz w:val="24"/>
        </w:rPr>
        <w:t xml:space="preserve"> 安全设施投入</w:t>
      </w:r>
      <w:r>
        <w:rPr>
          <w:color w:val="auto"/>
          <w:sz w:val="24"/>
        </w:rPr>
        <w:tab/>
      </w:r>
      <w:r>
        <w:rPr>
          <w:color w:val="auto"/>
          <w:sz w:val="24"/>
        </w:rPr>
        <w:fldChar w:fldCharType="begin"/>
      </w:r>
      <w:r>
        <w:rPr>
          <w:color w:val="auto"/>
          <w:sz w:val="24"/>
        </w:rPr>
        <w:instrText xml:space="preserve"> PAGEREF _Toc26870 \h </w:instrText>
      </w:r>
      <w:r>
        <w:rPr>
          <w:color w:val="auto"/>
          <w:sz w:val="24"/>
        </w:rPr>
        <w:fldChar w:fldCharType="separate"/>
      </w:r>
      <w:r>
        <w:rPr>
          <w:color w:val="auto"/>
          <w:sz w:val="24"/>
        </w:rPr>
        <w:t>36</w:t>
      </w:r>
      <w:r>
        <w:rPr>
          <w:color w:val="auto"/>
          <w:sz w:val="24"/>
        </w:rPr>
        <w:fldChar w:fldCharType="end"/>
      </w:r>
      <w:r>
        <w:rPr>
          <w:color w:val="auto"/>
          <w:sz w:val="24"/>
        </w:rPr>
        <w:fldChar w:fldCharType="end"/>
      </w:r>
    </w:p>
    <w:p w14:paraId="10A322C8">
      <w:pPr>
        <w:pStyle w:val="12"/>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_Toc4419 </w:instrText>
      </w:r>
      <w:r>
        <w:rPr>
          <w:color w:val="auto"/>
          <w:sz w:val="24"/>
        </w:rPr>
        <w:fldChar w:fldCharType="separate"/>
      </w:r>
      <w:r>
        <w:rPr>
          <w:rFonts w:hint="eastAsia"/>
          <w:color w:val="auto"/>
          <w:sz w:val="24"/>
        </w:rPr>
        <w:t>3 危险、有害因素辨识及分析</w:t>
      </w:r>
      <w:r>
        <w:rPr>
          <w:color w:val="auto"/>
          <w:sz w:val="24"/>
        </w:rPr>
        <w:tab/>
      </w:r>
      <w:r>
        <w:rPr>
          <w:color w:val="auto"/>
          <w:sz w:val="24"/>
        </w:rPr>
        <w:fldChar w:fldCharType="begin"/>
      </w:r>
      <w:r>
        <w:rPr>
          <w:color w:val="auto"/>
          <w:sz w:val="24"/>
        </w:rPr>
        <w:instrText xml:space="preserve"> PAGEREF _Toc4419 \h </w:instrText>
      </w:r>
      <w:r>
        <w:rPr>
          <w:color w:val="auto"/>
          <w:sz w:val="24"/>
        </w:rPr>
        <w:fldChar w:fldCharType="separate"/>
      </w:r>
      <w:r>
        <w:rPr>
          <w:color w:val="auto"/>
          <w:sz w:val="24"/>
        </w:rPr>
        <w:t>37</w:t>
      </w:r>
      <w:r>
        <w:rPr>
          <w:color w:val="auto"/>
          <w:sz w:val="24"/>
        </w:rPr>
        <w:fldChar w:fldCharType="end"/>
      </w:r>
      <w:r>
        <w:rPr>
          <w:color w:val="auto"/>
          <w:sz w:val="24"/>
        </w:rPr>
        <w:fldChar w:fldCharType="end"/>
      </w:r>
    </w:p>
    <w:p w14:paraId="66D0D6BD">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_Toc2416 </w:instrText>
      </w:r>
      <w:r>
        <w:rPr>
          <w:color w:val="auto"/>
          <w:sz w:val="24"/>
        </w:rPr>
        <w:fldChar w:fldCharType="separate"/>
      </w:r>
      <w:r>
        <w:rPr>
          <w:rFonts w:hint="eastAsia"/>
          <w:color w:val="auto"/>
          <w:sz w:val="24"/>
        </w:rPr>
        <w:t>3.1 主要危险、有害因素辨识与分析</w:t>
      </w:r>
      <w:r>
        <w:rPr>
          <w:color w:val="auto"/>
          <w:sz w:val="24"/>
        </w:rPr>
        <w:tab/>
      </w:r>
      <w:r>
        <w:rPr>
          <w:color w:val="auto"/>
          <w:sz w:val="24"/>
        </w:rPr>
        <w:fldChar w:fldCharType="begin"/>
      </w:r>
      <w:r>
        <w:rPr>
          <w:color w:val="auto"/>
          <w:sz w:val="24"/>
        </w:rPr>
        <w:instrText xml:space="preserve"> PAGEREF _Toc2416 \h </w:instrText>
      </w:r>
      <w:r>
        <w:rPr>
          <w:color w:val="auto"/>
          <w:sz w:val="24"/>
        </w:rPr>
        <w:fldChar w:fldCharType="separate"/>
      </w:r>
      <w:r>
        <w:rPr>
          <w:color w:val="auto"/>
          <w:sz w:val="24"/>
        </w:rPr>
        <w:t>37</w:t>
      </w:r>
      <w:r>
        <w:rPr>
          <w:color w:val="auto"/>
          <w:sz w:val="24"/>
        </w:rPr>
        <w:fldChar w:fldCharType="end"/>
      </w:r>
      <w:r>
        <w:rPr>
          <w:color w:val="auto"/>
          <w:sz w:val="24"/>
        </w:rPr>
        <w:fldChar w:fldCharType="end"/>
      </w:r>
    </w:p>
    <w:p w14:paraId="357EC202">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_Toc11612 </w:instrText>
      </w:r>
      <w:r>
        <w:rPr>
          <w:color w:val="auto"/>
          <w:sz w:val="24"/>
        </w:rPr>
        <w:fldChar w:fldCharType="separate"/>
      </w:r>
      <w:r>
        <w:rPr>
          <w:rFonts w:hint="eastAsia"/>
          <w:color w:val="auto"/>
          <w:sz w:val="24"/>
        </w:rPr>
        <w:t>3.1.1 辨识与分析的目的</w:t>
      </w:r>
      <w:r>
        <w:rPr>
          <w:color w:val="auto"/>
          <w:sz w:val="24"/>
        </w:rPr>
        <w:tab/>
      </w:r>
      <w:r>
        <w:rPr>
          <w:color w:val="auto"/>
          <w:sz w:val="24"/>
        </w:rPr>
        <w:fldChar w:fldCharType="begin"/>
      </w:r>
      <w:r>
        <w:rPr>
          <w:color w:val="auto"/>
          <w:sz w:val="24"/>
        </w:rPr>
        <w:instrText xml:space="preserve"> PAGEREF _Toc11612 \h </w:instrText>
      </w:r>
      <w:r>
        <w:rPr>
          <w:color w:val="auto"/>
          <w:sz w:val="24"/>
        </w:rPr>
        <w:fldChar w:fldCharType="separate"/>
      </w:r>
      <w:r>
        <w:rPr>
          <w:color w:val="auto"/>
          <w:sz w:val="24"/>
        </w:rPr>
        <w:t>37</w:t>
      </w:r>
      <w:r>
        <w:rPr>
          <w:color w:val="auto"/>
          <w:sz w:val="24"/>
        </w:rPr>
        <w:fldChar w:fldCharType="end"/>
      </w:r>
      <w:r>
        <w:rPr>
          <w:color w:val="auto"/>
          <w:sz w:val="24"/>
        </w:rPr>
        <w:fldChar w:fldCharType="end"/>
      </w:r>
    </w:p>
    <w:p w14:paraId="0E39C383">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_Toc15662 </w:instrText>
      </w:r>
      <w:r>
        <w:rPr>
          <w:color w:val="auto"/>
          <w:sz w:val="24"/>
        </w:rPr>
        <w:fldChar w:fldCharType="separate"/>
      </w:r>
      <w:r>
        <w:rPr>
          <w:rFonts w:hint="eastAsia"/>
          <w:color w:val="auto"/>
          <w:sz w:val="24"/>
        </w:rPr>
        <w:t>3.1.2 辨识与分析的方法</w:t>
      </w:r>
      <w:r>
        <w:rPr>
          <w:color w:val="auto"/>
          <w:sz w:val="24"/>
        </w:rPr>
        <w:tab/>
      </w:r>
      <w:r>
        <w:rPr>
          <w:color w:val="auto"/>
          <w:sz w:val="24"/>
        </w:rPr>
        <w:fldChar w:fldCharType="begin"/>
      </w:r>
      <w:r>
        <w:rPr>
          <w:color w:val="auto"/>
          <w:sz w:val="24"/>
        </w:rPr>
        <w:instrText xml:space="preserve"> PAGEREF _Toc15662 \h </w:instrText>
      </w:r>
      <w:r>
        <w:rPr>
          <w:color w:val="auto"/>
          <w:sz w:val="24"/>
        </w:rPr>
        <w:fldChar w:fldCharType="separate"/>
      </w:r>
      <w:r>
        <w:rPr>
          <w:color w:val="auto"/>
          <w:sz w:val="24"/>
        </w:rPr>
        <w:t>37</w:t>
      </w:r>
      <w:r>
        <w:rPr>
          <w:color w:val="auto"/>
          <w:sz w:val="24"/>
        </w:rPr>
        <w:fldChar w:fldCharType="end"/>
      </w:r>
      <w:r>
        <w:rPr>
          <w:color w:val="auto"/>
          <w:sz w:val="24"/>
        </w:rPr>
        <w:fldChar w:fldCharType="end"/>
      </w:r>
    </w:p>
    <w:p w14:paraId="3CBC0736">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_Toc30760 </w:instrText>
      </w:r>
      <w:r>
        <w:rPr>
          <w:color w:val="auto"/>
          <w:sz w:val="24"/>
        </w:rPr>
        <w:fldChar w:fldCharType="separate"/>
      </w:r>
      <w:r>
        <w:rPr>
          <w:rFonts w:hint="eastAsia"/>
          <w:color w:val="auto"/>
          <w:sz w:val="24"/>
        </w:rPr>
        <w:t>3.1.3 危险、有害因素辨识依据</w:t>
      </w:r>
      <w:r>
        <w:rPr>
          <w:color w:val="auto"/>
          <w:sz w:val="24"/>
        </w:rPr>
        <w:tab/>
      </w:r>
      <w:r>
        <w:rPr>
          <w:color w:val="auto"/>
          <w:sz w:val="24"/>
        </w:rPr>
        <w:fldChar w:fldCharType="begin"/>
      </w:r>
      <w:r>
        <w:rPr>
          <w:color w:val="auto"/>
          <w:sz w:val="24"/>
        </w:rPr>
        <w:instrText xml:space="preserve"> PAGEREF _Toc30760 \h </w:instrText>
      </w:r>
      <w:r>
        <w:rPr>
          <w:color w:val="auto"/>
          <w:sz w:val="24"/>
        </w:rPr>
        <w:fldChar w:fldCharType="separate"/>
      </w:r>
      <w:r>
        <w:rPr>
          <w:color w:val="auto"/>
          <w:sz w:val="24"/>
        </w:rPr>
        <w:t>38</w:t>
      </w:r>
      <w:r>
        <w:rPr>
          <w:color w:val="auto"/>
          <w:sz w:val="24"/>
        </w:rPr>
        <w:fldChar w:fldCharType="end"/>
      </w:r>
      <w:r>
        <w:rPr>
          <w:color w:val="auto"/>
          <w:sz w:val="24"/>
        </w:rPr>
        <w:fldChar w:fldCharType="end"/>
      </w:r>
    </w:p>
    <w:p w14:paraId="125C3E8A">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_Toc12379 </w:instrText>
      </w:r>
      <w:r>
        <w:rPr>
          <w:color w:val="auto"/>
          <w:sz w:val="24"/>
        </w:rPr>
        <w:fldChar w:fldCharType="separate"/>
      </w:r>
      <w:r>
        <w:rPr>
          <w:rFonts w:hint="eastAsia"/>
          <w:color w:val="auto"/>
          <w:sz w:val="24"/>
        </w:rPr>
        <w:t>3.2 主要危险、有害物质辨识与分析</w:t>
      </w:r>
      <w:r>
        <w:rPr>
          <w:color w:val="auto"/>
          <w:sz w:val="24"/>
        </w:rPr>
        <w:tab/>
      </w:r>
      <w:r>
        <w:rPr>
          <w:color w:val="auto"/>
          <w:sz w:val="24"/>
        </w:rPr>
        <w:fldChar w:fldCharType="begin"/>
      </w:r>
      <w:r>
        <w:rPr>
          <w:color w:val="auto"/>
          <w:sz w:val="24"/>
        </w:rPr>
        <w:instrText xml:space="preserve"> PAGEREF _Toc12379 \h </w:instrText>
      </w:r>
      <w:r>
        <w:rPr>
          <w:color w:val="auto"/>
          <w:sz w:val="24"/>
        </w:rPr>
        <w:fldChar w:fldCharType="separate"/>
      </w:r>
      <w:r>
        <w:rPr>
          <w:color w:val="auto"/>
          <w:sz w:val="24"/>
        </w:rPr>
        <w:t>39</w:t>
      </w:r>
      <w:r>
        <w:rPr>
          <w:color w:val="auto"/>
          <w:sz w:val="24"/>
        </w:rPr>
        <w:fldChar w:fldCharType="end"/>
      </w:r>
      <w:r>
        <w:rPr>
          <w:color w:val="auto"/>
          <w:sz w:val="24"/>
        </w:rPr>
        <w:fldChar w:fldCharType="end"/>
      </w:r>
    </w:p>
    <w:p w14:paraId="7B173185">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_Toc4875 </w:instrText>
      </w:r>
      <w:r>
        <w:rPr>
          <w:color w:val="auto"/>
          <w:sz w:val="24"/>
        </w:rPr>
        <w:fldChar w:fldCharType="separate"/>
      </w:r>
      <w:r>
        <w:rPr>
          <w:rFonts w:hint="eastAsia"/>
          <w:color w:val="auto"/>
          <w:sz w:val="24"/>
        </w:rPr>
        <w:t>3.2.1 危险化学品辨识</w:t>
      </w:r>
      <w:r>
        <w:rPr>
          <w:color w:val="auto"/>
          <w:sz w:val="24"/>
        </w:rPr>
        <w:tab/>
      </w:r>
      <w:r>
        <w:rPr>
          <w:color w:val="auto"/>
          <w:sz w:val="24"/>
        </w:rPr>
        <w:fldChar w:fldCharType="begin"/>
      </w:r>
      <w:r>
        <w:rPr>
          <w:color w:val="auto"/>
          <w:sz w:val="24"/>
        </w:rPr>
        <w:instrText xml:space="preserve"> PAGEREF _Toc4875 \h </w:instrText>
      </w:r>
      <w:r>
        <w:rPr>
          <w:color w:val="auto"/>
          <w:sz w:val="24"/>
        </w:rPr>
        <w:fldChar w:fldCharType="separate"/>
      </w:r>
      <w:r>
        <w:rPr>
          <w:color w:val="auto"/>
          <w:sz w:val="24"/>
        </w:rPr>
        <w:t>39</w:t>
      </w:r>
      <w:r>
        <w:rPr>
          <w:color w:val="auto"/>
          <w:sz w:val="24"/>
        </w:rPr>
        <w:fldChar w:fldCharType="end"/>
      </w:r>
      <w:r>
        <w:rPr>
          <w:color w:val="auto"/>
          <w:sz w:val="24"/>
        </w:rPr>
        <w:fldChar w:fldCharType="end"/>
      </w:r>
    </w:p>
    <w:p w14:paraId="04F9EA37">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_Toc13581 </w:instrText>
      </w:r>
      <w:r>
        <w:rPr>
          <w:color w:val="auto"/>
          <w:sz w:val="24"/>
        </w:rPr>
        <w:fldChar w:fldCharType="separate"/>
      </w:r>
      <w:r>
        <w:rPr>
          <w:rFonts w:hint="eastAsia"/>
          <w:color w:val="auto"/>
          <w:sz w:val="24"/>
        </w:rPr>
        <w:t>3.2.2危险、有害物质的主要危险特性</w:t>
      </w:r>
      <w:r>
        <w:rPr>
          <w:color w:val="auto"/>
          <w:sz w:val="24"/>
        </w:rPr>
        <w:tab/>
      </w:r>
      <w:r>
        <w:rPr>
          <w:color w:val="auto"/>
          <w:sz w:val="24"/>
        </w:rPr>
        <w:fldChar w:fldCharType="begin"/>
      </w:r>
      <w:r>
        <w:rPr>
          <w:color w:val="auto"/>
          <w:sz w:val="24"/>
        </w:rPr>
        <w:instrText xml:space="preserve"> PAGEREF _Toc13581 \h </w:instrText>
      </w:r>
      <w:r>
        <w:rPr>
          <w:color w:val="auto"/>
          <w:sz w:val="24"/>
        </w:rPr>
        <w:fldChar w:fldCharType="separate"/>
      </w:r>
      <w:r>
        <w:rPr>
          <w:color w:val="auto"/>
          <w:sz w:val="24"/>
        </w:rPr>
        <w:t>39</w:t>
      </w:r>
      <w:r>
        <w:rPr>
          <w:color w:val="auto"/>
          <w:sz w:val="24"/>
        </w:rPr>
        <w:fldChar w:fldCharType="end"/>
      </w:r>
      <w:r>
        <w:rPr>
          <w:color w:val="auto"/>
          <w:sz w:val="24"/>
        </w:rPr>
        <w:fldChar w:fldCharType="end"/>
      </w:r>
    </w:p>
    <w:p w14:paraId="5DA9616F">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_Toc27908 </w:instrText>
      </w:r>
      <w:r>
        <w:rPr>
          <w:color w:val="auto"/>
          <w:sz w:val="24"/>
        </w:rPr>
        <w:fldChar w:fldCharType="separate"/>
      </w:r>
      <w:r>
        <w:rPr>
          <w:rFonts w:hint="eastAsia"/>
          <w:color w:val="auto"/>
          <w:sz w:val="24"/>
        </w:rPr>
        <w:t>3.3 厂址选择及总平面布置危险和有害因素辨识与分析</w:t>
      </w:r>
      <w:r>
        <w:rPr>
          <w:color w:val="auto"/>
          <w:sz w:val="24"/>
        </w:rPr>
        <w:tab/>
      </w:r>
      <w:r>
        <w:rPr>
          <w:color w:val="auto"/>
          <w:sz w:val="24"/>
        </w:rPr>
        <w:fldChar w:fldCharType="begin"/>
      </w:r>
      <w:r>
        <w:rPr>
          <w:color w:val="auto"/>
          <w:sz w:val="24"/>
        </w:rPr>
        <w:instrText xml:space="preserve"> PAGEREF _Toc27908 \h </w:instrText>
      </w:r>
      <w:r>
        <w:rPr>
          <w:color w:val="auto"/>
          <w:sz w:val="24"/>
        </w:rPr>
        <w:fldChar w:fldCharType="separate"/>
      </w:r>
      <w:r>
        <w:rPr>
          <w:color w:val="auto"/>
          <w:sz w:val="24"/>
        </w:rPr>
        <w:t>46</w:t>
      </w:r>
      <w:r>
        <w:rPr>
          <w:color w:val="auto"/>
          <w:sz w:val="24"/>
        </w:rPr>
        <w:fldChar w:fldCharType="end"/>
      </w:r>
      <w:r>
        <w:rPr>
          <w:color w:val="auto"/>
          <w:sz w:val="24"/>
        </w:rPr>
        <w:fldChar w:fldCharType="end"/>
      </w:r>
    </w:p>
    <w:p w14:paraId="5CF142AC">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_Toc13979 </w:instrText>
      </w:r>
      <w:r>
        <w:rPr>
          <w:color w:val="auto"/>
          <w:sz w:val="24"/>
        </w:rPr>
        <w:fldChar w:fldCharType="separate"/>
      </w:r>
      <w:r>
        <w:rPr>
          <w:rFonts w:hint="eastAsia"/>
          <w:color w:val="auto"/>
          <w:sz w:val="24"/>
        </w:rPr>
        <w:t>3.3.1 车辆伤害</w:t>
      </w:r>
      <w:r>
        <w:rPr>
          <w:color w:val="auto"/>
          <w:sz w:val="24"/>
        </w:rPr>
        <w:tab/>
      </w:r>
      <w:r>
        <w:rPr>
          <w:color w:val="auto"/>
          <w:sz w:val="24"/>
        </w:rPr>
        <w:fldChar w:fldCharType="begin"/>
      </w:r>
      <w:r>
        <w:rPr>
          <w:color w:val="auto"/>
          <w:sz w:val="24"/>
        </w:rPr>
        <w:instrText xml:space="preserve"> PAGEREF _Toc13979 \h </w:instrText>
      </w:r>
      <w:r>
        <w:rPr>
          <w:color w:val="auto"/>
          <w:sz w:val="24"/>
        </w:rPr>
        <w:fldChar w:fldCharType="separate"/>
      </w:r>
      <w:r>
        <w:rPr>
          <w:color w:val="auto"/>
          <w:sz w:val="24"/>
        </w:rPr>
        <w:t>46</w:t>
      </w:r>
      <w:r>
        <w:rPr>
          <w:color w:val="auto"/>
          <w:sz w:val="24"/>
        </w:rPr>
        <w:fldChar w:fldCharType="end"/>
      </w:r>
      <w:r>
        <w:rPr>
          <w:color w:val="auto"/>
          <w:sz w:val="24"/>
        </w:rPr>
        <w:fldChar w:fldCharType="end"/>
      </w:r>
    </w:p>
    <w:p w14:paraId="5BBEA304">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_Toc25363 </w:instrText>
      </w:r>
      <w:r>
        <w:rPr>
          <w:color w:val="auto"/>
          <w:sz w:val="24"/>
        </w:rPr>
        <w:fldChar w:fldCharType="separate"/>
      </w:r>
      <w:r>
        <w:rPr>
          <w:rFonts w:hint="eastAsia"/>
          <w:color w:val="auto"/>
          <w:sz w:val="24"/>
        </w:rPr>
        <w:t>3.3.2 坍塌</w:t>
      </w:r>
      <w:r>
        <w:rPr>
          <w:color w:val="auto"/>
          <w:sz w:val="24"/>
        </w:rPr>
        <w:tab/>
      </w:r>
      <w:r>
        <w:rPr>
          <w:color w:val="auto"/>
          <w:sz w:val="24"/>
        </w:rPr>
        <w:fldChar w:fldCharType="begin"/>
      </w:r>
      <w:r>
        <w:rPr>
          <w:color w:val="auto"/>
          <w:sz w:val="24"/>
        </w:rPr>
        <w:instrText xml:space="preserve"> PAGEREF _Toc25363 \h </w:instrText>
      </w:r>
      <w:r>
        <w:rPr>
          <w:color w:val="auto"/>
          <w:sz w:val="24"/>
        </w:rPr>
        <w:fldChar w:fldCharType="separate"/>
      </w:r>
      <w:r>
        <w:rPr>
          <w:color w:val="auto"/>
          <w:sz w:val="24"/>
        </w:rPr>
        <w:t>46</w:t>
      </w:r>
      <w:r>
        <w:rPr>
          <w:color w:val="auto"/>
          <w:sz w:val="24"/>
        </w:rPr>
        <w:fldChar w:fldCharType="end"/>
      </w:r>
      <w:r>
        <w:rPr>
          <w:color w:val="auto"/>
          <w:sz w:val="24"/>
        </w:rPr>
        <w:fldChar w:fldCharType="end"/>
      </w:r>
    </w:p>
    <w:p w14:paraId="65D2606F">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_Toc26851 </w:instrText>
      </w:r>
      <w:r>
        <w:rPr>
          <w:color w:val="auto"/>
          <w:sz w:val="24"/>
        </w:rPr>
        <w:fldChar w:fldCharType="separate"/>
      </w:r>
      <w:r>
        <w:rPr>
          <w:rFonts w:hint="eastAsia"/>
          <w:color w:val="auto"/>
          <w:sz w:val="24"/>
        </w:rPr>
        <w:t>3.3.3 火灾、爆炸</w:t>
      </w:r>
      <w:r>
        <w:rPr>
          <w:color w:val="auto"/>
          <w:sz w:val="24"/>
        </w:rPr>
        <w:tab/>
      </w:r>
      <w:r>
        <w:rPr>
          <w:color w:val="auto"/>
          <w:sz w:val="24"/>
        </w:rPr>
        <w:fldChar w:fldCharType="begin"/>
      </w:r>
      <w:r>
        <w:rPr>
          <w:color w:val="auto"/>
          <w:sz w:val="24"/>
        </w:rPr>
        <w:instrText xml:space="preserve"> PAGEREF _Toc26851 \h </w:instrText>
      </w:r>
      <w:r>
        <w:rPr>
          <w:color w:val="auto"/>
          <w:sz w:val="24"/>
        </w:rPr>
        <w:fldChar w:fldCharType="separate"/>
      </w:r>
      <w:r>
        <w:rPr>
          <w:color w:val="auto"/>
          <w:sz w:val="24"/>
        </w:rPr>
        <w:t>47</w:t>
      </w:r>
      <w:r>
        <w:rPr>
          <w:color w:val="auto"/>
          <w:sz w:val="24"/>
        </w:rPr>
        <w:fldChar w:fldCharType="end"/>
      </w:r>
      <w:r>
        <w:rPr>
          <w:color w:val="auto"/>
          <w:sz w:val="24"/>
        </w:rPr>
        <w:fldChar w:fldCharType="end"/>
      </w:r>
    </w:p>
    <w:p w14:paraId="67E9551A">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_Toc249 </w:instrText>
      </w:r>
      <w:r>
        <w:rPr>
          <w:color w:val="auto"/>
          <w:sz w:val="24"/>
        </w:rPr>
        <w:fldChar w:fldCharType="separate"/>
      </w:r>
      <w:r>
        <w:rPr>
          <w:rFonts w:hint="eastAsia"/>
          <w:color w:val="auto"/>
          <w:sz w:val="24"/>
        </w:rPr>
        <w:t>3.3.4 中毒与窒息</w:t>
      </w:r>
      <w:r>
        <w:rPr>
          <w:color w:val="auto"/>
          <w:sz w:val="24"/>
        </w:rPr>
        <w:tab/>
      </w:r>
      <w:r>
        <w:rPr>
          <w:color w:val="auto"/>
          <w:sz w:val="24"/>
        </w:rPr>
        <w:fldChar w:fldCharType="begin"/>
      </w:r>
      <w:r>
        <w:rPr>
          <w:color w:val="auto"/>
          <w:sz w:val="24"/>
        </w:rPr>
        <w:instrText xml:space="preserve"> PAGEREF _Toc249 \h </w:instrText>
      </w:r>
      <w:r>
        <w:rPr>
          <w:color w:val="auto"/>
          <w:sz w:val="24"/>
        </w:rPr>
        <w:fldChar w:fldCharType="separate"/>
      </w:r>
      <w:r>
        <w:rPr>
          <w:color w:val="auto"/>
          <w:sz w:val="24"/>
        </w:rPr>
        <w:t>47</w:t>
      </w:r>
      <w:r>
        <w:rPr>
          <w:color w:val="auto"/>
          <w:sz w:val="24"/>
        </w:rPr>
        <w:fldChar w:fldCharType="end"/>
      </w:r>
      <w:r>
        <w:rPr>
          <w:color w:val="auto"/>
          <w:sz w:val="24"/>
        </w:rPr>
        <w:fldChar w:fldCharType="end"/>
      </w:r>
    </w:p>
    <w:p w14:paraId="655F6D19">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_Toc6808 </w:instrText>
      </w:r>
      <w:r>
        <w:rPr>
          <w:color w:val="auto"/>
          <w:sz w:val="24"/>
        </w:rPr>
        <w:fldChar w:fldCharType="separate"/>
      </w:r>
      <w:r>
        <w:rPr>
          <w:rFonts w:hint="eastAsia"/>
          <w:color w:val="auto"/>
          <w:sz w:val="24"/>
        </w:rPr>
        <w:t>3.3.5 淹溺</w:t>
      </w:r>
      <w:r>
        <w:rPr>
          <w:color w:val="auto"/>
          <w:sz w:val="24"/>
        </w:rPr>
        <w:tab/>
      </w:r>
      <w:r>
        <w:rPr>
          <w:color w:val="auto"/>
          <w:sz w:val="24"/>
        </w:rPr>
        <w:fldChar w:fldCharType="begin"/>
      </w:r>
      <w:r>
        <w:rPr>
          <w:color w:val="auto"/>
          <w:sz w:val="24"/>
        </w:rPr>
        <w:instrText xml:space="preserve"> PAGEREF _Toc6808 \h </w:instrText>
      </w:r>
      <w:r>
        <w:rPr>
          <w:color w:val="auto"/>
          <w:sz w:val="24"/>
        </w:rPr>
        <w:fldChar w:fldCharType="separate"/>
      </w:r>
      <w:r>
        <w:rPr>
          <w:color w:val="auto"/>
          <w:sz w:val="24"/>
        </w:rPr>
        <w:t>47</w:t>
      </w:r>
      <w:r>
        <w:rPr>
          <w:color w:val="auto"/>
          <w:sz w:val="24"/>
        </w:rPr>
        <w:fldChar w:fldCharType="end"/>
      </w:r>
      <w:r>
        <w:rPr>
          <w:color w:val="auto"/>
          <w:sz w:val="24"/>
        </w:rPr>
        <w:fldChar w:fldCharType="end"/>
      </w:r>
    </w:p>
    <w:p w14:paraId="2E519B32">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_Toc19656 </w:instrText>
      </w:r>
      <w:r>
        <w:rPr>
          <w:color w:val="auto"/>
          <w:sz w:val="24"/>
        </w:rPr>
        <w:fldChar w:fldCharType="separate"/>
      </w:r>
      <w:r>
        <w:rPr>
          <w:rFonts w:hint="eastAsia"/>
          <w:color w:val="auto"/>
          <w:sz w:val="24"/>
        </w:rPr>
        <w:t>3.3.6 滑坡</w:t>
      </w:r>
      <w:r>
        <w:rPr>
          <w:color w:val="auto"/>
          <w:sz w:val="24"/>
        </w:rPr>
        <w:tab/>
      </w:r>
      <w:r>
        <w:rPr>
          <w:color w:val="auto"/>
          <w:sz w:val="24"/>
        </w:rPr>
        <w:fldChar w:fldCharType="begin"/>
      </w:r>
      <w:r>
        <w:rPr>
          <w:color w:val="auto"/>
          <w:sz w:val="24"/>
        </w:rPr>
        <w:instrText xml:space="preserve"> PAGEREF _Toc19656 \h </w:instrText>
      </w:r>
      <w:r>
        <w:rPr>
          <w:color w:val="auto"/>
          <w:sz w:val="24"/>
        </w:rPr>
        <w:fldChar w:fldCharType="separate"/>
      </w:r>
      <w:r>
        <w:rPr>
          <w:color w:val="auto"/>
          <w:sz w:val="24"/>
        </w:rPr>
        <w:t>47</w:t>
      </w:r>
      <w:r>
        <w:rPr>
          <w:color w:val="auto"/>
          <w:sz w:val="24"/>
        </w:rPr>
        <w:fldChar w:fldCharType="end"/>
      </w:r>
      <w:r>
        <w:rPr>
          <w:color w:val="auto"/>
          <w:sz w:val="24"/>
        </w:rPr>
        <w:fldChar w:fldCharType="end"/>
      </w:r>
    </w:p>
    <w:p w14:paraId="2FBB2D4A">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_Toc2820 </w:instrText>
      </w:r>
      <w:r>
        <w:rPr>
          <w:color w:val="auto"/>
          <w:sz w:val="24"/>
        </w:rPr>
        <w:fldChar w:fldCharType="separate"/>
      </w:r>
      <w:r>
        <w:rPr>
          <w:rFonts w:hint="eastAsia"/>
          <w:color w:val="auto"/>
          <w:sz w:val="24"/>
        </w:rPr>
        <w:t>3.4 基础设施施工建设期主要危险和有害因素辨识与分析</w:t>
      </w:r>
      <w:r>
        <w:rPr>
          <w:color w:val="auto"/>
          <w:sz w:val="24"/>
        </w:rPr>
        <w:tab/>
      </w:r>
      <w:r>
        <w:rPr>
          <w:color w:val="auto"/>
          <w:sz w:val="24"/>
        </w:rPr>
        <w:fldChar w:fldCharType="begin"/>
      </w:r>
      <w:r>
        <w:rPr>
          <w:color w:val="auto"/>
          <w:sz w:val="24"/>
        </w:rPr>
        <w:instrText xml:space="preserve"> PAGEREF _Toc2820 \h </w:instrText>
      </w:r>
      <w:r>
        <w:rPr>
          <w:color w:val="auto"/>
          <w:sz w:val="24"/>
        </w:rPr>
        <w:fldChar w:fldCharType="separate"/>
      </w:r>
      <w:r>
        <w:rPr>
          <w:color w:val="auto"/>
          <w:sz w:val="24"/>
        </w:rPr>
        <w:t>48</w:t>
      </w:r>
      <w:r>
        <w:rPr>
          <w:color w:val="auto"/>
          <w:sz w:val="24"/>
        </w:rPr>
        <w:fldChar w:fldCharType="end"/>
      </w:r>
      <w:r>
        <w:rPr>
          <w:color w:val="auto"/>
          <w:sz w:val="24"/>
        </w:rPr>
        <w:fldChar w:fldCharType="end"/>
      </w:r>
    </w:p>
    <w:p w14:paraId="1822D03E">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_Toc7194 </w:instrText>
      </w:r>
      <w:r>
        <w:rPr>
          <w:color w:val="auto"/>
          <w:sz w:val="24"/>
        </w:rPr>
        <w:fldChar w:fldCharType="separate"/>
      </w:r>
      <w:r>
        <w:rPr>
          <w:rFonts w:hint="eastAsia"/>
          <w:color w:val="auto"/>
          <w:sz w:val="24"/>
        </w:rPr>
        <w:t>3.4.1 坍塌</w:t>
      </w:r>
      <w:r>
        <w:rPr>
          <w:color w:val="auto"/>
          <w:sz w:val="24"/>
        </w:rPr>
        <w:tab/>
      </w:r>
      <w:r>
        <w:rPr>
          <w:color w:val="auto"/>
          <w:sz w:val="24"/>
        </w:rPr>
        <w:fldChar w:fldCharType="begin"/>
      </w:r>
      <w:r>
        <w:rPr>
          <w:color w:val="auto"/>
          <w:sz w:val="24"/>
        </w:rPr>
        <w:instrText xml:space="preserve"> PAGEREF _Toc7194 \h </w:instrText>
      </w:r>
      <w:r>
        <w:rPr>
          <w:color w:val="auto"/>
          <w:sz w:val="24"/>
        </w:rPr>
        <w:fldChar w:fldCharType="separate"/>
      </w:r>
      <w:r>
        <w:rPr>
          <w:color w:val="auto"/>
          <w:sz w:val="24"/>
        </w:rPr>
        <w:t>48</w:t>
      </w:r>
      <w:r>
        <w:rPr>
          <w:color w:val="auto"/>
          <w:sz w:val="24"/>
        </w:rPr>
        <w:fldChar w:fldCharType="end"/>
      </w:r>
      <w:r>
        <w:rPr>
          <w:color w:val="auto"/>
          <w:sz w:val="24"/>
        </w:rPr>
        <w:fldChar w:fldCharType="end"/>
      </w:r>
    </w:p>
    <w:p w14:paraId="0694F8F1">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_Toc26346 </w:instrText>
      </w:r>
      <w:r>
        <w:rPr>
          <w:color w:val="auto"/>
          <w:sz w:val="24"/>
        </w:rPr>
        <w:fldChar w:fldCharType="separate"/>
      </w:r>
      <w:r>
        <w:rPr>
          <w:rFonts w:hint="eastAsia"/>
          <w:color w:val="auto"/>
          <w:sz w:val="24"/>
        </w:rPr>
        <w:t>3.4.2 高处坠落</w:t>
      </w:r>
      <w:r>
        <w:rPr>
          <w:color w:val="auto"/>
          <w:sz w:val="24"/>
        </w:rPr>
        <w:tab/>
      </w:r>
      <w:r>
        <w:rPr>
          <w:color w:val="auto"/>
          <w:sz w:val="24"/>
        </w:rPr>
        <w:fldChar w:fldCharType="begin"/>
      </w:r>
      <w:r>
        <w:rPr>
          <w:color w:val="auto"/>
          <w:sz w:val="24"/>
        </w:rPr>
        <w:instrText xml:space="preserve"> PAGEREF _Toc26346 \h </w:instrText>
      </w:r>
      <w:r>
        <w:rPr>
          <w:color w:val="auto"/>
          <w:sz w:val="24"/>
        </w:rPr>
        <w:fldChar w:fldCharType="separate"/>
      </w:r>
      <w:r>
        <w:rPr>
          <w:color w:val="auto"/>
          <w:sz w:val="24"/>
        </w:rPr>
        <w:t>48</w:t>
      </w:r>
      <w:r>
        <w:rPr>
          <w:color w:val="auto"/>
          <w:sz w:val="24"/>
        </w:rPr>
        <w:fldChar w:fldCharType="end"/>
      </w:r>
      <w:r>
        <w:rPr>
          <w:color w:val="auto"/>
          <w:sz w:val="24"/>
        </w:rPr>
        <w:fldChar w:fldCharType="end"/>
      </w:r>
    </w:p>
    <w:p w14:paraId="1F6EF2C1">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_Toc10223 </w:instrText>
      </w:r>
      <w:r>
        <w:rPr>
          <w:color w:val="auto"/>
          <w:sz w:val="24"/>
        </w:rPr>
        <w:fldChar w:fldCharType="separate"/>
      </w:r>
      <w:r>
        <w:rPr>
          <w:rFonts w:hint="eastAsia"/>
          <w:color w:val="auto"/>
          <w:sz w:val="24"/>
        </w:rPr>
        <w:t>3.4.3 物体打击</w:t>
      </w:r>
      <w:r>
        <w:rPr>
          <w:color w:val="auto"/>
          <w:sz w:val="24"/>
        </w:rPr>
        <w:tab/>
      </w:r>
      <w:r>
        <w:rPr>
          <w:color w:val="auto"/>
          <w:sz w:val="24"/>
        </w:rPr>
        <w:fldChar w:fldCharType="begin"/>
      </w:r>
      <w:r>
        <w:rPr>
          <w:color w:val="auto"/>
          <w:sz w:val="24"/>
        </w:rPr>
        <w:instrText xml:space="preserve"> PAGEREF _Toc10223 \h </w:instrText>
      </w:r>
      <w:r>
        <w:rPr>
          <w:color w:val="auto"/>
          <w:sz w:val="24"/>
        </w:rPr>
        <w:fldChar w:fldCharType="separate"/>
      </w:r>
      <w:r>
        <w:rPr>
          <w:color w:val="auto"/>
          <w:sz w:val="24"/>
        </w:rPr>
        <w:t>48</w:t>
      </w:r>
      <w:r>
        <w:rPr>
          <w:color w:val="auto"/>
          <w:sz w:val="24"/>
        </w:rPr>
        <w:fldChar w:fldCharType="end"/>
      </w:r>
      <w:r>
        <w:rPr>
          <w:color w:val="auto"/>
          <w:sz w:val="24"/>
        </w:rPr>
        <w:fldChar w:fldCharType="end"/>
      </w:r>
    </w:p>
    <w:p w14:paraId="045BCD6B">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_Toc28014 </w:instrText>
      </w:r>
      <w:r>
        <w:rPr>
          <w:color w:val="auto"/>
          <w:sz w:val="24"/>
        </w:rPr>
        <w:fldChar w:fldCharType="separate"/>
      </w:r>
      <w:r>
        <w:rPr>
          <w:rFonts w:hint="eastAsia"/>
          <w:color w:val="auto"/>
          <w:sz w:val="24"/>
        </w:rPr>
        <w:t>3.4.4 触电</w:t>
      </w:r>
      <w:r>
        <w:rPr>
          <w:color w:val="auto"/>
          <w:sz w:val="24"/>
        </w:rPr>
        <w:tab/>
      </w:r>
      <w:r>
        <w:rPr>
          <w:color w:val="auto"/>
          <w:sz w:val="24"/>
        </w:rPr>
        <w:fldChar w:fldCharType="begin"/>
      </w:r>
      <w:r>
        <w:rPr>
          <w:color w:val="auto"/>
          <w:sz w:val="24"/>
        </w:rPr>
        <w:instrText xml:space="preserve"> PAGEREF _Toc28014 \h </w:instrText>
      </w:r>
      <w:r>
        <w:rPr>
          <w:color w:val="auto"/>
          <w:sz w:val="24"/>
        </w:rPr>
        <w:fldChar w:fldCharType="separate"/>
      </w:r>
      <w:r>
        <w:rPr>
          <w:color w:val="auto"/>
          <w:sz w:val="24"/>
        </w:rPr>
        <w:t>48</w:t>
      </w:r>
      <w:r>
        <w:rPr>
          <w:color w:val="auto"/>
          <w:sz w:val="24"/>
        </w:rPr>
        <w:fldChar w:fldCharType="end"/>
      </w:r>
      <w:r>
        <w:rPr>
          <w:color w:val="auto"/>
          <w:sz w:val="24"/>
        </w:rPr>
        <w:fldChar w:fldCharType="end"/>
      </w:r>
    </w:p>
    <w:p w14:paraId="041504ED">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_Toc31869 </w:instrText>
      </w:r>
      <w:r>
        <w:rPr>
          <w:color w:val="auto"/>
          <w:sz w:val="24"/>
        </w:rPr>
        <w:fldChar w:fldCharType="separate"/>
      </w:r>
      <w:r>
        <w:rPr>
          <w:rFonts w:hint="eastAsia"/>
          <w:color w:val="auto"/>
          <w:sz w:val="24"/>
        </w:rPr>
        <w:t>3.4.5 机械伤害</w:t>
      </w:r>
      <w:r>
        <w:rPr>
          <w:color w:val="auto"/>
          <w:sz w:val="24"/>
        </w:rPr>
        <w:tab/>
      </w:r>
      <w:r>
        <w:rPr>
          <w:color w:val="auto"/>
          <w:sz w:val="24"/>
        </w:rPr>
        <w:fldChar w:fldCharType="begin"/>
      </w:r>
      <w:r>
        <w:rPr>
          <w:color w:val="auto"/>
          <w:sz w:val="24"/>
        </w:rPr>
        <w:instrText xml:space="preserve"> PAGEREF _Toc31869 \h </w:instrText>
      </w:r>
      <w:r>
        <w:rPr>
          <w:color w:val="auto"/>
          <w:sz w:val="24"/>
        </w:rPr>
        <w:fldChar w:fldCharType="separate"/>
      </w:r>
      <w:r>
        <w:rPr>
          <w:color w:val="auto"/>
          <w:sz w:val="24"/>
        </w:rPr>
        <w:t>48</w:t>
      </w:r>
      <w:r>
        <w:rPr>
          <w:color w:val="auto"/>
          <w:sz w:val="24"/>
        </w:rPr>
        <w:fldChar w:fldCharType="end"/>
      </w:r>
      <w:r>
        <w:rPr>
          <w:color w:val="auto"/>
          <w:sz w:val="24"/>
        </w:rPr>
        <w:fldChar w:fldCharType="end"/>
      </w:r>
    </w:p>
    <w:p w14:paraId="05585958">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_Toc1311 </w:instrText>
      </w:r>
      <w:r>
        <w:rPr>
          <w:color w:val="auto"/>
          <w:sz w:val="24"/>
        </w:rPr>
        <w:fldChar w:fldCharType="separate"/>
      </w:r>
      <w:r>
        <w:rPr>
          <w:rFonts w:hint="eastAsia"/>
          <w:color w:val="auto"/>
          <w:sz w:val="24"/>
        </w:rPr>
        <w:t>3.4.6</w:t>
      </w:r>
      <w:r>
        <w:rPr>
          <w:rFonts w:hint="eastAsia"/>
          <w:color w:val="auto"/>
          <w:sz w:val="24"/>
          <w:lang w:val="en-US" w:eastAsia="zh-CN"/>
        </w:rPr>
        <w:t xml:space="preserve"> </w:t>
      </w:r>
      <w:r>
        <w:rPr>
          <w:rFonts w:hint="eastAsia"/>
          <w:color w:val="auto"/>
          <w:sz w:val="24"/>
        </w:rPr>
        <w:t>火灾、爆炸</w:t>
      </w:r>
      <w:r>
        <w:rPr>
          <w:color w:val="auto"/>
          <w:sz w:val="24"/>
        </w:rPr>
        <w:tab/>
      </w:r>
      <w:r>
        <w:rPr>
          <w:color w:val="auto"/>
          <w:sz w:val="24"/>
        </w:rPr>
        <w:fldChar w:fldCharType="begin"/>
      </w:r>
      <w:r>
        <w:rPr>
          <w:color w:val="auto"/>
          <w:sz w:val="24"/>
        </w:rPr>
        <w:instrText xml:space="preserve"> PAGEREF _Toc1311 \h </w:instrText>
      </w:r>
      <w:r>
        <w:rPr>
          <w:color w:val="auto"/>
          <w:sz w:val="24"/>
        </w:rPr>
        <w:fldChar w:fldCharType="separate"/>
      </w:r>
      <w:r>
        <w:rPr>
          <w:color w:val="auto"/>
          <w:sz w:val="24"/>
        </w:rPr>
        <w:t>49</w:t>
      </w:r>
      <w:r>
        <w:rPr>
          <w:color w:val="auto"/>
          <w:sz w:val="24"/>
        </w:rPr>
        <w:fldChar w:fldCharType="end"/>
      </w:r>
      <w:r>
        <w:rPr>
          <w:color w:val="auto"/>
          <w:sz w:val="24"/>
        </w:rPr>
        <w:fldChar w:fldCharType="end"/>
      </w:r>
    </w:p>
    <w:p w14:paraId="65242530">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_Toc3190 </w:instrText>
      </w:r>
      <w:r>
        <w:rPr>
          <w:color w:val="auto"/>
          <w:sz w:val="24"/>
        </w:rPr>
        <w:fldChar w:fldCharType="separate"/>
      </w:r>
      <w:r>
        <w:rPr>
          <w:rFonts w:hint="eastAsia"/>
          <w:color w:val="auto"/>
          <w:sz w:val="24"/>
        </w:rPr>
        <w:t>3.4.7</w:t>
      </w:r>
      <w:r>
        <w:rPr>
          <w:rFonts w:hint="eastAsia"/>
          <w:color w:val="auto"/>
          <w:sz w:val="24"/>
          <w:lang w:val="en-US" w:eastAsia="zh-CN"/>
        </w:rPr>
        <w:t xml:space="preserve"> </w:t>
      </w:r>
      <w:r>
        <w:rPr>
          <w:rFonts w:hint="eastAsia"/>
          <w:color w:val="auto"/>
          <w:sz w:val="24"/>
        </w:rPr>
        <w:t>容器爆炸</w:t>
      </w:r>
      <w:r>
        <w:rPr>
          <w:color w:val="auto"/>
          <w:sz w:val="24"/>
        </w:rPr>
        <w:tab/>
      </w:r>
      <w:r>
        <w:rPr>
          <w:color w:val="auto"/>
          <w:sz w:val="24"/>
        </w:rPr>
        <w:fldChar w:fldCharType="begin"/>
      </w:r>
      <w:r>
        <w:rPr>
          <w:color w:val="auto"/>
          <w:sz w:val="24"/>
        </w:rPr>
        <w:instrText xml:space="preserve"> PAGEREF _Toc3190 \h </w:instrText>
      </w:r>
      <w:r>
        <w:rPr>
          <w:color w:val="auto"/>
          <w:sz w:val="24"/>
        </w:rPr>
        <w:fldChar w:fldCharType="separate"/>
      </w:r>
      <w:r>
        <w:rPr>
          <w:color w:val="auto"/>
          <w:sz w:val="24"/>
        </w:rPr>
        <w:t>49</w:t>
      </w:r>
      <w:r>
        <w:rPr>
          <w:color w:val="auto"/>
          <w:sz w:val="24"/>
        </w:rPr>
        <w:fldChar w:fldCharType="end"/>
      </w:r>
      <w:r>
        <w:rPr>
          <w:color w:val="auto"/>
          <w:sz w:val="24"/>
        </w:rPr>
        <w:fldChar w:fldCharType="end"/>
      </w:r>
    </w:p>
    <w:p w14:paraId="7987EA3E">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_Toc2731 </w:instrText>
      </w:r>
      <w:r>
        <w:rPr>
          <w:color w:val="auto"/>
          <w:sz w:val="24"/>
        </w:rPr>
        <w:fldChar w:fldCharType="separate"/>
      </w:r>
      <w:r>
        <w:rPr>
          <w:rFonts w:hint="eastAsia"/>
          <w:color w:val="auto"/>
          <w:sz w:val="24"/>
        </w:rPr>
        <w:t>3.4.8</w:t>
      </w:r>
      <w:r>
        <w:rPr>
          <w:rFonts w:hint="eastAsia"/>
          <w:color w:val="auto"/>
          <w:sz w:val="24"/>
          <w:lang w:val="en-US" w:eastAsia="zh-CN"/>
        </w:rPr>
        <w:t xml:space="preserve"> </w:t>
      </w:r>
      <w:r>
        <w:rPr>
          <w:rFonts w:hint="eastAsia"/>
          <w:color w:val="auto"/>
          <w:sz w:val="24"/>
        </w:rPr>
        <w:t>车辆伤害</w:t>
      </w:r>
      <w:r>
        <w:rPr>
          <w:color w:val="auto"/>
          <w:sz w:val="24"/>
        </w:rPr>
        <w:tab/>
      </w:r>
      <w:r>
        <w:rPr>
          <w:color w:val="auto"/>
          <w:sz w:val="24"/>
        </w:rPr>
        <w:fldChar w:fldCharType="begin"/>
      </w:r>
      <w:r>
        <w:rPr>
          <w:color w:val="auto"/>
          <w:sz w:val="24"/>
        </w:rPr>
        <w:instrText xml:space="preserve"> PAGEREF _Toc2731 \h </w:instrText>
      </w:r>
      <w:r>
        <w:rPr>
          <w:color w:val="auto"/>
          <w:sz w:val="24"/>
        </w:rPr>
        <w:fldChar w:fldCharType="separate"/>
      </w:r>
      <w:r>
        <w:rPr>
          <w:color w:val="auto"/>
          <w:sz w:val="24"/>
        </w:rPr>
        <w:t>49</w:t>
      </w:r>
      <w:r>
        <w:rPr>
          <w:color w:val="auto"/>
          <w:sz w:val="24"/>
        </w:rPr>
        <w:fldChar w:fldCharType="end"/>
      </w:r>
      <w:r>
        <w:rPr>
          <w:color w:val="auto"/>
          <w:sz w:val="24"/>
        </w:rPr>
        <w:fldChar w:fldCharType="end"/>
      </w:r>
    </w:p>
    <w:p w14:paraId="7D664003">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_Toc11153 </w:instrText>
      </w:r>
      <w:r>
        <w:rPr>
          <w:color w:val="auto"/>
          <w:sz w:val="24"/>
        </w:rPr>
        <w:fldChar w:fldCharType="separate"/>
      </w:r>
      <w:r>
        <w:rPr>
          <w:rFonts w:hint="eastAsia"/>
          <w:color w:val="auto"/>
          <w:sz w:val="24"/>
        </w:rPr>
        <w:t>3.4.9</w:t>
      </w:r>
      <w:r>
        <w:rPr>
          <w:rFonts w:hint="eastAsia"/>
          <w:color w:val="auto"/>
          <w:sz w:val="24"/>
          <w:lang w:val="en-US" w:eastAsia="zh-CN"/>
        </w:rPr>
        <w:t xml:space="preserve"> </w:t>
      </w:r>
      <w:r>
        <w:rPr>
          <w:rFonts w:hint="eastAsia"/>
          <w:color w:val="auto"/>
          <w:sz w:val="24"/>
        </w:rPr>
        <w:t>起重伤害</w:t>
      </w:r>
      <w:r>
        <w:rPr>
          <w:color w:val="auto"/>
          <w:sz w:val="24"/>
        </w:rPr>
        <w:tab/>
      </w:r>
      <w:r>
        <w:rPr>
          <w:color w:val="auto"/>
          <w:sz w:val="24"/>
        </w:rPr>
        <w:fldChar w:fldCharType="begin"/>
      </w:r>
      <w:r>
        <w:rPr>
          <w:color w:val="auto"/>
          <w:sz w:val="24"/>
        </w:rPr>
        <w:instrText xml:space="preserve"> PAGEREF _Toc11153 \h </w:instrText>
      </w:r>
      <w:r>
        <w:rPr>
          <w:color w:val="auto"/>
          <w:sz w:val="24"/>
        </w:rPr>
        <w:fldChar w:fldCharType="separate"/>
      </w:r>
      <w:r>
        <w:rPr>
          <w:color w:val="auto"/>
          <w:sz w:val="24"/>
        </w:rPr>
        <w:t>49</w:t>
      </w:r>
      <w:r>
        <w:rPr>
          <w:color w:val="auto"/>
          <w:sz w:val="24"/>
        </w:rPr>
        <w:fldChar w:fldCharType="end"/>
      </w:r>
      <w:r>
        <w:rPr>
          <w:color w:val="auto"/>
          <w:sz w:val="24"/>
        </w:rPr>
        <w:fldChar w:fldCharType="end"/>
      </w:r>
    </w:p>
    <w:p w14:paraId="2A93F476">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_Toc11705 </w:instrText>
      </w:r>
      <w:r>
        <w:rPr>
          <w:color w:val="auto"/>
          <w:sz w:val="24"/>
        </w:rPr>
        <w:fldChar w:fldCharType="separate"/>
      </w:r>
      <w:r>
        <w:rPr>
          <w:rFonts w:hint="eastAsia"/>
          <w:color w:val="auto"/>
          <w:sz w:val="24"/>
        </w:rPr>
        <w:t>3.5 生产过程中的主要危险和有害因素辨识与分析</w:t>
      </w:r>
      <w:r>
        <w:rPr>
          <w:color w:val="auto"/>
          <w:sz w:val="24"/>
        </w:rPr>
        <w:tab/>
      </w:r>
      <w:r>
        <w:rPr>
          <w:color w:val="auto"/>
          <w:sz w:val="24"/>
        </w:rPr>
        <w:fldChar w:fldCharType="begin"/>
      </w:r>
      <w:r>
        <w:rPr>
          <w:color w:val="auto"/>
          <w:sz w:val="24"/>
        </w:rPr>
        <w:instrText xml:space="preserve"> PAGEREF _Toc11705 \h </w:instrText>
      </w:r>
      <w:r>
        <w:rPr>
          <w:color w:val="auto"/>
          <w:sz w:val="24"/>
        </w:rPr>
        <w:fldChar w:fldCharType="separate"/>
      </w:r>
      <w:r>
        <w:rPr>
          <w:color w:val="auto"/>
          <w:sz w:val="24"/>
        </w:rPr>
        <w:t>49</w:t>
      </w:r>
      <w:r>
        <w:rPr>
          <w:color w:val="auto"/>
          <w:sz w:val="24"/>
        </w:rPr>
        <w:fldChar w:fldCharType="end"/>
      </w:r>
      <w:r>
        <w:rPr>
          <w:color w:val="auto"/>
          <w:sz w:val="24"/>
        </w:rPr>
        <w:fldChar w:fldCharType="end"/>
      </w:r>
    </w:p>
    <w:p w14:paraId="559D91D7">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_Toc4706 </w:instrText>
      </w:r>
      <w:r>
        <w:rPr>
          <w:color w:val="auto"/>
          <w:sz w:val="24"/>
        </w:rPr>
        <w:fldChar w:fldCharType="separate"/>
      </w:r>
      <w:r>
        <w:rPr>
          <w:rFonts w:hint="eastAsia"/>
          <w:color w:val="auto"/>
          <w:sz w:val="24"/>
        </w:rPr>
        <w:t>3.5.1 坍塌、滑坡</w:t>
      </w:r>
      <w:r>
        <w:rPr>
          <w:color w:val="auto"/>
          <w:sz w:val="24"/>
        </w:rPr>
        <w:tab/>
      </w:r>
      <w:r>
        <w:rPr>
          <w:color w:val="auto"/>
          <w:sz w:val="24"/>
        </w:rPr>
        <w:fldChar w:fldCharType="begin"/>
      </w:r>
      <w:r>
        <w:rPr>
          <w:color w:val="auto"/>
          <w:sz w:val="24"/>
        </w:rPr>
        <w:instrText xml:space="preserve"> PAGEREF _Toc4706 \h </w:instrText>
      </w:r>
      <w:r>
        <w:rPr>
          <w:color w:val="auto"/>
          <w:sz w:val="24"/>
        </w:rPr>
        <w:fldChar w:fldCharType="separate"/>
      </w:r>
      <w:r>
        <w:rPr>
          <w:color w:val="auto"/>
          <w:sz w:val="24"/>
        </w:rPr>
        <w:t>49</w:t>
      </w:r>
      <w:r>
        <w:rPr>
          <w:color w:val="auto"/>
          <w:sz w:val="24"/>
        </w:rPr>
        <w:fldChar w:fldCharType="end"/>
      </w:r>
      <w:r>
        <w:rPr>
          <w:color w:val="auto"/>
          <w:sz w:val="24"/>
        </w:rPr>
        <w:fldChar w:fldCharType="end"/>
      </w:r>
    </w:p>
    <w:p w14:paraId="0E82ABFB">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_Toc5625 </w:instrText>
      </w:r>
      <w:r>
        <w:rPr>
          <w:color w:val="auto"/>
          <w:sz w:val="24"/>
        </w:rPr>
        <w:fldChar w:fldCharType="separate"/>
      </w:r>
      <w:r>
        <w:rPr>
          <w:rFonts w:hint="eastAsia"/>
          <w:color w:val="auto"/>
          <w:sz w:val="24"/>
        </w:rPr>
        <w:t>3.5.2 机械伤害</w:t>
      </w:r>
      <w:r>
        <w:rPr>
          <w:color w:val="auto"/>
          <w:sz w:val="24"/>
        </w:rPr>
        <w:tab/>
      </w:r>
      <w:r>
        <w:rPr>
          <w:color w:val="auto"/>
          <w:sz w:val="24"/>
        </w:rPr>
        <w:fldChar w:fldCharType="begin"/>
      </w:r>
      <w:r>
        <w:rPr>
          <w:color w:val="auto"/>
          <w:sz w:val="24"/>
        </w:rPr>
        <w:instrText xml:space="preserve"> PAGEREF _Toc5625 \h </w:instrText>
      </w:r>
      <w:r>
        <w:rPr>
          <w:color w:val="auto"/>
          <w:sz w:val="24"/>
        </w:rPr>
        <w:fldChar w:fldCharType="separate"/>
      </w:r>
      <w:r>
        <w:rPr>
          <w:color w:val="auto"/>
          <w:sz w:val="24"/>
        </w:rPr>
        <w:t>50</w:t>
      </w:r>
      <w:r>
        <w:rPr>
          <w:color w:val="auto"/>
          <w:sz w:val="24"/>
        </w:rPr>
        <w:fldChar w:fldCharType="end"/>
      </w:r>
      <w:r>
        <w:rPr>
          <w:color w:val="auto"/>
          <w:sz w:val="24"/>
        </w:rPr>
        <w:fldChar w:fldCharType="end"/>
      </w:r>
    </w:p>
    <w:p w14:paraId="649B9FCD">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_Toc23986 </w:instrText>
      </w:r>
      <w:r>
        <w:rPr>
          <w:color w:val="auto"/>
          <w:sz w:val="24"/>
        </w:rPr>
        <w:fldChar w:fldCharType="separate"/>
      </w:r>
      <w:r>
        <w:rPr>
          <w:rFonts w:hint="eastAsia"/>
          <w:color w:val="auto"/>
          <w:sz w:val="24"/>
        </w:rPr>
        <w:t>3.5.3 车辆伤害</w:t>
      </w:r>
      <w:r>
        <w:rPr>
          <w:color w:val="auto"/>
          <w:sz w:val="24"/>
        </w:rPr>
        <w:tab/>
      </w:r>
      <w:r>
        <w:rPr>
          <w:color w:val="auto"/>
          <w:sz w:val="24"/>
        </w:rPr>
        <w:fldChar w:fldCharType="begin"/>
      </w:r>
      <w:r>
        <w:rPr>
          <w:color w:val="auto"/>
          <w:sz w:val="24"/>
        </w:rPr>
        <w:instrText xml:space="preserve"> PAGEREF _Toc23986 \h </w:instrText>
      </w:r>
      <w:r>
        <w:rPr>
          <w:color w:val="auto"/>
          <w:sz w:val="24"/>
        </w:rPr>
        <w:fldChar w:fldCharType="separate"/>
      </w:r>
      <w:r>
        <w:rPr>
          <w:color w:val="auto"/>
          <w:sz w:val="24"/>
        </w:rPr>
        <w:t>51</w:t>
      </w:r>
      <w:r>
        <w:rPr>
          <w:color w:val="auto"/>
          <w:sz w:val="24"/>
        </w:rPr>
        <w:fldChar w:fldCharType="end"/>
      </w:r>
      <w:r>
        <w:rPr>
          <w:color w:val="auto"/>
          <w:sz w:val="24"/>
        </w:rPr>
        <w:fldChar w:fldCharType="end"/>
      </w:r>
    </w:p>
    <w:p w14:paraId="7B502B9F">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_Toc6519 </w:instrText>
      </w:r>
      <w:r>
        <w:rPr>
          <w:color w:val="auto"/>
          <w:sz w:val="24"/>
        </w:rPr>
        <w:fldChar w:fldCharType="separate"/>
      </w:r>
      <w:r>
        <w:rPr>
          <w:rFonts w:hint="eastAsia"/>
          <w:color w:val="auto"/>
          <w:sz w:val="24"/>
        </w:rPr>
        <w:t>3.5.4 触电</w:t>
      </w:r>
      <w:r>
        <w:rPr>
          <w:color w:val="auto"/>
          <w:sz w:val="24"/>
        </w:rPr>
        <w:tab/>
      </w:r>
      <w:r>
        <w:rPr>
          <w:color w:val="auto"/>
          <w:sz w:val="24"/>
        </w:rPr>
        <w:fldChar w:fldCharType="begin"/>
      </w:r>
      <w:r>
        <w:rPr>
          <w:color w:val="auto"/>
          <w:sz w:val="24"/>
        </w:rPr>
        <w:instrText xml:space="preserve"> PAGEREF _Toc6519 \h </w:instrText>
      </w:r>
      <w:r>
        <w:rPr>
          <w:color w:val="auto"/>
          <w:sz w:val="24"/>
        </w:rPr>
        <w:fldChar w:fldCharType="separate"/>
      </w:r>
      <w:r>
        <w:rPr>
          <w:color w:val="auto"/>
          <w:sz w:val="24"/>
        </w:rPr>
        <w:t>52</w:t>
      </w:r>
      <w:r>
        <w:rPr>
          <w:color w:val="auto"/>
          <w:sz w:val="24"/>
        </w:rPr>
        <w:fldChar w:fldCharType="end"/>
      </w:r>
      <w:r>
        <w:rPr>
          <w:color w:val="auto"/>
          <w:sz w:val="24"/>
        </w:rPr>
        <w:fldChar w:fldCharType="end"/>
      </w:r>
    </w:p>
    <w:p w14:paraId="6879BA71">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_Toc19976 </w:instrText>
      </w:r>
      <w:r>
        <w:rPr>
          <w:color w:val="auto"/>
          <w:sz w:val="24"/>
        </w:rPr>
        <w:fldChar w:fldCharType="separate"/>
      </w:r>
      <w:r>
        <w:rPr>
          <w:rFonts w:hint="eastAsia"/>
          <w:color w:val="auto"/>
          <w:sz w:val="24"/>
        </w:rPr>
        <w:t>3.5.5 物体打击</w:t>
      </w:r>
      <w:r>
        <w:rPr>
          <w:color w:val="auto"/>
          <w:sz w:val="24"/>
        </w:rPr>
        <w:tab/>
      </w:r>
      <w:r>
        <w:rPr>
          <w:color w:val="auto"/>
          <w:sz w:val="24"/>
        </w:rPr>
        <w:fldChar w:fldCharType="begin"/>
      </w:r>
      <w:r>
        <w:rPr>
          <w:color w:val="auto"/>
          <w:sz w:val="24"/>
        </w:rPr>
        <w:instrText xml:space="preserve"> PAGEREF _Toc19976 \h </w:instrText>
      </w:r>
      <w:r>
        <w:rPr>
          <w:color w:val="auto"/>
          <w:sz w:val="24"/>
        </w:rPr>
        <w:fldChar w:fldCharType="separate"/>
      </w:r>
      <w:r>
        <w:rPr>
          <w:color w:val="auto"/>
          <w:sz w:val="24"/>
        </w:rPr>
        <w:t>53</w:t>
      </w:r>
      <w:r>
        <w:rPr>
          <w:color w:val="auto"/>
          <w:sz w:val="24"/>
        </w:rPr>
        <w:fldChar w:fldCharType="end"/>
      </w:r>
      <w:r>
        <w:rPr>
          <w:color w:val="auto"/>
          <w:sz w:val="24"/>
        </w:rPr>
        <w:fldChar w:fldCharType="end"/>
      </w:r>
    </w:p>
    <w:p w14:paraId="1F06140B">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_Toc22185 </w:instrText>
      </w:r>
      <w:r>
        <w:rPr>
          <w:color w:val="auto"/>
          <w:sz w:val="24"/>
        </w:rPr>
        <w:fldChar w:fldCharType="separate"/>
      </w:r>
      <w:r>
        <w:rPr>
          <w:rFonts w:hint="eastAsia"/>
          <w:color w:val="auto"/>
          <w:sz w:val="24"/>
        </w:rPr>
        <w:t>3.5.6 高处坠落</w:t>
      </w:r>
      <w:r>
        <w:rPr>
          <w:color w:val="auto"/>
          <w:sz w:val="24"/>
        </w:rPr>
        <w:tab/>
      </w:r>
      <w:r>
        <w:rPr>
          <w:color w:val="auto"/>
          <w:sz w:val="24"/>
        </w:rPr>
        <w:fldChar w:fldCharType="begin"/>
      </w:r>
      <w:r>
        <w:rPr>
          <w:color w:val="auto"/>
          <w:sz w:val="24"/>
        </w:rPr>
        <w:instrText xml:space="preserve"> PAGEREF _Toc22185 \h </w:instrText>
      </w:r>
      <w:r>
        <w:rPr>
          <w:color w:val="auto"/>
          <w:sz w:val="24"/>
        </w:rPr>
        <w:fldChar w:fldCharType="separate"/>
      </w:r>
      <w:r>
        <w:rPr>
          <w:color w:val="auto"/>
          <w:sz w:val="24"/>
        </w:rPr>
        <w:t>53</w:t>
      </w:r>
      <w:r>
        <w:rPr>
          <w:color w:val="auto"/>
          <w:sz w:val="24"/>
        </w:rPr>
        <w:fldChar w:fldCharType="end"/>
      </w:r>
      <w:r>
        <w:rPr>
          <w:color w:val="auto"/>
          <w:sz w:val="24"/>
        </w:rPr>
        <w:fldChar w:fldCharType="end"/>
      </w:r>
    </w:p>
    <w:p w14:paraId="23383200">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_Toc28667 </w:instrText>
      </w:r>
      <w:r>
        <w:rPr>
          <w:color w:val="auto"/>
          <w:sz w:val="24"/>
        </w:rPr>
        <w:fldChar w:fldCharType="separate"/>
      </w:r>
      <w:r>
        <w:rPr>
          <w:rFonts w:hint="eastAsia"/>
          <w:color w:val="auto"/>
          <w:sz w:val="24"/>
        </w:rPr>
        <w:t>3.5.7 火灾、爆炸</w:t>
      </w:r>
      <w:r>
        <w:rPr>
          <w:color w:val="auto"/>
          <w:sz w:val="24"/>
        </w:rPr>
        <w:tab/>
      </w:r>
      <w:r>
        <w:rPr>
          <w:color w:val="auto"/>
          <w:sz w:val="24"/>
        </w:rPr>
        <w:fldChar w:fldCharType="begin"/>
      </w:r>
      <w:r>
        <w:rPr>
          <w:color w:val="auto"/>
          <w:sz w:val="24"/>
        </w:rPr>
        <w:instrText xml:space="preserve"> PAGEREF _Toc28667 \h </w:instrText>
      </w:r>
      <w:r>
        <w:rPr>
          <w:color w:val="auto"/>
          <w:sz w:val="24"/>
        </w:rPr>
        <w:fldChar w:fldCharType="separate"/>
      </w:r>
      <w:r>
        <w:rPr>
          <w:color w:val="auto"/>
          <w:sz w:val="24"/>
        </w:rPr>
        <w:t>54</w:t>
      </w:r>
      <w:r>
        <w:rPr>
          <w:color w:val="auto"/>
          <w:sz w:val="24"/>
        </w:rPr>
        <w:fldChar w:fldCharType="end"/>
      </w:r>
      <w:r>
        <w:rPr>
          <w:color w:val="auto"/>
          <w:sz w:val="24"/>
        </w:rPr>
        <w:fldChar w:fldCharType="end"/>
      </w:r>
    </w:p>
    <w:p w14:paraId="530F1DB1">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_Toc22486 </w:instrText>
      </w:r>
      <w:r>
        <w:rPr>
          <w:color w:val="auto"/>
          <w:sz w:val="24"/>
        </w:rPr>
        <w:fldChar w:fldCharType="separate"/>
      </w:r>
      <w:r>
        <w:rPr>
          <w:rFonts w:hint="eastAsia"/>
          <w:color w:val="auto"/>
          <w:sz w:val="24"/>
        </w:rPr>
        <w:t>3.5.8 淹溺</w:t>
      </w:r>
      <w:r>
        <w:rPr>
          <w:color w:val="auto"/>
          <w:sz w:val="24"/>
        </w:rPr>
        <w:tab/>
      </w:r>
      <w:r>
        <w:rPr>
          <w:color w:val="auto"/>
          <w:sz w:val="24"/>
        </w:rPr>
        <w:fldChar w:fldCharType="begin"/>
      </w:r>
      <w:r>
        <w:rPr>
          <w:color w:val="auto"/>
          <w:sz w:val="24"/>
        </w:rPr>
        <w:instrText xml:space="preserve"> PAGEREF _Toc22486 \h </w:instrText>
      </w:r>
      <w:r>
        <w:rPr>
          <w:color w:val="auto"/>
          <w:sz w:val="24"/>
        </w:rPr>
        <w:fldChar w:fldCharType="separate"/>
      </w:r>
      <w:r>
        <w:rPr>
          <w:color w:val="auto"/>
          <w:sz w:val="24"/>
        </w:rPr>
        <w:t>56</w:t>
      </w:r>
      <w:r>
        <w:rPr>
          <w:color w:val="auto"/>
          <w:sz w:val="24"/>
        </w:rPr>
        <w:fldChar w:fldCharType="end"/>
      </w:r>
      <w:r>
        <w:rPr>
          <w:color w:val="auto"/>
          <w:sz w:val="24"/>
        </w:rPr>
        <w:fldChar w:fldCharType="end"/>
      </w:r>
    </w:p>
    <w:p w14:paraId="0D6DE779">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_Toc23680 </w:instrText>
      </w:r>
      <w:r>
        <w:rPr>
          <w:color w:val="auto"/>
          <w:sz w:val="24"/>
        </w:rPr>
        <w:fldChar w:fldCharType="separate"/>
      </w:r>
      <w:r>
        <w:rPr>
          <w:rFonts w:hint="eastAsia"/>
          <w:color w:val="auto"/>
          <w:sz w:val="24"/>
        </w:rPr>
        <w:t>3.5.9 中毒和窒息</w:t>
      </w:r>
      <w:r>
        <w:rPr>
          <w:color w:val="auto"/>
          <w:sz w:val="24"/>
        </w:rPr>
        <w:tab/>
      </w:r>
      <w:r>
        <w:rPr>
          <w:color w:val="auto"/>
          <w:sz w:val="24"/>
        </w:rPr>
        <w:fldChar w:fldCharType="begin"/>
      </w:r>
      <w:r>
        <w:rPr>
          <w:color w:val="auto"/>
          <w:sz w:val="24"/>
        </w:rPr>
        <w:instrText xml:space="preserve"> PAGEREF _Toc23680 \h </w:instrText>
      </w:r>
      <w:r>
        <w:rPr>
          <w:color w:val="auto"/>
          <w:sz w:val="24"/>
        </w:rPr>
        <w:fldChar w:fldCharType="separate"/>
      </w:r>
      <w:r>
        <w:rPr>
          <w:color w:val="auto"/>
          <w:sz w:val="24"/>
        </w:rPr>
        <w:t>56</w:t>
      </w:r>
      <w:r>
        <w:rPr>
          <w:color w:val="auto"/>
          <w:sz w:val="24"/>
        </w:rPr>
        <w:fldChar w:fldCharType="end"/>
      </w:r>
      <w:r>
        <w:rPr>
          <w:color w:val="auto"/>
          <w:sz w:val="24"/>
        </w:rPr>
        <w:fldChar w:fldCharType="end"/>
      </w:r>
    </w:p>
    <w:p w14:paraId="7DC4754B">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_Toc21189 </w:instrText>
      </w:r>
      <w:r>
        <w:rPr>
          <w:color w:val="auto"/>
          <w:sz w:val="24"/>
        </w:rPr>
        <w:fldChar w:fldCharType="separate"/>
      </w:r>
      <w:r>
        <w:rPr>
          <w:rFonts w:hint="eastAsia"/>
          <w:color w:val="auto"/>
          <w:sz w:val="24"/>
          <w:lang w:val="en-US" w:eastAsia="zh-CN"/>
        </w:rPr>
        <w:t>3.5.10 灼烫</w:t>
      </w:r>
      <w:r>
        <w:rPr>
          <w:color w:val="auto"/>
          <w:sz w:val="24"/>
        </w:rPr>
        <w:tab/>
      </w:r>
      <w:r>
        <w:rPr>
          <w:color w:val="auto"/>
          <w:sz w:val="24"/>
        </w:rPr>
        <w:fldChar w:fldCharType="begin"/>
      </w:r>
      <w:r>
        <w:rPr>
          <w:color w:val="auto"/>
          <w:sz w:val="24"/>
        </w:rPr>
        <w:instrText xml:space="preserve"> PAGEREF _Toc21189 \h </w:instrText>
      </w:r>
      <w:r>
        <w:rPr>
          <w:color w:val="auto"/>
          <w:sz w:val="24"/>
        </w:rPr>
        <w:fldChar w:fldCharType="separate"/>
      </w:r>
      <w:r>
        <w:rPr>
          <w:color w:val="auto"/>
          <w:sz w:val="24"/>
        </w:rPr>
        <w:t>56</w:t>
      </w:r>
      <w:r>
        <w:rPr>
          <w:color w:val="auto"/>
          <w:sz w:val="24"/>
        </w:rPr>
        <w:fldChar w:fldCharType="end"/>
      </w:r>
      <w:r>
        <w:rPr>
          <w:color w:val="auto"/>
          <w:sz w:val="24"/>
        </w:rPr>
        <w:fldChar w:fldCharType="end"/>
      </w:r>
    </w:p>
    <w:p w14:paraId="265C4008">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_Toc30812 </w:instrText>
      </w:r>
      <w:r>
        <w:rPr>
          <w:color w:val="auto"/>
          <w:sz w:val="24"/>
        </w:rPr>
        <w:fldChar w:fldCharType="separate"/>
      </w:r>
      <w:r>
        <w:rPr>
          <w:rFonts w:hint="eastAsia"/>
          <w:color w:val="auto"/>
          <w:sz w:val="24"/>
          <w:lang w:val="en-US" w:eastAsia="zh-CN"/>
        </w:rPr>
        <w:t xml:space="preserve">3.5.11 </w:t>
      </w:r>
      <w:r>
        <w:rPr>
          <w:rFonts w:hint="default"/>
          <w:color w:val="auto"/>
          <w:sz w:val="24"/>
          <w:lang w:val="en-US" w:eastAsia="zh-CN"/>
        </w:rPr>
        <w:t>容器爆炸</w:t>
      </w:r>
      <w:r>
        <w:rPr>
          <w:color w:val="auto"/>
          <w:sz w:val="24"/>
        </w:rPr>
        <w:tab/>
      </w:r>
      <w:r>
        <w:rPr>
          <w:color w:val="auto"/>
          <w:sz w:val="24"/>
        </w:rPr>
        <w:fldChar w:fldCharType="begin"/>
      </w:r>
      <w:r>
        <w:rPr>
          <w:color w:val="auto"/>
          <w:sz w:val="24"/>
        </w:rPr>
        <w:instrText xml:space="preserve"> PAGEREF _Toc30812 \h </w:instrText>
      </w:r>
      <w:r>
        <w:rPr>
          <w:color w:val="auto"/>
          <w:sz w:val="24"/>
        </w:rPr>
        <w:fldChar w:fldCharType="separate"/>
      </w:r>
      <w:r>
        <w:rPr>
          <w:color w:val="auto"/>
          <w:sz w:val="24"/>
        </w:rPr>
        <w:t>57</w:t>
      </w:r>
      <w:r>
        <w:rPr>
          <w:color w:val="auto"/>
          <w:sz w:val="24"/>
        </w:rPr>
        <w:fldChar w:fldCharType="end"/>
      </w:r>
      <w:r>
        <w:rPr>
          <w:color w:val="auto"/>
          <w:sz w:val="24"/>
        </w:rPr>
        <w:fldChar w:fldCharType="end"/>
      </w:r>
    </w:p>
    <w:p w14:paraId="51864948">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_Toc28374 </w:instrText>
      </w:r>
      <w:r>
        <w:rPr>
          <w:color w:val="auto"/>
          <w:sz w:val="24"/>
        </w:rPr>
        <w:fldChar w:fldCharType="separate"/>
      </w:r>
      <w:r>
        <w:rPr>
          <w:rFonts w:hint="eastAsia"/>
          <w:color w:val="auto"/>
          <w:sz w:val="24"/>
        </w:rPr>
        <w:t>3.5.1</w:t>
      </w:r>
      <w:r>
        <w:rPr>
          <w:rFonts w:hint="eastAsia"/>
          <w:color w:val="auto"/>
          <w:sz w:val="24"/>
          <w:lang w:val="en-US" w:eastAsia="zh-CN"/>
        </w:rPr>
        <w:t>2</w:t>
      </w:r>
      <w:r>
        <w:rPr>
          <w:rFonts w:hint="eastAsia"/>
          <w:color w:val="auto"/>
          <w:sz w:val="24"/>
        </w:rPr>
        <w:t xml:space="preserve"> 粉尘危害</w:t>
      </w:r>
      <w:r>
        <w:rPr>
          <w:color w:val="auto"/>
          <w:sz w:val="24"/>
        </w:rPr>
        <w:tab/>
      </w:r>
      <w:r>
        <w:rPr>
          <w:color w:val="auto"/>
          <w:sz w:val="24"/>
        </w:rPr>
        <w:fldChar w:fldCharType="begin"/>
      </w:r>
      <w:r>
        <w:rPr>
          <w:color w:val="auto"/>
          <w:sz w:val="24"/>
        </w:rPr>
        <w:instrText xml:space="preserve"> PAGEREF _Toc28374 \h </w:instrText>
      </w:r>
      <w:r>
        <w:rPr>
          <w:color w:val="auto"/>
          <w:sz w:val="24"/>
        </w:rPr>
        <w:fldChar w:fldCharType="separate"/>
      </w:r>
      <w:r>
        <w:rPr>
          <w:color w:val="auto"/>
          <w:sz w:val="24"/>
        </w:rPr>
        <w:t>57</w:t>
      </w:r>
      <w:r>
        <w:rPr>
          <w:color w:val="auto"/>
          <w:sz w:val="24"/>
        </w:rPr>
        <w:fldChar w:fldCharType="end"/>
      </w:r>
      <w:r>
        <w:rPr>
          <w:color w:val="auto"/>
          <w:sz w:val="24"/>
        </w:rPr>
        <w:fldChar w:fldCharType="end"/>
      </w:r>
    </w:p>
    <w:p w14:paraId="3F2998B6">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_Toc5207 </w:instrText>
      </w:r>
      <w:r>
        <w:rPr>
          <w:color w:val="auto"/>
          <w:sz w:val="24"/>
        </w:rPr>
        <w:fldChar w:fldCharType="separate"/>
      </w:r>
      <w:r>
        <w:rPr>
          <w:rFonts w:hint="eastAsia"/>
          <w:color w:val="auto"/>
          <w:sz w:val="24"/>
        </w:rPr>
        <w:t>3.5.1</w:t>
      </w:r>
      <w:r>
        <w:rPr>
          <w:rFonts w:hint="eastAsia"/>
          <w:color w:val="auto"/>
          <w:sz w:val="24"/>
          <w:lang w:val="en-US" w:eastAsia="zh-CN"/>
        </w:rPr>
        <w:t>3</w:t>
      </w:r>
      <w:r>
        <w:rPr>
          <w:rFonts w:hint="eastAsia"/>
          <w:color w:val="auto"/>
          <w:sz w:val="24"/>
        </w:rPr>
        <w:t xml:space="preserve"> 噪声</w:t>
      </w:r>
      <w:r>
        <w:rPr>
          <w:color w:val="auto"/>
          <w:sz w:val="24"/>
        </w:rPr>
        <w:tab/>
      </w:r>
      <w:r>
        <w:rPr>
          <w:color w:val="auto"/>
          <w:sz w:val="24"/>
        </w:rPr>
        <w:fldChar w:fldCharType="begin"/>
      </w:r>
      <w:r>
        <w:rPr>
          <w:color w:val="auto"/>
          <w:sz w:val="24"/>
        </w:rPr>
        <w:instrText xml:space="preserve"> PAGEREF _Toc5207 \h </w:instrText>
      </w:r>
      <w:r>
        <w:rPr>
          <w:color w:val="auto"/>
          <w:sz w:val="24"/>
        </w:rPr>
        <w:fldChar w:fldCharType="separate"/>
      </w:r>
      <w:r>
        <w:rPr>
          <w:color w:val="auto"/>
          <w:sz w:val="24"/>
        </w:rPr>
        <w:t>58</w:t>
      </w:r>
      <w:r>
        <w:rPr>
          <w:color w:val="auto"/>
          <w:sz w:val="24"/>
        </w:rPr>
        <w:fldChar w:fldCharType="end"/>
      </w:r>
      <w:r>
        <w:rPr>
          <w:color w:val="auto"/>
          <w:sz w:val="24"/>
        </w:rPr>
        <w:fldChar w:fldCharType="end"/>
      </w:r>
    </w:p>
    <w:p w14:paraId="10248E67">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_Toc3317 </w:instrText>
      </w:r>
      <w:r>
        <w:rPr>
          <w:color w:val="auto"/>
          <w:sz w:val="24"/>
        </w:rPr>
        <w:fldChar w:fldCharType="separate"/>
      </w:r>
      <w:r>
        <w:rPr>
          <w:rFonts w:hint="eastAsia"/>
          <w:color w:val="auto"/>
          <w:sz w:val="24"/>
        </w:rPr>
        <w:t>3.5.1</w:t>
      </w:r>
      <w:r>
        <w:rPr>
          <w:rFonts w:hint="eastAsia"/>
          <w:color w:val="auto"/>
          <w:sz w:val="24"/>
          <w:lang w:val="en-US" w:eastAsia="zh-CN"/>
        </w:rPr>
        <w:t>4</w:t>
      </w:r>
      <w:r>
        <w:rPr>
          <w:rFonts w:hint="eastAsia"/>
          <w:color w:val="auto"/>
          <w:sz w:val="24"/>
        </w:rPr>
        <w:t xml:space="preserve"> 振动</w:t>
      </w:r>
      <w:r>
        <w:rPr>
          <w:color w:val="auto"/>
          <w:sz w:val="24"/>
        </w:rPr>
        <w:tab/>
      </w:r>
      <w:r>
        <w:rPr>
          <w:color w:val="auto"/>
          <w:sz w:val="24"/>
        </w:rPr>
        <w:fldChar w:fldCharType="begin"/>
      </w:r>
      <w:r>
        <w:rPr>
          <w:color w:val="auto"/>
          <w:sz w:val="24"/>
        </w:rPr>
        <w:instrText xml:space="preserve"> PAGEREF _Toc3317 \h </w:instrText>
      </w:r>
      <w:r>
        <w:rPr>
          <w:color w:val="auto"/>
          <w:sz w:val="24"/>
        </w:rPr>
        <w:fldChar w:fldCharType="separate"/>
      </w:r>
      <w:r>
        <w:rPr>
          <w:color w:val="auto"/>
          <w:sz w:val="24"/>
        </w:rPr>
        <w:t>59</w:t>
      </w:r>
      <w:r>
        <w:rPr>
          <w:color w:val="auto"/>
          <w:sz w:val="24"/>
        </w:rPr>
        <w:fldChar w:fldCharType="end"/>
      </w:r>
      <w:r>
        <w:rPr>
          <w:color w:val="auto"/>
          <w:sz w:val="24"/>
        </w:rPr>
        <w:fldChar w:fldCharType="end"/>
      </w:r>
    </w:p>
    <w:p w14:paraId="3A0C700C">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_Toc7148 </w:instrText>
      </w:r>
      <w:r>
        <w:rPr>
          <w:color w:val="auto"/>
          <w:sz w:val="24"/>
        </w:rPr>
        <w:fldChar w:fldCharType="separate"/>
      </w:r>
      <w:r>
        <w:rPr>
          <w:rFonts w:hint="eastAsia"/>
          <w:color w:val="auto"/>
          <w:sz w:val="24"/>
        </w:rPr>
        <w:t>3.5.1</w:t>
      </w:r>
      <w:r>
        <w:rPr>
          <w:rFonts w:hint="eastAsia"/>
          <w:color w:val="auto"/>
          <w:sz w:val="24"/>
          <w:lang w:val="en-US" w:eastAsia="zh-CN"/>
        </w:rPr>
        <w:t>5</w:t>
      </w:r>
      <w:r>
        <w:rPr>
          <w:rFonts w:hint="eastAsia"/>
          <w:color w:val="auto"/>
          <w:sz w:val="24"/>
        </w:rPr>
        <w:t xml:space="preserve"> 其它伤害</w:t>
      </w:r>
      <w:r>
        <w:rPr>
          <w:color w:val="auto"/>
          <w:sz w:val="24"/>
        </w:rPr>
        <w:tab/>
      </w:r>
      <w:r>
        <w:rPr>
          <w:color w:val="auto"/>
          <w:sz w:val="24"/>
        </w:rPr>
        <w:fldChar w:fldCharType="begin"/>
      </w:r>
      <w:r>
        <w:rPr>
          <w:color w:val="auto"/>
          <w:sz w:val="24"/>
        </w:rPr>
        <w:instrText xml:space="preserve"> PAGEREF _Toc7148 \h </w:instrText>
      </w:r>
      <w:r>
        <w:rPr>
          <w:color w:val="auto"/>
          <w:sz w:val="24"/>
        </w:rPr>
        <w:fldChar w:fldCharType="separate"/>
      </w:r>
      <w:r>
        <w:rPr>
          <w:color w:val="auto"/>
          <w:sz w:val="24"/>
        </w:rPr>
        <w:t>59</w:t>
      </w:r>
      <w:r>
        <w:rPr>
          <w:color w:val="auto"/>
          <w:sz w:val="24"/>
        </w:rPr>
        <w:fldChar w:fldCharType="end"/>
      </w:r>
      <w:r>
        <w:rPr>
          <w:color w:val="auto"/>
          <w:sz w:val="24"/>
        </w:rPr>
        <w:fldChar w:fldCharType="end"/>
      </w:r>
    </w:p>
    <w:p w14:paraId="7A4A359D">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_Toc10241 </w:instrText>
      </w:r>
      <w:r>
        <w:rPr>
          <w:color w:val="auto"/>
          <w:sz w:val="24"/>
        </w:rPr>
        <w:fldChar w:fldCharType="separate"/>
      </w:r>
      <w:r>
        <w:rPr>
          <w:rFonts w:hint="eastAsia"/>
          <w:color w:val="auto"/>
          <w:sz w:val="24"/>
        </w:rPr>
        <w:t>3.6 有限空间作业危险有害因素辨识与分析</w:t>
      </w:r>
      <w:r>
        <w:rPr>
          <w:color w:val="auto"/>
          <w:sz w:val="24"/>
        </w:rPr>
        <w:tab/>
      </w:r>
      <w:r>
        <w:rPr>
          <w:color w:val="auto"/>
          <w:sz w:val="24"/>
        </w:rPr>
        <w:fldChar w:fldCharType="begin"/>
      </w:r>
      <w:r>
        <w:rPr>
          <w:color w:val="auto"/>
          <w:sz w:val="24"/>
        </w:rPr>
        <w:instrText xml:space="preserve"> PAGEREF _Toc10241 \h </w:instrText>
      </w:r>
      <w:r>
        <w:rPr>
          <w:color w:val="auto"/>
          <w:sz w:val="24"/>
        </w:rPr>
        <w:fldChar w:fldCharType="separate"/>
      </w:r>
      <w:r>
        <w:rPr>
          <w:color w:val="auto"/>
          <w:sz w:val="24"/>
        </w:rPr>
        <w:t>60</w:t>
      </w:r>
      <w:r>
        <w:rPr>
          <w:color w:val="auto"/>
          <w:sz w:val="24"/>
        </w:rPr>
        <w:fldChar w:fldCharType="end"/>
      </w:r>
      <w:r>
        <w:rPr>
          <w:color w:val="auto"/>
          <w:sz w:val="24"/>
        </w:rPr>
        <w:fldChar w:fldCharType="end"/>
      </w:r>
    </w:p>
    <w:p w14:paraId="5E6836F4">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_Toc11908 </w:instrText>
      </w:r>
      <w:r>
        <w:rPr>
          <w:color w:val="auto"/>
          <w:sz w:val="24"/>
        </w:rPr>
        <w:fldChar w:fldCharType="separate"/>
      </w:r>
      <w:r>
        <w:rPr>
          <w:rFonts w:hint="eastAsia"/>
          <w:color w:val="auto"/>
          <w:sz w:val="24"/>
          <w:lang w:val="en-US" w:eastAsia="zh-CN"/>
        </w:rPr>
        <w:t xml:space="preserve">3.7 </w:t>
      </w:r>
      <w:r>
        <w:rPr>
          <w:rFonts w:hint="eastAsia"/>
          <w:color w:val="auto"/>
          <w:sz w:val="24"/>
        </w:rPr>
        <w:t>选矿厂周边环境危险因素分析</w:t>
      </w:r>
      <w:r>
        <w:rPr>
          <w:color w:val="auto"/>
          <w:sz w:val="24"/>
        </w:rPr>
        <w:tab/>
      </w:r>
      <w:r>
        <w:rPr>
          <w:color w:val="auto"/>
          <w:sz w:val="24"/>
        </w:rPr>
        <w:fldChar w:fldCharType="begin"/>
      </w:r>
      <w:r>
        <w:rPr>
          <w:color w:val="auto"/>
          <w:sz w:val="24"/>
        </w:rPr>
        <w:instrText xml:space="preserve"> PAGEREF _Toc11908 \h </w:instrText>
      </w:r>
      <w:r>
        <w:rPr>
          <w:color w:val="auto"/>
          <w:sz w:val="24"/>
        </w:rPr>
        <w:fldChar w:fldCharType="separate"/>
      </w:r>
      <w:r>
        <w:rPr>
          <w:color w:val="auto"/>
          <w:sz w:val="24"/>
        </w:rPr>
        <w:t>62</w:t>
      </w:r>
      <w:r>
        <w:rPr>
          <w:color w:val="auto"/>
          <w:sz w:val="24"/>
        </w:rPr>
        <w:fldChar w:fldCharType="end"/>
      </w:r>
      <w:r>
        <w:rPr>
          <w:color w:val="auto"/>
          <w:sz w:val="24"/>
        </w:rPr>
        <w:fldChar w:fldCharType="end"/>
      </w:r>
    </w:p>
    <w:p w14:paraId="170AE219">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_Toc22947 </w:instrText>
      </w:r>
      <w:r>
        <w:rPr>
          <w:color w:val="auto"/>
          <w:sz w:val="24"/>
        </w:rPr>
        <w:fldChar w:fldCharType="separate"/>
      </w:r>
      <w:r>
        <w:rPr>
          <w:rFonts w:hint="eastAsia"/>
          <w:color w:val="auto"/>
          <w:sz w:val="24"/>
        </w:rPr>
        <w:t>3.</w:t>
      </w:r>
      <w:r>
        <w:rPr>
          <w:rFonts w:hint="eastAsia"/>
          <w:color w:val="auto"/>
          <w:sz w:val="24"/>
          <w:lang w:val="en-US" w:eastAsia="zh-CN"/>
        </w:rPr>
        <w:t>8</w:t>
      </w:r>
      <w:r>
        <w:rPr>
          <w:rFonts w:hint="eastAsia"/>
          <w:color w:val="auto"/>
          <w:sz w:val="24"/>
        </w:rPr>
        <w:t xml:space="preserve"> 安全管理危险和有害因素辨识与分析</w:t>
      </w:r>
      <w:r>
        <w:rPr>
          <w:color w:val="auto"/>
          <w:sz w:val="24"/>
        </w:rPr>
        <w:tab/>
      </w:r>
      <w:r>
        <w:rPr>
          <w:color w:val="auto"/>
          <w:sz w:val="24"/>
        </w:rPr>
        <w:fldChar w:fldCharType="begin"/>
      </w:r>
      <w:r>
        <w:rPr>
          <w:color w:val="auto"/>
          <w:sz w:val="24"/>
        </w:rPr>
        <w:instrText xml:space="preserve"> PAGEREF _Toc22947 \h </w:instrText>
      </w:r>
      <w:r>
        <w:rPr>
          <w:color w:val="auto"/>
          <w:sz w:val="24"/>
        </w:rPr>
        <w:fldChar w:fldCharType="separate"/>
      </w:r>
      <w:r>
        <w:rPr>
          <w:color w:val="auto"/>
          <w:sz w:val="24"/>
        </w:rPr>
        <w:t>62</w:t>
      </w:r>
      <w:r>
        <w:rPr>
          <w:color w:val="auto"/>
          <w:sz w:val="24"/>
        </w:rPr>
        <w:fldChar w:fldCharType="end"/>
      </w:r>
      <w:r>
        <w:rPr>
          <w:color w:val="auto"/>
          <w:sz w:val="24"/>
        </w:rPr>
        <w:fldChar w:fldCharType="end"/>
      </w:r>
    </w:p>
    <w:p w14:paraId="358E099C">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_Toc8064 </w:instrText>
      </w:r>
      <w:r>
        <w:rPr>
          <w:color w:val="auto"/>
          <w:sz w:val="24"/>
        </w:rPr>
        <w:fldChar w:fldCharType="separate"/>
      </w:r>
      <w:r>
        <w:rPr>
          <w:rFonts w:hint="eastAsia"/>
          <w:color w:val="auto"/>
          <w:sz w:val="24"/>
        </w:rPr>
        <w:t>3.</w:t>
      </w:r>
      <w:r>
        <w:rPr>
          <w:rFonts w:hint="eastAsia"/>
          <w:color w:val="auto"/>
          <w:sz w:val="24"/>
          <w:lang w:val="en-US" w:eastAsia="zh-CN"/>
        </w:rPr>
        <w:t>9</w:t>
      </w:r>
      <w:r>
        <w:rPr>
          <w:rFonts w:hint="eastAsia"/>
          <w:color w:val="auto"/>
          <w:sz w:val="24"/>
        </w:rPr>
        <w:t xml:space="preserve"> 危险化学品重大危险源辨识</w:t>
      </w:r>
      <w:r>
        <w:rPr>
          <w:color w:val="auto"/>
          <w:sz w:val="24"/>
        </w:rPr>
        <w:tab/>
      </w:r>
      <w:r>
        <w:rPr>
          <w:color w:val="auto"/>
          <w:sz w:val="24"/>
        </w:rPr>
        <w:fldChar w:fldCharType="begin"/>
      </w:r>
      <w:r>
        <w:rPr>
          <w:color w:val="auto"/>
          <w:sz w:val="24"/>
        </w:rPr>
        <w:instrText xml:space="preserve"> PAGEREF _Toc8064 \h </w:instrText>
      </w:r>
      <w:r>
        <w:rPr>
          <w:color w:val="auto"/>
          <w:sz w:val="24"/>
        </w:rPr>
        <w:fldChar w:fldCharType="separate"/>
      </w:r>
      <w:r>
        <w:rPr>
          <w:color w:val="auto"/>
          <w:sz w:val="24"/>
        </w:rPr>
        <w:t>63</w:t>
      </w:r>
      <w:r>
        <w:rPr>
          <w:color w:val="auto"/>
          <w:sz w:val="24"/>
        </w:rPr>
        <w:fldChar w:fldCharType="end"/>
      </w:r>
      <w:r>
        <w:rPr>
          <w:color w:val="auto"/>
          <w:sz w:val="24"/>
        </w:rPr>
        <w:fldChar w:fldCharType="end"/>
      </w:r>
    </w:p>
    <w:p w14:paraId="1A0BF424">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_Toc11946 </w:instrText>
      </w:r>
      <w:r>
        <w:rPr>
          <w:color w:val="auto"/>
          <w:sz w:val="24"/>
        </w:rPr>
        <w:fldChar w:fldCharType="separate"/>
      </w:r>
      <w:r>
        <w:rPr>
          <w:rFonts w:hint="default"/>
          <w:color w:val="auto"/>
          <w:sz w:val="24"/>
          <w:lang w:val="en-US" w:eastAsia="zh-CN"/>
        </w:rPr>
        <w:t>3.</w:t>
      </w:r>
      <w:r>
        <w:rPr>
          <w:rFonts w:hint="eastAsia"/>
          <w:color w:val="auto"/>
          <w:sz w:val="24"/>
          <w:lang w:val="en-US" w:eastAsia="zh-CN"/>
        </w:rPr>
        <w:t>10</w:t>
      </w:r>
      <w:r>
        <w:rPr>
          <w:rFonts w:hint="default"/>
          <w:color w:val="auto"/>
          <w:sz w:val="24"/>
          <w:lang w:val="en-US" w:eastAsia="zh-CN"/>
        </w:rPr>
        <w:t xml:space="preserve"> 评价项目主要危险及有害因素总结</w:t>
      </w:r>
      <w:r>
        <w:rPr>
          <w:color w:val="auto"/>
          <w:sz w:val="24"/>
        </w:rPr>
        <w:tab/>
      </w:r>
      <w:r>
        <w:rPr>
          <w:color w:val="auto"/>
          <w:sz w:val="24"/>
        </w:rPr>
        <w:fldChar w:fldCharType="begin"/>
      </w:r>
      <w:r>
        <w:rPr>
          <w:color w:val="auto"/>
          <w:sz w:val="24"/>
        </w:rPr>
        <w:instrText xml:space="preserve"> PAGEREF _Toc11946 \h </w:instrText>
      </w:r>
      <w:r>
        <w:rPr>
          <w:color w:val="auto"/>
          <w:sz w:val="24"/>
        </w:rPr>
        <w:fldChar w:fldCharType="separate"/>
      </w:r>
      <w:r>
        <w:rPr>
          <w:color w:val="auto"/>
          <w:sz w:val="24"/>
        </w:rPr>
        <w:t>64</w:t>
      </w:r>
      <w:r>
        <w:rPr>
          <w:color w:val="auto"/>
          <w:sz w:val="24"/>
        </w:rPr>
        <w:fldChar w:fldCharType="end"/>
      </w:r>
      <w:r>
        <w:rPr>
          <w:color w:val="auto"/>
          <w:sz w:val="24"/>
        </w:rPr>
        <w:fldChar w:fldCharType="end"/>
      </w:r>
    </w:p>
    <w:p w14:paraId="63CED297">
      <w:pPr>
        <w:pStyle w:val="12"/>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_Toc31645 </w:instrText>
      </w:r>
      <w:r>
        <w:rPr>
          <w:color w:val="auto"/>
          <w:sz w:val="24"/>
        </w:rPr>
        <w:fldChar w:fldCharType="separate"/>
      </w:r>
      <w:r>
        <w:rPr>
          <w:rFonts w:hint="eastAsia"/>
          <w:color w:val="auto"/>
          <w:sz w:val="24"/>
        </w:rPr>
        <w:t>4 评价单元划分及评价方法选择</w:t>
      </w:r>
      <w:r>
        <w:rPr>
          <w:color w:val="auto"/>
          <w:sz w:val="24"/>
        </w:rPr>
        <w:tab/>
      </w:r>
      <w:r>
        <w:rPr>
          <w:color w:val="auto"/>
          <w:sz w:val="24"/>
        </w:rPr>
        <w:fldChar w:fldCharType="begin"/>
      </w:r>
      <w:r>
        <w:rPr>
          <w:color w:val="auto"/>
          <w:sz w:val="24"/>
        </w:rPr>
        <w:instrText xml:space="preserve"> PAGEREF _Toc31645 \h </w:instrText>
      </w:r>
      <w:r>
        <w:rPr>
          <w:color w:val="auto"/>
          <w:sz w:val="24"/>
        </w:rPr>
        <w:fldChar w:fldCharType="separate"/>
      </w:r>
      <w:r>
        <w:rPr>
          <w:color w:val="auto"/>
          <w:sz w:val="24"/>
        </w:rPr>
        <w:t>66</w:t>
      </w:r>
      <w:r>
        <w:rPr>
          <w:color w:val="auto"/>
          <w:sz w:val="24"/>
        </w:rPr>
        <w:fldChar w:fldCharType="end"/>
      </w:r>
      <w:r>
        <w:rPr>
          <w:color w:val="auto"/>
          <w:sz w:val="24"/>
        </w:rPr>
        <w:fldChar w:fldCharType="end"/>
      </w:r>
    </w:p>
    <w:p w14:paraId="2B4B874C">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_Toc3934 </w:instrText>
      </w:r>
      <w:r>
        <w:rPr>
          <w:color w:val="auto"/>
          <w:sz w:val="24"/>
        </w:rPr>
        <w:fldChar w:fldCharType="separate"/>
      </w:r>
      <w:r>
        <w:rPr>
          <w:rFonts w:hint="eastAsia"/>
          <w:color w:val="auto"/>
          <w:sz w:val="24"/>
        </w:rPr>
        <w:t>4.1 评价单元划分</w:t>
      </w:r>
      <w:r>
        <w:rPr>
          <w:color w:val="auto"/>
          <w:sz w:val="24"/>
        </w:rPr>
        <w:tab/>
      </w:r>
      <w:r>
        <w:rPr>
          <w:color w:val="auto"/>
          <w:sz w:val="24"/>
        </w:rPr>
        <w:fldChar w:fldCharType="begin"/>
      </w:r>
      <w:r>
        <w:rPr>
          <w:color w:val="auto"/>
          <w:sz w:val="24"/>
        </w:rPr>
        <w:instrText xml:space="preserve"> PAGEREF _Toc3934 \h </w:instrText>
      </w:r>
      <w:r>
        <w:rPr>
          <w:color w:val="auto"/>
          <w:sz w:val="24"/>
        </w:rPr>
        <w:fldChar w:fldCharType="separate"/>
      </w:r>
      <w:r>
        <w:rPr>
          <w:color w:val="auto"/>
          <w:sz w:val="24"/>
        </w:rPr>
        <w:t>66</w:t>
      </w:r>
      <w:r>
        <w:rPr>
          <w:color w:val="auto"/>
          <w:sz w:val="24"/>
        </w:rPr>
        <w:fldChar w:fldCharType="end"/>
      </w:r>
      <w:r>
        <w:rPr>
          <w:color w:val="auto"/>
          <w:sz w:val="24"/>
        </w:rPr>
        <w:fldChar w:fldCharType="end"/>
      </w:r>
    </w:p>
    <w:p w14:paraId="3EFE4E9F">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_Toc26236 </w:instrText>
      </w:r>
      <w:r>
        <w:rPr>
          <w:color w:val="auto"/>
          <w:sz w:val="24"/>
        </w:rPr>
        <w:fldChar w:fldCharType="separate"/>
      </w:r>
      <w:r>
        <w:rPr>
          <w:rFonts w:hint="eastAsia"/>
          <w:color w:val="auto"/>
          <w:sz w:val="24"/>
        </w:rPr>
        <w:t>4.1.1 评价单元划分原则</w:t>
      </w:r>
      <w:r>
        <w:rPr>
          <w:color w:val="auto"/>
          <w:sz w:val="24"/>
        </w:rPr>
        <w:tab/>
      </w:r>
      <w:r>
        <w:rPr>
          <w:color w:val="auto"/>
          <w:sz w:val="24"/>
        </w:rPr>
        <w:fldChar w:fldCharType="begin"/>
      </w:r>
      <w:r>
        <w:rPr>
          <w:color w:val="auto"/>
          <w:sz w:val="24"/>
        </w:rPr>
        <w:instrText xml:space="preserve"> PAGEREF _Toc26236 \h </w:instrText>
      </w:r>
      <w:r>
        <w:rPr>
          <w:color w:val="auto"/>
          <w:sz w:val="24"/>
        </w:rPr>
        <w:fldChar w:fldCharType="separate"/>
      </w:r>
      <w:r>
        <w:rPr>
          <w:color w:val="auto"/>
          <w:sz w:val="24"/>
        </w:rPr>
        <w:t>66</w:t>
      </w:r>
      <w:r>
        <w:rPr>
          <w:color w:val="auto"/>
          <w:sz w:val="24"/>
        </w:rPr>
        <w:fldChar w:fldCharType="end"/>
      </w:r>
      <w:r>
        <w:rPr>
          <w:color w:val="auto"/>
          <w:sz w:val="24"/>
        </w:rPr>
        <w:fldChar w:fldCharType="end"/>
      </w:r>
    </w:p>
    <w:p w14:paraId="0A9E39FC">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_Toc25459 </w:instrText>
      </w:r>
      <w:r>
        <w:rPr>
          <w:color w:val="auto"/>
          <w:sz w:val="24"/>
        </w:rPr>
        <w:fldChar w:fldCharType="separate"/>
      </w:r>
      <w:r>
        <w:rPr>
          <w:rFonts w:hint="eastAsia"/>
          <w:color w:val="auto"/>
          <w:sz w:val="24"/>
        </w:rPr>
        <w:t>4.1.2 评价单元划分方法</w:t>
      </w:r>
      <w:r>
        <w:rPr>
          <w:color w:val="auto"/>
          <w:sz w:val="24"/>
        </w:rPr>
        <w:tab/>
      </w:r>
      <w:r>
        <w:rPr>
          <w:color w:val="auto"/>
          <w:sz w:val="24"/>
        </w:rPr>
        <w:fldChar w:fldCharType="begin"/>
      </w:r>
      <w:r>
        <w:rPr>
          <w:color w:val="auto"/>
          <w:sz w:val="24"/>
        </w:rPr>
        <w:instrText xml:space="preserve"> PAGEREF _Toc25459 \h </w:instrText>
      </w:r>
      <w:r>
        <w:rPr>
          <w:color w:val="auto"/>
          <w:sz w:val="24"/>
        </w:rPr>
        <w:fldChar w:fldCharType="separate"/>
      </w:r>
      <w:r>
        <w:rPr>
          <w:color w:val="auto"/>
          <w:sz w:val="24"/>
        </w:rPr>
        <w:t>66</w:t>
      </w:r>
      <w:r>
        <w:rPr>
          <w:color w:val="auto"/>
          <w:sz w:val="24"/>
        </w:rPr>
        <w:fldChar w:fldCharType="end"/>
      </w:r>
      <w:r>
        <w:rPr>
          <w:color w:val="auto"/>
          <w:sz w:val="24"/>
        </w:rPr>
        <w:fldChar w:fldCharType="end"/>
      </w:r>
    </w:p>
    <w:p w14:paraId="23E09FC6">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_Toc31051 </w:instrText>
      </w:r>
      <w:r>
        <w:rPr>
          <w:color w:val="auto"/>
          <w:sz w:val="24"/>
        </w:rPr>
        <w:fldChar w:fldCharType="separate"/>
      </w:r>
      <w:r>
        <w:rPr>
          <w:rFonts w:hint="eastAsia"/>
          <w:color w:val="auto"/>
          <w:sz w:val="24"/>
        </w:rPr>
        <w:t>4.1.3 本项目评价单元的划分</w:t>
      </w:r>
      <w:r>
        <w:rPr>
          <w:color w:val="auto"/>
          <w:sz w:val="24"/>
        </w:rPr>
        <w:tab/>
      </w:r>
      <w:r>
        <w:rPr>
          <w:color w:val="auto"/>
          <w:sz w:val="24"/>
        </w:rPr>
        <w:fldChar w:fldCharType="begin"/>
      </w:r>
      <w:r>
        <w:rPr>
          <w:color w:val="auto"/>
          <w:sz w:val="24"/>
        </w:rPr>
        <w:instrText xml:space="preserve"> PAGEREF _Toc31051 \h </w:instrText>
      </w:r>
      <w:r>
        <w:rPr>
          <w:color w:val="auto"/>
          <w:sz w:val="24"/>
        </w:rPr>
        <w:fldChar w:fldCharType="separate"/>
      </w:r>
      <w:r>
        <w:rPr>
          <w:color w:val="auto"/>
          <w:sz w:val="24"/>
        </w:rPr>
        <w:t>67</w:t>
      </w:r>
      <w:r>
        <w:rPr>
          <w:color w:val="auto"/>
          <w:sz w:val="24"/>
        </w:rPr>
        <w:fldChar w:fldCharType="end"/>
      </w:r>
      <w:r>
        <w:rPr>
          <w:color w:val="auto"/>
          <w:sz w:val="24"/>
        </w:rPr>
        <w:fldChar w:fldCharType="end"/>
      </w:r>
    </w:p>
    <w:p w14:paraId="26E258C3">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_Toc5756 </w:instrText>
      </w:r>
      <w:r>
        <w:rPr>
          <w:color w:val="auto"/>
          <w:sz w:val="24"/>
        </w:rPr>
        <w:fldChar w:fldCharType="separate"/>
      </w:r>
      <w:r>
        <w:rPr>
          <w:rFonts w:hint="default"/>
          <w:color w:val="auto"/>
          <w:sz w:val="24"/>
          <w:lang w:val="en-US" w:eastAsia="zh-CN"/>
        </w:rPr>
        <w:t>4.2 评价方法介绍</w:t>
      </w:r>
      <w:r>
        <w:rPr>
          <w:color w:val="auto"/>
          <w:sz w:val="24"/>
        </w:rPr>
        <w:tab/>
      </w:r>
      <w:r>
        <w:rPr>
          <w:color w:val="auto"/>
          <w:sz w:val="24"/>
        </w:rPr>
        <w:fldChar w:fldCharType="begin"/>
      </w:r>
      <w:r>
        <w:rPr>
          <w:color w:val="auto"/>
          <w:sz w:val="24"/>
        </w:rPr>
        <w:instrText xml:space="preserve"> PAGEREF _Toc5756 \h </w:instrText>
      </w:r>
      <w:r>
        <w:rPr>
          <w:color w:val="auto"/>
          <w:sz w:val="24"/>
        </w:rPr>
        <w:fldChar w:fldCharType="separate"/>
      </w:r>
      <w:r>
        <w:rPr>
          <w:color w:val="auto"/>
          <w:sz w:val="24"/>
        </w:rPr>
        <w:t>68</w:t>
      </w:r>
      <w:r>
        <w:rPr>
          <w:color w:val="auto"/>
          <w:sz w:val="24"/>
        </w:rPr>
        <w:fldChar w:fldCharType="end"/>
      </w:r>
      <w:r>
        <w:rPr>
          <w:color w:val="auto"/>
          <w:sz w:val="24"/>
        </w:rPr>
        <w:fldChar w:fldCharType="end"/>
      </w:r>
    </w:p>
    <w:p w14:paraId="4EB7D590">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_Toc21481 </w:instrText>
      </w:r>
      <w:r>
        <w:rPr>
          <w:color w:val="auto"/>
          <w:sz w:val="24"/>
        </w:rPr>
        <w:fldChar w:fldCharType="separate"/>
      </w:r>
      <w:r>
        <w:rPr>
          <w:rFonts w:hint="default"/>
          <w:color w:val="auto"/>
          <w:sz w:val="24"/>
          <w:lang w:val="en-US" w:eastAsia="zh-CN"/>
        </w:rPr>
        <w:t>4.2.1 预先危险性分析法（PHA法）</w:t>
      </w:r>
      <w:r>
        <w:rPr>
          <w:color w:val="auto"/>
          <w:sz w:val="24"/>
        </w:rPr>
        <w:tab/>
      </w:r>
      <w:r>
        <w:rPr>
          <w:color w:val="auto"/>
          <w:sz w:val="24"/>
        </w:rPr>
        <w:fldChar w:fldCharType="begin"/>
      </w:r>
      <w:r>
        <w:rPr>
          <w:color w:val="auto"/>
          <w:sz w:val="24"/>
        </w:rPr>
        <w:instrText xml:space="preserve"> PAGEREF _Toc21481 \h </w:instrText>
      </w:r>
      <w:r>
        <w:rPr>
          <w:color w:val="auto"/>
          <w:sz w:val="24"/>
        </w:rPr>
        <w:fldChar w:fldCharType="separate"/>
      </w:r>
      <w:r>
        <w:rPr>
          <w:color w:val="auto"/>
          <w:sz w:val="24"/>
        </w:rPr>
        <w:t>68</w:t>
      </w:r>
      <w:r>
        <w:rPr>
          <w:color w:val="auto"/>
          <w:sz w:val="24"/>
        </w:rPr>
        <w:fldChar w:fldCharType="end"/>
      </w:r>
      <w:r>
        <w:rPr>
          <w:color w:val="auto"/>
          <w:sz w:val="24"/>
        </w:rPr>
        <w:fldChar w:fldCharType="end"/>
      </w:r>
    </w:p>
    <w:p w14:paraId="623EDC7F">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_Toc2322 </w:instrText>
      </w:r>
      <w:r>
        <w:rPr>
          <w:color w:val="auto"/>
          <w:sz w:val="24"/>
        </w:rPr>
        <w:fldChar w:fldCharType="separate"/>
      </w:r>
      <w:r>
        <w:rPr>
          <w:rFonts w:hint="default"/>
          <w:color w:val="auto"/>
          <w:sz w:val="24"/>
          <w:lang w:val="en-US" w:eastAsia="zh-CN"/>
        </w:rPr>
        <w:t>4.2.2 安全检查表分析法（SCL）</w:t>
      </w:r>
      <w:r>
        <w:rPr>
          <w:color w:val="auto"/>
          <w:sz w:val="24"/>
        </w:rPr>
        <w:tab/>
      </w:r>
      <w:r>
        <w:rPr>
          <w:color w:val="auto"/>
          <w:sz w:val="24"/>
        </w:rPr>
        <w:fldChar w:fldCharType="begin"/>
      </w:r>
      <w:r>
        <w:rPr>
          <w:color w:val="auto"/>
          <w:sz w:val="24"/>
        </w:rPr>
        <w:instrText xml:space="preserve"> PAGEREF _Toc2322 \h </w:instrText>
      </w:r>
      <w:r>
        <w:rPr>
          <w:color w:val="auto"/>
          <w:sz w:val="24"/>
        </w:rPr>
        <w:fldChar w:fldCharType="separate"/>
      </w:r>
      <w:r>
        <w:rPr>
          <w:color w:val="auto"/>
          <w:sz w:val="24"/>
        </w:rPr>
        <w:t>70</w:t>
      </w:r>
      <w:r>
        <w:rPr>
          <w:color w:val="auto"/>
          <w:sz w:val="24"/>
        </w:rPr>
        <w:fldChar w:fldCharType="end"/>
      </w:r>
      <w:r>
        <w:rPr>
          <w:color w:val="auto"/>
          <w:sz w:val="24"/>
        </w:rPr>
        <w:fldChar w:fldCharType="end"/>
      </w:r>
    </w:p>
    <w:p w14:paraId="7A02A54D">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_Toc23548 </w:instrText>
      </w:r>
      <w:r>
        <w:rPr>
          <w:color w:val="auto"/>
          <w:sz w:val="24"/>
        </w:rPr>
        <w:fldChar w:fldCharType="separate"/>
      </w:r>
      <w:r>
        <w:rPr>
          <w:rFonts w:hint="default"/>
          <w:color w:val="auto"/>
          <w:sz w:val="24"/>
          <w:lang w:val="en-US" w:eastAsia="zh-CN"/>
        </w:rPr>
        <w:t>4.2.3 事故树（FTA）分析方法</w:t>
      </w:r>
      <w:r>
        <w:rPr>
          <w:color w:val="auto"/>
          <w:sz w:val="24"/>
        </w:rPr>
        <w:tab/>
      </w:r>
      <w:r>
        <w:rPr>
          <w:color w:val="auto"/>
          <w:sz w:val="24"/>
        </w:rPr>
        <w:fldChar w:fldCharType="begin"/>
      </w:r>
      <w:r>
        <w:rPr>
          <w:color w:val="auto"/>
          <w:sz w:val="24"/>
        </w:rPr>
        <w:instrText xml:space="preserve"> PAGEREF _Toc23548 \h </w:instrText>
      </w:r>
      <w:r>
        <w:rPr>
          <w:color w:val="auto"/>
          <w:sz w:val="24"/>
        </w:rPr>
        <w:fldChar w:fldCharType="separate"/>
      </w:r>
      <w:r>
        <w:rPr>
          <w:color w:val="auto"/>
          <w:sz w:val="24"/>
        </w:rPr>
        <w:t>71</w:t>
      </w:r>
      <w:r>
        <w:rPr>
          <w:color w:val="auto"/>
          <w:sz w:val="24"/>
        </w:rPr>
        <w:fldChar w:fldCharType="end"/>
      </w:r>
      <w:r>
        <w:rPr>
          <w:color w:val="auto"/>
          <w:sz w:val="24"/>
        </w:rPr>
        <w:fldChar w:fldCharType="end"/>
      </w:r>
    </w:p>
    <w:p w14:paraId="688BE03F">
      <w:pPr>
        <w:pStyle w:val="12"/>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_Toc7172 </w:instrText>
      </w:r>
      <w:r>
        <w:rPr>
          <w:color w:val="auto"/>
          <w:sz w:val="24"/>
        </w:rPr>
        <w:fldChar w:fldCharType="separate"/>
      </w:r>
      <w:r>
        <w:rPr>
          <w:rFonts w:hint="eastAsia"/>
          <w:color w:val="auto"/>
          <w:sz w:val="24"/>
        </w:rPr>
        <w:t>5 定性定量评价</w:t>
      </w:r>
      <w:r>
        <w:rPr>
          <w:color w:val="auto"/>
          <w:sz w:val="24"/>
        </w:rPr>
        <w:tab/>
      </w:r>
      <w:r>
        <w:rPr>
          <w:color w:val="auto"/>
          <w:sz w:val="24"/>
        </w:rPr>
        <w:fldChar w:fldCharType="begin"/>
      </w:r>
      <w:r>
        <w:rPr>
          <w:color w:val="auto"/>
          <w:sz w:val="24"/>
        </w:rPr>
        <w:instrText xml:space="preserve"> PAGEREF _Toc7172 \h </w:instrText>
      </w:r>
      <w:r>
        <w:rPr>
          <w:color w:val="auto"/>
          <w:sz w:val="24"/>
        </w:rPr>
        <w:fldChar w:fldCharType="separate"/>
      </w:r>
      <w:r>
        <w:rPr>
          <w:color w:val="auto"/>
          <w:sz w:val="24"/>
        </w:rPr>
        <w:t>73</w:t>
      </w:r>
      <w:r>
        <w:rPr>
          <w:color w:val="auto"/>
          <w:sz w:val="24"/>
        </w:rPr>
        <w:fldChar w:fldCharType="end"/>
      </w:r>
      <w:r>
        <w:rPr>
          <w:color w:val="auto"/>
          <w:sz w:val="24"/>
        </w:rPr>
        <w:fldChar w:fldCharType="end"/>
      </w:r>
    </w:p>
    <w:p w14:paraId="60591C6D">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_Toc16840 </w:instrText>
      </w:r>
      <w:r>
        <w:rPr>
          <w:color w:val="auto"/>
          <w:sz w:val="24"/>
        </w:rPr>
        <w:fldChar w:fldCharType="separate"/>
      </w:r>
      <w:r>
        <w:rPr>
          <w:rFonts w:hint="eastAsia"/>
          <w:color w:val="auto"/>
          <w:sz w:val="24"/>
        </w:rPr>
        <w:t>5.1 厂址及总平面布置单元</w:t>
      </w:r>
      <w:r>
        <w:rPr>
          <w:color w:val="auto"/>
          <w:sz w:val="24"/>
        </w:rPr>
        <w:tab/>
      </w:r>
      <w:r>
        <w:rPr>
          <w:color w:val="auto"/>
          <w:sz w:val="24"/>
        </w:rPr>
        <w:fldChar w:fldCharType="begin"/>
      </w:r>
      <w:r>
        <w:rPr>
          <w:color w:val="auto"/>
          <w:sz w:val="24"/>
        </w:rPr>
        <w:instrText xml:space="preserve"> PAGEREF _Toc16840 \h </w:instrText>
      </w:r>
      <w:r>
        <w:rPr>
          <w:color w:val="auto"/>
          <w:sz w:val="24"/>
        </w:rPr>
        <w:fldChar w:fldCharType="separate"/>
      </w:r>
      <w:r>
        <w:rPr>
          <w:color w:val="auto"/>
          <w:sz w:val="24"/>
        </w:rPr>
        <w:t>73</w:t>
      </w:r>
      <w:r>
        <w:rPr>
          <w:color w:val="auto"/>
          <w:sz w:val="24"/>
        </w:rPr>
        <w:fldChar w:fldCharType="end"/>
      </w:r>
      <w:r>
        <w:rPr>
          <w:color w:val="auto"/>
          <w:sz w:val="24"/>
        </w:rPr>
        <w:fldChar w:fldCharType="end"/>
      </w:r>
    </w:p>
    <w:p w14:paraId="744E4CFE">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_Toc11860 </w:instrText>
      </w:r>
      <w:r>
        <w:rPr>
          <w:color w:val="auto"/>
          <w:sz w:val="24"/>
        </w:rPr>
        <w:fldChar w:fldCharType="separate"/>
      </w:r>
      <w:r>
        <w:rPr>
          <w:rFonts w:hint="eastAsia"/>
          <w:color w:val="auto"/>
          <w:sz w:val="24"/>
        </w:rPr>
        <w:t>5.1.1 项目周边环境评价分析</w:t>
      </w:r>
      <w:r>
        <w:rPr>
          <w:color w:val="auto"/>
          <w:sz w:val="24"/>
        </w:rPr>
        <w:tab/>
      </w:r>
      <w:r>
        <w:rPr>
          <w:color w:val="auto"/>
          <w:sz w:val="24"/>
        </w:rPr>
        <w:fldChar w:fldCharType="begin"/>
      </w:r>
      <w:r>
        <w:rPr>
          <w:color w:val="auto"/>
          <w:sz w:val="24"/>
        </w:rPr>
        <w:instrText xml:space="preserve"> PAGEREF _Toc11860 \h </w:instrText>
      </w:r>
      <w:r>
        <w:rPr>
          <w:color w:val="auto"/>
          <w:sz w:val="24"/>
        </w:rPr>
        <w:fldChar w:fldCharType="separate"/>
      </w:r>
      <w:r>
        <w:rPr>
          <w:color w:val="auto"/>
          <w:sz w:val="24"/>
        </w:rPr>
        <w:t>73</w:t>
      </w:r>
      <w:r>
        <w:rPr>
          <w:color w:val="auto"/>
          <w:sz w:val="24"/>
        </w:rPr>
        <w:fldChar w:fldCharType="end"/>
      </w:r>
      <w:r>
        <w:rPr>
          <w:color w:val="auto"/>
          <w:sz w:val="24"/>
        </w:rPr>
        <w:fldChar w:fldCharType="end"/>
      </w:r>
    </w:p>
    <w:p w14:paraId="31F8E66A">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_Toc24791 </w:instrText>
      </w:r>
      <w:r>
        <w:rPr>
          <w:color w:val="auto"/>
          <w:sz w:val="24"/>
        </w:rPr>
        <w:fldChar w:fldCharType="separate"/>
      </w:r>
      <w:r>
        <w:rPr>
          <w:rFonts w:hint="eastAsia"/>
          <w:color w:val="auto"/>
          <w:sz w:val="24"/>
        </w:rPr>
        <w:t>5.1.2 厂址及总平面布置预先危险性分析（PHA）</w:t>
      </w:r>
      <w:r>
        <w:rPr>
          <w:color w:val="auto"/>
          <w:sz w:val="24"/>
        </w:rPr>
        <w:tab/>
      </w:r>
      <w:r>
        <w:rPr>
          <w:color w:val="auto"/>
          <w:sz w:val="24"/>
        </w:rPr>
        <w:fldChar w:fldCharType="begin"/>
      </w:r>
      <w:r>
        <w:rPr>
          <w:color w:val="auto"/>
          <w:sz w:val="24"/>
        </w:rPr>
        <w:instrText xml:space="preserve"> PAGEREF _Toc24791 \h </w:instrText>
      </w:r>
      <w:r>
        <w:rPr>
          <w:color w:val="auto"/>
          <w:sz w:val="24"/>
        </w:rPr>
        <w:fldChar w:fldCharType="separate"/>
      </w:r>
      <w:r>
        <w:rPr>
          <w:color w:val="auto"/>
          <w:sz w:val="24"/>
        </w:rPr>
        <w:t>73</w:t>
      </w:r>
      <w:r>
        <w:rPr>
          <w:color w:val="auto"/>
          <w:sz w:val="24"/>
        </w:rPr>
        <w:fldChar w:fldCharType="end"/>
      </w:r>
      <w:r>
        <w:rPr>
          <w:color w:val="auto"/>
          <w:sz w:val="24"/>
        </w:rPr>
        <w:fldChar w:fldCharType="end"/>
      </w:r>
    </w:p>
    <w:p w14:paraId="7AFAE779">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_Toc27595 </w:instrText>
      </w:r>
      <w:r>
        <w:rPr>
          <w:color w:val="auto"/>
          <w:sz w:val="24"/>
        </w:rPr>
        <w:fldChar w:fldCharType="separate"/>
      </w:r>
      <w:r>
        <w:rPr>
          <w:rFonts w:hint="eastAsia"/>
          <w:color w:val="auto"/>
          <w:sz w:val="24"/>
        </w:rPr>
        <w:t>5.1.3 厂址及总平面布置安全检查表</w:t>
      </w:r>
      <w:r>
        <w:rPr>
          <w:color w:val="auto"/>
          <w:sz w:val="24"/>
        </w:rPr>
        <w:tab/>
      </w:r>
      <w:r>
        <w:rPr>
          <w:color w:val="auto"/>
          <w:sz w:val="24"/>
        </w:rPr>
        <w:fldChar w:fldCharType="begin"/>
      </w:r>
      <w:r>
        <w:rPr>
          <w:color w:val="auto"/>
          <w:sz w:val="24"/>
        </w:rPr>
        <w:instrText xml:space="preserve"> PAGEREF _Toc27595 \h </w:instrText>
      </w:r>
      <w:r>
        <w:rPr>
          <w:color w:val="auto"/>
          <w:sz w:val="24"/>
        </w:rPr>
        <w:fldChar w:fldCharType="separate"/>
      </w:r>
      <w:r>
        <w:rPr>
          <w:color w:val="auto"/>
          <w:sz w:val="24"/>
        </w:rPr>
        <w:t>76</w:t>
      </w:r>
      <w:r>
        <w:rPr>
          <w:color w:val="auto"/>
          <w:sz w:val="24"/>
        </w:rPr>
        <w:fldChar w:fldCharType="end"/>
      </w:r>
      <w:r>
        <w:rPr>
          <w:color w:val="auto"/>
          <w:sz w:val="24"/>
        </w:rPr>
        <w:fldChar w:fldCharType="end"/>
      </w:r>
    </w:p>
    <w:p w14:paraId="45DF39FD">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_Toc678 </w:instrText>
      </w:r>
      <w:r>
        <w:rPr>
          <w:color w:val="auto"/>
          <w:sz w:val="24"/>
        </w:rPr>
        <w:fldChar w:fldCharType="separate"/>
      </w:r>
      <w:r>
        <w:rPr>
          <w:rFonts w:hint="eastAsia"/>
          <w:color w:val="auto"/>
          <w:sz w:val="24"/>
        </w:rPr>
        <w:t>5.1.4 单元小结</w:t>
      </w:r>
      <w:r>
        <w:rPr>
          <w:color w:val="auto"/>
          <w:sz w:val="24"/>
        </w:rPr>
        <w:tab/>
      </w:r>
      <w:r>
        <w:rPr>
          <w:color w:val="auto"/>
          <w:sz w:val="24"/>
        </w:rPr>
        <w:fldChar w:fldCharType="begin"/>
      </w:r>
      <w:r>
        <w:rPr>
          <w:color w:val="auto"/>
          <w:sz w:val="24"/>
        </w:rPr>
        <w:instrText xml:space="preserve"> PAGEREF _Toc678 \h </w:instrText>
      </w:r>
      <w:r>
        <w:rPr>
          <w:color w:val="auto"/>
          <w:sz w:val="24"/>
        </w:rPr>
        <w:fldChar w:fldCharType="separate"/>
      </w:r>
      <w:r>
        <w:rPr>
          <w:color w:val="auto"/>
          <w:sz w:val="24"/>
        </w:rPr>
        <w:t>80</w:t>
      </w:r>
      <w:r>
        <w:rPr>
          <w:color w:val="auto"/>
          <w:sz w:val="24"/>
        </w:rPr>
        <w:fldChar w:fldCharType="end"/>
      </w:r>
      <w:r>
        <w:rPr>
          <w:color w:val="auto"/>
          <w:sz w:val="24"/>
        </w:rPr>
        <w:fldChar w:fldCharType="end"/>
      </w:r>
    </w:p>
    <w:p w14:paraId="1F9FFF0C">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_Toc31073 </w:instrText>
      </w:r>
      <w:r>
        <w:rPr>
          <w:color w:val="auto"/>
          <w:sz w:val="24"/>
        </w:rPr>
        <w:fldChar w:fldCharType="separate"/>
      </w:r>
      <w:r>
        <w:rPr>
          <w:rFonts w:hint="eastAsia"/>
          <w:color w:val="auto"/>
          <w:sz w:val="24"/>
        </w:rPr>
        <w:t>5.2 选矿工艺单元</w:t>
      </w:r>
      <w:r>
        <w:rPr>
          <w:color w:val="auto"/>
          <w:sz w:val="24"/>
        </w:rPr>
        <w:tab/>
      </w:r>
      <w:r>
        <w:rPr>
          <w:color w:val="auto"/>
          <w:sz w:val="24"/>
        </w:rPr>
        <w:fldChar w:fldCharType="begin"/>
      </w:r>
      <w:r>
        <w:rPr>
          <w:color w:val="auto"/>
          <w:sz w:val="24"/>
        </w:rPr>
        <w:instrText xml:space="preserve"> PAGEREF _Toc31073 \h </w:instrText>
      </w:r>
      <w:r>
        <w:rPr>
          <w:color w:val="auto"/>
          <w:sz w:val="24"/>
        </w:rPr>
        <w:fldChar w:fldCharType="separate"/>
      </w:r>
      <w:r>
        <w:rPr>
          <w:color w:val="auto"/>
          <w:sz w:val="24"/>
        </w:rPr>
        <w:t>80</w:t>
      </w:r>
      <w:r>
        <w:rPr>
          <w:color w:val="auto"/>
          <w:sz w:val="24"/>
        </w:rPr>
        <w:fldChar w:fldCharType="end"/>
      </w:r>
      <w:r>
        <w:rPr>
          <w:color w:val="auto"/>
          <w:sz w:val="24"/>
        </w:rPr>
        <w:fldChar w:fldCharType="end"/>
      </w:r>
    </w:p>
    <w:p w14:paraId="7B52BDAF">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_Toc31733 </w:instrText>
      </w:r>
      <w:r>
        <w:rPr>
          <w:color w:val="auto"/>
          <w:sz w:val="24"/>
        </w:rPr>
        <w:fldChar w:fldCharType="separate"/>
      </w:r>
      <w:r>
        <w:rPr>
          <w:rFonts w:hint="eastAsia"/>
          <w:color w:val="auto"/>
          <w:sz w:val="24"/>
        </w:rPr>
        <w:t>5.2.1 原料堆场评价子单元</w:t>
      </w:r>
      <w:r>
        <w:rPr>
          <w:color w:val="auto"/>
          <w:sz w:val="24"/>
        </w:rPr>
        <w:tab/>
      </w:r>
      <w:r>
        <w:rPr>
          <w:color w:val="auto"/>
          <w:sz w:val="24"/>
        </w:rPr>
        <w:fldChar w:fldCharType="begin"/>
      </w:r>
      <w:r>
        <w:rPr>
          <w:color w:val="auto"/>
          <w:sz w:val="24"/>
        </w:rPr>
        <w:instrText xml:space="preserve"> PAGEREF _Toc31733 \h </w:instrText>
      </w:r>
      <w:r>
        <w:rPr>
          <w:color w:val="auto"/>
          <w:sz w:val="24"/>
        </w:rPr>
        <w:fldChar w:fldCharType="separate"/>
      </w:r>
      <w:r>
        <w:rPr>
          <w:color w:val="auto"/>
          <w:sz w:val="24"/>
        </w:rPr>
        <w:t>80</w:t>
      </w:r>
      <w:r>
        <w:rPr>
          <w:color w:val="auto"/>
          <w:sz w:val="24"/>
        </w:rPr>
        <w:fldChar w:fldCharType="end"/>
      </w:r>
      <w:r>
        <w:rPr>
          <w:color w:val="auto"/>
          <w:sz w:val="24"/>
        </w:rPr>
        <w:fldChar w:fldCharType="end"/>
      </w:r>
    </w:p>
    <w:p w14:paraId="48F3751D">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_Toc13788 </w:instrText>
      </w:r>
      <w:r>
        <w:rPr>
          <w:color w:val="auto"/>
          <w:sz w:val="24"/>
        </w:rPr>
        <w:fldChar w:fldCharType="separate"/>
      </w:r>
      <w:r>
        <w:rPr>
          <w:rFonts w:hint="eastAsia"/>
          <w:color w:val="auto"/>
          <w:sz w:val="24"/>
          <w:lang w:val="en-US" w:eastAsia="zh-CN"/>
        </w:rPr>
        <w:t>5.2.2 磨选系统评价子单元</w:t>
      </w:r>
      <w:r>
        <w:rPr>
          <w:color w:val="auto"/>
          <w:sz w:val="24"/>
        </w:rPr>
        <w:tab/>
      </w:r>
      <w:r>
        <w:rPr>
          <w:color w:val="auto"/>
          <w:sz w:val="24"/>
        </w:rPr>
        <w:fldChar w:fldCharType="begin"/>
      </w:r>
      <w:r>
        <w:rPr>
          <w:color w:val="auto"/>
          <w:sz w:val="24"/>
        </w:rPr>
        <w:instrText xml:space="preserve"> PAGEREF _Toc13788 \h </w:instrText>
      </w:r>
      <w:r>
        <w:rPr>
          <w:color w:val="auto"/>
          <w:sz w:val="24"/>
        </w:rPr>
        <w:fldChar w:fldCharType="separate"/>
      </w:r>
      <w:r>
        <w:rPr>
          <w:color w:val="auto"/>
          <w:sz w:val="24"/>
        </w:rPr>
        <w:t>83</w:t>
      </w:r>
      <w:r>
        <w:rPr>
          <w:color w:val="auto"/>
          <w:sz w:val="24"/>
        </w:rPr>
        <w:fldChar w:fldCharType="end"/>
      </w:r>
      <w:r>
        <w:rPr>
          <w:color w:val="auto"/>
          <w:sz w:val="24"/>
        </w:rPr>
        <w:fldChar w:fldCharType="end"/>
      </w:r>
    </w:p>
    <w:p w14:paraId="41405FD0">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_Toc8561 </w:instrText>
      </w:r>
      <w:r>
        <w:rPr>
          <w:color w:val="auto"/>
          <w:sz w:val="24"/>
        </w:rPr>
        <w:fldChar w:fldCharType="separate"/>
      </w:r>
      <w:r>
        <w:rPr>
          <w:rFonts w:hint="eastAsia"/>
          <w:color w:val="auto"/>
          <w:sz w:val="24"/>
        </w:rPr>
        <w:t>5.2.3</w:t>
      </w:r>
      <w:r>
        <w:rPr>
          <w:rFonts w:hint="eastAsia"/>
          <w:color w:val="auto"/>
          <w:sz w:val="24"/>
          <w:lang w:val="en-US" w:eastAsia="zh-CN"/>
        </w:rPr>
        <w:t xml:space="preserve"> </w:t>
      </w:r>
      <w:r>
        <w:rPr>
          <w:rFonts w:hint="eastAsia"/>
          <w:color w:val="auto"/>
          <w:sz w:val="24"/>
        </w:rPr>
        <w:t>磁选系统评价子单元</w:t>
      </w:r>
      <w:r>
        <w:rPr>
          <w:color w:val="auto"/>
          <w:sz w:val="24"/>
        </w:rPr>
        <w:tab/>
      </w:r>
      <w:r>
        <w:rPr>
          <w:color w:val="auto"/>
          <w:sz w:val="24"/>
        </w:rPr>
        <w:fldChar w:fldCharType="begin"/>
      </w:r>
      <w:r>
        <w:rPr>
          <w:color w:val="auto"/>
          <w:sz w:val="24"/>
        </w:rPr>
        <w:instrText xml:space="preserve"> PAGEREF _Toc8561 \h </w:instrText>
      </w:r>
      <w:r>
        <w:rPr>
          <w:color w:val="auto"/>
          <w:sz w:val="24"/>
        </w:rPr>
        <w:fldChar w:fldCharType="separate"/>
      </w:r>
      <w:r>
        <w:rPr>
          <w:color w:val="auto"/>
          <w:sz w:val="24"/>
        </w:rPr>
        <w:t>87</w:t>
      </w:r>
      <w:r>
        <w:rPr>
          <w:color w:val="auto"/>
          <w:sz w:val="24"/>
        </w:rPr>
        <w:fldChar w:fldCharType="end"/>
      </w:r>
      <w:r>
        <w:rPr>
          <w:color w:val="auto"/>
          <w:sz w:val="24"/>
        </w:rPr>
        <w:fldChar w:fldCharType="end"/>
      </w:r>
    </w:p>
    <w:p w14:paraId="23BCED4C">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_Toc14403 </w:instrText>
      </w:r>
      <w:r>
        <w:rPr>
          <w:color w:val="auto"/>
          <w:sz w:val="24"/>
        </w:rPr>
        <w:fldChar w:fldCharType="separate"/>
      </w:r>
      <w:r>
        <w:rPr>
          <w:rFonts w:hint="eastAsia"/>
          <w:color w:val="auto"/>
          <w:sz w:val="24"/>
          <w:lang w:val="en-US" w:eastAsia="zh-CN"/>
        </w:rPr>
        <w:t>5.2.4 重选系统评价子单元</w:t>
      </w:r>
      <w:r>
        <w:rPr>
          <w:color w:val="auto"/>
          <w:sz w:val="24"/>
        </w:rPr>
        <w:tab/>
      </w:r>
      <w:r>
        <w:rPr>
          <w:color w:val="auto"/>
          <w:sz w:val="24"/>
        </w:rPr>
        <w:fldChar w:fldCharType="begin"/>
      </w:r>
      <w:r>
        <w:rPr>
          <w:color w:val="auto"/>
          <w:sz w:val="24"/>
        </w:rPr>
        <w:instrText xml:space="preserve"> PAGEREF _Toc14403 \h </w:instrText>
      </w:r>
      <w:r>
        <w:rPr>
          <w:color w:val="auto"/>
          <w:sz w:val="24"/>
        </w:rPr>
        <w:fldChar w:fldCharType="separate"/>
      </w:r>
      <w:r>
        <w:rPr>
          <w:color w:val="auto"/>
          <w:sz w:val="24"/>
        </w:rPr>
        <w:t>91</w:t>
      </w:r>
      <w:r>
        <w:rPr>
          <w:color w:val="auto"/>
          <w:sz w:val="24"/>
        </w:rPr>
        <w:fldChar w:fldCharType="end"/>
      </w:r>
      <w:r>
        <w:rPr>
          <w:color w:val="auto"/>
          <w:sz w:val="24"/>
        </w:rPr>
        <w:fldChar w:fldCharType="end"/>
      </w:r>
    </w:p>
    <w:p w14:paraId="6EADEDDC">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_Toc14030 </w:instrText>
      </w:r>
      <w:r>
        <w:rPr>
          <w:color w:val="auto"/>
          <w:sz w:val="24"/>
        </w:rPr>
        <w:fldChar w:fldCharType="separate"/>
      </w:r>
      <w:r>
        <w:rPr>
          <w:rFonts w:hint="default"/>
          <w:color w:val="auto"/>
          <w:sz w:val="24"/>
        </w:rPr>
        <w:t>5.2.</w:t>
      </w:r>
      <w:r>
        <w:rPr>
          <w:rFonts w:hint="eastAsia"/>
          <w:color w:val="auto"/>
          <w:sz w:val="24"/>
          <w:lang w:val="en-US" w:eastAsia="zh-CN"/>
        </w:rPr>
        <w:t xml:space="preserve">5 </w:t>
      </w:r>
      <w:r>
        <w:rPr>
          <w:rFonts w:hint="default"/>
          <w:color w:val="auto"/>
          <w:sz w:val="24"/>
        </w:rPr>
        <w:t>机械伤害事故树分析</w:t>
      </w:r>
      <w:r>
        <w:rPr>
          <w:color w:val="auto"/>
          <w:sz w:val="24"/>
        </w:rPr>
        <w:tab/>
      </w:r>
      <w:r>
        <w:rPr>
          <w:color w:val="auto"/>
          <w:sz w:val="24"/>
        </w:rPr>
        <w:fldChar w:fldCharType="begin"/>
      </w:r>
      <w:r>
        <w:rPr>
          <w:color w:val="auto"/>
          <w:sz w:val="24"/>
        </w:rPr>
        <w:instrText xml:space="preserve"> PAGEREF _Toc14030 \h </w:instrText>
      </w:r>
      <w:r>
        <w:rPr>
          <w:color w:val="auto"/>
          <w:sz w:val="24"/>
        </w:rPr>
        <w:fldChar w:fldCharType="separate"/>
      </w:r>
      <w:r>
        <w:rPr>
          <w:color w:val="auto"/>
          <w:sz w:val="24"/>
        </w:rPr>
        <w:t>94</w:t>
      </w:r>
      <w:r>
        <w:rPr>
          <w:color w:val="auto"/>
          <w:sz w:val="24"/>
        </w:rPr>
        <w:fldChar w:fldCharType="end"/>
      </w:r>
      <w:r>
        <w:rPr>
          <w:color w:val="auto"/>
          <w:sz w:val="24"/>
        </w:rPr>
        <w:fldChar w:fldCharType="end"/>
      </w:r>
    </w:p>
    <w:p w14:paraId="304E7178">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_Toc17181 </w:instrText>
      </w:r>
      <w:r>
        <w:rPr>
          <w:color w:val="auto"/>
          <w:sz w:val="24"/>
        </w:rPr>
        <w:fldChar w:fldCharType="separate"/>
      </w:r>
      <w:r>
        <w:rPr>
          <w:rFonts w:hint="eastAsia"/>
          <w:color w:val="auto"/>
          <w:sz w:val="24"/>
        </w:rPr>
        <w:t>5.2.</w:t>
      </w:r>
      <w:r>
        <w:rPr>
          <w:rFonts w:hint="eastAsia"/>
          <w:color w:val="auto"/>
          <w:sz w:val="24"/>
          <w:lang w:val="en-US" w:eastAsia="zh-CN"/>
        </w:rPr>
        <w:t xml:space="preserve">6 </w:t>
      </w:r>
      <w:r>
        <w:rPr>
          <w:rFonts w:hint="eastAsia"/>
          <w:color w:val="auto"/>
          <w:sz w:val="24"/>
        </w:rPr>
        <w:t>回水系统评价子单元</w:t>
      </w:r>
      <w:r>
        <w:rPr>
          <w:color w:val="auto"/>
          <w:sz w:val="24"/>
        </w:rPr>
        <w:tab/>
      </w:r>
      <w:r>
        <w:rPr>
          <w:color w:val="auto"/>
          <w:sz w:val="24"/>
        </w:rPr>
        <w:fldChar w:fldCharType="begin"/>
      </w:r>
      <w:r>
        <w:rPr>
          <w:color w:val="auto"/>
          <w:sz w:val="24"/>
        </w:rPr>
        <w:instrText xml:space="preserve"> PAGEREF _Toc17181 \h </w:instrText>
      </w:r>
      <w:r>
        <w:rPr>
          <w:color w:val="auto"/>
          <w:sz w:val="24"/>
        </w:rPr>
        <w:fldChar w:fldCharType="separate"/>
      </w:r>
      <w:r>
        <w:rPr>
          <w:color w:val="auto"/>
          <w:sz w:val="24"/>
        </w:rPr>
        <w:t>99</w:t>
      </w:r>
      <w:r>
        <w:rPr>
          <w:color w:val="auto"/>
          <w:sz w:val="24"/>
        </w:rPr>
        <w:fldChar w:fldCharType="end"/>
      </w:r>
      <w:r>
        <w:rPr>
          <w:color w:val="auto"/>
          <w:sz w:val="24"/>
        </w:rPr>
        <w:fldChar w:fldCharType="end"/>
      </w:r>
    </w:p>
    <w:p w14:paraId="62F92896">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_Toc21386 </w:instrText>
      </w:r>
      <w:r>
        <w:rPr>
          <w:color w:val="auto"/>
          <w:sz w:val="24"/>
        </w:rPr>
        <w:fldChar w:fldCharType="separate"/>
      </w:r>
      <w:r>
        <w:rPr>
          <w:rFonts w:hint="eastAsia"/>
          <w:color w:val="auto"/>
          <w:sz w:val="24"/>
        </w:rPr>
        <w:t>5.2.</w:t>
      </w:r>
      <w:r>
        <w:rPr>
          <w:rFonts w:hint="eastAsia"/>
          <w:color w:val="auto"/>
          <w:sz w:val="24"/>
          <w:lang w:val="en-US" w:eastAsia="zh-CN"/>
        </w:rPr>
        <w:t xml:space="preserve">7 </w:t>
      </w:r>
      <w:r>
        <w:rPr>
          <w:rFonts w:hint="eastAsia"/>
          <w:color w:val="auto"/>
          <w:sz w:val="24"/>
        </w:rPr>
        <w:t>脱水系统评价子单元</w:t>
      </w:r>
      <w:r>
        <w:rPr>
          <w:color w:val="auto"/>
          <w:sz w:val="24"/>
        </w:rPr>
        <w:tab/>
      </w:r>
      <w:r>
        <w:rPr>
          <w:color w:val="auto"/>
          <w:sz w:val="24"/>
        </w:rPr>
        <w:fldChar w:fldCharType="begin"/>
      </w:r>
      <w:r>
        <w:rPr>
          <w:color w:val="auto"/>
          <w:sz w:val="24"/>
        </w:rPr>
        <w:instrText xml:space="preserve"> PAGEREF _Toc21386 \h </w:instrText>
      </w:r>
      <w:r>
        <w:rPr>
          <w:color w:val="auto"/>
          <w:sz w:val="24"/>
        </w:rPr>
        <w:fldChar w:fldCharType="separate"/>
      </w:r>
      <w:r>
        <w:rPr>
          <w:color w:val="auto"/>
          <w:sz w:val="24"/>
        </w:rPr>
        <w:t>101</w:t>
      </w:r>
      <w:r>
        <w:rPr>
          <w:color w:val="auto"/>
          <w:sz w:val="24"/>
        </w:rPr>
        <w:fldChar w:fldCharType="end"/>
      </w:r>
      <w:r>
        <w:rPr>
          <w:color w:val="auto"/>
          <w:sz w:val="24"/>
        </w:rPr>
        <w:fldChar w:fldCharType="end"/>
      </w:r>
    </w:p>
    <w:p w14:paraId="2107B173">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_Toc23202 </w:instrText>
      </w:r>
      <w:r>
        <w:rPr>
          <w:color w:val="auto"/>
          <w:sz w:val="24"/>
        </w:rPr>
        <w:fldChar w:fldCharType="separate"/>
      </w:r>
      <w:r>
        <w:rPr>
          <w:rFonts w:hint="eastAsia"/>
          <w:color w:val="auto"/>
          <w:sz w:val="24"/>
          <w:lang w:val="en-US" w:eastAsia="zh-CN"/>
        </w:rPr>
        <w:t>5.2.8 烘干系统评价子单元</w:t>
      </w:r>
      <w:r>
        <w:rPr>
          <w:color w:val="auto"/>
          <w:sz w:val="24"/>
        </w:rPr>
        <w:tab/>
      </w:r>
      <w:r>
        <w:rPr>
          <w:color w:val="auto"/>
          <w:sz w:val="24"/>
        </w:rPr>
        <w:fldChar w:fldCharType="begin"/>
      </w:r>
      <w:r>
        <w:rPr>
          <w:color w:val="auto"/>
          <w:sz w:val="24"/>
        </w:rPr>
        <w:instrText xml:space="preserve"> PAGEREF _Toc23202 \h </w:instrText>
      </w:r>
      <w:r>
        <w:rPr>
          <w:color w:val="auto"/>
          <w:sz w:val="24"/>
        </w:rPr>
        <w:fldChar w:fldCharType="separate"/>
      </w:r>
      <w:r>
        <w:rPr>
          <w:color w:val="auto"/>
          <w:sz w:val="24"/>
        </w:rPr>
        <w:t>103</w:t>
      </w:r>
      <w:r>
        <w:rPr>
          <w:color w:val="auto"/>
          <w:sz w:val="24"/>
        </w:rPr>
        <w:fldChar w:fldCharType="end"/>
      </w:r>
      <w:r>
        <w:rPr>
          <w:color w:val="auto"/>
          <w:sz w:val="24"/>
        </w:rPr>
        <w:fldChar w:fldCharType="end"/>
      </w:r>
    </w:p>
    <w:p w14:paraId="5F99E7A7">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_Toc21233 </w:instrText>
      </w:r>
      <w:r>
        <w:rPr>
          <w:color w:val="auto"/>
          <w:sz w:val="24"/>
        </w:rPr>
        <w:fldChar w:fldCharType="separate"/>
      </w:r>
      <w:r>
        <w:rPr>
          <w:rFonts w:hint="eastAsia"/>
          <w:color w:val="auto"/>
          <w:sz w:val="24"/>
        </w:rPr>
        <w:t>5.2.</w:t>
      </w:r>
      <w:r>
        <w:rPr>
          <w:rFonts w:hint="eastAsia"/>
          <w:color w:val="auto"/>
          <w:sz w:val="24"/>
          <w:lang w:val="en-US" w:eastAsia="zh-CN"/>
        </w:rPr>
        <w:t xml:space="preserve">9 </w:t>
      </w:r>
      <w:r>
        <w:rPr>
          <w:rFonts w:hint="eastAsia"/>
          <w:color w:val="auto"/>
          <w:sz w:val="24"/>
        </w:rPr>
        <w:t>评价单元小结</w:t>
      </w:r>
      <w:r>
        <w:rPr>
          <w:color w:val="auto"/>
          <w:sz w:val="24"/>
        </w:rPr>
        <w:tab/>
      </w:r>
      <w:r>
        <w:rPr>
          <w:color w:val="auto"/>
          <w:sz w:val="24"/>
        </w:rPr>
        <w:fldChar w:fldCharType="begin"/>
      </w:r>
      <w:r>
        <w:rPr>
          <w:color w:val="auto"/>
          <w:sz w:val="24"/>
        </w:rPr>
        <w:instrText xml:space="preserve"> PAGEREF _Toc21233 \h </w:instrText>
      </w:r>
      <w:r>
        <w:rPr>
          <w:color w:val="auto"/>
          <w:sz w:val="24"/>
        </w:rPr>
        <w:fldChar w:fldCharType="separate"/>
      </w:r>
      <w:r>
        <w:rPr>
          <w:color w:val="auto"/>
          <w:sz w:val="24"/>
        </w:rPr>
        <w:t>106</w:t>
      </w:r>
      <w:r>
        <w:rPr>
          <w:color w:val="auto"/>
          <w:sz w:val="24"/>
        </w:rPr>
        <w:fldChar w:fldCharType="end"/>
      </w:r>
      <w:r>
        <w:rPr>
          <w:color w:val="auto"/>
          <w:sz w:val="24"/>
        </w:rPr>
        <w:fldChar w:fldCharType="end"/>
      </w:r>
    </w:p>
    <w:p w14:paraId="7DB629F6">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_Toc23856 </w:instrText>
      </w:r>
      <w:r>
        <w:rPr>
          <w:color w:val="auto"/>
          <w:sz w:val="24"/>
        </w:rPr>
        <w:fldChar w:fldCharType="separate"/>
      </w:r>
      <w:r>
        <w:rPr>
          <w:rFonts w:hint="eastAsia"/>
          <w:color w:val="auto"/>
          <w:sz w:val="24"/>
        </w:rPr>
        <w:t>5.3</w:t>
      </w:r>
      <w:r>
        <w:rPr>
          <w:rFonts w:hint="eastAsia"/>
          <w:color w:val="auto"/>
          <w:sz w:val="24"/>
          <w:lang w:val="en-US" w:eastAsia="zh-CN"/>
        </w:rPr>
        <w:t xml:space="preserve"> </w:t>
      </w:r>
      <w:r>
        <w:rPr>
          <w:rFonts w:hint="eastAsia"/>
          <w:color w:val="auto"/>
          <w:sz w:val="24"/>
        </w:rPr>
        <w:t>给排水系统单元</w:t>
      </w:r>
      <w:r>
        <w:rPr>
          <w:color w:val="auto"/>
          <w:sz w:val="24"/>
        </w:rPr>
        <w:tab/>
      </w:r>
      <w:r>
        <w:rPr>
          <w:color w:val="auto"/>
          <w:sz w:val="24"/>
        </w:rPr>
        <w:fldChar w:fldCharType="begin"/>
      </w:r>
      <w:r>
        <w:rPr>
          <w:color w:val="auto"/>
          <w:sz w:val="24"/>
        </w:rPr>
        <w:instrText xml:space="preserve"> PAGEREF _Toc23856 \h </w:instrText>
      </w:r>
      <w:r>
        <w:rPr>
          <w:color w:val="auto"/>
          <w:sz w:val="24"/>
        </w:rPr>
        <w:fldChar w:fldCharType="separate"/>
      </w:r>
      <w:r>
        <w:rPr>
          <w:color w:val="auto"/>
          <w:sz w:val="24"/>
        </w:rPr>
        <w:t>106</w:t>
      </w:r>
      <w:r>
        <w:rPr>
          <w:color w:val="auto"/>
          <w:sz w:val="24"/>
        </w:rPr>
        <w:fldChar w:fldCharType="end"/>
      </w:r>
      <w:r>
        <w:rPr>
          <w:color w:val="auto"/>
          <w:sz w:val="24"/>
        </w:rPr>
        <w:fldChar w:fldCharType="end"/>
      </w:r>
    </w:p>
    <w:p w14:paraId="4F7F0074">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_Toc20763 </w:instrText>
      </w:r>
      <w:r>
        <w:rPr>
          <w:color w:val="auto"/>
          <w:sz w:val="24"/>
        </w:rPr>
        <w:fldChar w:fldCharType="separate"/>
      </w:r>
      <w:r>
        <w:rPr>
          <w:rFonts w:hint="eastAsia"/>
          <w:color w:val="auto"/>
          <w:sz w:val="24"/>
        </w:rPr>
        <w:t>5.3.1</w:t>
      </w:r>
      <w:r>
        <w:rPr>
          <w:rFonts w:hint="eastAsia"/>
          <w:color w:val="auto"/>
          <w:sz w:val="24"/>
          <w:lang w:val="en-US" w:eastAsia="zh-CN"/>
        </w:rPr>
        <w:t xml:space="preserve"> </w:t>
      </w:r>
      <w:r>
        <w:rPr>
          <w:rFonts w:hint="eastAsia"/>
          <w:color w:val="auto"/>
          <w:sz w:val="24"/>
          <w:lang w:eastAsia="zh-CN"/>
        </w:rPr>
        <w:t>给排水系统</w:t>
      </w:r>
      <w:r>
        <w:rPr>
          <w:rFonts w:hint="eastAsia"/>
          <w:color w:val="auto"/>
          <w:sz w:val="24"/>
        </w:rPr>
        <w:t>预先危险性分析</w:t>
      </w:r>
      <w:r>
        <w:rPr>
          <w:color w:val="auto"/>
          <w:sz w:val="24"/>
        </w:rPr>
        <w:tab/>
      </w:r>
      <w:r>
        <w:rPr>
          <w:color w:val="auto"/>
          <w:sz w:val="24"/>
        </w:rPr>
        <w:fldChar w:fldCharType="begin"/>
      </w:r>
      <w:r>
        <w:rPr>
          <w:color w:val="auto"/>
          <w:sz w:val="24"/>
        </w:rPr>
        <w:instrText xml:space="preserve"> PAGEREF _Toc20763 \h </w:instrText>
      </w:r>
      <w:r>
        <w:rPr>
          <w:color w:val="auto"/>
          <w:sz w:val="24"/>
        </w:rPr>
        <w:fldChar w:fldCharType="separate"/>
      </w:r>
      <w:r>
        <w:rPr>
          <w:color w:val="auto"/>
          <w:sz w:val="24"/>
        </w:rPr>
        <w:t>106</w:t>
      </w:r>
      <w:r>
        <w:rPr>
          <w:color w:val="auto"/>
          <w:sz w:val="24"/>
        </w:rPr>
        <w:fldChar w:fldCharType="end"/>
      </w:r>
      <w:r>
        <w:rPr>
          <w:color w:val="auto"/>
          <w:sz w:val="24"/>
        </w:rPr>
        <w:fldChar w:fldCharType="end"/>
      </w:r>
    </w:p>
    <w:p w14:paraId="0478F2A9">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_Toc14545 </w:instrText>
      </w:r>
      <w:r>
        <w:rPr>
          <w:color w:val="auto"/>
          <w:sz w:val="24"/>
        </w:rPr>
        <w:fldChar w:fldCharType="separate"/>
      </w:r>
      <w:r>
        <w:rPr>
          <w:rFonts w:hint="eastAsia"/>
          <w:color w:val="auto"/>
          <w:sz w:val="24"/>
        </w:rPr>
        <w:t>5.3.2</w:t>
      </w:r>
      <w:r>
        <w:rPr>
          <w:rFonts w:hint="eastAsia"/>
          <w:color w:val="auto"/>
          <w:sz w:val="24"/>
          <w:lang w:val="en-US" w:eastAsia="zh-CN"/>
        </w:rPr>
        <w:t xml:space="preserve"> </w:t>
      </w:r>
      <w:r>
        <w:rPr>
          <w:rFonts w:hint="eastAsia"/>
          <w:color w:val="auto"/>
          <w:sz w:val="24"/>
          <w:lang w:eastAsia="zh-CN"/>
        </w:rPr>
        <w:t>给排水系统</w:t>
      </w:r>
      <w:r>
        <w:rPr>
          <w:rFonts w:hint="eastAsia"/>
          <w:color w:val="auto"/>
          <w:sz w:val="24"/>
        </w:rPr>
        <w:t>安全检查表</w:t>
      </w:r>
      <w:r>
        <w:rPr>
          <w:color w:val="auto"/>
          <w:sz w:val="24"/>
        </w:rPr>
        <w:tab/>
      </w:r>
      <w:r>
        <w:rPr>
          <w:color w:val="auto"/>
          <w:sz w:val="24"/>
        </w:rPr>
        <w:fldChar w:fldCharType="begin"/>
      </w:r>
      <w:r>
        <w:rPr>
          <w:color w:val="auto"/>
          <w:sz w:val="24"/>
        </w:rPr>
        <w:instrText xml:space="preserve"> PAGEREF _Toc14545 \h </w:instrText>
      </w:r>
      <w:r>
        <w:rPr>
          <w:color w:val="auto"/>
          <w:sz w:val="24"/>
        </w:rPr>
        <w:fldChar w:fldCharType="separate"/>
      </w:r>
      <w:r>
        <w:rPr>
          <w:color w:val="auto"/>
          <w:sz w:val="24"/>
        </w:rPr>
        <w:t>107</w:t>
      </w:r>
      <w:r>
        <w:rPr>
          <w:color w:val="auto"/>
          <w:sz w:val="24"/>
        </w:rPr>
        <w:fldChar w:fldCharType="end"/>
      </w:r>
      <w:r>
        <w:rPr>
          <w:color w:val="auto"/>
          <w:sz w:val="24"/>
        </w:rPr>
        <w:fldChar w:fldCharType="end"/>
      </w:r>
    </w:p>
    <w:p w14:paraId="4EF2CEB9">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_Toc1273 </w:instrText>
      </w:r>
      <w:r>
        <w:rPr>
          <w:color w:val="auto"/>
          <w:sz w:val="24"/>
        </w:rPr>
        <w:fldChar w:fldCharType="separate"/>
      </w:r>
      <w:r>
        <w:rPr>
          <w:rFonts w:hint="default"/>
          <w:color w:val="auto"/>
          <w:sz w:val="24"/>
        </w:rPr>
        <w:t>5.3.3</w:t>
      </w:r>
      <w:r>
        <w:rPr>
          <w:rFonts w:hint="eastAsia"/>
          <w:color w:val="auto"/>
          <w:sz w:val="24"/>
          <w:lang w:val="en-US" w:eastAsia="zh-CN"/>
        </w:rPr>
        <w:t xml:space="preserve"> 评价</w:t>
      </w:r>
      <w:r>
        <w:rPr>
          <w:rFonts w:hint="default"/>
          <w:color w:val="auto"/>
          <w:sz w:val="24"/>
        </w:rPr>
        <w:t>单元小结</w:t>
      </w:r>
      <w:r>
        <w:rPr>
          <w:color w:val="auto"/>
          <w:sz w:val="24"/>
        </w:rPr>
        <w:tab/>
      </w:r>
      <w:r>
        <w:rPr>
          <w:color w:val="auto"/>
          <w:sz w:val="24"/>
        </w:rPr>
        <w:fldChar w:fldCharType="begin"/>
      </w:r>
      <w:r>
        <w:rPr>
          <w:color w:val="auto"/>
          <w:sz w:val="24"/>
        </w:rPr>
        <w:instrText xml:space="preserve"> PAGEREF _Toc1273 \h </w:instrText>
      </w:r>
      <w:r>
        <w:rPr>
          <w:color w:val="auto"/>
          <w:sz w:val="24"/>
        </w:rPr>
        <w:fldChar w:fldCharType="separate"/>
      </w:r>
      <w:r>
        <w:rPr>
          <w:color w:val="auto"/>
          <w:sz w:val="24"/>
        </w:rPr>
        <w:t>108</w:t>
      </w:r>
      <w:r>
        <w:rPr>
          <w:color w:val="auto"/>
          <w:sz w:val="24"/>
        </w:rPr>
        <w:fldChar w:fldCharType="end"/>
      </w:r>
      <w:r>
        <w:rPr>
          <w:color w:val="auto"/>
          <w:sz w:val="24"/>
        </w:rPr>
        <w:fldChar w:fldCharType="end"/>
      </w:r>
    </w:p>
    <w:p w14:paraId="445B3052">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_Toc28056 </w:instrText>
      </w:r>
      <w:r>
        <w:rPr>
          <w:color w:val="auto"/>
          <w:sz w:val="24"/>
        </w:rPr>
        <w:fldChar w:fldCharType="separate"/>
      </w:r>
      <w:r>
        <w:rPr>
          <w:rFonts w:hint="default"/>
          <w:color w:val="auto"/>
          <w:sz w:val="24"/>
        </w:rPr>
        <w:t>5.4</w:t>
      </w:r>
      <w:r>
        <w:rPr>
          <w:rFonts w:hint="eastAsia"/>
          <w:color w:val="auto"/>
          <w:sz w:val="24"/>
          <w:lang w:val="en-US" w:eastAsia="zh-CN"/>
        </w:rPr>
        <w:t xml:space="preserve"> </w:t>
      </w:r>
      <w:r>
        <w:rPr>
          <w:rFonts w:hint="default"/>
          <w:color w:val="auto"/>
          <w:sz w:val="24"/>
        </w:rPr>
        <w:t>供配电系统单元</w:t>
      </w:r>
      <w:r>
        <w:rPr>
          <w:color w:val="auto"/>
          <w:sz w:val="24"/>
        </w:rPr>
        <w:tab/>
      </w:r>
      <w:r>
        <w:rPr>
          <w:color w:val="auto"/>
          <w:sz w:val="24"/>
        </w:rPr>
        <w:fldChar w:fldCharType="begin"/>
      </w:r>
      <w:r>
        <w:rPr>
          <w:color w:val="auto"/>
          <w:sz w:val="24"/>
        </w:rPr>
        <w:instrText xml:space="preserve"> PAGEREF _Toc28056 \h </w:instrText>
      </w:r>
      <w:r>
        <w:rPr>
          <w:color w:val="auto"/>
          <w:sz w:val="24"/>
        </w:rPr>
        <w:fldChar w:fldCharType="separate"/>
      </w:r>
      <w:r>
        <w:rPr>
          <w:color w:val="auto"/>
          <w:sz w:val="24"/>
        </w:rPr>
        <w:t>108</w:t>
      </w:r>
      <w:r>
        <w:rPr>
          <w:color w:val="auto"/>
          <w:sz w:val="24"/>
        </w:rPr>
        <w:fldChar w:fldCharType="end"/>
      </w:r>
      <w:r>
        <w:rPr>
          <w:color w:val="auto"/>
          <w:sz w:val="24"/>
        </w:rPr>
        <w:fldChar w:fldCharType="end"/>
      </w:r>
    </w:p>
    <w:p w14:paraId="1AD28928">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_Toc1963 </w:instrText>
      </w:r>
      <w:r>
        <w:rPr>
          <w:color w:val="auto"/>
          <w:sz w:val="24"/>
        </w:rPr>
        <w:fldChar w:fldCharType="separate"/>
      </w:r>
      <w:r>
        <w:rPr>
          <w:rFonts w:hint="default"/>
          <w:color w:val="auto"/>
          <w:sz w:val="24"/>
        </w:rPr>
        <w:t>5.4.1</w:t>
      </w:r>
      <w:r>
        <w:rPr>
          <w:rFonts w:hint="eastAsia"/>
          <w:color w:val="auto"/>
          <w:sz w:val="24"/>
          <w:lang w:val="en-US" w:eastAsia="zh-CN"/>
        </w:rPr>
        <w:t xml:space="preserve"> </w:t>
      </w:r>
      <w:r>
        <w:rPr>
          <w:rFonts w:hint="default"/>
          <w:color w:val="auto"/>
          <w:sz w:val="24"/>
        </w:rPr>
        <w:t>供配电系统预先危险性分析</w:t>
      </w:r>
      <w:r>
        <w:rPr>
          <w:color w:val="auto"/>
          <w:sz w:val="24"/>
        </w:rPr>
        <w:tab/>
      </w:r>
      <w:r>
        <w:rPr>
          <w:color w:val="auto"/>
          <w:sz w:val="24"/>
        </w:rPr>
        <w:fldChar w:fldCharType="begin"/>
      </w:r>
      <w:r>
        <w:rPr>
          <w:color w:val="auto"/>
          <w:sz w:val="24"/>
        </w:rPr>
        <w:instrText xml:space="preserve"> PAGEREF _Toc1963 \h </w:instrText>
      </w:r>
      <w:r>
        <w:rPr>
          <w:color w:val="auto"/>
          <w:sz w:val="24"/>
        </w:rPr>
        <w:fldChar w:fldCharType="separate"/>
      </w:r>
      <w:r>
        <w:rPr>
          <w:color w:val="auto"/>
          <w:sz w:val="24"/>
        </w:rPr>
        <w:t>108</w:t>
      </w:r>
      <w:r>
        <w:rPr>
          <w:color w:val="auto"/>
          <w:sz w:val="24"/>
        </w:rPr>
        <w:fldChar w:fldCharType="end"/>
      </w:r>
      <w:r>
        <w:rPr>
          <w:color w:val="auto"/>
          <w:sz w:val="24"/>
        </w:rPr>
        <w:fldChar w:fldCharType="end"/>
      </w:r>
    </w:p>
    <w:p w14:paraId="7BEA6657">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_Toc19471 </w:instrText>
      </w:r>
      <w:r>
        <w:rPr>
          <w:color w:val="auto"/>
          <w:sz w:val="24"/>
        </w:rPr>
        <w:fldChar w:fldCharType="separate"/>
      </w:r>
      <w:r>
        <w:rPr>
          <w:rFonts w:hint="default"/>
          <w:color w:val="auto"/>
          <w:sz w:val="24"/>
          <w:lang w:val="en-US" w:eastAsia="zh-CN"/>
        </w:rPr>
        <w:t>5.4.2 触电事故的FTA分析</w:t>
      </w:r>
      <w:r>
        <w:rPr>
          <w:color w:val="auto"/>
          <w:sz w:val="24"/>
        </w:rPr>
        <w:tab/>
      </w:r>
      <w:r>
        <w:rPr>
          <w:color w:val="auto"/>
          <w:sz w:val="24"/>
        </w:rPr>
        <w:fldChar w:fldCharType="begin"/>
      </w:r>
      <w:r>
        <w:rPr>
          <w:color w:val="auto"/>
          <w:sz w:val="24"/>
        </w:rPr>
        <w:instrText xml:space="preserve"> PAGEREF _Toc19471 \h </w:instrText>
      </w:r>
      <w:r>
        <w:rPr>
          <w:color w:val="auto"/>
          <w:sz w:val="24"/>
        </w:rPr>
        <w:fldChar w:fldCharType="separate"/>
      </w:r>
      <w:r>
        <w:rPr>
          <w:color w:val="auto"/>
          <w:sz w:val="24"/>
        </w:rPr>
        <w:t>111</w:t>
      </w:r>
      <w:r>
        <w:rPr>
          <w:color w:val="auto"/>
          <w:sz w:val="24"/>
        </w:rPr>
        <w:fldChar w:fldCharType="end"/>
      </w:r>
      <w:r>
        <w:rPr>
          <w:color w:val="auto"/>
          <w:sz w:val="24"/>
        </w:rPr>
        <w:fldChar w:fldCharType="end"/>
      </w:r>
    </w:p>
    <w:p w14:paraId="380111E1">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_Toc23484 </w:instrText>
      </w:r>
      <w:r>
        <w:rPr>
          <w:color w:val="auto"/>
          <w:sz w:val="24"/>
        </w:rPr>
        <w:fldChar w:fldCharType="separate"/>
      </w:r>
      <w:r>
        <w:rPr>
          <w:rFonts w:hint="eastAsia"/>
          <w:color w:val="auto"/>
          <w:sz w:val="24"/>
        </w:rPr>
        <w:t>5.4.3</w:t>
      </w:r>
      <w:r>
        <w:rPr>
          <w:rFonts w:hint="eastAsia"/>
          <w:color w:val="auto"/>
          <w:sz w:val="24"/>
          <w:lang w:val="en-US" w:eastAsia="zh-CN"/>
        </w:rPr>
        <w:t xml:space="preserve"> </w:t>
      </w:r>
      <w:r>
        <w:rPr>
          <w:rFonts w:hint="eastAsia"/>
          <w:color w:val="auto"/>
          <w:sz w:val="24"/>
        </w:rPr>
        <w:t>评价</w:t>
      </w:r>
      <w:r>
        <w:rPr>
          <w:rFonts w:hint="eastAsia"/>
          <w:color w:val="auto"/>
          <w:sz w:val="24"/>
          <w:lang w:val="en-US" w:eastAsia="zh-CN"/>
        </w:rPr>
        <w:t>单元</w:t>
      </w:r>
      <w:r>
        <w:rPr>
          <w:rFonts w:hint="eastAsia"/>
          <w:color w:val="auto"/>
          <w:sz w:val="24"/>
        </w:rPr>
        <w:t>小结</w:t>
      </w:r>
      <w:r>
        <w:rPr>
          <w:color w:val="auto"/>
          <w:sz w:val="24"/>
        </w:rPr>
        <w:tab/>
      </w:r>
      <w:r>
        <w:rPr>
          <w:color w:val="auto"/>
          <w:sz w:val="24"/>
        </w:rPr>
        <w:fldChar w:fldCharType="begin"/>
      </w:r>
      <w:r>
        <w:rPr>
          <w:color w:val="auto"/>
          <w:sz w:val="24"/>
        </w:rPr>
        <w:instrText xml:space="preserve"> PAGEREF _Toc23484 \h </w:instrText>
      </w:r>
      <w:r>
        <w:rPr>
          <w:color w:val="auto"/>
          <w:sz w:val="24"/>
        </w:rPr>
        <w:fldChar w:fldCharType="separate"/>
      </w:r>
      <w:r>
        <w:rPr>
          <w:color w:val="auto"/>
          <w:sz w:val="24"/>
        </w:rPr>
        <w:t>116</w:t>
      </w:r>
      <w:r>
        <w:rPr>
          <w:color w:val="auto"/>
          <w:sz w:val="24"/>
        </w:rPr>
        <w:fldChar w:fldCharType="end"/>
      </w:r>
      <w:r>
        <w:rPr>
          <w:color w:val="auto"/>
          <w:sz w:val="24"/>
        </w:rPr>
        <w:fldChar w:fldCharType="end"/>
      </w:r>
    </w:p>
    <w:p w14:paraId="11CE72D6">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_Toc6173 </w:instrText>
      </w:r>
      <w:r>
        <w:rPr>
          <w:color w:val="auto"/>
          <w:sz w:val="24"/>
        </w:rPr>
        <w:fldChar w:fldCharType="separate"/>
      </w:r>
      <w:r>
        <w:rPr>
          <w:rFonts w:hint="default"/>
          <w:color w:val="auto"/>
          <w:sz w:val="24"/>
          <w:lang w:val="en-US" w:eastAsia="zh-CN"/>
        </w:rPr>
        <w:t>5.5 安全管理单元</w:t>
      </w:r>
      <w:r>
        <w:rPr>
          <w:color w:val="auto"/>
          <w:sz w:val="24"/>
        </w:rPr>
        <w:tab/>
      </w:r>
      <w:r>
        <w:rPr>
          <w:color w:val="auto"/>
          <w:sz w:val="24"/>
        </w:rPr>
        <w:fldChar w:fldCharType="begin"/>
      </w:r>
      <w:r>
        <w:rPr>
          <w:color w:val="auto"/>
          <w:sz w:val="24"/>
        </w:rPr>
        <w:instrText xml:space="preserve"> PAGEREF _Toc6173 \h </w:instrText>
      </w:r>
      <w:r>
        <w:rPr>
          <w:color w:val="auto"/>
          <w:sz w:val="24"/>
        </w:rPr>
        <w:fldChar w:fldCharType="separate"/>
      </w:r>
      <w:r>
        <w:rPr>
          <w:color w:val="auto"/>
          <w:sz w:val="24"/>
        </w:rPr>
        <w:t>117</w:t>
      </w:r>
      <w:r>
        <w:rPr>
          <w:color w:val="auto"/>
          <w:sz w:val="24"/>
        </w:rPr>
        <w:fldChar w:fldCharType="end"/>
      </w:r>
      <w:r>
        <w:rPr>
          <w:color w:val="auto"/>
          <w:sz w:val="24"/>
        </w:rPr>
        <w:fldChar w:fldCharType="end"/>
      </w:r>
    </w:p>
    <w:p w14:paraId="54D560BF">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_Toc23280 </w:instrText>
      </w:r>
      <w:r>
        <w:rPr>
          <w:color w:val="auto"/>
          <w:sz w:val="24"/>
        </w:rPr>
        <w:fldChar w:fldCharType="separate"/>
      </w:r>
      <w:r>
        <w:rPr>
          <w:rFonts w:hint="default"/>
          <w:color w:val="auto"/>
          <w:sz w:val="24"/>
          <w:lang w:val="en-US" w:eastAsia="zh-CN"/>
        </w:rPr>
        <w:t>5.5.1 安全管理预先危险性分析（PHA）</w:t>
      </w:r>
      <w:r>
        <w:rPr>
          <w:color w:val="auto"/>
          <w:sz w:val="24"/>
        </w:rPr>
        <w:tab/>
      </w:r>
      <w:r>
        <w:rPr>
          <w:color w:val="auto"/>
          <w:sz w:val="24"/>
        </w:rPr>
        <w:fldChar w:fldCharType="begin"/>
      </w:r>
      <w:r>
        <w:rPr>
          <w:color w:val="auto"/>
          <w:sz w:val="24"/>
        </w:rPr>
        <w:instrText xml:space="preserve"> PAGEREF _Toc23280 \h </w:instrText>
      </w:r>
      <w:r>
        <w:rPr>
          <w:color w:val="auto"/>
          <w:sz w:val="24"/>
        </w:rPr>
        <w:fldChar w:fldCharType="separate"/>
      </w:r>
      <w:r>
        <w:rPr>
          <w:color w:val="auto"/>
          <w:sz w:val="24"/>
        </w:rPr>
        <w:t>117</w:t>
      </w:r>
      <w:r>
        <w:rPr>
          <w:color w:val="auto"/>
          <w:sz w:val="24"/>
        </w:rPr>
        <w:fldChar w:fldCharType="end"/>
      </w:r>
      <w:r>
        <w:rPr>
          <w:color w:val="auto"/>
          <w:sz w:val="24"/>
        </w:rPr>
        <w:fldChar w:fldCharType="end"/>
      </w:r>
    </w:p>
    <w:p w14:paraId="581EF1F8">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_Toc15366 </w:instrText>
      </w:r>
      <w:r>
        <w:rPr>
          <w:color w:val="auto"/>
          <w:sz w:val="24"/>
        </w:rPr>
        <w:fldChar w:fldCharType="separate"/>
      </w:r>
      <w:r>
        <w:rPr>
          <w:rFonts w:hint="default"/>
          <w:color w:val="auto"/>
          <w:sz w:val="24"/>
          <w:lang w:val="en-US" w:eastAsia="zh-CN"/>
        </w:rPr>
        <w:t>5.5.2 安全管理分析</w:t>
      </w:r>
      <w:r>
        <w:rPr>
          <w:color w:val="auto"/>
          <w:sz w:val="24"/>
        </w:rPr>
        <w:tab/>
      </w:r>
      <w:r>
        <w:rPr>
          <w:color w:val="auto"/>
          <w:sz w:val="24"/>
        </w:rPr>
        <w:fldChar w:fldCharType="begin"/>
      </w:r>
      <w:r>
        <w:rPr>
          <w:color w:val="auto"/>
          <w:sz w:val="24"/>
        </w:rPr>
        <w:instrText xml:space="preserve"> PAGEREF _Toc15366 \h </w:instrText>
      </w:r>
      <w:r>
        <w:rPr>
          <w:color w:val="auto"/>
          <w:sz w:val="24"/>
        </w:rPr>
        <w:fldChar w:fldCharType="separate"/>
      </w:r>
      <w:r>
        <w:rPr>
          <w:color w:val="auto"/>
          <w:sz w:val="24"/>
        </w:rPr>
        <w:t>118</w:t>
      </w:r>
      <w:r>
        <w:rPr>
          <w:color w:val="auto"/>
          <w:sz w:val="24"/>
        </w:rPr>
        <w:fldChar w:fldCharType="end"/>
      </w:r>
      <w:r>
        <w:rPr>
          <w:color w:val="auto"/>
          <w:sz w:val="24"/>
        </w:rPr>
        <w:fldChar w:fldCharType="end"/>
      </w:r>
    </w:p>
    <w:p w14:paraId="5E89F70B">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_Toc10181 </w:instrText>
      </w:r>
      <w:r>
        <w:rPr>
          <w:color w:val="auto"/>
          <w:sz w:val="24"/>
        </w:rPr>
        <w:fldChar w:fldCharType="separate"/>
      </w:r>
      <w:r>
        <w:rPr>
          <w:rFonts w:hint="default"/>
          <w:color w:val="auto"/>
          <w:sz w:val="24"/>
          <w:lang w:val="en-US" w:eastAsia="zh-CN"/>
        </w:rPr>
        <w:t>5.5.3 评价单元小结</w:t>
      </w:r>
      <w:r>
        <w:rPr>
          <w:color w:val="auto"/>
          <w:sz w:val="24"/>
        </w:rPr>
        <w:tab/>
      </w:r>
      <w:r>
        <w:rPr>
          <w:color w:val="auto"/>
          <w:sz w:val="24"/>
        </w:rPr>
        <w:fldChar w:fldCharType="begin"/>
      </w:r>
      <w:r>
        <w:rPr>
          <w:color w:val="auto"/>
          <w:sz w:val="24"/>
        </w:rPr>
        <w:instrText xml:space="preserve"> PAGEREF _Toc10181 \h </w:instrText>
      </w:r>
      <w:r>
        <w:rPr>
          <w:color w:val="auto"/>
          <w:sz w:val="24"/>
        </w:rPr>
        <w:fldChar w:fldCharType="separate"/>
      </w:r>
      <w:r>
        <w:rPr>
          <w:color w:val="auto"/>
          <w:sz w:val="24"/>
        </w:rPr>
        <w:t>122</w:t>
      </w:r>
      <w:r>
        <w:rPr>
          <w:color w:val="auto"/>
          <w:sz w:val="24"/>
        </w:rPr>
        <w:fldChar w:fldCharType="end"/>
      </w:r>
      <w:r>
        <w:rPr>
          <w:color w:val="auto"/>
          <w:sz w:val="24"/>
        </w:rPr>
        <w:fldChar w:fldCharType="end"/>
      </w:r>
    </w:p>
    <w:p w14:paraId="69AC4D4B">
      <w:pPr>
        <w:pStyle w:val="12"/>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_Toc21617 </w:instrText>
      </w:r>
      <w:r>
        <w:rPr>
          <w:color w:val="auto"/>
          <w:sz w:val="24"/>
        </w:rPr>
        <w:fldChar w:fldCharType="separate"/>
      </w:r>
      <w:r>
        <w:rPr>
          <w:rFonts w:hint="eastAsia"/>
          <w:color w:val="auto"/>
          <w:sz w:val="24"/>
        </w:rPr>
        <w:t>6 安全对策措施建议</w:t>
      </w:r>
      <w:r>
        <w:rPr>
          <w:color w:val="auto"/>
          <w:sz w:val="24"/>
        </w:rPr>
        <w:tab/>
      </w:r>
      <w:r>
        <w:rPr>
          <w:color w:val="auto"/>
          <w:sz w:val="24"/>
        </w:rPr>
        <w:fldChar w:fldCharType="begin"/>
      </w:r>
      <w:r>
        <w:rPr>
          <w:color w:val="auto"/>
          <w:sz w:val="24"/>
        </w:rPr>
        <w:instrText xml:space="preserve"> PAGEREF _Toc21617 \h </w:instrText>
      </w:r>
      <w:r>
        <w:rPr>
          <w:color w:val="auto"/>
          <w:sz w:val="24"/>
        </w:rPr>
        <w:fldChar w:fldCharType="separate"/>
      </w:r>
      <w:r>
        <w:rPr>
          <w:color w:val="auto"/>
          <w:sz w:val="24"/>
        </w:rPr>
        <w:t>123</w:t>
      </w:r>
      <w:r>
        <w:rPr>
          <w:color w:val="auto"/>
          <w:sz w:val="24"/>
        </w:rPr>
        <w:fldChar w:fldCharType="end"/>
      </w:r>
      <w:r>
        <w:rPr>
          <w:color w:val="auto"/>
          <w:sz w:val="24"/>
        </w:rPr>
        <w:fldChar w:fldCharType="end"/>
      </w:r>
    </w:p>
    <w:p w14:paraId="121E7311">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_Toc26596 </w:instrText>
      </w:r>
      <w:r>
        <w:rPr>
          <w:color w:val="auto"/>
          <w:sz w:val="24"/>
        </w:rPr>
        <w:fldChar w:fldCharType="separate"/>
      </w:r>
      <w:r>
        <w:rPr>
          <w:rFonts w:hint="eastAsia"/>
          <w:color w:val="auto"/>
          <w:sz w:val="24"/>
        </w:rPr>
        <w:t>6.1 厂址及总平面布置单元安全对策措施建议</w:t>
      </w:r>
      <w:r>
        <w:rPr>
          <w:color w:val="auto"/>
          <w:sz w:val="24"/>
        </w:rPr>
        <w:tab/>
      </w:r>
      <w:r>
        <w:rPr>
          <w:color w:val="auto"/>
          <w:sz w:val="24"/>
        </w:rPr>
        <w:fldChar w:fldCharType="begin"/>
      </w:r>
      <w:r>
        <w:rPr>
          <w:color w:val="auto"/>
          <w:sz w:val="24"/>
        </w:rPr>
        <w:instrText xml:space="preserve"> PAGEREF _Toc26596 \h </w:instrText>
      </w:r>
      <w:r>
        <w:rPr>
          <w:color w:val="auto"/>
          <w:sz w:val="24"/>
        </w:rPr>
        <w:fldChar w:fldCharType="separate"/>
      </w:r>
      <w:r>
        <w:rPr>
          <w:color w:val="auto"/>
          <w:sz w:val="24"/>
        </w:rPr>
        <w:t>123</w:t>
      </w:r>
      <w:r>
        <w:rPr>
          <w:color w:val="auto"/>
          <w:sz w:val="24"/>
        </w:rPr>
        <w:fldChar w:fldCharType="end"/>
      </w:r>
      <w:r>
        <w:rPr>
          <w:color w:val="auto"/>
          <w:sz w:val="24"/>
        </w:rPr>
        <w:fldChar w:fldCharType="end"/>
      </w:r>
    </w:p>
    <w:p w14:paraId="26B0DDA2">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_Toc26008 </w:instrText>
      </w:r>
      <w:r>
        <w:rPr>
          <w:color w:val="auto"/>
          <w:sz w:val="24"/>
        </w:rPr>
        <w:fldChar w:fldCharType="separate"/>
      </w:r>
      <w:r>
        <w:rPr>
          <w:rFonts w:hint="eastAsia"/>
          <w:color w:val="auto"/>
          <w:sz w:val="24"/>
        </w:rPr>
        <w:t xml:space="preserve">6.2 </w:t>
      </w:r>
      <w:r>
        <w:rPr>
          <w:rFonts w:hint="eastAsia"/>
          <w:color w:val="auto"/>
          <w:sz w:val="24"/>
          <w:lang w:val="en-US" w:eastAsia="zh-CN"/>
        </w:rPr>
        <w:t>选矿</w:t>
      </w:r>
      <w:r>
        <w:rPr>
          <w:rFonts w:hint="eastAsia"/>
          <w:color w:val="auto"/>
          <w:sz w:val="24"/>
        </w:rPr>
        <w:t>工艺单元安全对策措施建议</w:t>
      </w:r>
      <w:r>
        <w:rPr>
          <w:color w:val="auto"/>
          <w:sz w:val="24"/>
        </w:rPr>
        <w:tab/>
      </w:r>
      <w:r>
        <w:rPr>
          <w:color w:val="auto"/>
          <w:sz w:val="24"/>
        </w:rPr>
        <w:fldChar w:fldCharType="begin"/>
      </w:r>
      <w:r>
        <w:rPr>
          <w:color w:val="auto"/>
          <w:sz w:val="24"/>
        </w:rPr>
        <w:instrText xml:space="preserve"> PAGEREF _Toc26008 \h </w:instrText>
      </w:r>
      <w:r>
        <w:rPr>
          <w:color w:val="auto"/>
          <w:sz w:val="24"/>
        </w:rPr>
        <w:fldChar w:fldCharType="separate"/>
      </w:r>
      <w:r>
        <w:rPr>
          <w:color w:val="auto"/>
          <w:sz w:val="24"/>
        </w:rPr>
        <w:t>124</w:t>
      </w:r>
      <w:r>
        <w:rPr>
          <w:color w:val="auto"/>
          <w:sz w:val="24"/>
        </w:rPr>
        <w:fldChar w:fldCharType="end"/>
      </w:r>
      <w:r>
        <w:rPr>
          <w:color w:val="auto"/>
          <w:sz w:val="24"/>
        </w:rPr>
        <w:fldChar w:fldCharType="end"/>
      </w:r>
    </w:p>
    <w:p w14:paraId="44AD1536">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_Toc30469 </w:instrText>
      </w:r>
      <w:r>
        <w:rPr>
          <w:color w:val="auto"/>
          <w:sz w:val="24"/>
        </w:rPr>
        <w:fldChar w:fldCharType="separate"/>
      </w:r>
      <w:r>
        <w:rPr>
          <w:rFonts w:hint="eastAsia"/>
          <w:color w:val="auto"/>
          <w:sz w:val="24"/>
        </w:rPr>
        <w:t>6.3 给排水系统单元安全对策措施建议</w:t>
      </w:r>
      <w:r>
        <w:rPr>
          <w:color w:val="auto"/>
          <w:sz w:val="24"/>
        </w:rPr>
        <w:tab/>
      </w:r>
      <w:r>
        <w:rPr>
          <w:color w:val="auto"/>
          <w:sz w:val="24"/>
        </w:rPr>
        <w:fldChar w:fldCharType="begin"/>
      </w:r>
      <w:r>
        <w:rPr>
          <w:color w:val="auto"/>
          <w:sz w:val="24"/>
        </w:rPr>
        <w:instrText xml:space="preserve"> PAGEREF _Toc30469 \h </w:instrText>
      </w:r>
      <w:r>
        <w:rPr>
          <w:color w:val="auto"/>
          <w:sz w:val="24"/>
        </w:rPr>
        <w:fldChar w:fldCharType="separate"/>
      </w:r>
      <w:r>
        <w:rPr>
          <w:color w:val="auto"/>
          <w:sz w:val="24"/>
        </w:rPr>
        <w:t>129</w:t>
      </w:r>
      <w:r>
        <w:rPr>
          <w:color w:val="auto"/>
          <w:sz w:val="24"/>
        </w:rPr>
        <w:fldChar w:fldCharType="end"/>
      </w:r>
      <w:r>
        <w:rPr>
          <w:color w:val="auto"/>
          <w:sz w:val="24"/>
        </w:rPr>
        <w:fldChar w:fldCharType="end"/>
      </w:r>
    </w:p>
    <w:p w14:paraId="035200F8">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_Toc19219 </w:instrText>
      </w:r>
      <w:r>
        <w:rPr>
          <w:color w:val="auto"/>
          <w:sz w:val="24"/>
        </w:rPr>
        <w:fldChar w:fldCharType="separate"/>
      </w:r>
      <w:r>
        <w:rPr>
          <w:rFonts w:hint="eastAsia"/>
          <w:color w:val="auto"/>
          <w:sz w:val="24"/>
        </w:rPr>
        <w:t>6.4 供配电系统单元安全对策措施建议</w:t>
      </w:r>
      <w:r>
        <w:rPr>
          <w:color w:val="auto"/>
          <w:sz w:val="24"/>
        </w:rPr>
        <w:tab/>
      </w:r>
      <w:r>
        <w:rPr>
          <w:color w:val="auto"/>
          <w:sz w:val="24"/>
        </w:rPr>
        <w:fldChar w:fldCharType="begin"/>
      </w:r>
      <w:r>
        <w:rPr>
          <w:color w:val="auto"/>
          <w:sz w:val="24"/>
        </w:rPr>
        <w:instrText xml:space="preserve"> PAGEREF _Toc19219 \h </w:instrText>
      </w:r>
      <w:r>
        <w:rPr>
          <w:color w:val="auto"/>
          <w:sz w:val="24"/>
        </w:rPr>
        <w:fldChar w:fldCharType="separate"/>
      </w:r>
      <w:r>
        <w:rPr>
          <w:color w:val="auto"/>
          <w:sz w:val="24"/>
        </w:rPr>
        <w:t>131</w:t>
      </w:r>
      <w:r>
        <w:rPr>
          <w:color w:val="auto"/>
          <w:sz w:val="24"/>
        </w:rPr>
        <w:fldChar w:fldCharType="end"/>
      </w:r>
      <w:r>
        <w:rPr>
          <w:color w:val="auto"/>
          <w:sz w:val="24"/>
        </w:rPr>
        <w:fldChar w:fldCharType="end"/>
      </w:r>
    </w:p>
    <w:p w14:paraId="634ED093">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_Toc32283 </w:instrText>
      </w:r>
      <w:r>
        <w:rPr>
          <w:color w:val="auto"/>
          <w:sz w:val="24"/>
        </w:rPr>
        <w:fldChar w:fldCharType="separate"/>
      </w:r>
      <w:r>
        <w:rPr>
          <w:rFonts w:hint="eastAsia"/>
          <w:color w:val="auto"/>
          <w:sz w:val="24"/>
        </w:rPr>
        <w:t>6.5 安全管理单元安全对策措施建议</w:t>
      </w:r>
      <w:r>
        <w:rPr>
          <w:color w:val="auto"/>
          <w:sz w:val="24"/>
        </w:rPr>
        <w:tab/>
      </w:r>
      <w:r>
        <w:rPr>
          <w:color w:val="auto"/>
          <w:sz w:val="24"/>
        </w:rPr>
        <w:fldChar w:fldCharType="begin"/>
      </w:r>
      <w:r>
        <w:rPr>
          <w:color w:val="auto"/>
          <w:sz w:val="24"/>
        </w:rPr>
        <w:instrText xml:space="preserve"> PAGEREF _Toc32283 \h </w:instrText>
      </w:r>
      <w:r>
        <w:rPr>
          <w:color w:val="auto"/>
          <w:sz w:val="24"/>
        </w:rPr>
        <w:fldChar w:fldCharType="separate"/>
      </w:r>
      <w:r>
        <w:rPr>
          <w:color w:val="auto"/>
          <w:sz w:val="24"/>
        </w:rPr>
        <w:t>137</w:t>
      </w:r>
      <w:r>
        <w:rPr>
          <w:color w:val="auto"/>
          <w:sz w:val="24"/>
        </w:rPr>
        <w:fldChar w:fldCharType="end"/>
      </w:r>
      <w:r>
        <w:rPr>
          <w:color w:val="auto"/>
          <w:sz w:val="24"/>
        </w:rPr>
        <w:fldChar w:fldCharType="end"/>
      </w:r>
    </w:p>
    <w:p w14:paraId="391CD796">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_Toc16091 </w:instrText>
      </w:r>
      <w:r>
        <w:rPr>
          <w:color w:val="auto"/>
          <w:sz w:val="24"/>
        </w:rPr>
        <w:fldChar w:fldCharType="separate"/>
      </w:r>
      <w:r>
        <w:rPr>
          <w:rFonts w:hint="eastAsia"/>
          <w:color w:val="auto"/>
          <w:sz w:val="24"/>
        </w:rPr>
        <w:t>6.6 其他安全对策措施与建议</w:t>
      </w:r>
      <w:r>
        <w:rPr>
          <w:color w:val="auto"/>
          <w:sz w:val="24"/>
        </w:rPr>
        <w:tab/>
      </w:r>
      <w:r>
        <w:rPr>
          <w:color w:val="auto"/>
          <w:sz w:val="24"/>
        </w:rPr>
        <w:fldChar w:fldCharType="begin"/>
      </w:r>
      <w:r>
        <w:rPr>
          <w:color w:val="auto"/>
          <w:sz w:val="24"/>
        </w:rPr>
        <w:instrText xml:space="preserve"> PAGEREF _Toc16091 \h </w:instrText>
      </w:r>
      <w:r>
        <w:rPr>
          <w:color w:val="auto"/>
          <w:sz w:val="24"/>
        </w:rPr>
        <w:fldChar w:fldCharType="separate"/>
      </w:r>
      <w:r>
        <w:rPr>
          <w:color w:val="auto"/>
          <w:sz w:val="24"/>
        </w:rPr>
        <w:t>143</w:t>
      </w:r>
      <w:r>
        <w:rPr>
          <w:color w:val="auto"/>
          <w:sz w:val="24"/>
        </w:rPr>
        <w:fldChar w:fldCharType="end"/>
      </w:r>
      <w:r>
        <w:rPr>
          <w:color w:val="auto"/>
          <w:sz w:val="24"/>
        </w:rPr>
        <w:fldChar w:fldCharType="end"/>
      </w:r>
    </w:p>
    <w:p w14:paraId="7C14CAE9">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_Toc30917 </w:instrText>
      </w:r>
      <w:r>
        <w:rPr>
          <w:color w:val="auto"/>
          <w:sz w:val="24"/>
        </w:rPr>
        <w:fldChar w:fldCharType="separate"/>
      </w:r>
      <w:r>
        <w:rPr>
          <w:rFonts w:hint="eastAsia"/>
          <w:color w:val="auto"/>
          <w:sz w:val="24"/>
        </w:rPr>
        <w:t>6.7 安全设施设计中应补充的安全对策措施及建议</w:t>
      </w:r>
      <w:r>
        <w:rPr>
          <w:color w:val="auto"/>
          <w:sz w:val="24"/>
        </w:rPr>
        <w:tab/>
      </w:r>
      <w:r>
        <w:rPr>
          <w:color w:val="auto"/>
          <w:sz w:val="24"/>
        </w:rPr>
        <w:fldChar w:fldCharType="begin"/>
      </w:r>
      <w:r>
        <w:rPr>
          <w:color w:val="auto"/>
          <w:sz w:val="24"/>
        </w:rPr>
        <w:instrText xml:space="preserve"> PAGEREF _Toc30917 \h </w:instrText>
      </w:r>
      <w:r>
        <w:rPr>
          <w:color w:val="auto"/>
          <w:sz w:val="24"/>
        </w:rPr>
        <w:fldChar w:fldCharType="separate"/>
      </w:r>
      <w:r>
        <w:rPr>
          <w:color w:val="auto"/>
          <w:sz w:val="24"/>
        </w:rPr>
        <w:t>146</w:t>
      </w:r>
      <w:r>
        <w:rPr>
          <w:color w:val="auto"/>
          <w:sz w:val="24"/>
        </w:rPr>
        <w:fldChar w:fldCharType="end"/>
      </w:r>
      <w:r>
        <w:rPr>
          <w:color w:val="auto"/>
          <w:sz w:val="24"/>
        </w:rPr>
        <w:fldChar w:fldCharType="end"/>
      </w:r>
    </w:p>
    <w:p w14:paraId="25F48340">
      <w:pPr>
        <w:pStyle w:val="12"/>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_Toc31092 </w:instrText>
      </w:r>
      <w:r>
        <w:rPr>
          <w:color w:val="auto"/>
          <w:sz w:val="24"/>
        </w:rPr>
        <w:fldChar w:fldCharType="separate"/>
      </w:r>
      <w:r>
        <w:rPr>
          <w:rFonts w:hint="eastAsia"/>
          <w:color w:val="auto"/>
          <w:sz w:val="24"/>
        </w:rPr>
        <w:t>7 评价结论</w:t>
      </w:r>
      <w:r>
        <w:rPr>
          <w:color w:val="auto"/>
          <w:sz w:val="24"/>
        </w:rPr>
        <w:tab/>
      </w:r>
      <w:r>
        <w:rPr>
          <w:color w:val="auto"/>
          <w:sz w:val="24"/>
        </w:rPr>
        <w:fldChar w:fldCharType="begin"/>
      </w:r>
      <w:r>
        <w:rPr>
          <w:color w:val="auto"/>
          <w:sz w:val="24"/>
        </w:rPr>
        <w:instrText xml:space="preserve"> PAGEREF _Toc31092 \h </w:instrText>
      </w:r>
      <w:r>
        <w:rPr>
          <w:color w:val="auto"/>
          <w:sz w:val="24"/>
        </w:rPr>
        <w:fldChar w:fldCharType="separate"/>
      </w:r>
      <w:r>
        <w:rPr>
          <w:color w:val="auto"/>
          <w:sz w:val="24"/>
        </w:rPr>
        <w:t>147</w:t>
      </w:r>
      <w:r>
        <w:rPr>
          <w:color w:val="auto"/>
          <w:sz w:val="24"/>
        </w:rPr>
        <w:fldChar w:fldCharType="end"/>
      </w:r>
      <w:r>
        <w:rPr>
          <w:color w:val="auto"/>
          <w:sz w:val="24"/>
        </w:rPr>
        <w:fldChar w:fldCharType="end"/>
      </w:r>
    </w:p>
    <w:p w14:paraId="0B68E22A">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_Toc17235 </w:instrText>
      </w:r>
      <w:r>
        <w:rPr>
          <w:color w:val="auto"/>
          <w:sz w:val="24"/>
        </w:rPr>
        <w:fldChar w:fldCharType="separate"/>
      </w:r>
      <w:r>
        <w:rPr>
          <w:rFonts w:hint="eastAsia"/>
          <w:color w:val="auto"/>
          <w:sz w:val="24"/>
        </w:rPr>
        <w:t>7.1 主要危险、有害因素及重大危险源辨识结果</w:t>
      </w:r>
      <w:r>
        <w:rPr>
          <w:color w:val="auto"/>
          <w:sz w:val="24"/>
        </w:rPr>
        <w:tab/>
      </w:r>
      <w:r>
        <w:rPr>
          <w:color w:val="auto"/>
          <w:sz w:val="24"/>
        </w:rPr>
        <w:fldChar w:fldCharType="begin"/>
      </w:r>
      <w:r>
        <w:rPr>
          <w:color w:val="auto"/>
          <w:sz w:val="24"/>
        </w:rPr>
        <w:instrText xml:space="preserve"> PAGEREF _Toc17235 \h </w:instrText>
      </w:r>
      <w:r>
        <w:rPr>
          <w:color w:val="auto"/>
          <w:sz w:val="24"/>
        </w:rPr>
        <w:fldChar w:fldCharType="separate"/>
      </w:r>
      <w:r>
        <w:rPr>
          <w:color w:val="auto"/>
          <w:sz w:val="24"/>
        </w:rPr>
        <w:t>147</w:t>
      </w:r>
      <w:r>
        <w:rPr>
          <w:color w:val="auto"/>
          <w:sz w:val="24"/>
        </w:rPr>
        <w:fldChar w:fldCharType="end"/>
      </w:r>
      <w:r>
        <w:rPr>
          <w:color w:val="auto"/>
          <w:sz w:val="24"/>
        </w:rPr>
        <w:fldChar w:fldCharType="end"/>
      </w:r>
    </w:p>
    <w:p w14:paraId="3AA09980">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_Toc15458 </w:instrText>
      </w:r>
      <w:r>
        <w:rPr>
          <w:color w:val="auto"/>
          <w:sz w:val="24"/>
        </w:rPr>
        <w:fldChar w:fldCharType="separate"/>
      </w:r>
      <w:r>
        <w:rPr>
          <w:rFonts w:hint="eastAsia"/>
          <w:color w:val="auto"/>
          <w:sz w:val="24"/>
        </w:rPr>
        <w:t>7.1.1 项目存在的主要危险、有害因素</w:t>
      </w:r>
      <w:r>
        <w:rPr>
          <w:color w:val="auto"/>
          <w:sz w:val="24"/>
        </w:rPr>
        <w:tab/>
      </w:r>
      <w:r>
        <w:rPr>
          <w:color w:val="auto"/>
          <w:sz w:val="24"/>
        </w:rPr>
        <w:fldChar w:fldCharType="begin"/>
      </w:r>
      <w:r>
        <w:rPr>
          <w:color w:val="auto"/>
          <w:sz w:val="24"/>
        </w:rPr>
        <w:instrText xml:space="preserve"> PAGEREF _Toc15458 \h </w:instrText>
      </w:r>
      <w:r>
        <w:rPr>
          <w:color w:val="auto"/>
          <w:sz w:val="24"/>
        </w:rPr>
        <w:fldChar w:fldCharType="separate"/>
      </w:r>
      <w:r>
        <w:rPr>
          <w:color w:val="auto"/>
          <w:sz w:val="24"/>
        </w:rPr>
        <w:t>147</w:t>
      </w:r>
      <w:r>
        <w:rPr>
          <w:color w:val="auto"/>
          <w:sz w:val="24"/>
        </w:rPr>
        <w:fldChar w:fldCharType="end"/>
      </w:r>
      <w:r>
        <w:rPr>
          <w:color w:val="auto"/>
          <w:sz w:val="24"/>
        </w:rPr>
        <w:fldChar w:fldCharType="end"/>
      </w:r>
    </w:p>
    <w:p w14:paraId="5E48CF9B">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_Toc24031 </w:instrText>
      </w:r>
      <w:r>
        <w:rPr>
          <w:color w:val="auto"/>
          <w:sz w:val="24"/>
        </w:rPr>
        <w:fldChar w:fldCharType="separate"/>
      </w:r>
      <w:r>
        <w:rPr>
          <w:rFonts w:hint="eastAsia"/>
          <w:color w:val="auto"/>
          <w:sz w:val="24"/>
        </w:rPr>
        <w:t>7.1.2 项目存在的重大危险源</w:t>
      </w:r>
      <w:r>
        <w:rPr>
          <w:color w:val="auto"/>
          <w:sz w:val="24"/>
        </w:rPr>
        <w:tab/>
      </w:r>
      <w:r>
        <w:rPr>
          <w:color w:val="auto"/>
          <w:sz w:val="24"/>
        </w:rPr>
        <w:fldChar w:fldCharType="begin"/>
      </w:r>
      <w:r>
        <w:rPr>
          <w:color w:val="auto"/>
          <w:sz w:val="24"/>
        </w:rPr>
        <w:instrText xml:space="preserve"> PAGEREF _Toc24031 \h </w:instrText>
      </w:r>
      <w:r>
        <w:rPr>
          <w:color w:val="auto"/>
          <w:sz w:val="24"/>
        </w:rPr>
        <w:fldChar w:fldCharType="separate"/>
      </w:r>
      <w:r>
        <w:rPr>
          <w:color w:val="auto"/>
          <w:sz w:val="24"/>
        </w:rPr>
        <w:t>147</w:t>
      </w:r>
      <w:r>
        <w:rPr>
          <w:color w:val="auto"/>
          <w:sz w:val="24"/>
        </w:rPr>
        <w:fldChar w:fldCharType="end"/>
      </w:r>
      <w:r>
        <w:rPr>
          <w:color w:val="auto"/>
          <w:sz w:val="24"/>
        </w:rPr>
        <w:fldChar w:fldCharType="end"/>
      </w:r>
    </w:p>
    <w:p w14:paraId="6A33DE34">
      <w:pPr>
        <w:pStyle w:val="8"/>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_Toc24921 </w:instrText>
      </w:r>
      <w:r>
        <w:rPr>
          <w:color w:val="auto"/>
          <w:sz w:val="24"/>
        </w:rPr>
        <w:fldChar w:fldCharType="separate"/>
      </w:r>
      <w:r>
        <w:rPr>
          <w:rFonts w:hint="eastAsia"/>
          <w:color w:val="auto"/>
          <w:sz w:val="24"/>
        </w:rPr>
        <w:t>7.1.3 需要重点防范的危险、有害因素</w:t>
      </w:r>
      <w:r>
        <w:rPr>
          <w:color w:val="auto"/>
          <w:sz w:val="24"/>
        </w:rPr>
        <w:tab/>
      </w:r>
      <w:r>
        <w:rPr>
          <w:color w:val="auto"/>
          <w:sz w:val="24"/>
        </w:rPr>
        <w:fldChar w:fldCharType="begin"/>
      </w:r>
      <w:r>
        <w:rPr>
          <w:color w:val="auto"/>
          <w:sz w:val="24"/>
        </w:rPr>
        <w:instrText xml:space="preserve"> PAGEREF _Toc24921 \h </w:instrText>
      </w:r>
      <w:r>
        <w:rPr>
          <w:color w:val="auto"/>
          <w:sz w:val="24"/>
        </w:rPr>
        <w:fldChar w:fldCharType="separate"/>
      </w:r>
      <w:r>
        <w:rPr>
          <w:color w:val="auto"/>
          <w:sz w:val="24"/>
        </w:rPr>
        <w:t>147</w:t>
      </w:r>
      <w:r>
        <w:rPr>
          <w:color w:val="auto"/>
          <w:sz w:val="24"/>
        </w:rPr>
        <w:fldChar w:fldCharType="end"/>
      </w:r>
      <w:r>
        <w:rPr>
          <w:color w:val="auto"/>
          <w:sz w:val="24"/>
        </w:rPr>
        <w:fldChar w:fldCharType="end"/>
      </w:r>
    </w:p>
    <w:p w14:paraId="4CEA2BF1">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_Toc13645 </w:instrText>
      </w:r>
      <w:r>
        <w:rPr>
          <w:color w:val="auto"/>
          <w:sz w:val="24"/>
        </w:rPr>
        <w:fldChar w:fldCharType="separate"/>
      </w:r>
      <w:r>
        <w:rPr>
          <w:rFonts w:hint="eastAsia"/>
          <w:color w:val="auto"/>
          <w:sz w:val="24"/>
        </w:rPr>
        <w:t>7.2 应重视的安全对策措施建议</w:t>
      </w:r>
      <w:r>
        <w:rPr>
          <w:color w:val="auto"/>
          <w:sz w:val="24"/>
        </w:rPr>
        <w:tab/>
      </w:r>
      <w:r>
        <w:rPr>
          <w:color w:val="auto"/>
          <w:sz w:val="24"/>
        </w:rPr>
        <w:fldChar w:fldCharType="begin"/>
      </w:r>
      <w:r>
        <w:rPr>
          <w:color w:val="auto"/>
          <w:sz w:val="24"/>
        </w:rPr>
        <w:instrText xml:space="preserve"> PAGEREF _Toc13645 \h </w:instrText>
      </w:r>
      <w:r>
        <w:rPr>
          <w:color w:val="auto"/>
          <w:sz w:val="24"/>
        </w:rPr>
        <w:fldChar w:fldCharType="separate"/>
      </w:r>
      <w:r>
        <w:rPr>
          <w:color w:val="auto"/>
          <w:sz w:val="24"/>
        </w:rPr>
        <w:t>147</w:t>
      </w:r>
      <w:r>
        <w:rPr>
          <w:color w:val="auto"/>
          <w:sz w:val="24"/>
        </w:rPr>
        <w:fldChar w:fldCharType="end"/>
      </w:r>
      <w:r>
        <w:rPr>
          <w:color w:val="auto"/>
          <w:sz w:val="24"/>
        </w:rPr>
        <w:fldChar w:fldCharType="end"/>
      </w:r>
    </w:p>
    <w:p w14:paraId="66A27BA2">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_Toc7103 </w:instrText>
      </w:r>
      <w:r>
        <w:rPr>
          <w:color w:val="auto"/>
          <w:sz w:val="24"/>
        </w:rPr>
        <w:fldChar w:fldCharType="separate"/>
      </w:r>
      <w:r>
        <w:rPr>
          <w:rFonts w:hint="eastAsia"/>
          <w:color w:val="auto"/>
          <w:sz w:val="24"/>
        </w:rPr>
        <w:t>7.3 评价结论</w:t>
      </w:r>
      <w:r>
        <w:rPr>
          <w:color w:val="auto"/>
          <w:sz w:val="24"/>
        </w:rPr>
        <w:tab/>
      </w:r>
      <w:r>
        <w:rPr>
          <w:color w:val="auto"/>
          <w:sz w:val="24"/>
        </w:rPr>
        <w:fldChar w:fldCharType="begin"/>
      </w:r>
      <w:r>
        <w:rPr>
          <w:color w:val="auto"/>
          <w:sz w:val="24"/>
        </w:rPr>
        <w:instrText xml:space="preserve"> PAGEREF _Toc7103 \h </w:instrText>
      </w:r>
      <w:r>
        <w:rPr>
          <w:color w:val="auto"/>
          <w:sz w:val="24"/>
        </w:rPr>
        <w:fldChar w:fldCharType="separate"/>
      </w:r>
      <w:r>
        <w:rPr>
          <w:color w:val="auto"/>
          <w:sz w:val="24"/>
        </w:rPr>
        <w:t>149</w:t>
      </w:r>
      <w:r>
        <w:rPr>
          <w:color w:val="auto"/>
          <w:sz w:val="24"/>
        </w:rPr>
        <w:fldChar w:fldCharType="end"/>
      </w:r>
      <w:r>
        <w:rPr>
          <w:color w:val="auto"/>
          <w:sz w:val="24"/>
        </w:rPr>
        <w:fldChar w:fldCharType="end"/>
      </w:r>
    </w:p>
    <w:p w14:paraId="0127176E">
      <w:pPr>
        <w:pStyle w:val="12"/>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_Toc2350 </w:instrText>
      </w:r>
      <w:r>
        <w:rPr>
          <w:color w:val="auto"/>
          <w:sz w:val="24"/>
        </w:rPr>
        <w:fldChar w:fldCharType="separate"/>
      </w:r>
      <w:r>
        <w:rPr>
          <w:rFonts w:hint="eastAsia"/>
          <w:color w:val="auto"/>
          <w:sz w:val="24"/>
        </w:rPr>
        <w:t>8 附件和附图</w:t>
      </w:r>
      <w:r>
        <w:rPr>
          <w:color w:val="auto"/>
          <w:sz w:val="24"/>
        </w:rPr>
        <w:tab/>
      </w:r>
      <w:r>
        <w:rPr>
          <w:color w:val="auto"/>
          <w:sz w:val="24"/>
        </w:rPr>
        <w:fldChar w:fldCharType="begin"/>
      </w:r>
      <w:r>
        <w:rPr>
          <w:color w:val="auto"/>
          <w:sz w:val="24"/>
        </w:rPr>
        <w:instrText xml:space="preserve"> PAGEREF _Toc2350 \h </w:instrText>
      </w:r>
      <w:r>
        <w:rPr>
          <w:color w:val="auto"/>
          <w:sz w:val="24"/>
        </w:rPr>
        <w:fldChar w:fldCharType="separate"/>
      </w:r>
      <w:r>
        <w:rPr>
          <w:color w:val="auto"/>
          <w:sz w:val="24"/>
        </w:rPr>
        <w:t>151</w:t>
      </w:r>
      <w:r>
        <w:rPr>
          <w:color w:val="auto"/>
          <w:sz w:val="24"/>
        </w:rPr>
        <w:fldChar w:fldCharType="end"/>
      </w:r>
      <w:r>
        <w:rPr>
          <w:color w:val="auto"/>
          <w:sz w:val="24"/>
        </w:rPr>
        <w:fldChar w:fldCharType="end"/>
      </w:r>
    </w:p>
    <w:p w14:paraId="5791B82A">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sz w:val="24"/>
        </w:rPr>
      </w:pPr>
      <w:r>
        <w:rPr>
          <w:color w:val="auto"/>
          <w:sz w:val="24"/>
        </w:rPr>
        <w:fldChar w:fldCharType="begin"/>
      </w:r>
      <w:r>
        <w:rPr>
          <w:color w:val="auto"/>
          <w:sz w:val="24"/>
        </w:rPr>
        <w:instrText xml:space="preserve"> HYPERLINK \l _Toc18304 </w:instrText>
      </w:r>
      <w:r>
        <w:rPr>
          <w:color w:val="auto"/>
          <w:sz w:val="24"/>
        </w:rPr>
        <w:fldChar w:fldCharType="separate"/>
      </w:r>
      <w:r>
        <w:rPr>
          <w:rFonts w:hint="eastAsia"/>
          <w:color w:val="auto"/>
          <w:sz w:val="24"/>
        </w:rPr>
        <w:t>8.1 附件</w:t>
      </w:r>
      <w:r>
        <w:rPr>
          <w:color w:val="auto"/>
          <w:sz w:val="24"/>
        </w:rPr>
        <w:tab/>
      </w:r>
      <w:r>
        <w:rPr>
          <w:color w:val="auto"/>
          <w:sz w:val="24"/>
        </w:rPr>
        <w:fldChar w:fldCharType="begin"/>
      </w:r>
      <w:r>
        <w:rPr>
          <w:color w:val="auto"/>
          <w:sz w:val="24"/>
        </w:rPr>
        <w:instrText xml:space="preserve"> PAGEREF _Toc18304 \h </w:instrText>
      </w:r>
      <w:r>
        <w:rPr>
          <w:color w:val="auto"/>
          <w:sz w:val="24"/>
        </w:rPr>
        <w:fldChar w:fldCharType="separate"/>
      </w:r>
      <w:r>
        <w:rPr>
          <w:color w:val="auto"/>
          <w:sz w:val="24"/>
        </w:rPr>
        <w:t>151</w:t>
      </w:r>
      <w:r>
        <w:rPr>
          <w:color w:val="auto"/>
          <w:sz w:val="24"/>
        </w:rPr>
        <w:fldChar w:fldCharType="end"/>
      </w:r>
      <w:r>
        <w:rPr>
          <w:color w:val="auto"/>
          <w:sz w:val="24"/>
        </w:rPr>
        <w:fldChar w:fldCharType="end"/>
      </w:r>
    </w:p>
    <w:p w14:paraId="046D930E">
      <w:pPr>
        <w:pStyle w:val="13"/>
        <w:keepNext w:val="0"/>
        <w:keepLines w:val="0"/>
        <w:pageBreakBefore w:val="0"/>
        <w:widowControl w:val="0"/>
        <w:tabs>
          <w:tab w:val="right" w:leader="dot" w:pos="9185"/>
        </w:tabs>
        <w:kinsoku/>
        <w:wordWrap/>
        <w:overflowPunct/>
        <w:topLinePunct w:val="0"/>
        <w:autoSpaceDE/>
        <w:autoSpaceDN/>
        <w:bidi w:val="0"/>
        <w:adjustRightInd/>
        <w:snapToGrid/>
        <w:spacing w:line="240" w:lineRule="auto"/>
        <w:ind w:firstLine="0" w:firstLineChars="0"/>
        <w:textAlignment w:val="auto"/>
        <w:rPr>
          <w:color w:val="auto"/>
        </w:rPr>
      </w:pPr>
      <w:r>
        <w:rPr>
          <w:color w:val="auto"/>
          <w:sz w:val="24"/>
        </w:rPr>
        <w:fldChar w:fldCharType="begin"/>
      </w:r>
      <w:r>
        <w:rPr>
          <w:color w:val="auto"/>
          <w:sz w:val="24"/>
        </w:rPr>
        <w:instrText xml:space="preserve"> HYPERLINK \l _Toc32219 </w:instrText>
      </w:r>
      <w:r>
        <w:rPr>
          <w:color w:val="auto"/>
          <w:sz w:val="24"/>
        </w:rPr>
        <w:fldChar w:fldCharType="separate"/>
      </w:r>
      <w:r>
        <w:rPr>
          <w:rFonts w:hint="eastAsia"/>
          <w:color w:val="auto"/>
          <w:sz w:val="24"/>
          <w:lang w:val="en-US" w:eastAsia="zh-CN"/>
        </w:rPr>
        <w:t>8.2 附图</w:t>
      </w:r>
      <w:r>
        <w:rPr>
          <w:color w:val="auto"/>
          <w:sz w:val="24"/>
        </w:rPr>
        <w:tab/>
      </w:r>
      <w:r>
        <w:rPr>
          <w:color w:val="auto"/>
          <w:sz w:val="24"/>
        </w:rPr>
        <w:fldChar w:fldCharType="begin"/>
      </w:r>
      <w:r>
        <w:rPr>
          <w:color w:val="auto"/>
          <w:sz w:val="24"/>
        </w:rPr>
        <w:instrText xml:space="preserve"> PAGEREF _Toc32219 \h </w:instrText>
      </w:r>
      <w:r>
        <w:rPr>
          <w:color w:val="auto"/>
          <w:sz w:val="24"/>
        </w:rPr>
        <w:fldChar w:fldCharType="separate"/>
      </w:r>
      <w:r>
        <w:rPr>
          <w:color w:val="auto"/>
          <w:sz w:val="24"/>
        </w:rPr>
        <w:t>151</w:t>
      </w:r>
      <w:r>
        <w:rPr>
          <w:color w:val="auto"/>
          <w:sz w:val="24"/>
        </w:rPr>
        <w:fldChar w:fldCharType="end"/>
      </w:r>
      <w:r>
        <w:rPr>
          <w:color w:val="auto"/>
          <w:sz w:val="24"/>
        </w:rPr>
        <w:fldChar w:fldCharType="end"/>
      </w:r>
    </w:p>
    <w:p w14:paraId="0CA757F0">
      <w:pPr>
        <w:bidi w:val="0"/>
        <w:rPr>
          <w:color w:val="auto"/>
        </w:rPr>
      </w:pPr>
      <w:r>
        <w:rPr>
          <w:color w:val="auto"/>
        </w:rPr>
        <w:fldChar w:fldCharType="end"/>
      </w:r>
    </w:p>
    <w:p w14:paraId="49741877">
      <w:pPr>
        <w:bidi w:val="0"/>
        <w:rPr>
          <w:color w:val="auto"/>
        </w:rPr>
        <w:sectPr>
          <w:headerReference r:id="rId8" w:type="default"/>
          <w:footerReference r:id="rId9" w:type="default"/>
          <w:pgSz w:w="11906" w:h="16838"/>
          <w:pgMar w:top="1417" w:right="1134" w:bottom="1134" w:left="1587" w:header="851" w:footer="992" w:gutter="0"/>
          <w:pgBorders>
            <w:top w:val="thinThickSmallGap" w:color="auto" w:sz="12" w:space="1"/>
            <w:left w:val="none" w:sz="0" w:space="0"/>
            <w:bottom w:val="thickThinSmallGap" w:color="auto" w:sz="12" w:space="1"/>
            <w:right w:val="none" w:sz="0" w:space="0"/>
          </w:pgBorders>
          <w:pgNumType w:fmt="upperRoman" w:start="1"/>
          <w:cols w:space="0" w:num="1"/>
          <w:rtlGutter w:val="0"/>
          <w:docGrid w:type="lines" w:linePitch="386" w:charSpace="0"/>
        </w:sectPr>
      </w:pPr>
    </w:p>
    <w:p w14:paraId="623D487D">
      <w:pPr>
        <w:pStyle w:val="2"/>
        <w:bidi w:val="0"/>
        <w:rPr>
          <w:rFonts w:hint="eastAsia"/>
          <w:color w:val="auto"/>
        </w:rPr>
      </w:pPr>
      <w:bookmarkStart w:id="51" w:name="_Toc28419"/>
      <w:r>
        <w:rPr>
          <w:rFonts w:hint="eastAsia"/>
          <w:color w:val="auto"/>
        </w:rPr>
        <w:t>1 编制说明</w:t>
      </w:r>
      <w:bookmarkEnd w:id="51"/>
    </w:p>
    <w:p w14:paraId="21DFBD91">
      <w:pPr>
        <w:pStyle w:val="3"/>
        <w:bidi w:val="0"/>
        <w:rPr>
          <w:rFonts w:hint="eastAsia"/>
          <w:color w:val="auto"/>
        </w:rPr>
      </w:pPr>
      <w:bookmarkStart w:id="52" w:name="_Toc26410"/>
      <w:r>
        <w:rPr>
          <w:rFonts w:hint="eastAsia"/>
          <w:color w:val="auto"/>
        </w:rPr>
        <w:t>1.1 评价目的及范围</w:t>
      </w:r>
      <w:bookmarkEnd w:id="52"/>
    </w:p>
    <w:p w14:paraId="50910B73">
      <w:pPr>
        <w:pStyle w:val="4"/>
        <w:bidi w:val="0"/>
        <w:rPr>
          <w:rFonts w:hint="eastAsia"/>
          <w:color w:val="auto"/>
        </w:rPr>
      </w:pPr>
      <w:bookmarkStart w:id="53" w:name="_Toc3265"/>
      <w:r>
        <w:rPr>
          <w:rFonts w:hint="eastAsia"/>
          <w:color w:val="auto"/>
        </w:rPr>
        <w:t>1.1.1 评价目的</w:t>
      </w:r>
      <w:bookmarkEnd w:id="53"/>
    </w:p>
    <w:p w14:paraId="2E975729">
      <w:pPr>
        <w:bidi w:val="0"/>
        <w:rPr>
          <w:rFonts w:hint="eastAsia"/>
          <w:color w:val="auto"/>
        </w:rPr>
      </w:pPr>
      <w:r>
        <w:rPr>
          <w:rFonts w:hint="eastAsia"/>
          <w:color w:val="auto"/>
        </w:rPr>
        <w:t>为贯彻</w:t>
      </w:r>
      <w:r>
        <w:rPr>
          <w:rFonts w:hint="eastAsia"/>
          <w:color w:val="auto"/>
          <w:lang w:eastAsia="zh-CN"/>
        </w:rPr>
        <w:t>“</w:t>
      </w:r>
      <w:r>
        <w:rPr>
          <w:rFonts w:hint="eastAsia"/>
          <w:color w:val="auto"/>
        </w:rPr>
        <w:t>安全第一、预防为主、综合治理</w:t>
      </w:r>
      <w:r>
        <w:rPr>
          <w:rFonts w:hint="eastAsia"/>
          <w:color w:val="auto"/>
          <w:lang w:eastAsia="zh-CN"/>
        </w:rPr>
        <w:t>”</w:t>
      </w:r>
      <w:r>
        <w:rPr>
          <w:rFonts w:hint="eastAsia"/>
          <w:color w:val="auto"/>
        </w:rPr>
        <w:t>的方针，通过评价查找其存在的危险、有害因素并确定危险程度，提出合理可行的安全对策措施及建议。</w:t>
      </w:r>
    </w:p>
    <w:p w14:paraId="557FBF52">
      <w:pPr>
        <w:bidi w:val="0"/>
        <w:rPr>
          <w:rFonts w:hint="eastAsia"/>
          <w:color w:val="auto"/>
        </w:rPr>
      </w:pPr>
      <w:r>
        <w:rPr>
          <w:rFonts w:hint="eastAsia"/>
          <w:color w:val="auto"/>
        </w:rPr>
        <w:t>1、促进实现系统本质安全化生产；</w:t>
      </w:r>
    </w:p>
    <w:p w14:paraId="1DC3EE68">
      <w:pPr>
        <w:bidi w:val="0"/>
        <w:rPr>
          <w:rFonts w:hint="eastAsia"/>
          <w:color w:val="auto"/>
        </w:rPr>
      </w:pPr>
      <w:r>
        <w:rPr>
          <w:rFonts w:hint="eastAsia"/>
          <w:color w:val="auto"/>
        </w:rPr>
        <w:t>2、实现系统全过程安全控制；</w:t>
      </w:r>
    </w:p>
    <w:p w14:paraId="7059F87A">
      <w:pPr>
        <w:bidi w:val="0"/>
        <w:rPr>
          <w:rFonts w:hint="eastAsia"/>
          <w:color w:val="auto"/>
        </w:rPr>
      </w:pPr>
      <w:r>
        <w:rPr>
          <w:rFonts w:hint="eastAsia"/>
          <w:color w:val="auto"/>
        </w:rPr>
        <w:t>3、建立系统安全最优方案，为管理者提供安全管理依据；</w:t>
      </w:r>
    </w:p>
    <w:p w14:paraId="616E3DBB">
      <w:pPr>
        <w:bidi w:val="0"/>
        <w:rPr>
          <w:rFonts w:hint="eastAsia"/>
          <w:color w:val="auto"/>
        </w:rPr>
      </w:pPr>
      <w:r>
        <w:rPr>
          <w:rFonts w:hint="eastAsia"/>
          <w:color w:val="auto"/>
        </w:rPr>
        <w:t>4、为实现安全技术、安全管理的标准化和科学化创造条件；</w:t>
      </w:r>
    </w:p>
    <w:p w14:paraId="3F586E9F">
      <w:pPr>
        <w:bidi w:val="0"/>
        <w:rPr>
          <w:rFonts w:hint="eastAsia"/>
          <w:color w:val="auto"/>
        </w:rPr>
      </w:pPr>
      <w:r>
        <w:rPr>
          <w:rFonts w:hint="eastAsia"/>
          <w:color w:val="auto"/>
        </w:rPr>
        <w:t>5、为应急管理部门提供监督依据。</w:t>
      </w:r>
    </w:p>
    <w:p w14:paraId="2F5DC183">
      <w:pPr>
        <w:pStyle w:val="4"/>
        <w:bidi w:val="0"/>
        <w:rPr>
          <w:rFonts w:hint="eastAsia"/>
          <w:color w:val="auto"/>
        </w:rPr>
      </w:pPr>
      <w:bookmarkStart w:id="54" w:name="_Toc7363"/>
      <w:r>
        <w:rPr>
          <w:rFonts w:hint="eastAsia"/>
          <w:color w:val="auto"/>
        </w:rPr>
        <w:t>1.1.2 评价范围</w:t>
      </w:r>
      <w:bookmarkEnd w:id="54"/>
    </w:p>
    <w:p w14:paraId="39FF8266">
      <w:pPr>
        <w:bidi w:val="0"/>
        <w:rPr>
          <w:rFonts w:hint="eastAsia"/>
          <w:color w:val="auto"/>
        </w:rPr>
      </w:pPr>
      <w:r>
        <w:rPr>
          <w:rFonts w:hint="eastAsia"/>
          <w:color w:val="auto"/>
        </w:rPr>
        <w:t>根据</w:t>
      </w:r>
      <w:r>
        <w:rPr>
          <w:rFonts w:hint="eastAsia"/>
          <w:color w:val="auto"/>
          <w:lang w:eastAsia="zh-CN"/>
        </w:rPr>
        <w:t>武定县花果箐钛矿采选厂</w:t>
      </w:r>
      <w:r>
        <w:rPr>
          <w:rFonts w:hint="eastAsia"/>
          <w:color w:val="auto"/>
        </w:rPr>
        <w:t>与辽宁诺诚安全科技有限公司签订的安全预评价技术服务合同和安全评价委托书的约定，本次安全评价的范围为</w:t>
      </w:r>
      <w:r>
        <w:rPr>
          <w:rFonts w:hint="eastAsia"/>
          <w:color w:val="auto"/>
          <w:lang w:eastAsia="zh-CN"/>
        </w:rPr>
        <w:t>武定县花果箐钛矿采选厂技改扩建项目</w:t>
      </w:r>
      <w:r>
        <w:rPr>
          <w:rFonts w:hint="eastAsia"/>
          <w:color w:val="auto"/>
        </w:rPr>
        <w:t>的总图布置</w:t>
      </w:r>
      <w:r>
        <w:rPr>
          <w:rFonts w:hint="eastAsia"/>
          <w:color w:val="auto"/>
          <w:lang w:eastAsia="zh-CN"/>
        </w:rPr>
        <w:t>、</w:t>
      </w:r>
      <w:r>
        <w:rPr>
          <w:rFonts w:hint="eastAsia"/>
          <w:color w:val="auto"/>
        </w:rPr>
        <w:t>选矿工艺、生产装置、物料储运与使用、公用工程及辅助设施及综合安全管理，选厂原有设施、职业病及职业病防治、环保、地质灾害评估等问题不在本次安全评价范围内，但在评价过程中会有所提及。</w:t>
      </w:r>
    </w:p>
    <w:p w14:paraId="67DC4D30">
      <w:pPr>
        <w:pStyle w:val="4"/>
        <w:bidi w:val="0"/>
        <w:rPr>
          <w:rFonts w:hint="eastAsia"/>
          <w:color w:val="auto"/>
        </w:rPr>
      </w:pPr>
      <w:bookmarkStart w:id="55" w:name="_Toc10650"/>
      <w:r>
        <w:rPr>
          <w:rFonts w:hint="eastAsia"/>
          <w:color w:val="auto"/>
        </w:rPr>
        <w:t>1.1.3 评价原则</w:t>
      </w:r>
      <w:bookmarkEnd w:id="55"/>
    </w:p>
    <w:p w14:paraId="567B26BF">
      <w:pPr>
        <w:bidi w:val="0"/>
        <w:rPr>
          <w:rFonts w:hint="eastAsia"/>
          <w:color w:val="auto"/>
        </w:rPr>
      </w:pPr>
      <w:r>
        <w:rPr>
          <w:rFonts w:hint="eastAsia"/>
          <w:color w:val="auto"/>
        </w:rPr>
        <w:t>《安全评价通则》第4条规定，安全评价基本原则是具备国家规定资质的安全评价机构科学、公正和合法的自主开展安全评价。</w:t>
      </w:r>
    </w:p>
    <w:p w14:paraId="79C3EB17">
      <w:pPr>
        <w:bidi w:val="0"/>
        <w:rPr>
          <w:rFonts w:hint="eastAsia"/>
          <w:color w:val="auto"/>
        </w:rPr>
      </w:pPr>
      <w:r>
        <w:rPr>
          <w:rFonts w:hint="eastAsia"/>
          <w:color w:val="auto"/>
        </w:rPr>
        <w:t>本报告将按国家现行有关劳动安全的法律、法规和标准要求对该项目进行安全评价，同时遵循下列原则：</w:t>
      </w:r>
    </w:p>
    <w:p w14:paraId="544CD2DF">
      <w:pPr>
        <w:bidi w:val="0"/>
        <w:rPr>
          <w:rFonts w:hint="eastAsia"/>
          <w:color w:val="auto"/>
        </w:rPr>
      </w:pPr>
      <w:r>
        <w:rPr>
          <w:rFonts w:hint="eastAsia"/>
          <w:color w:val="auto"/>
        </w:rPr>
        <w:t>（1）严格执行国家现行有关法律、法规、标准和规范的要求，对该企业申请安全生产许可证应具备的安全生产条件进行科学、公正、合法、自主的评价；</w:t>
      </w:r>
    </w:p>
    <w:p w14:paraId="592DBC45">
      <w:pPr>
        <w:bidi w:val="0"/>
        <w:rPr>
          <w:rFonts w:hint="eastAsia"/>
          <w:color w:val="auto"/>
        </w:rPr>
      </w:pPr>
      <w:r>
        <w:rPr>
          <w:rFonts w:hint="eastAsia"/>
          <w:color w:val="auto"/>
        </w:rPr>
        <w:t>（2）执行行业现行有关法规、标准、规范和政策的要求；</w:t>
      </w:r>
    </w:p>
    <w:p w14:paraId="6E69C0A9">
      <w:pPr>
        <w:bidi w:val="0"/>
        <w:rPr>
          <w:rFonts w:hint="eastAsia"/>
          <w:color w:val="auto"/>
        </w:rPr>
      </w:pPr>
      <w:r>
        <w:rPr>
          <w:rFonts w:hint="eastAsia"/>
          <w:color w:val="auto"/>
        </w:rPr>
        <w:t>（3）采用适用、可靠的评价技术和评价方法，保证评价的针对性，确保评价质量；</w:t>
      </w:r>
    </w:p>
    <w:p w14:paraId="2BF2065F">
      <w:pPr>
        <w:bidi w:val="0"/>
        <w:rPr>
          <w:color w:val="auto"/>
        </w:rPr>
      </w:pPr>
      <w:r>
        <w:rPr>
          <w:rFonts w:hint="eastAsia"/>
          <w:color w:val="auto"/>
        </w:rPr>
        <w:t>（4）恪守职业道德，遵循诚实守信的原则，对被评价企业的技术资料和商业运作保密。</w:t>
      </w:r>
    </w:p>
    <w:p w14:paraId="5CF9D9D5">
      <w:pPr>
        <w:pStyle w:val="3"/>
        <w:bidi w:val="0"/>
        <w:rPr>
          <w:rFonts w:hint="eastAsia"/>
          <w:color w:val="auto"/>
        </w:rPr>
      </w:pPr>
      <w:bookmarkStart w:id="56" w:name="_Toc20205"/>
      <w:r>
        <w:rPr>
          <w:rFonts w:hint="eastAsia"/>
          <w:color w:val="auto"/>
        </w:rPr>
        <w:t>1.2 评价依据</w:t>
      </w:r>
      <w:bookmarkEnd w:id="56"/>
    </w:p>
    <w:p w14:paraId="601A7318">
      <w:pPr>
        <w:bidi w:val="0"/>
        <w:rPr>
          <w:rFonts w:hint="eastAsia"/>
          <w:color w:val="auto"/>
        </w:rPr>
      </w:pPr>
      <w:r>
        <w:rPr>
          <w:rFonts w:hint="eastAsia"/>
          <w:color w:val="auto"/>
        </w:rPr>
        <w:t>本次评价主要依据以下国家有关安全生产方面的法律、法规、规章、规范性文件、标准、规范。</w:t>
      </w:r>
    </w:p>
    <w:p w14:paraId="7AF47446">
      <w:pPr>
        <w:pStyle w:val="4"/>
        <w:bidi w:val="0"/>
        <w:rPr>
          <w:rFonts w:hint="eastAsia"/>
          <w:color w:val="auto"/>
        </w:rPr>
      </w:pPr>
      <w:bookmarkStart w:id="57" w:name="_Toc13343"/>
      <w:r>
        <w:rPr>
          <w:rFonts w:hint="eastAsia"/>
          <w:color w:val="auto"/>
        </w:rPr>
        <w:t>1.2.1 国家法律</w:t>
      </w:r>
      <w:bookmarkEnd w:id="57"/>
    </w:p>
    <w:p w14:paraId="3C76281F">
      <w:pPr>
        <w:bidi w:val="0"/>
        <w:rPr>
          <w:rFonts w:hint="eastAsia"/>
          <w:color w:val="auto"/>
        </w:rPr>
      </w:pPr>
      <w:r>
        <w:rPr>
          <w:rFonts w:hint="eastAsia"/>
          <w:color w:val="auto"/>
        </w:rPr>
        <w:t>1、《中华人民共和国安全生产法》（中华人民共和国主席令第88号公布，根据2021年6月10日第十三届全国人民代表大会常务委员会第二十九次会议《关于修改〈中华人民共和国安全生产法〉的决定》第三次修正，自2021年9月1日起施行）；</w:t>
      </w:r>
    </w:p>
    <w:p w14:paraId="6E7419A2">
      <w:pPr>
        <w:bidi w:val="0"/>
        <w:rPr>
          <w:rFonts w:hint="eastAsia"/>
          <w:color w:val="auto"/>
        </w:rPr>
      </w:pPr>
      <w:r>
        <w:rPr>
          <w:rFonts w:hint="eastAsia"/>
          <w:color w:val="auto"/>
        </w:rPr>
        <w:t>2、《中华人民共和国消防法》（1998年4月29日第九届全国人民代表大会常务委员会第二次会议通过；2008年10月28日第十一届全国人民代表大会常务委员会第五次会议第一次修订，2019年4月23日第十三届全国人民代表大会常务委员会第十次会议《全国人民代表大会常务委员会关于修改〈中华人民共和国建筑法〉等八部法律的决定》第二次修订；2021年4月29日第十三届全国人民代表大会常务委员会第二十八次会议通过的《全国人民代表大会常务委员会关于修改〈中华人民共和国道路交通安全法〉等八部法律的决定》第三次修正）；</w:t>
      </w:r>
    </w:p>
    <w:p w14:paraId="65021833">
      <w:pPr>
        <w:bidi w:val="0"/>
        <w:rPr>
          <w:rFonts w:hint="eastAsia"/>
          <w:color w:val="auto"/>
        </w:rPr>
      </w:pPr>
      <w:r>
        <w:rPr>
          <w:rFonts w:hint="eastAsia"/>
          <w:color w:val="auto"/>
        </w:rPr>
        <w:t>3、《中华人民共和国职业病防治法》（中华人民共和国主席令[2018]第二十四号，2018年12月29日施行）；</w:t>
      </w:r>
    </w:p>
    <w:p w14:paraId="755BF523">
      <w:pPr>
        <w:bidi w:val="0"/>
        <w:rPr>
          <w:rFonts w:hint="eastAsia"/>
          <w:color w:val="auto"/>
        </w:rPr>
      </w:pPr>
      <w:r>
        <w:rPr>
          <w:rFonts w:hint="eastAsia"/>
          <w:color w:val="auto"/>
        </w:rPr>
        <w:t>4、《中华人民共和国环境保护法》（中华人民共和国主席令[2014]第九号，2015年1月1日实施）；</w:t>
      </w:r>
    </w:p>
    <w:p w14:paraId="6CF5B80C">
      <w:pPr>
        <w:bidi w:val="0"/>
        <w:rPr>
          <w:rFonts w:hint="eastAsia"/>
          <w:color w:val="auto"/>
        </w:rPr>
      </w:pPr>
      <w:r>
        <w:rPr>
          <w:rFonts w:hint="eastAsia"/>
          <w:color w:val="auto"/>
        </w:rPr>
        <w:t>5、《中华人民共和国防震减灾法》（中华人民共和国主席令[2008]第七号，中华人民共和国第十一届全国人民代表大会常务委员会第六次会议修订通过，自2009年5月1日起施行）；</w:t>
      </w:r>
    </w:p>
    <w:p w14:paraId="5E00E9CF">
      <w:pPr>
        <w:bidi w:val="0"/>
        <w:rPr>
          <w:rFonts w:hint="eastAsia"/>
          <w:color w:val="auto"/>
        </w:rPr>
      </w:pPr>
      <w:r>
        <w:rPr>
          <w:rFonts w:hint="eastAsia"/>
          <w:color w:val="auto"/>
        </w:rPr>
        <w:t>6、《中华人民共和国突发事件应对法》（中华人民共和国主席令[2007]第六十九号，2024年6月28日第十四届全国人民代表大会常务委员会第十次会议修订，自2024年11月1日起施行）；</w:t>
      </w:r>
    </w:p>
    <w:p w14:paraId="7BE92240">
      <w:pPr>
        <w:bidi w:val="0"/>
        <w:rPr>
          <w:rFonts w:hint="eastAsia"/>
          <w:color w:val="auto"/>
        </w:rPr>
      </w:pPr>
      <w:r>
        <w:rPr>
          <w:rFonts w:hint="eastAsia"/>
          <w:color w:val="auto"/>
        </w:rPr>
        <w:t>7、《中华人民共和国特种设备安全法》（中华人民共和国主席令[2013]第四号，2014年1月1日实施）；</w:t>
      </w:r>
    </w:p>
    <w:p w14:paraId="112C23FE">
      <w:pPr>
        <w:bidi w:val="0"/>
        <w:rPr>
          <w:rFonts w:hint="eastAsia"/>
          <w:color w:val="auto"/>
        </w:rPr>
      </w:pPr>
      <w:r>
        <w:rPr>
          <w:rFonts w:hint="eastAsia"/>
          <w:color w:val="auto"/>
        </w:rPr>
        <w:t>8、《中华人民共和国气象法（2016年版）》（中华人民共和国主席令第23号，中华人民共和国主席令[2016]第五十七号修订，2016年11月7日）；</w:t>
      </w:r>
    </w:p>
    <w:p w14:paraId="4500970C">
      <w:pPr>
        <w:bidi w:val="0"/>
        <w:rPr>
          <w:rFonts w:hint="eastAsia"/>
          <w:color w:val="auto"/>
        </w:rPr>
      </w:pPr>
      <w:r>
        <w:rPr>
          <w:rFonts w:hint="eastAsia"/>
          <w:color w:val="auto"/>
        </w:rPr>
        <w:t>9、《中华人民共和国建筑法》（中华人民共和国主席令第91号，2019年4月23日第十三届全国人民代表大会常务委员会第十次会议《关于修改〈中华人民共和国建筑法〉等八部法律的决定》第二次修正）；</w:t>
      </w:r>
    </w:p>
    <w:p w14:paraId="6E75603A">
      <w:pPr>
        <w:bidi w:val="0"/>
        <w:rPr>
          <w:rFonts w:hint="eastAsia"/>
          <w:color w:val="auto"/>
        </w:rPr>
      </w:pPr>
      <w:r>
        <w:rPr>
          <w:rFonts w:hint="eastAsia"/>
          <w:color w:val="auto"/>
        </w:rPr>
        <w:t>10、《中华人民共和国劳动法》（中华人民共和国主席令第28号，1995年1月1日施行；2009年中华人民共和国主席令第18号修改，2009年8月27日施行，2018年12月29日第十三届全国人民代表大会常务委员会第七次会议修改）。</w:t>
      </w:r>
    </w:p>
    <w:p w14:paraId="6279FBDC">
      <w:pPr>
        <w:pStyle w:val="4"/>
        <w:bidi w:val="0"/>
        <w:rPr>
          <w:rFonts w:hint="eastAsia"/>
          <w:color w:val="auto"/>
        </w:rPr>
      </w:pPr>
      <w:bookmarkStart w:id="58" w:name="_Toc6899"/>
      <w:r>
        <w:rPr>
          <w:rFonts w:hint="eastAsia"/>
          <w:color w:val="auto"/>
        </w:rPr>
        <w:t>1.2.2 行政法规</w:t>
      </w:r>
      <w:bookmarkEnd w:id="58"/>
    </w:p>
    <w:p w14:paraId="007DEF2F">
      <w:pPr>
        <w:bidi w:val="0"/>
        <w:rPr>
          <w:rFonts w:hint="eastAsia"/>
          <w:color w:val="auto"/>
        </w:rPr>
      </w:pPr>
      <w:r>
        <w:rPr>
          <w:rFonts w:hint="eastAsia"/>
          <w:color w:val="auto"/>
        </w:rPr>
        <w:t>1、《中共中央国务院关于推进安全生产领域改革发展的意见》（中共中央国务院，自2016年12月18日起施行）；</w:t>
      </w:r>
    </w:p>
    <w:p w14:paraId="6E6FB3B2">
      <w:pPr>
        <w:bidi w:val="0"/>
        <w:rPr>
          <w:rFonts w:hint="eastAsia"/>
          <w:color w:val="auto"/>
        </w:rPr>
      </w:pPr>
      <w:r>
        <w:rPr>
          <w:rFonts w:hint="eastAsia"/>
          <w:color w:val="auto"/>
        </w:rPr>
        <w:t>2、《特种设备安全监察条例》（中华人民共和国国务院令[2009]第549号，2009年5月1日起施行）；</w:t>
      </w:r>
    </w:p>
    <w:p w14:paraId="286344BC">
      <w:pPr>
        <w:bidi w:val="0"/>
        <w:rPr>
          <w:rFonts w:hint="eastAsia"/>
          <w:color w:val="auto"/>
        </w:rPr>
      </w:pPr>
      <w:r>
        <w:rPr>
          <w:rFonts w:hint="eastAsia"/>
          <w:color w:val="auto"/>
        </w:rPr>
        <w:t>3、《工伤保险条例》（中华人民共和国国务院令[2010]第586号，2011年1月1日实施）；</w:t>
      </w:r>
    </w:p>
    <w:p w14:paraId="229A560E">
      <w:pPr>
        <w:bidi w:val="0"/>
        <w:rPr>
          <w:rFonts w:hint="eastAsia"/>
          <w:color w:val="auto"/>
        </w:rPr>
      </w:pPr>
      <w:r>
        <w:rPr>
          <w:rFonts w:hint="eastAsia"/>
          <w:color w:val="auto"/>
        </w:rPr>
        <w:t>4、《建设工程安全生产管理条例》（中华人民共和国国务院令[2003]第393号，2004年2月1日起施行）；</w:t>
      </w:r>
    </w:p>
    <w:p w14:paraId="7224E6BC">
      <w:pPr>
        <w:bidi w:val="0"/>
        <w:rPr>
          <w:rFonts w:hint="eastAsia"/>
          <w:color w:val="auto"/>
        </w:rPr>
      </w:pPr>
      <w:r>
        <w:rPr>
          <w:rFonts w:hint="eastAsia"/>
          <w:color w:val="auto"/>
        </w:rPr>
        <w:t>5、《生产安全事故报告和调查处理条例》（中华人民共和国国务院令[2007]第493号，2007年6月1日起施行）；</w:t>
      </w:r>
    </w:p>
    <w:p w14:paraId="3C123D2B">
      <w:pPr>
        <w:bidi w:val="0"/>
        <w:rPr>
          <w:rFonts w:hint="eastAsia"/>
          <w:color w:val="auto"/>
        </w:rPr>
      </w:pPr>
      <w:r>
        <w:rPr>
          <w:rFonts w:hint="eastAsia"/>
          <w:color w:val="auto"/>
        </w:rPr>
        <w:t>6、《建设工程质量管理条例（2019修正）》（中华人民共和国国务院令[2019]第709号修订）；</w:t>
      </w:r>
    </w:p>
    <w:p w14:paraId="291190C9">
      <w:pPr>
        <w:bidi w:val="0"/>
        <w:rPr>
          <w:rFonts w:hint="eastAsia"/>
          <w:color w:val="auto"/>
        </w:rPr>
      </w:pPr>
      <w:r>
        <w:rPr>
          <w:rFonts w:hint="eastAsia"/>
          <w:color w:val="auto"/>
        </w:rPr>
        <w:t>7、《生产安全事故应急条例》（中华人民共和国国务院令第708号，2019年4月1日施行）；</w:t>
      </w:r>
    </w:p>
    <w:p w14:paraId="09B985E6">
      <w:pPr>
        <w:bidi w:val="0"/>
        <w:rPr>
          <w:rFonts w:hint="eastAsia"/>
          <w:color w:val="auto"/>
        </w:rPr>
      </w:pPr>
      <w:r>
        <w:rPr>
          <w:rFonts w:hint="eastAsia"/>
          <w:color w:val="auto"/>
        </w:rPr>
        <w:t>8、《劳动保障监察条例》（中华人民共和国国务院令[2004]第423号，自2004年12月1日起施行）。</w:t>
      </w:r>
    </w:p>
    <w:p w14:paraId="723F85A3">
      <w:pPr>
        <w:pStyle w:val="4"/>
        <w:bidi w:val="0"/>
        <w:rPr>
          <w:rFonts w:hint="eastAsia"/>
          <w:color w:val="auto"/>
        </w:rPr>
      </w:pPr>
      <w:bookmarkStart w:id="59" w:name="_Toc8555"/>
      <w:r>
        <w:rPr>
          <w:rFonts w:hint="eastAsia"/>
          <w:color w:val="auto"/>
        </w:rPr>
        <w:t>1.2.3 部门规章</w:t>
      </w:r>
      <w:bookmarkEnd w:id="59"/>
    </w:p>
    <w:p w14:paraId="597A167B">
      <w:pPr>
        <w:bidi w:val="0"/>
        <w:rPr>
          <w:rFonts w:hint="eastAsia"/>
          <w:color w:val="auto"/>
        </w:rPr>
      </w:pPr>
      <w:r>
        <w:rPr>
          <w:rFonts w:hint="eastAsia"/>
          <w:color w:val="auto"/>
        </w:rPr>
        <w:t>1、《建设项目安全设施</w:t>
      </w:r>
      <w:r>
        <w:rPr>
          <w:rFonts w:hint="eastAsia"/>
          <w:color w:val="auto"/>
          <w:lang w:eastAsia="zh-CN"/>
        </w:rPr>
        <w:t>“</w:t>
      </w:r>
      <w:r>
        <w:rPr>
          <w:rFonts w:hint="eastAsia"/>
          <w:color w:val="auto"/>
        </w:rPr>
        <w:t>三同时</w:t>
      </w:r>
      <w:r>
        <w:rPr>
          <w:rFonts w:hint="eastAsia"/>
          <w:color w:val="auto"/>
          <w:lang w:eastAsia="zh-CN"/>
        </w:rPr>
        <w:t>”</w:t>
      </w:r>
      <w:r>
        <w:rPr>
          <w:rFonts w:hint="eastAsia"/>
          <w:color w:val="auto"/>
        </w:rPr>
        <w:t>监督管理办法》（原国家安全生产监管总局令[2010]第36号，原国家安全生产监管总局令[2015]第77号修订，2015年5月1日起实施）；</w:t>
      </w:r>
    </w:p>
    <w:p w14:paraId="31101DB4">
      <w:pPr>
        <w:bidi w:val="0"/>
        <w:rPr>
          <w:rFonts w:hint="eastAsia"/>
          <w:color w:val="auto"/>
        </w:rPr>
      </w:pPr>
      <w:r>
        <w:rPr>
          <w:rFonts w:hint="eastAsia"/>
          <w:color w:val="auto"/>
        </w:rPr>
        <w:t>2、《国家安全监管总局关于废止和修改劳动防护用品和安全培训等领域十部规章的决定》（原国家安全生产监督管理总局令[2015]第80号，2015年7月1日实施）；</w:t>
      </w:r>
    </w:p>
    <w:p w14:paraId="4F66695E">
      <w:pPr>
        <w:bidi w:val="0"/>
        <w:rPr>
          <w:rFonts w:hint="eastAsia"/>
          <w:color w:val="auto"/>
        </w:rPr>
      </w:pPr>
      <w:r>
        <w:rPr>
          <w:rFonts w:hint="eastAsia"/>
          <w:color w:val="auto"/>
        </w:rPr>
        <w:t>3、《国务院办公厅关于印发消防安全责任制实施办法的通知》（国办发〔2017〕87号）；</w:t>
      </w:r>
    </w:p>
    <w:p w14:paraId="4A73F941">
      <w:pPr>
        <w:bidi w:val="0"/>
        <w:rPr>
          <w:rFonts w:hint="eastAsia"/>
          <w:color w:val="auto"/>
        </w:rPr>
      </w:pPr>
      <w:r>
        <w:rPr>
          <w:rFonts w:hint="eastAsia"/>
          <w:color w:val="auto"/>
        </w:rPr>
        <w:t>4、《生产经营单位安全培训规定》（原国家安全生产监督管理总局令第3号，根据80号令修改，2015年7月1日起实施）；</w:t>
      </w:r>
    </w:p>
    <w:p w14:paraId="6F7A55EA">
      <w:pPr>
        <w:bidi w:val="0"/>
        <w:rPr>
          <w:rFonts w:hint="eastAsia"/>
          <w:color w:val="auto"/>
        </w:rPr>
      </w:pPr>
      <w:r>
        <w:rPr>
          <w:rFonts w:hint="eastAsia"/>
          <w:color w:val="auto"/>
        </w:rPr>
        <w:t>5、《生产安全事故应急预案管理办法》（原国家安全生产监督管理总局令第88号，中华人民共和国应急管理部令第2号修改，自2019年9月1日起施行）；</w:t>
      </w:r>
    </w:p>
    <w:p w14:paraId="0566B699">
      <w:pPr>
        <w:bidi w:val="0"/>
        <w:rPr>
          <w:rFonts w:hint="eastAsia"/>
          <w:color w:val="auto"/>
        </w:rPr>
      </w:pPr>
      <w:r>
        <w:rPr>
          <w:rFonts w:hint="eastAsia"/>
          <w:color w:val="auto"/>
        </w:rPr>
        <w:t>6、《工作场所职业卫生管理规定》（中华人民共和国国家卫生健康委员会令第5号，自2021年2月1日起施行）；</w:t>
      </w:r>
    </w:p>
    <w:p w14:paraId="2A299948">
      <w:pPr>
        <w:bidi w:val="0"/>
        <w:rPr>
          <w:rFonts w:hint="eastAsia"/>
          <w:color w:val="auto"/>
        </w:rPr>
      </w:pPr>
      <w:r>
        <w:rPr>
          <w:rFonts w:hint="eastAsia"/>
          <w:color w:val="auto"/>
        </w:rPr>
        <w:t>7、《职业病分类和目录》（国卫职健发〔2024〕39号）；</w:t>
      </w:r>
    </w:p>
    <w:p w14:paraId="2C47006C">
      <w:pPr>
        <w:bidi w:val="0"/>
        <w:rPr>
          <w:rFonts w:hint="eastAsia"/>
          <w:color w:val="auto"/>
        </w:rPr>
      </w:pPr>
      <w:r>
        <w:rPr>
          <w:rFonts w:hint="eastAsia"/>
          <w:color w:val="auto"/>
        </w:rPr>
        <w:t>8、《特种作业人员安全技术培训考核管理规定》（原国家安全生产监督管理总局令[2010]第30号，国家安全生产监督管理总局令[2015]第80号，2015年7月1日施行）；</w:t>
      </w:r>
    </w:p>
    <w:p w14:paraId="2475A495">
      <w:pPr>
        <w:bidi w:val="0"/>
        <w:rPr>
          <w:rFonts w:hint="eastAsia"/>
          <w:color w:val="auto"/>
        </w:rPr>
      </w:pPr>
      <w:r>
        <w:rPr>
          <w:rFonts w:hint="eastAsia"/>
          <w:color w:val="auto"/>
        </w:rPr>
        <w:t>9、《安全生产培训管理办法》（原国家安全生产监督管理总局令第44号，国家安全生产监督管理总局令[2015]第80号令修订，自2015年7月1日起施行）；</w:t>
      </w:r>
    </w:p>
    <w:p w14:paraId="13A67CF5">
      <w:pPr>
        <w:bidi w:val="0"/>
        <w:rPr>
          <w:rFonts w:hint="eastAsia"/>
          <w:color w:val="auto"/>
        </w:rPr>
      </w:pPr>
      <w:r>
        <w:rPr>
          <w:rFonts w:hint="eastAsia"/>
          <w:color w:val="auto"/>
        </w:rPr>
        <w:t>10、《产业结构调整指导目录（2024年本）》经2023年12月1日第6次委务会议审议通过，自2024年2月1日起施行；</w:t>
      </w:r>
    </w:p>
    <w:p w14:paraId="0FF9C60D">
      <w:pPr>
        <w:bidi w:val="0"/>
        <w:rPr>
          <w:rFonts w:hint="eastAsia"/>
          <w:color w:val="auto"/>
        </w:rPr>
      </w:pPr>
      <w:r>
        <w:rPr>
          <w:rFonts w:hint="eastAsia"/>
          <w:color w:val="auto"/>
        </w:rPr>
        <w:t>11、《关于印发&lt;企业安全生产费用提取和使用管理办法&gt;的通知》（财资〔2022〕136号）；</w:t>
      </w:r>
    </w:p>
    <w:p w14:paraId="6618AA91">
      <w:pPr>
        <w:bidi w:val="0"/>
        <w:rPr>
          <w:rFonts w:hint="eastAsia"/>
          <w:color w:val="auto"/>
        </w:rPr>
      </w:pPr>
      <w:r>
        <w:rPr>
          <w:rFonts w:hint="eastAsia"/>
          <w:color w:val="auto"/>
        </w:rPr>
        <w:t>12、《工贸企业有限空间作业安全规定》（应急管理部令第13号，自2024年1月1日起施行）；</w:t>
      </w:r>
    </w:p>
    <w:p w14:paraId="645EDDF1">
      <w:pPr>
        <w:bidi w:val="0"/>
        <w:rPr>
          <w:rFonts w:hint="eastAsia"/>
          <w:color w:val="auto"/>
        </w:rPr>
      </w:pPr>
      <w:r>
        <w:rPr>
          <w:rFonts w:hint="eastAsia"/>
          <w:color w:val="auto"/>
        </w:rPr>
        <w:t>13、《仓库防火安全管理规则》（公安部令第6号，1990年4月10日起实施）；</w:t>
      </w:r>
    </w:p>
    <w:p w14:paraId="231FDCD6">
      <w:pPr>
        <w:bidi w:val="0"/>
        <w:rPr>
          <w:rFonts w:hint="eastAsia"/>
          <w:color w:val="auto"/>
        </w:rPr>
      </w:pPr>
      <w:r>
        <w:rPr>
          <w:rFonts w:hint="eastAsia"/>
          <w:color w:val="auto"/>
        </w:rPr>
        <w:t>14、《住房和城乡建设部关于修改〈建设工程消防设计审查验收管理暂行规定〉的决定》经2023年7月24日第2次部务会议审议通过，自2023年10月30日起施行；</w:t>
      </w:r>
    </w:p>
    <w:p w14:paraId="1F33F0AA">
      <w:pPr>
        <w:bidi w:val="0"/>
        <w:rPr>
          <w:rFonts w:hint="eastAsia"/>
          <w:color w:val="auto"/>
        </w:rPr>
      </w:pPr>
      <w:r>
        <w:rPr>
          <w:rFonts w:hint="eastAsia"/>
          <w:color w:val="auto"/>
        </w:rPr>
        <w:t>15、《工贸企业重大事故隐患判定标准》（中华人民共和国应急管理部令第10号）；</w:t>
      </w:r>
    </w:p>
    <w:p w14:paraId="10947033">
      <w:pPr>
        <w:bidi w:val="0"/>
        <w:rPr>
          <w:rFonts w:hint="eastAsia"/>
          <w:color w:val="auto"/>
        </w:rPr>
      </w:pPr>
      <w:r>
        <w:rPr>
          <w:rFonts w:hint="eastAsia"/>
          <w:color w:val="auto"/>
        </w:rPr>
        <w:t>16、应急管理部办公厅关于印发《有限空间作业安全指导手册》和4个专题系列折页的通知（应急厅函[2020]299号）；</w:t>
      </w:r>
    </w:p>
    <w:p w14:paraId="562BEA5D">
      <w:pPr>
        <w:bidi w:val="0"/>
        <w:rPr>
          <w:rFonts w:hint="eastAsia"/>
          <w:color w:val="auto"/>
        </w:rPr>
      </w:pPr>
      <w:r>
        <w:rPr>
          <w:rFonts w:hint="eastAsia"/>
          <w:color w:val="auto"/>
        </w:rPr>
        <w:t>17、《国务院安委会办公室关于印发标本兼治遏制重特大事故工作指南的通知》（安委办[2016]3号）；</w:t>
      </w:r>
    </w:p>
    <w:p w14:paraId="4967242D">
      <w:pPr>
        <w:bidi w:val="0"/>
        <w:rPr>
          <w:rFonts w:hint="eastAsia"/>
          <w:color w:val="auto"/>
        </w:rPr>
      </w:pPr>
      <w:r>
        <w:rPr>
          <w:rFonts w:hint="eastAsia"/>
          <w:color w:val="auto"/>
        </w:rPr>
        <w:t>18、《国务院安委会办公室关于实施遏制重特大事故工作指南构建双重预防机制的意见》（安委办[2016]11号）。</w:t>
      </w:r>
    </w:p>
    <w:p w14:paraId="755BBA33">
      <w:pPr>
        <w:pStyle w:val="4"/>
        <w:bidi w:val="0"/>
        <w:rPr>
          <w:rFonts w:hint="eastAsia"/>
          <w:color w:val="auto"/>
        </w:rPr>
      </w:pPr>
      <w:bookmarkStart w:id="60" w:name="_Toc8859"/>
      <w:r>
        <w:rPr>
          <w:rFonts w:hint="eastAsia"/>
          <w:color w:val="auto"/>
        </w:rPr>
        <w:t>1.2.4 地方性法规及文件</w:t>
      </w:r>
      <w:bookmarkEnd w:id="60"/>
    </w:p>
    <w:p w14:paraId="5FEEE348">
      <w:pPr>
        <w:bidi w:val="0"/>
        <w:rPr>
          <w:rFonts w:hint="eastAsia"/>
          <w:color w:val="auto"/>
        </w:rPr>
      </w:pPr>
      <w:r>
        <w:rPr>
          <w:rFonts w:hint="eastAsia"/>
          <w:color w:val="auto"/>
        </w:rPr>
        <w:t>1、《云南省安全生产条例》（2017年11月30日云南省第十二届人民代表大会常务委员会第三十八次会议通过，2018年1月1日起施行）；</w:t>
      </w:r>
    </w:p>
    <w:p w14:paraId="2DC14B04">
      <w:pPr>
        <w:bidi w:val="0"/>
        <w:rPr>
          <w:rFonts w:hint="eastAsia"/>
          <w:color w:val="auto"/>
        </w:rPr>
      </w:pPr>
      <w:r>
        <w:rPr>
          <w:rFonts w:hint="eastAsia"/>
          <w:color w:val="auto"/>
        </w:rPr>
        <w:t>2、《云南省消防条例》（2010年9月30日云南省第十一届人民代表大会常务委员会第十九次会议通过，根据2020年11月25日云南省第十三届人民代表大会常务委员会第二十一次会议《云南省人民代表大会常务委员会关于修改部分地方性法规的决定》修正）；</w:t>
      </w:r>
    </w:p>
    <w:p w14:paraId="4A9B78B6">
      <w:pPr>
        <w:bidi w:val="0"/>
        <w:rPr>
          <w:rFonts w:hint="eastAsia"/>
          <w:color w:val="auto"/>
        </w:rPr>
      </w:pPr>
      <w:r>
        <w:rPr>
          <w:rFonts w:hint="eastAsia"/>
          <w:color w:val="auto"/>
        </w:rPr>
        <w:t>3、《云南省生产安全事故报告和调查处理规定》（云南省政府令[2009]第155号）；</w:t>
      </w:r>
    </w:p>
    <w:p w14:paraId="19305A82">
      <w:pPr>
        <w:bidi w:val="0"/>
        <w:rPr>
          <w:rFonts w:hint="eastAsia"/>
          <w:color w:val="auto"/>
        </w:rPr>
      </w:pPr>
      <w:r>
        <w:rPr>
          <w:rFonts w:hint="eastAsia"/>
          <w:color w:val="auto"/>
        </w:rPr>
        <w:t>4、《云南省人民政府贯彻落实国务院关于进一步加强企业安全生产工作通知的实施意见》（云政发〔2010〕157号）；</w:t>
      </w:r>
    </w:p>
    <w:p w14:paraId="5D780E9F">
      <w:pPr>
        <w:bidi w:val="0"/>
        <w:rPr>
          <w:rFonts w:hint="eastAsia"/>
          <w:color w:val="auto"/>
        </w:rPr>
      </w:pPr>
      <w:r>
        <w:rPr>
          <w:rFonts w:hint="eastAsia"/>
          <w:color w:val="auto"/>
        </w:rPr>
        <w:t>5、《云南省应急管理厅关于印发云南省企业安全生产标准化建设定级实施办法的通知》（云应急〔2023〕6号）；</w:t>
      </w:r>
    </w:p>
    <w:p w14:paraId="56F8E3E8">
      <w:pPr>
        <w:bidi w:val="0"/>
        <w:rPr>
          <w:rFonts w:hint="eastAsia"/>
          <w:color w:val="auto"/>
        </w:rPr>
      </w:pPr>
      <w:r>
        <w:rPr>
          <w:rFonts w:hint="eastAsia"/>
          <w:color w:val="auto"/>
        </w:rPr>
        <w:t>6、《云南省安全生产监督管理局关于进一步加强工贸行业有限空间作业安全生产工作的通知》（云安监管函〔2016〕85号）；</w:t>
      </w:r>
    </w:p>
    <w:p w14:paraId="21F11BD7">
      <w:pPr>
        <w:bidi w:val="0"/>
        <w:rPr>
          <w:rFonts w:hint="eastAsia"/>
          <w:color w:val="auto"/>
        </w:rPr>
      </w:pPr>
      <w:r>
        <w:rPr>
          <w:rFonts w:hint="eastAsia"/>
          <w:color w:val="auto"/>
        </w:rPr>
        <w:t>7、《云南省应急管理厅关于在重点工贸企业开展安全生产动态巡查和预警工作的通知》（云应急〔2020〕10号）；</w:t>
      </w:r>
    </w:p>
    <w:p w14:paraId="69DBBE5E">
      <w:pPr>
        <w:bidi w:val="0"/>
        <w:rPr>
          <w:rFonts w:hint="eastAsia"/>
          <w:color w:val="auto"/>
        </w:rPr>
      </w:pPr>
      <w:r>
        <w:rPr>
          <w:rFonts w:hint="eastAsia"/>
          <w:color w:val="auto"/>
        </w:rPr>
        <w:t>8、《云南省安全生产委员会办公室关于印发＜云南省工贸行业安全生产综合治理实施方案＞的通知》（云安办〔2020〕16号）；</w:t>
      </w:r>
    </w:p>
    <w:p w14:paraId="47928F98">
      <w:pPr>
        <w:bidi w:val="0"/>
        <w:rPr>
          <w:rFonts w:hint="eastAsia"/>
          <w:color w:val="auto"/>
        </w:rPr>
      </w:pPr>
      <w:r>
        <w:rPr>
          <w:rFonts w:hint="eastAsia"/>
          <w:color w:val="auto"/>
        </w:rPr>
        <w:t>9、《云南省应急管理厅关于学习使用&lt;有限空间作业安全指导手册&gt;和4个专题系列折页的通知》（云应急函〔2020〕238号）；</w:t>
      </w:r>
    </w:p>
    <w:p w14:paraId="60DC6DC8">
      <w:pPr>
        <w:bidi w:val="0"/>
        <w:rPr>
          <w:rFonts w:hint="eastAsia"/>
          <w:color w:val="auto"/>
        </w:rPr>
      </w:pPr>
      <w:r>
        <w:rPr>
          <w:rFonts w:hint="eastAsia"/>
          <w:color w:val="auto"/>
        </w:rPr>
        <w:t>10、《云南安全生产委员会关于建立完善安全风险分级管控和隐患排查治理双重预防机制的指导意见》（云安〔2021〕3号）；</w:t>
      </w:r>
    </w:p>
    <w:p w14:paraId="1E60DF03">
      <w:pPr>
        <w:bidi w:val="0"/>
        <w:rPr>
          <w:rFonts w:hint="eastAsia"/>
          <w:color w:val="auto"/>
        </w:rPr>
      </w:pPr>
      <w:r>
        <w:rPr>
          <w:rFonts w:hint="eastAsia"/>
          <w:color w:val="auto"/>
        </w:rPr>
        <w:t>11、《云南省工贸行业企业安全风险源点定性定量判别参考标准指南（试行）》（云应急〔2022〕8号）。</w:t>
      </w:r>
    </w:p>
    <w:p w14:paraId="3E8A2EF7">
      <w:pPr>
        <w:pStyle w:val="4"/>
        <w:bidi w:val="0"/>
        <w:rPr>
          <w:rFonts w:hint="eastAsia"/>
          <w:color w:val="auto"/>
        </w:rPr>
      </w:pPr>
      <w:bookmarkStart w:id="61" w:name="_Toc20723"/>
      <w:r>
        <w:rPr>
          <w:rFonts w:hint="eastAsia"/>
          <w:color w:val="auto"/>
        </w:rPr>
        <w:t>1.2.5 标准规范</w:t>
      </w:r>
      <w:bookmarkEnd w:id="61"/>
    </w:p>
    <w:p w14:paraId="796CCB2F">
      <w:pPr>
        <w:bidi w:val="0"/>
        <w:rPr>
          <w:rFonts w:hint="eastAsia"/>
          <w:color w:val="auto"/>
        </w:rPr>
      </w:pPr>
      <w:r>
        <w:rPr>
          <w:rFonts w:hint="eastAsia"/>
          <w:color w:val="auto"/>
        </w:rPr>
        <w:t>1、《选矿安全规程》（GB/T 18152-2000）；</w:t>
      </w:r>
    </w:p>
    <w:p w14:paraId="01E186D1">
      <w:pPr>
        <w:bidi w:val="0"/>
        <w:rPr>
          <w:rFonts w:hint="eastAsia"/>
          <w:color w:val="auto"/>
        </w:rPr>
      </w:pPr>
      <w:r>
        <w:rPr>
          <w:rFonts w:hint="eastAsia"/>
          <w:color w:val="auto"/>
        </w:rPr>
        <w:t>2、《工业企业总平面设计规范》（GB 50187-2012，2012年08月01日实施）；</w:t>
      </w:r>
    </w:p>
    <w:p w14:paraId="4168BD61">
      <w:pPr>
        <w:bidi w:val="0"/>
        <w:rPr>
          <w:rFonts w:hint="eastAsia"/>
          <w:color w:val="auto"/>
        </w:rPr>
      </w:pPr>
      <w:r>
        <w:rPr>
          <w:rFonts w:hint="eastAsia"/>
          <w:color w:val="auto"/>
        </w:rPr>
        <w:t>3、《工业企业设计卫生标准》（GB Z 1-2010，2010年8月1日施行）；</w:t>
      </w:r>
    </w:p>
    <w:p w14:paraId="2DFBB1DC">
      <w:pPr>
        <w:bidi w:val="0"/>
        <w:rPr>
          <w:rFonts w:hint="eastAsia"/>
          <w:color w:val="auto"/>
        </w:rPr>
      </w:pPr>
      <w:r>
        <w:rPr>
          <w:rFonts w:hint="eastAsia"/>
          <w:color w:val="auto"/>
        </w:rPr>
        <w:t>4、《工业企业噪声控制设计规范》（GB /T 50087-2013，2014年06月01日实施）；</w:t>
      </w:r>
    </w:p>
    <w:p w14:paraId="76E36A33">
      <w:pPr>
        <w:bidi w:val="0"/>
        <w:rPr>
          <w:rFonts w:hint="eastAsia"/>
          <w:color w:val="auto"/>
        </w:rPr>
      </w:pPr>
      <w:r>
        <w:rPr>
          <w:rFonts w:hint="eastAsia"/>
          <w:color w:val="auto"/>
        </w:rPr>
        <w:t>5、《工业建筑防腐蚀设计标准》（GB /T 50046-2018，2019年03月01日实施）；</w:t>
      </w:r>
    </w:p>
    <w:p w14:paraId="418BE98A">
      <w:pPr>
        <w:bidi w:val="0"/>
        <w:rPr>
          <w:rFonts w:hint="eastAsia"/>
          <w:color w:val="auto"/>
        </w:rPr>
      </w:pPr>
      <w:r>
        <w:rPr>
          <w:rFonts w:hint="eastAsia"/>
          <w:color w:val="auto"/>
        </w:rPr>
        <w:t>6、《建筑设计防火规范》（2018版）（GB 0016-2014，2015年05月01日实施）；</w:t>
      </w:r>
    </w:p>
    <w:p w14:paraId="70B887AC">
      <w:pPr>
        <w:bidi w:val="0"/>
        <w:rPr>
          <w:rFonts w:hint="eastAsia"/>
          <w:color w:val="auto"/>
        </w:rPr>
      </w:pPr>
      <w:r>
        <w:rPr>
          <w:rFonts w:hint="eastAsia"/>
          <w:color w:val="auto"/>
        </w:rPr>
        <w:t>7、《建筑防火通用规范》（GB 55037-2022，2023年06月01日实施）；</w:t>
      </w:r>
    </w:p>
    <w:p w14:paraId="3AFFCBB4">
      <w:pPr>
        <w:bidi w:val="0"/>
        <w:rPr>
          <w:rFonts w:hint="eastAsia"/>
          <w:color w:val="auto"/>
        </w:rPr>
      </w:pPr>
      <w:r>
        <w:rPr>
          <w:rFonts w:hint="eastAsia"/>
          <w:color w:val="auto"/>
        </w:rPr>
        <w:t>8、《建筑物防雷设计规范》（GB 50057-2010，2011年10月01日实施）；</w:t>
      </w:r>
    </w:p>
    <w:p w14:paraId="09DA52E8">
      <w:pPr>
        <w:bidi w:val="0"/>
        <w:rPr>
          <w:rFonts w:hint="eastAsia"/>
          <w:color w:val="auto"/>
        </w:rPr>
      </w:pPr>
      <w:r>
        <w:rPr>
          <w:rFonts w:hint="eastAsia"/>
          <w:color w:val="auto"/>
        </w:rPr>
        <w:t>9、《建筑照明设计标准》（GB/T 50034-2024，2024年08月01日实施）；</w:t>
      </w:r>
    </w:p>
    <w:p w14:paraId="677E807B">
      <w:pPr>
        <w:bidi w:val="0"/>
        <w:rPr>
          <w:rFonts w:hint="eastAsia"/>
          <w:color w:val="auto"/>
        </w:rPr>
      </w:pPr>
      <w:r>
        <w:rPr>
          <w:rFonts w:hint="eastAsia"/>
          <w:color w:val="auto"/>
        </w:rPr>
        <w:t>10、《建筑抗震设计标准（2024年版）》（GB/T 50011-2010，2024年08月01日实施）；</w:t>
      </w:r>
    </w:p>
    <w:p w14:paraId="718900A8">
      <w:pPr>
        <w:bidi w:val="0"/>
        <w:rPr>
          <w:rFonts w:hint="eastAsia"/>
          <w:color w:val="auto"/>
        </w:rPr>
      </w:pPr>
      <w:r>
        <w:rPr>
          <w:rFonts w:hint="eastAsia"/>
          <w:color w:val="auto"/>
        </w:rPr>
        <w:t>11、《企业职工伤亡事故分类标准》（GB 6441-1986，1987年2月1日实施）；</w:t>
      </w:r>
    </w:p>
    <w:p w14:paraId="071DF492">
      <w:pPr>
        <w:bidi w:val="0"/>
        <w:rPr>
          <w:rFonts w:hint="eastAsia"/>
          <w:color w:val="auto"/>
        </w:rPr>
      </w:pPr>
      <w:r>
        <w:rPr>
          <w:rFonts w:hint="eastAsia"/>
          <w:color w:val="auto"/>
        </w:rPr>
        <w:t>12、《危险化学品重大危险源辨识》（GB 18218-2018，2019年3月01日实施）；</w:t>
      </w:r>
    </w:p>
    <w:p w14:paraId="509B1721">
      <w:pPr>
        <w:bidi w:val="0"/>
        <w:rPr>
          <w:rFonts w:hint="eastAsia"/>
          <w:color w:val="auto"/>
        </w:rPr>
      </w:pPr>
      <w:r>
        <w:rPr>
          <w:rFonts w:hint="eastAsia"/>
          <w:color w:val="auto"/>
        </w:rPr>
        <w:t>13、《生产设备安全卫生设计总则》（GB 5083-2023，2025年1月1日实施）；</w:t>
      </w:r>
    </w:p>
    <w:p w14:paraId="14521D2C">
      <w:pPr>
        <w:bidi w:val="0"/>
        <w:rPr>
          <w:rFonts w:hint="eastAsia"/>
          <w:color w:val="auto"/>
        </w:rPr>
      </w:pPr>
      <w:r>
        <w:rPr>
          <w:rFonts w:hint="eastAsia"/>
          <w:color w:val="auto"/>
        </w:rPr>
        <w:t>14、《生产过程安全卫生要求总则》（GB /T 12801-2008，2009年10月01日实施）；</w:t>
      </w:r>
    </w:p>
    <w:p w14:paraId="36F16DEF">
      <w:pPr>
        <w:bidi w:val="0"/>
        <w:rPr>
          <w:rFonts w:hint="eastAsia"/>
          <w:color w:val="auto"/>
        </w:rPr>
      </w:pPr>
      <w:r>
        <w:rPr>
          <w:rFonts w:hint="eastAsia"/>
          <w:color w:val="auto"/>
        </w:rPr>
        <w:t>15、《厂矿道路设计规范》（GB J 22-1987，1988年8月1日实施）；</w:t>
      </w:r>
    </w:p>
    <w:p w14:paraId="40DBC37C">
      <w:pPr>
        <w:bidi w:val="0"/>
        <w:rPr>
          <w:rFonts w:hint="eastAsia"/>
          <w:color w:val="auto"/>
        </w:rPr>
      </w:pPr>
      <w:r>
        <w:rPr>
          <w:rFonts w:hint="eastAsia"/>
          <w:color w:val="auto"/>
        </w:rPr>
        <w:t>16、《工业企业厂内铁路、道路运输安全规程》（GB 4387-2008，2009年10月01日实施）；</w:t>
      </w:r>
    </w:p>
    <w:p w14:paraId="2B1DE77A">
      <w:pPr>
        <w:bidi w:val="0"/>
        <w:rPr>
          <w:rFonts w:hint="eastAsia"/>
          <w:color w:val="auto"/>
        </w:rPr>
      </w:pPr>
      <w:r>
        <w:rPr>
          <w:rFonts w:hint="eastAsia"/>
          <w:color w:val="auto"/>
        </w:rPr>
        <w:t>17、《安全标志及其使用导则》（GB 2894-2008，2009年10月01日实施）；</w:t>
      </w:r>
    </w:p>
    <w:p w14:paraId="5B9D66BA">
      <w:pPr>
        <w:bidi w:val="0"/>
        <w:rPr>
          <w:rFonts w:hint="eastAsia"/>
          <w:color w:val="auto"/>
        </w:rPr>
      </w:pPr>
      <w:r>
        <w:rPr>
          <w:rFonts w:hint="eastAsia"/>
          <w:color w:val="auto"/>
        </w:rPr>
        <w:t>18、《安全色》（GB 2893-2008，2009年10月01日实施）；</w:t>
      </w:r>
    </w:p>
    <w:p w14:paraId="4D3B2B3F">
      <w:pPr>
        <w:bidi w:val="0"/>
        <w:rPr>
          <w:rFonts w:hint="eastAsia"/>
          <w:color w:val="auto"/>
        </w:rPr>
      </w:pPr>
      <w:r>
        <w:rPr>
          <w:rFonts w:hint="eastAsia"/>
          <w:color w:val="auto"/>
        </w:rPr>
        <w:t>19、《个体防护装备配备规范 第1部分：总则》（GB 39800.1-2020，2020年12月24日发布，2022年1月1日实施）；</w:t>
      </w:r>
    </w:p>
    <w:p w14:paraId="7B652A5F">
      <w:pPr>
        <w:bidi w:val="0"/>
        <w:rPr>
          <w:rFonts w:hint="eastAsia"/>
          <w:color w:val="auto"/>
        </w:rPr>
      </w:pPr>
      <w:r>
        <w:rPr>
          <w:rFonts w:hint="eastAsia"/>
          <w:color w:val="auto"/>
        </w:rPr>
        <w:t>20、《用电安全导则》（GB /T 13869-2017，2018年07月01日实施）；</w:t>
      </w:r>
    </w:p>
    <w:p w14:paraId="34DBDFB7">
      <w:pPr>
        <w:bidi w:val="0"/>
        <w:rPr>
          <w:rFonts w:hint="eastAsia"/>
          <w:color w:val="auto"/>
        </w:rPr>
      </w:pPr>
      <w:r>
        <w:rPr>
          <w:rFonts w:hint="eastAsia"/>
          <w:color w:val="auto"/>
        </w:rPr>
        <w:t>21、《电气设备安全设计导则》（GB /T 25295-2010，2011年5月1日实施）；</w:t>
      </w:r>
    </w:p>
    <w:p w14:paraId="5305FDBC">
      <w:pPr>
        <w:bidi w:val="0"/>
        <w:rPr>
          <w:rFonts w:hint="eastAsia"/>
          <w:color w:val="auto"/>
        </w:rPr>
      </w:pPr>
      <w:r>
        <w:rPr>
          <w:rFonts w:hint="eastAsia"/>
          <w:color w:val="auto"/>
        </w:rPr>
        <w:t>22、《电击防护装置和设备的通用部分》（GB /T 17045-2020，2020年10月01日实施）；</w:t>
      </w:r>
    </w:p>
    <w:p w14:paraId="2338A78D">
      <w:pPr>
        <w:bidi w:val="0"/>
        <w:rPr>
          <w:rFonts w:hint="eastAsia"/>
          <w:color w:val="auto"/>
        </w:rPr>
      </w:pPr>
      <w:r>
        <w:rPr>
          <w:rFonts w:hint="eastAsia"/>
          <w:color w:val="auto"/>
        </w:rPr>
        <w:t>23、《建筑电气工程施工质量验收规范》（GB 50303-2015，2016年8月1日实施）；</w:t>
      </w:r>
    </w:p>
    <w:p w14:paraId="1A21F494">
      <w:pPr>
        <w:bidi w:val="0"/>
        <w:rPr>
          <w:rFonts w:hint="eastAsia"/>
          <w:color w:val="auto"/>
        </w:rPr>
      </w:pPr>
      <w:r>
        <w:rPr>
          <w:rFonts w:hint="eastAsia"/>
          <w:color w:val="auto"/>
        </w:rPr>
        <w:t>24、《电气装置安装工程 电缆线路施工及验收标准》（GB 50168-2018，2019年5月1日实施）；</w:t>
      </w:r>
    </w:p>
    <w:p w14:paraId="2591D221">
      <w:pPr>
        <w:bidi w:val="0"/>
        <w:rPr>
          <w:rFonts w:hint="eastAsia"/>
          <w:color w:val="auto"/>
        </w:rPr>
      </w:pPr>
      <w:r>
        <w:rPr>
          <w:rFonts w:hint="eastAsia"/>
          <w:color w:val="auto"/>
        </w:rPr>
        <w:t>25、《电气装置安装工程接地装置施工及验收规范》（GB 50169-2016，2017年4月1日实施）；</w:t>
      </w:r>
    </w:p>
    <w:p w14:paraId="612F1525">
      <w:pPr>
        <w:bidi w:val="0"/>
        <w:rPr>
          <w:rFonts w:hint="eastAsia"/>
          <w:color w:val="auto"/>
        </w:rPr>
      </w:pPr>
      <w:r>
        <w:rPr>
          <w:rFonts w:hint="eastAsia"/>
          <w:color w:val="auto"/>
        </w:rPr>
        <w:t>26、《建筑采光设计标准》（GB 50033-2013，2013年5月1日实施）；</w:t>
      </w:r>
    </w:p>
    <w:p w14:paraId="5A67AE18">
      <w:pPr>
        <w:bidi w:val="0"/>
        <w:rPr>
          <w:rFonts w:hint="eastAsia"/>
          <w:color w:val="auto"/>
        </w:rPr>
      </w:pPr>
      <w:r>
        <w:rPr>
          <w:rFonts w:hint="eastAsia"/>
          <w:color w:val="auto"/>
        </w:rPr>
        <w:t>27、《危险货物分类和品名编号》（GB 6944-2025，201</w:t>
      </w:r>
      <w:r>
        <w:rPr>
          <w:rFonts w:hint="eastAsia"/>
          <w:color w:val="auto"/>
          <w:lang w:val="en-US" w:eastAsia="zh-CN"/>
        </w:rPr>
        <w:t>5</w:t>
      </w:r>
      <w:r>
        <w:rPr>
          <w:rFonts w:hint="eastAsia"/>
          <w:color w:val="auto"/>
        </w:rPr>
        <w:t>年1</w:t>
      </w:r>
      <w:r>
        <w:rPr>
          <w:rFonts w:hint="eastAsia"/>
          <w:color w:val="auto"/>
          <w:lang w:val="en-US" w:eastAsia="zh-CN"/>
        </w:rPr>
        <w:t>0</w:t>
      </w:r>
      <w:r>
        <w:rPr>
          <w:rFonts w:hint="eastAsia"/>
          <w:color w:val="auto"/>
        </w:rPr>
        <w:t>月1日实施）；</w:t>
      </w:r>
    </w:p>
    <w:p w14:paraId="7D409B80">
      <w:pPr>
        <w:bidi w:val="0"/>
        <w:rPr>
          <w:rFonts w:hint="eastAsia"/>
          <w:color w:val="auto"/>
        </w:rPr>
      </w:pPr>
      <w:r>
        <w:rPr>
          <w:rFonts w:hint="eastAsia"/>
          <w:color w:val="auto"/>
        </w:rPr>
        <w:t>28、《工作场所有害因素职业接触限值第一部分：化学有害因素》（GB Z2.1-2019，第1号修改单，2022年11月28日实施）；</w:t>
      </w:r>
    </w:p>
    <w:p w14:paraId="005C6F25">
      <w:pPr>
        <w:bidi w:val="0"/>
        <w:rPr>
          <w:rFonts w:hint="eastAsia"/>
          <w:color w:val="auto"/>
        </w:rPr>
      </w:pPr>
      <w:r>
        <w:rPr>
          <w:rFonts w:hint="eastAsia"/>
          <w:color w:val="auto"/>
        </w:rPr>
        <w:t>29、《工作场所有害因素职业接触限值第二部分：物理因素》（GB Z2.2-2007，2007年11月1日实施）；</w:t>
      </w:r>
    </w:p>
    <w:p w14:paraId="54F755BD">
      <w:pPr>
        <w:bidi w:val="0"/>
        <w:rPr>
          <w:rFonts w:hint="eastAsia"/>
          <w:color w:val="auto"/>
        </w:rPr>
      </w:pPr>
      <w:r>
        <w:rPr>
          <w:rFonts w:hint="eastAsia"/>
          <w:color w:val="auto"/>
        </w:rPr>
        <w:t>30、《机械安全 生产设备安全通则》（GB /T 35076-2018，2018年12月01日实施）；</w:t>
      </w:r>
    </w:p>
    <w:p w14:paraId="0116EC57">
      <w:pPr>
        <w:bidi w:val="0"/>
        <w:rPr>
          <w:rFonts w:hint="eastAsia"/>
          <w:color w:val="auto"/>
        </w:rPr>
      </w:pPr>
      <w:r>
        <w:rPr>
          <w:rFonts w:hint="eastAsia"/>
          <w:color w:val="auto"/>
        </w:rPr>
        <w:t>31、《机械安全防护装置固定式和活动式防护装置设计与制造一般要求》（GB /T 8196-2018，2019年07月01日实施）；</w:t>
      </w:r>
    </w:p>
    <w:p w14:paraId="0A5E0E6F">
      <w:pPr>
        <w:bidi w:val="0"/>
        <w:rPr>
          <w:rFonts w:hint="eastAsia"/>
          <w:color w:val="auto"/>
        </w:rPr>
      </w:pPr>
      <w:r>
        <w:rPr>
          <w:rFonts w:hint="eastAsia"/>
          <w:color w:val="auto"/>
        </w:rPr>
        <w:t>32、《固定式钢梯及平台安全要求》（GB 4053.1~3-2009，2009年12月1日实施）；</w:t>
      </w:r>
    </w:p>
    <w:p w14:paraId="657C3CAE">
      <w:pPr>
        <w:bidi w:val="0"/>
        <w:rPr>
          <w:rFonts w:hint="eastAsia"/>
          <w:color w:val="auto"/>
        </w:rPr>
      </w:pPr>
      <w:r>
        <w:rPr>
          <w:rFonts w:hint="eastAsia"/>
          <w:color w:val="auto"/>
        </w:rPr>
        <w:t>33、《焊接与切割安全》（GB 9448-1999，2000年5月1日实施）；</w:t>
      </w:r>
    </w:p>
    <w:p w14:paraId="26365990">
      <w:pPr>
        <w:bidi w:val="0"/>
        <w:rPr>
          <w:rFonts w:hint="eastAsia"/>
          <w:color w:val="auto"/>
        </w:rPr>
      </w:pPr>
      <w:r>
        <w:rPr>
          <w:rFonts w:hint="eastAsia"/>
          <w:color w:val="auto"/>
        </w:rPr>
        <w:t>34、《室外排水设计标准》（GB 50014-2021，2021年10月1日实施）；</w:t>
      </w:r>
    </w:p>
    <w:p w14:paraId="16D4B93D">
      <w:pPr>
        <w:bidi w:val="0"/>
        <w:rPr>
          <w:rFonts w:hint="eastAsia"/>
          <w:color w:val="auto"/>
        </w:rPr>
      </w:pPr>
      <w:r>
        <w:rPr>
          <w:rFonts w:hint="eastAsia"/>
          <w:color w:val="auto"/>
        </w:rPr>
        <w:t>35、《室外给水设计标准》（GB 0013-2018，2019年8月1日实施）；</w:t>
      </w:r>
    </w:p>
    <w:p w14:paraId="6E79F077">
      <w:pPr>
        <w:bidi w:val="0"/>
        <w:rPr>
          <w:rFonts w:hint="eastAsia"/>
          <w:color w:val="auto"/>
        </w:rPr>
      </w:pPr>
      <w:r>
        <w:rPr>
          <w:rFonts w:hint="eastAsia"/>
          <w:color w:val="auto"/>
        </w:rPr>
        <w:t>36、《生产经营单位生产安全事故应急预案编制导则》（GB /T 29639-2020，2021年4月1日实施）；</w:t>
      </w:r>
    </w:p>
    <w:p w14:paraId="002EE59B">
      <w:pPr>
        <w:bidi w:val="0"/>
        <w:rPr>
          <w:rFonts w:hint="eastAsia"/>
          <w:color w:val="auto"/>
        </w:rPr>
      </w:pPr>
      <w:r>
        <w:rPr>
          <w:rFonts w:hint="eastAsia"/>
          <w:color w:val="auto"/>
        </w:rPr>
        <w:t>37、《缺氧危险作业安全规程》（GB 8958-2006，2006年12月1日实施）；</w:t>
      </w:r>
    </w:p>
    <w:p w14:paraId="527FC0FC">
      <w:pPr>
        <w:bidi w:val="0"/>
        <w:rPr>
          <w:rFonts w:hint="eastAsia"/>
          <w:color w:val="auto"/>
        </w:rPr>
      </w:pPr>
      <w:r>
        <w:rPr>
          <w:rFonts w:hint="eastAsia"/>
          <w:color w:val="auto"/>
        </w:rPr>
        <w:t>38、《生产过程危险和有害因素分类与代码》（GB /T 13861-2022，2022年10月1日实施）；</w:t>
      </w:r>
    </w:p>
    <w:p w14:paraId="57892489">
      <w:pPr>
        <w:bidi w:val="0"/>
        <w:rPr>
          <w:rFonts w:hint="eastAsia"/>
          <w:color w:val="auto"/>
        </w:rPr>
      </w:pPr>
      <w:r>
        <w:rPr>
          <w:rFonts w:hint="eastAsia"/>
          <w:color w:val="auto"/>
        </w:rPr>
        <w:t>39、《手持式电动工具的管理、使用、检查和维修安全技术规程》（GB /T 3787-2017）；</w:t>
      </w:r>
    </w:p>
    <w:p w14:paraId="42796F08">
      <w:pPr>
        <w:bidi w:val="0"/>
        <w:rPr>
          <w:rFonts w:hint="eastAsia"/>
          <w:color w:val="auto"/>
        </w:rPr>
      </w:pPr>
      <w:r>
        <w:rPr>
          <w:rFonts w:hint="eastAsia"/>
          <w:color w:val="auto"/>
        </w:rPr>
        <w:t>4</w:t>
      </w:r>
      <w:r>
        <w:rPr>
          <w:rFonts w:hint="eastAsia"/>
          <w:color w:val="auto"/>
          <w:lang w:val="en-US" w:eastAsia="zh-CN"/>
        </w:rPr>
        <w:t>0</w:t>
      </w:r>
      <w:r>
        <w:rPr>
          <w:rFonts w:hint="eastAsia"/>
          <w:color w:val="auto"/>
        </w:rPr>
        <w:t>、《带式输送机》（GB /T 10595-2017，2018年7月1日实施）；</w:t>
      </w:r>
    </w:p>
    <w:p w14:paraId="7E5341F5">
      <w:pPr>
        <w:bidi w:val="0"/>
        <w:rPr>
          <w:rFonts w:hint="eastAsia"/>
          <w:color w:val="auto"/>
        </w:rPr>
      </w:pPr>
      <w:r>
        <w:rPr>
          <w:rFonts w:hint="eastAsia"/>
          <w:color w:val="auto"/>
        </w:rPr>
        <w:t>4</w:t>
      </w:r>
      <w:r>
        <w:rPr>
          <w:rFonts w:hint="eastAsia"/>
          <w:color w:val="auto"/>
          <w:lang w:val="en-US" w:eastAsia="zh-CN"/>
        </w:rPr>
        <w:t>1</w:t>
      </w:r>
      <w:r>
        <w:rPr>
          <w:rFonts w:hint="eastAsia"/>
          <w:color w:val="auto"/>
        </w:rPr>
        <w:t>、《带式输送机安全规范》（GB 14784-2013，2014年7月1日实施）；</w:t>
      </w:r>
    </w:p>
    <w:p w14:paraId="68887059">
      <w:pPr>
        <w:bidi w:val="0"/>
        <w:rPr>
          <w:rFonts w:hint="eastAsia"/>
          <w:color w:val="auto"/>
        </w:rPr>
      </w:pPr>
      <w:r>
        <w:rPr>
          <w:rFonts w:hint="eastAsia"/>
          <w:color w:val="auto"/>
        </w:rPr>
        <w:t>4</w:t>
      </w:r>
      <w:r>
        <w:rPr>
          <w:rFonts w:hint="eastAsia"/>
          <w:color w:val="auto"/>
          <w:lang w:val="en-US" w:eastAsia="zh-CN"/>
        </w:rPr>
        <w:t>2</w:t>
      </w:r>
      <w:r>
        <w:rPr>
          <w:rFonts w:hint="eastAsia"/>
          <w:color w:val="auto"/>
        </w:rPr>
        <w:t>、《带式输送机工程技术标准》（GB 50431-2020，中华人民共和国住房和城乡建设部2020年第147号，2021年3月1日实施）；</w:t>
      </w:r>
    </w:p>
    <w:p w14:paraId="521B1952">
      <w:pPr>
        <w:bidi w:val="0"/>
        <w:rPr>
          <w:rFonts w:hint="eastAsia"/>
          <w:color w:val="auto"/>
        </w:rPr>
      </w:pPr>
      <w:r>
        <w:rPr>
          <w:rFonts w:hint="eastAsia"/>
          <w:color w:val="auto"/>
        </w:rPr>
        <w:t>4</w:t>
      </w:r>
      <w:r>
        <w:rPr>
          <w:rFonts w:hint="eastAsia"/>
          <w:color w:val="auto"/>
          <w:lang w:val="en-US" w:eastAsia="zh-CN"/>
        </w:rPr>
        <w:t>3</w:t>
      </w:r>
      <w:r>
        <w:rPr>
          <w:rFonts w:hint="eastAsia"/>
          <w:color w:val="auto"/>
        </w:rPr>
        <w:t>、《建筑灭火器配置设计规范》（GB 50140-2005，中华人民共和国建设部 中华人民共和国国家质量监督检验检疫总局，2005年10月1日实行）；</w:t>
      </w:r>
    </w:p>
    <w:p w14:paraId="7F1F2E98">
      <w:pPr>
        <w:bidi w:val="0"/>
        <w:rPr>
          <w:rFonts w:hint="eastAsia"/>
          <w:color w:val="auto"/>
        </w:rPr>
      </w:pPr>
      <w:r>
        <w:rPr>
          <w:rFonts w:hint="eastAsia"/>
          <w:color w:val="auto"/>
        </w:rPr>
        <w:t>4</w:t>
      </w:r>
      <w:r>
        <w:rPr>
          <w:rFonts w:hint="eastAsia"/>
          <w:color w:val="auto"/>
          <w:lang w:val="en-US" w:eastAsia="zh-CN"/>
        </w:rPr>
        <w:t>4</w:t>
      </w:r>
      <w:r>
        <w:rPr>
          <w:rFonts w:hint="eastAsia"/>
          <w:color w:val="auto"/>
        </w:rPr>
        <w:t>、《消防给水及消火栓系统技术规范》（GB 50974-2014，中华人民共和国住房和城乡建设部，2014年10月1日实行）；</w:t>
      </w:r>
    </w:p>
    <w:p w14:paraId="60F88350">
      <w:pPr>
        <w:bidi w:val="0"/>
        <w:rPr>
          <w:rFonts w:hint="eastAsia"/>
          <w:color w:val="auto"/>
        </w:rPr>
      </w:pPr>
      <w:r>
        <w:rPr>
          <w:rFonts w:hint="eastAsia"/>
          <w:color w:val="auto"/>
        </w:rPr>
        <w:t>4</w:t>
      </w:r>
      <w:r>
        <w:rPr>
          <w:rFonts w:hint="eastAsia"/>
          <w:color w:val="auto"/>
          <w:lang w:val="en-US" w:eastAsia="zh-CN"/>
        </w:rPr>
        <w:t>5</w:t>
      </w:r>
      <w:r>
        <w:rPr>
          <w:rFonts w:hint="eastAsia"/>
          <w:color w:val="auto"/>
        </w:rPr>
        <w:t>、《消防应急照明和疏散指示系统》（GB 17945-2024，国家市场监督管理总局 中国国家标准化管理委员会，2011年5月1日实行）；</w:t>
      </w:r>
    </w:p>
    <w:p w14:paraId="36229705">
      <w:pPr>
        <w:bidi w:val="0"/>
        <w:rPr>
          <w:rFonts w:hint="eastAsia"/>
          <w:color w:val="auto"/>
        </w:rPr>
      </w:pPr>
      <w:r>
        <w:rPr>
          <w:rFonts w:hint="eastAsia"/>
          <w:color w:val="auto"/>
        </w:rPr>
        <w:t>4</w:t>
      </w:r>
      <w:r>
        <w:rPr>
          <w:rFonts w:hint="eastAsia"/>
          <w:color w:val="auto"/>
          <w:lang w:val="en-US" w:eastAsia="zh-CN"/>
        </w:rPr>
        <w:t>6</w:t>
      </w:r>
      <w:r>
        <w:rPr>
          <w:rFonts w:hint="eastAsia"/>
          <w:color w:val="auto"/>
        </w:rPr>
        <w:t>、《高处作业分级》（GB /T 3608-2008，中华人民共和国国家质量监督检验检疫总局 中国国家标准化管理委员会，2009年6月1日实行）；</w:t>
      </w:r>
    </w:p>
    <w:p w14:paraId="09FE1B93">
      <w:pPr>
        <w:bidi w:val="0"/>
        <w:rPr>
          <w:rFonts w:hint="eastAsia"/>
          <w:color w:val="auto"/>
        </w:rPr>
      </w:pPr>
      <w:r>
        <w:rPr>
          <w:rFonts w:hint="eastAsia"/>
          <w:color w:val="auto"/>
        </w:rPr>
        <w:t>4</w:t>
      </w:r>
      <w:r>
        <w:rPr>
          <w:rFonts w:hint="eastAsia"/>
          <w:color w:val="auto"/>
          <w:lang w:val="en-US" w:eastAsia="zh-CN"/>
        </w:rPr>
        <w:t>7</w:t>
      </w:r>
      <w:r>
        <w:rPr>
          <w:rFonts w:hint="eastAsia"/>
          <w:color w:val="auto"/>
        </w:rPr>
        <w:t>、《固定式钢梯及平台安全要求第2部分：钢斜梯》（GB 4053.1-2009，2009年12月1日实行）；</w:t>
      </w:r>
    </w:p>
    <w:p w14:paraId="79707A90">
      <w:pPr>
        <w:bidi w:val="0"/>
        <w:rPr>
          <w:rFonts w:hint="eastAsia"/>
          <w:color w:val="auto"/>
        </w:rPr>
      </w:pPr>
      <w:r>
        <w:rPr>
          <w:rFonts w:hint="eastAsia"/>
          <w:color w:val="auto"/>
        </w:rPr>
        <w:t>4</w:t>
      </w:r>
      <w:r>
        <w:rPr>
          <w:rFonts w:hint="eastAsia"/>
          <w:color w:val="auto"/>
          <w:lang w:val="en-US" w:eastAsia="zh-CN"/>
        </w:rPr>
        <w:t>8</w:t>
      </w:r>
      <w:r>
        <w:rPr>
          <w:rFonts w:hint="eastAsia"/>
          <w:color w:val="auto"/>
        </w:rPr>
        <w:t>、《有色金属选矿厂工艺设计规范》（GB 50782-2012）；</w:t>
      </w:r>
    </w:p>
    <w:p w14:paraId="14082A48">
      <w:pPr>
        <w:bidi w:val="0"/>
        <w:rPr>
          <w:rFonts w:hint="eastAsia"/>
          <w:color w:val="auto"/>
        </w:rPr>
      </w:pPr>
      <w:r>
        <w:rPr>
          <w:rFonts w:hint="eastAsia"/>
          <w:color w:val="auto"/>
          <w:lang w:val="en-US" w:eastAsia="zh-CN"/>
        </w:rPr>
        <w:t>49</w:t>
      </w:r>
      <w:r>
        <w:rPr>
          <w:rFonts w:hint="eastAsia"/>
          <w:color w:val="auto"/>
        </w:rPr>
        <w:t>、《密闭空间作业职业危害防护规范》（GBZ/T 205-2007）；</w:t>
      </w:r>
    </w:p>
    <w:p w14:paraId="5AD7DB09">
      <w:pPr>
        <w:bidi w:val="0"/>
        <w:rPr>
          <w:rFonts w:hint="eastAsia"/>
          <w:color w:val="auto"/>
        </w:rPr>
      </w:pPr>
      <w:r>
        <w:rPr>
          <w:rFonts w:hint="eastAsia"/>
          <w:color w:val="auto"/>
        </w:rPr>
        <w:t>5</w:t>
      </w:r>
      <w:r>
        <w:rPr>
          <w:rFonts w:hint="eastAsia"/>
          <w:color w:val="auto"/>
          <w:lang w:val="en-US" w:eastAsia="zh-CN"/>
        </w:rPr>
        <w:t>0</w:t>
      </w:r>
      <w:r>
        <w:rPr>
          <w:rFonts w:hint="eastAsia"/>
          <w:color w:val="auto"/>
        </w:rPr>
        <w:t>、《电气装置安装工程 接地装置施工及验收规范》（GB 50169-2016）；</w:t>
      </w:r>
    </w:p>
    <w:p w14:paraId="7D6E9256">
      <w:pPr>
        <w:bidi w:val="0"/>
        <w:rPr>
          <w:rFonts w:hint="eastAsia"/>
          <w:color w:val="auto"/>
        </w:rPr>
      </w:pPr>
      <w:r>
        <w:rPr>
          <w:rFonts w:hint="eastAsia"/>
          <w:color w:val="auto"/>
        </w:rPr>
        <w:t>5</w:t>
      </w:r>
      <w:r>
        <w:rPr>
          <w:rFonts w:hint="eastAsia"/>
          <w:color w:val="auto"/>
          <w:lang w:val="en-US" w:eastAsia="zh-CN"/>
        </w:rPr>
        <w:t>1</w:t>
      </w:r>
      <w:r>
        <w:rPr>
          <w:rFonts w:hint="eastAsia"/>
          <w:color w:val="auto"/>
        </w:rPr>
        <w:t>、《压缩空气站设计规范》（GB50029-2014）；</w:t>
      </w:r>
    </w:p>
    <w:p w14:paraId="328BA482">
      <w:pPr>
        <w:bidi w:val="0"/>
        <w:rPr>
          <w:rFonts w:hint="eastAsia"/>
          <w:color w:val="auto"/>
        </w:rPr>
      </w:pPr>
      <w:r>
        <w:rPr>
          <w:rFonts w:hint="eastAsia"/>
          <w:color w:val="auto"/>
        </w:rPr>
        <w:t>5</w:t>
      </w:r>
      <w:r>
        <w:rPr>
          <w:rFonts w:hint="eastAsia"/>
          <w:color w:val="auto"/>
          <w:lang w:val="en-US" w:eastAsia="zh-CN"/>
        </w:rPr>
        <w:t>2</w:t>
      </w:r>
      <w:r>
        <w:rPr>
          <w:rFonts w:hint="eastAsia"/>
          <w:color w:val="auto"/>
        </w:rPr>
        <w:t>、《工作场所职业病危害作业分级 第3部分：高温》（GBZ/T 229.3-2010）；</w:t>
      </w:r>
    </w:p>
    <w:p w14:paraId="09C20458">
      <w:pPr>
        <w:bidi w:val="0"/>
        <w:rPr>
          <w:rFonts w:hint="eastAsia"/>
          <w:color w:val="auto"/>
        </w:rPr>
      </w:pPr>
      <w:r>
        <w:rPr>
          <w:rFonts w:hint="eastAsia"/>
          <w:color w:val="auto"/>
        </w:rPr>
        <w:t>5</w:t>
      </w:r>
      <w:r>
        <w:rPr>
          <w:rFonts w:hint="eastAsia"/>
          <w:color w:val="auto"/>
          <w:lang w:val="en-US" w:eastAsia="zh-CN"/>
        </w:rPr>
        <w:t>3</w:t>
      </w:r>
      <w:r>
        <w:rPr>
          <w:rFonts w:hint="eastAsia"/>
          <w:color w:val="auto"/>
        </w:rPr>
        <w:t>、其他相关的标准及规范。</w:t>
      </w:r>
    </w:p>
    <w:p w14:paraId="110EC931">
      <w:pPr>
        <w:pStyle w:val="4"/>
        <w:bidi w:val="0"/>
        <w:rPr>
          <w:rFonts w:hint="eastAsia"/>
          <w:color w:val="auto"/>
        </w:rPr>
      </w:pPr>
      <w:bookmarkStart w:id="62" w:name="_Toc8485"/>
      <w:r>
        <w:rPr>
          <w:rFonts w:hint="eastAsia"/>
          <w:color w:val="auto"/>
        </w:rPr>
        <w:t>1.2.6 行业规范</w:t>
      </w:r>
      <w:bookmarkEnd w:id="62"/>
    </w:p>
    <w:p w14:paraId="1715E62D">
      <w:pPr>
        <w:bidi w:val="0"/>
        <w:rPr>
          <w:rFonts w:hint="eastAsia"/>
          <w:color w:val="auto"/>
        </w:rPr>
      </w:pPr>
      <w:r>
        <w:rPr>
          <w:rFonts w:hint="eastAsia"/>
          <w:color w:val="auto"/>
        </w:rPr>
        <w:t>1、《安全评价通则》（AQ 8001-2007，2007年4月1日）；</w:t>
      </w:r>
    </w:p>
    <w:p w14:paraId="0E32CDA0">
      <w:pPr>
        <w:bidi w:val="0"/>
        <w:rPr>
          <w:rFonts w:hint="eastAsia"/>
          <w:color w:val="auto"/>
        </w:rPr>
      </w:pPr>
      <w:r>
        <w:rPr>
          <w:rFonts w:hint="eastAsia"/>
          <w:color w:val="auto"/>
        </w:rPr>
        <w:t>2、《安全预评价导则》（AQ8002-2007，2007年4月1日实施）；</w:t>
      </w:r>
    </w:p>
    <w:p w14:paraId="552FFAC3">
      <w:pPr>
        <w:bidi w:val="0"/>
        <w:rPr>
          <w:rFonts w:hint="eastAsia"/>
          <w:color w:val="auto"/>
        </w:rPr>
      </w:pPr>
      <w:r>
        <w:rPr>
          <w:rFonts w:hint="eastAsia"/>
          <w:color w:val="auto"/>
        </w:rPr>
        <w:t>3、《生产安全事故应急演练基本规范》（YJ/T 9007-2019）；</w:t>
      </w:r>
    </w:p>
    <w:p w14:paraId="0286DC01">
      <w:pPr>
        <w:bidi w:val="0"/>
        <w:rPr>
          <w:rFonts w:hint="eastAsia"/>
          <w:color w:val="auto"/>
        </w:rPr>
      </w:pPr>
      <w:r>
        <w:rPr>
          <w:rFonts w:hint="eastAsia"/>
          <w:color w:val="auto"/>
        </w:rPr>
        <w:t>4、《生产经营单位生产安全事故应急预案评估指南》（YJ/T 9011-2019）；</w:t>
      </w:r>
    </w:p>
    <w:p w14:paraId="48C6C7DE">
      <w:pPr>
        <w:bidi w:val="0"/>
        <w:rPr>
          <w:rFonts w:hint="eastAsia"/>
          <w:color w:val="auto"/>
        </w:rPr>
      </w:pPr>
      <w:r>
        <w:rPr>
          <w:rFonts w:hint="eastAsia"/>
          <w:color w:val="auto"/>
        </w:rPr>
        <w:t>5、《固定式压力容器安全技术监察规程》行业标准第1号修改单（TSG 21-2016/XG1-2020）；</w:t>
      </w:r>
    </w:p>
    <w:p w14:paraId="4ECE1F63">
      <w:pPr>
        <w:bidi w:val="0"/>
        <w:rPr>
          <w:rFonts w:hint="eastAsia"/>
          <w:color w:val="auto"/>
        </w:rPr>
      </w:pPr>
      <w:r>
        <w:rPr>
          <w:rFonts w:hint="eastAsia"/>
          <w:color w:val="auto"/>
        </w:rPr>
        <w:t>6、《带式输送机 拉绳开关》（JB/T 10960-2024，2024年10月1日实施）；</w:t>
      </w:r>
    </w:p>
    <w:p w14:paraId="28684B11">
      <w:pPr>
        <w:bidi w:val="0"/>
        <w:rPr>
          <w:rFonts w:hint="eastAsia"/>
          <w:color w:val="auto"/>
        </w:rPr>
      </w:pPr>
      <w:r>
        <w:rPr>
          <w:rFonts w:hint="eastAsia"/>
          <w:color w:val="auto"/>
        </w:rPr>
        <w:t>7、《带式输送机用逆止器》（JB/T 9015-2011，2012年4月1日实施）；</w:t>
      </w:r>
    </w:p>
    <w:p w14:paraId="1006A5C2">
      <w:pPr>
        <w:bidi w:val="0"/>
        <w:rPr>
          <w:rFonts w:hint="eastAsia"/>
          <w:color w:val="auto"/>
        </w:rPr>
      </w:pPr>
      <w:r>
        <w:rPr>
          <w:rFonts w:hint="eastAsia"/>
          <w:color w:val="auto"/>
        </w:rPr>
        <w:t>8、《气瓶安全技术规程》（TSG 23-2021，2021年01月04日实施）；</w:t>
      </w:r>
    </w:p>
    <w:p w14:paraId="583B4939">
      <w:pPr>
        <w:bidi w:val="0"/>
        <w:rPr>
          <w:rFonts w:hint="eastAsia"/>
          <w:color w:val="auto"/>
        </w:rPr>
      </w:pPr>
      <w:r>
        <w:rPr>
          <w:rFonts w:hint="eastAsia"/>
          <w:color w:val="auto"/>
        </w:rPr>
        <w:t>9、《生产安全事故应急演练评估规范》（YJ/T 9009-2015，2015年9月1日实施）。</w:t>
      </w:r>
    </w:p>
    <w:p w14:paraId="741E2A09">
      <w:pPr>
        <w:pStyle w:val="4"/>
        <w:bidi w:val="0"/>
        <w:rPr>
          <w:rFonts w:hint="eastAsia"/>
          <w:color w:val="auto"/>
        </w:rPr>
      </w:pPr>
      <w:bookmarkStart w:id="63" w:name="_Toc3088"/>
      <w:r>
        <w:rPr>
          <w:rFonts w:hint="eastAsia"/>
          <w:color w:val="auto"/>
        </w:rPr>
        <w:t>1.2.7 技术文件及有关资料</w:t>
      </w:r>
      <w:bookmarkEnd w:id="63"/>
    </w:p>
    <w:p w14:paraId="4CA9D370">
      <w:pPr>
        <w:bidi w:val="0"/>
        <w:rPr>
          <w:color w:val="auto"/>
        </w:rPr>
      </w:pPr>
      <w:r>
        <w:rPr>
          <w:rFonts w:hint="eastAsia"/>
          <w:color w:val="auto"/>
        </w:rPr>
        <w:t>1、</w:t>
      </w:r>
      <w:r>
        <w:rPr>
          <w:rFonts w:hint="eastAsia"/>
          <w:color w:val="auto"/>
          <w:lang w:eastAsia="zh-CN"/>
        </w:rPr>
        <w:t>武定县花果箐钛矿采选厂</w:t>
      </w:r>
      <w:r>
        <w:rPr>
          <w:rFonts w:hint="eastAsia"/>
          <w:color w:val="auto"/>
        </w:rPr>
        <w:t>与辽宁诺诚安全科技有限公司所签订的安全技术服务合同及安全</w:t>
      </w:r>
      <w:r>
        <w:rPr>
          <w:rFonts w:hint="eastAsia"/>
          <w:color w:val="auto"/>
          <w:lang w:val="en-US" w:eastAsia="zh-CN"/>
        </w:rPr>
        <w:t>预</w:t>
      </w:r>
      <w:r>
        <w:rPr>
          <w:rFonts w:hint="eastAsia"/>
          <w:color w:val="auto"/>
        </w:rPr>
        <w:t>评价委托书；</w:t>
      </w:r>
    </w:p>
    <w:p w14:paraId="4EBDC810">
      <w:pPr>
        <w:bidi w:val="0"/>
        <w:rPr>
          <w:rFonts w:hint="eastAsia" w:eastAsia="宋体"/>
          <w:color w:val="auto"/>
          <w:lang w:val="en-US" w:eastAsia="zh-CN"/>
        </w:rPr>
      </w:pPr>
      <w:r>
        <w:rPr>
          <w:rFonts w:hint="eastAsia"/>
          <w:color w:val="auto"/>
          <w:lang w:val="en-US" w:eastAsia="zh-CN"/>
        </w:rPr>
        <w:t>2、《武定县花果箐钛矿采选厂技改扩建项目初步设计》（云南德成规划设计有限公司，2025年04月）；</w:t>
      </w:r>
    </w:p>
    <w:p w14:paraId="77069B14">
      <w:pPr>
        <w:bidi w:val="0"/>
        <w:rPr>
          <w:rFonts w:hint="eastAsia" w:eastAsia="宋体"/>
          <w:color w:val="auto"/>
          <w:lang w:val="en-US" w:eastAsia="zh-CN"/>
        </w:rPr>
      </w:pPr>
      <w:r>
        <w:rPr>
          <w:rFonts w:hint="eastAsia"/>
          <w:color w:val="auto"/>
          <w:lang w:val="en-US" w:eastAsia="zh-CN"/>
        </w:rPr>
        <w:t>3、武定县花果箐钛矿采选厂提供的其他资料；</w:t>
      </w:r>
    </w:p>
    <w:p w14:paraId="5B774FF2">
      <w:pPr>
        <w:bidi w:val="0"/>
        <w:rPr>
          <w:color w:val="auto"/>
        </w:rPr>
      </w:pPr>
      <w:r>
        <w:rPr>
          <w:rFonts w:hint="eastAsia"/>
          <w:color w:val="auto"/>
        </w:rPr>
        <w:t>4、我公司评价人员现场采集的数据和资料等。</w:t>
      </w:r>
    </w:p>
    <w:p w14:paraId="63B0490D">
      <w:pPr>
        <w:pStyle w:val="3"/>
        <w:bidi w:val="0"/>
        <w:rPr>
          <w:rFonts w:hint="eastAsia"/>
          <w:color w:val="auto"/>
        </w:rPr>
      </w:pPr>
      <w:bookmarkStart w:id="64" w:name="_Toc12598"/>
      <w:r>
        <w:rPr>
          <w:rFonts w:hint="eastAsia"/>
          <w:color w:val="auto"/>
        </w:rPr>
        <w:t>1.3 评价程序</w:t>
      </w:r>
      <w:bookmarkEnd w:id="64"/>
    </w:p>
    <w:p w14:paraId="724459F3">
      <w:pPr>
        <w:bidi w:val="0"/>
        <w:rPr>
          <w:color w:val="auto"/>
        </w:rPr>
      </w:pPr>
      <w:r>
        <w:rPr>
          <w:rFonts w:hint="eastAsia"/>
          <w:color w:val="auto"/>
        </w:rPr>
        <w:t>评价工作程序按《安全评价通则》AQ8001-2007及《安全预评价导则》AQ8002-2007的要求开展工作，包括：前期准备，辨识与分析危险、有害因素，划分评价单元，定性、定量评价，提出安全对策措施建议，做出评价结论，编制安全预评价报告。具体预评价程序如图1.3-1所示。</w:t>
      </w:r>
    </w:p>
    <w:p w14:paraId="52E9DB59">
      <w:pPr>
        <w:bidi w:val="0"/>
        <w:ind w:left="0" w:leftChars="0" w:firstLine="0" w:firstLineChars="0"/>
        <w:jc w:val="center"/>
        <w:rPr>
          <w:color w:val="auto"/>
        </w:rPr>
      </w:pPr>
      <w:r>
        <w:rPr>
          <w:color w:val="auto"/>
        </w:rPr>
        <w:drawing>
          <wp:inline distT="0" distB="0" distL="114300" distR="114300">
            <wp:extent cx="2276475" cy="401955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a:stretch>
                      <a:fillRect/>
                    </a:stretch>
                  </pic:blipFill>
                  <pic:spPr>
                    <a:xfrm>
                      <a:off x="0" y="0"/>
                      <a:ext cx="2276475" cy="4019550"/>
                    </a:xfrm>
                    <a:prstGeom prst="rect">
                      <a:avLst/>
                    </a:prstGeom>
                    <a:noFill/>
                    <a:ln w="12700">
                      <a:noFill/>
                    </a:ln>
                  </pic:spPr>
                </pic:pic>
              </a:graphicData>
            </a:graphic>
          </wp:inline>
        </w:drawing>
      </w:r>
    </w:p>
    <w:p w14:paraId="07748199">
      <w:pPr>
        <w:pStyle w:val="18"/>
        <w:bidi w:val="0"/>
        <w:rPr>
          <w:color w:val="auto"/>
        </w:rPr>
      </w:pPr>
      <w:r>
        <w:rPr>
          <w:rFonts w:hint="eastAsia"/>
          <w:color w:val="auto"/>
        </w:rPr>
        <w:t>图1.3-1  安全评价程序图</w:t>
      </w:r>
    </w:p>
    <w:p w14:paraId="5099B105">
      <w:pPr>
        <w:rPr>
          <w:color w:val="auto"/>
        </w:rPr>
      </w:pPr>
      <w:r>
        <w:rPr>
          <w:color w:val="auto"/>
        </w:rPr>
        <w:br w:type="page"/>
      </w:r>
    </w:p>
    <w:p w14:paraId="19CCBAF0">
      <w:pPr>
        <w:pStyle w:val="2"/>
        <w:bidi w:val="0"/>
        <w:rPr>
          <w:color w:val="auto"/>
        </w:rPr>
      </w:pPr>
      <w:bookmarkStart w:id="65" w:name="_Toc26306"/>
      <w:r>
        <w:rPr>
          <w:rFonts w:hint="eastAsia"/>
          <w:color w:val="auto"/>
        </w:rPr>
        <w:t>2 建设项目概述</w:t>
      </w:r>
      <w:bookmarkEnd w:id="65"/>
    </w:p>
    <w:p w14:paraId="75A7F0AD">
      <w:pPr>
        <w:bidi w:val="0"/>
        <w:ind w:left="0" w:leftChars="0" w:firstLine="0" w:firstLineChars="0"/>
        <w:jc w:val="center"/>
        <w:rPr>
          <w:rFonts w:hint="default" w:eastAsia="宋体"/>
          <w:color w:val="auto"/>
          <w:lang w:val="en-US" w:eastAsia="zh-CN"/>
        </w:rPr>
      </w:pPr>
      <w:r>
        <w:rPr>
          <w:rFonts w:hint="eastAsia"/>
          <w:color w:val="auto"/>
          <w:lang w:val="en-US" w:eastAsia="zh-CN"/>
        </w:rPr>
        <w:t>**********</w:t>
      </w:r>
    </w:p>
    <w:p w14:paraId="2189BC61">
      <w:pPr>
        <w:pStyle w:val="3"/>
        <w:bidi w:val="0"/>
        <w:rPr>
          <w:rFonts w:hint="eastAsia"/>
          <w:color w:val="auto"/>
        </w:rPr>
      </w:pPr>
      <w:bookmarkStart w:id="66" w:name="_Toc4885"/>
      <w:r>
        <w:rPr>
          <w:rFonts w:hint="eastAsia"/>
          <w:color w:val="auto"/>
        </w:rPr>
        <w:t>2.1 建设单位概况</w:t>
      </w:r>
      <w:bookmarkEnd w:id="66"/>
    </w:p>
    <w:p w14:paraId="337E0E7A">
      <w:pPr>
        <w:pStyle w:val="4"/>
        <w:bidi w:val="0"/>
        <w:rPr>
          <w:color w:val="auto"/>
        </w:rPr>
      </w:pPr>
      <w:bookmarkStart w:id="67" w:name="_Toc13163"/>
      <w:r>
        <w:rPr>
          <w:rFonts w:hint="eastAsia"/>
          <w:color w:val="auto"/>
        </w:rPr>
        <w:t>2.1.1 建设单位简介</w:t>
      </w:r>
      <w:bookmarkEnd w:id="67"/>
    </w:p>
    <w:p w14:paraId="20C93BC7">
      <w:pPr>
        <w:bidi w:val="0"/>
        <w:rPr>
          <w:rFonts w:hint="default" w:eastAsia="宋体"/>
          <w:color w:val="auto"/>
          <w:lang w:val="en-US" w:eastAsia="zh-CN"/>
        </w:rPr>
      </w:pPr>
      <w:r>
        <w:rPr>
          <w:rFonts w:hint="eastAsia"/>
          <w:color w:val="auto"/>
          <w:lang w:val="en-US" w:eastAsia="zh-CN"/>
        </w:rPr>
        <w:t>***********</w:t>
      </w:r>
    </w:p>
    <w:p w14:paraId="20C1AC9D">
      <w:pPr>
        <w:pStyle w:val="4"/>
        <w:bidi w:val="0"/>
        <w:rPr>
          <w:rFonts w:hint="eastAsia"/>
          <w:color w:val="auto"/>
        </w:rPr>
      </w:pPr>
      <w:bookmarkStart w:id="68" w:name="_Toc32233"/>
      <w:r>
        <w:rPr>
          <w:rFonts w:hint="eastAsia"/>
          <w:color w:val="auto"/>
        </w:rPr>
        <w:t>2.1.2 立项情况</w:t>
      </w:r>
      <w:bookmarkEnd w:id="68"/>
    </w:p>
    <w:p w14:paraId="257B1718">
      <w:pPr>
        <w:bidi w:val="0"/>
        <w:rPr>
          <w:rFonts w:hint="default"/>
          <w:color w:val="auto"/>
          <w:lang w:val="en-US"/>
        </w:rPr>
      </w:pPr>
      <w:r>
        <w:rPr>
          <w:rFonts w:hint="eastAsia"/>
          <w:color w:val="auto"/>
          <w:lang w:val="en-US" w:eastAsia="zh-CN"/>
        </w:rPr>
        <w:t>**********</w:t>
      </w:r>
    </w:p>
    <w:p w14:paraId="475D219C">
      <w:pPr>
        <w:pStyle w:val="4"/>
        <w:bidi w:val="0"/>
        <w:rPr>
          <w:color w:val="auto"/>
        </w:rPr>
      </w:pPr>
      <w:bookmarkStart w:id="69" w:name="_Toc2462"/>
      <w:r>
        <w:rPr>
          <w:rFonts w:hint="eastAsia"/>
          <w:color w:val="auto"/>
        </w:rPr>
        <w:t>2.1.3 项目地理位置及交通情况</w:t>
      </w:r>
      <w:bookmarkEnd w:id="69"/>
    </w:p>
    <w:p w14:paraId="42B9964E">
      <w:pPr>
        <w:bidi w:val="0"/>
        <w:rPr>
          <w:color w:val="auto"/>
        </w:rPr>
      </w:pPr>
      <w:r>
        <w:rPr>
          <w:rFonts w:hint="eastAsia"/>
          <w:color w:val="auto"/>
          <w:lang w:val="en-US" w:eastAsia="zh-CN"/>
        </w:rPr>
        <w:t>********</w:t>
      </w:r>
      <w:r>
        <w:rPr>
          <w:rFonts w:hint="eastAsia"/>
          <w:color w:val="auto"/>
        </w:rPr>
        <w:t>交通条件较好，对原料、燃料及产品的交通运输都十分便利。</w:t>
      </w:r>
    </w:p>
    <w:p w14:paraId="53740A43">
      <w:pPr>
        <w:bidi w:val="0"/>
        <w:ind w:left="0" w:leftChars="0" w:firstLine="0" w:firstLineChars="0"/>
        <w:jc w:val="center"/>
        <w:rPr>
          <w:rFonts w:hint="default" w:eastAsia="宋体"/>
          <w:color w:val="auto"/>
          <w:lang w:val="en-US" w:eastAsia="zh-CN"/>
        </w:rPr>
      </w:pPr>
      <w:r>
        <w:rPr>
          <w:rFonts w:hint="eastAsia"/>
          <w:color w:val="auto"/>
          <w:lang w:val="en-US" w:eastAsia="zh-CN"/>
        </w:rPr>
        <w:t>******</w:t>
      </w:r>
    </w:p>
    <w:p w14:paraId="3F63EBFB">
      <w:pPr>
        <w:pStyle w:val="18"/>
        <w:bidi w:val="0"/>
        <w:rPr>
          <w:color w:val="auto"/>
        </w:rPr>
      </w:pPr>
      <w:r>
        <w:rPr>
          <w:rFonts w:hint="eastAsia"/>
          <w:color w:val="auto"/>
          <w:lang w:val="en-US" w:eastAsia="zh-CN"/>
        </w:rPr>
        <w:t xml:space="preserve">图2.1-1  </w:t>
      </w:r>
      <w:r>
        <w:rPr>
          <w:rFonts w:hint="eastAsia"/>
          <w:color w:val="auto"/>
        </w:rPr>
        <w:t>项目场地位置图</w:t>
      </w:r>
    </w:p>
    <w:p w14:paraId="60279F9E">
      <w:pPr>
        <w:pStyle w:val="4"/>
        <w:bidi w:val="0"/>
        <w:rPr>
          <w:color w:val="auto"/>
        </w:rPr>
      </w:pPr>
      <w:bookmarkStart w:id="70" w:name="_Toc7133"/>
      <w:r>
        <w:rPr>
          <w:rFonts w:hint="eastAsia"/>
          <w:color w:val="auto"/>
        </w:rPr>
        <w:t>2.1.4 项目周边环境</w:t>
      </w:r>
      <w:bookmarkEnd w:id="70"/>
    </w:p>
    <w:p w14:paraId="0634C3A3">
      <w:pPr>
        <w:bidi w:val="0"/>
        <w:rPr>
          <w:rFonts w:hint="default" w:eastAsia="宋体"/>
          <w:color w:val="auto"/>
          <w:lang w:val="en-US" w:eastAsia="zh-CN"/>
        </w:rPr>
      </w:pPr>
      <w:r>
        <w:rPr>
          <w:rFonts w:hint="eastAsia" w:cs="宋体" w:asciiTheme="minorEastAsia" w:hAnsiTheme="minorEastAsia" w:eastAsiaTheme="minorEastAsia"/>
          <w:color w:val="auto"/>
          <w:szCs w:val="28"/>
          <w:lang w:val="en-US" w:eastAsia="zh-CN" w:bidi="ar"/>
        </w:rPr>
        <w:t>************</w:t>
      </w:r>
    </w:p>
    <w:p w14:paraId="2C170199">
      <w:pPr>
        <w:bidi w:val="0"/>
        <w:rPr>
          <w:color w:val="auto"/>
        </w:rPr>
      </w:pPr>
      <w:r>
        <w:rPr>
          <w:rFonts w:hint="eastAsia"/>
          <w:color w:val="auto"/>
        </w:rPr>
        <w:t>项目未在</w:t>
      </w:r>
      <w:r>
        <w:rPr>
          <w:rFonts w:hint="eastAsia"/>
          <w:color w:val="auto"/>
          <w:lang w:eastAsia="zh-CN"/>
        </w:rPr>
        <w:t>“</w:t>
      </w:r>
      <w:r>
        <w:rPr>
          <w:rFonts w:hint="eastAsia"/>
          <w:color w:val="auto"/>
        </w:rPr>
        <w:t>四区</w:t>
      </w:r>
      <w:r>
        <w:rPr>
          <w:rFonts w:hint="eastAsia"/>
          <w:color w:val="auto"/>
          <w:lang w:eastAsia="zh-CN"/>
        </w:rPr>
        <w:t>”</w:t>
      </w:r>
      <w:r>
        <w:rPr>
          <w:rFonts w:hint="eastAsia"/>
          <w:color w:val="auto"/>
        </w:rPr>
        <w:t>（城市规划区、风景名胜区、重要水源区、重要地质遗迹区）范围内。</w:t>
      </w:r>
    </w:p>
    <w:p w14:paraId="64AC2B16">
      <w:pPr>
        <w:pStyle w:val="3"/>
        <w:bidi w:val="0"/>
        <w:rPr>
          <w:color w:val="auto"/>
        </w:rPr>
      </w:pPr>
      <w:bookmarkStart w:id="71" w:name="_Toc8249"/>
      <w:r>
        <w:rPr>
          <w:rFonts w:hint="eastAsia"/>
          <w:color w:val="auto"/>
        </w:rPr>
        <w:t>2.2 自然环境</w:t>
      </w:r>
      <w:bookmarkEnd w:id="71"/>
    </w:p>
    <w:p w14:paraId="0FFF3475">
      <w:pPr>
        <w:pStyle w:val="4"/>
        <w:bidi w:val="0"/>
        <w:rPr>
          <w:color w:val="auto"/>
        </w:rPr>
      </w:pPr>
      <w:bookmarkStart w:id="72" w:name="_Toc4170"/>
      <w:r>
        <w:rPr>
          <w:rFonts w:hint="eastAsia"/>
          <w:color w:val="auto"/>
        </w:rPr>
        <w:t>2.2.1 气象条件</w:t>
      </w:r>
      <w:bookmarkEnd w:id="72"/>
    </w:p>
    <w:p w14:paraId="1276E4DD">
      <w:pPr>
        <w:bidi w:val="0"/>
        <w:rPr>
          <w:rFonts w:hint="eastAsia"/>
          <w:color w:val="auto"/>
        </w:rPr>
      </w:pPr>
      <w:r>
        <w:rPr>
          <w:rFonts w:hint="eastAsia"/>
          <w:color w:val="auto"/>
        </w:rPr>
        <w:t>武定县属北亚热带高原季风气候，由于地形高差悬殊，立体气候显著。气候具有滇中地区气候的低纬、高原和受季风控制的特点。气候总的特征为：气候温和，冬无严寒，夏无酷暑。气温日温差大（19℃），年温差小（13.2℃）。夏秋雨量充沛，冬春雨量不足，立体气候显著。全县受地形、地势的影响，气候垂直分布明显。从金少江谷地到白龙会山峰，随着海拔的升高依次出现中亚热带、北亚热带、南温带、北温带等气候类型。</w:t>
      </w:r>
    </w:p>
    <w:p w14:paraId="128E2C81">
      <w:pPr>
        <w:bidi w:val="0"/>
        <w:rPr>
          <w:color w:val="auto"/>
        </w:rPr>
      </w:pPr>
      <w:r>
        <w:rPr>
          <w:rFonts w:hint="eastAsia"/>
          <w:color w:val="auto"/>
        </w:rPr>
        <w:t>全县年平均气温15.1℃，最热月平均气温21℃，最冷月平均气温3.7℃，无霜期235天。县城所在地狮山镇历年平均气温15.1℃，极端最高温34.5℃，极端最低温-6.4℃，年≥10℃积温5541.5℃，最热月7月平均气温20.7℃，最冷月1月平均气温7.4℃。境内降水不均，大致从东南部的1000mm左右向北递减。东西两侧山地多雨，年平均降雨量1000～1100mm，金沙江河谷为少雨区，年降水在600mm左右；全县年均降水量988.6mm，主要集中在夏秋，雨季（5～10月）降水量占全年90.5%。全年主导风向为西南风，平均风速2.5m/s。</w:t>
      </w:r>
    </w:p>
    <w:p w14:paraId="7448DF1D">
      <w:pPr>
        <w:pStyle w:val="4"/>
        <w:bidi w:val="0"/>
        <w:rPr>
          <w:rFonts w:hint="default" w:eastAsia="宋体"/>
          <w:color w:val="auto"/>
          <w:lang w:val="en-US" w:eastAsia="zh-CN"/>
        </w:rPr>
      </w:pPr>
      <w:bookmarkStart w:id="73" w:name="_Toc32088"/>
      <w:r>
        <w:rPr>
          <w:rFonts w:hint="eastAsia"/>
          <w:color w:val="auto"/>
          <w:lang w:val="en-US" w:eastAsia="zh-CN"/>
        </w:rPr>
        <w:t>2.2.2 区域地质构造</w:t>
      </w:r>
      <w:bookmarkEnd w:id="73"/>
    </w:p>
    <w:p w14:paraId="2C0B897E">
      <w:pPr>
        <w:bidi w:val="0"/>
        <w:rPr>
          <w:rFonts w:hint="eastAsia" w:eastAsia="宋体"/>
          <w:color w:val="auto"/>
          <w:lang w:eastAsia="zh-CN"/>
        </w:rPr>
      </w:pPr>
      <w:r>
        <w:rPr>
          <w:rFonts w:hint="eastAsia"/>
          <w:color w:val="auto"/>
          <w:lang w:val="en-US" w:eastAsia="zh-CN"/>
        </w:rPr>
        <w:t>根据</w:t>
      </w:r>
      <w:r>
        <w:rPr>
          <w:rFonts w:hint="eastAsia"/>
          <w:color w:val="auto"/>
        </w:rPr>
        <w:t>岩土工程勘察报告，拟建场地位于汤郎-易门断裂</w:t>
      </w:r>
      <w:r>
        <w:rPr>
          <w:rFonts w:hint="eastAsia"/>
          <w:color w:val="auto"/>
          <w:lang w:eastAsia="zh-CN"/>
        </w:rPr>
        <w:t>（</w:t>
      </w:r>
      <w:r>
        <w:rPr>
          <w:rFonts w:hint="eastAsia"/>
          <w:color w:val="auto"/>
        </w:rPr>
        <w:t>F56</w:t>
      </w:r>
      <w:r>
        <w:rPr>
          <w:rFonts w:hint="eastAsia"/>
          <w:color w:val="auto"/>
          <w:lang w:eastAsia="zh-CN"/>
        </w:rPr>
        <w:t>）</w:t>
      </w:r>
      <w:r>
        <w:rPr>
          <w:rFonts w:hint="eastAsia"/>
          <w:color w:val="auto"/>
        </w:rPr>
        <w:t>以东约8.6km处</w:t>
      </w:r>
      <w:r>
        <w:rPr>
          <w:rFonts w:hint="eastAsia"/>
          <w:color w:val="auto"/>
          <w:lang w:val="en-US" w:eastAsia="zh-CN"/>
        </w:rPr>
        <w:t>，</w:t>
      </w:r>
      <w:r>
        <w:rPr>
          <w:rFonts w:hint="eastAsia"/>
          <w:color w:val="auto"/>
        </w:rPr>
        <w:t>该断裂属于晚更新世活动断裂</w:t>
      </w:r>
      <w:r>
        <w:rPr>
          <w:rFonts w:hint="eastAsia"/>
          <w:color w:val="auto"/>
          <w:lang w:eastAsia="zh-CN"/>
        </w:rPr>
        <w:t>；</w:t>
      </w:r>
      <w:r>
        <w:rPr>
          <w:rFonts w:hint="eastAsia"/>
          <w:color w:val="auto"/>
        </w:rPr>
        <w:t>位于普渡河断裂</w:t>
      </w:r>
      <w:r>
        <w:rPr>
          <w:rFonts w:hint="eastAsia"/>
          <w:color w:val="auto"/>
          <w:lang w:eastAsia="zh-CN"/>
        </w:rPr>
        <w:t>（</w:t>
      </w:r>
      <w:r>
        <w:rPr>
          <w:rFonts w:hint="eastAsia"/>
          <w:color w:val="auto"/>
        </w:rPr>
        <w:t>F54</w:t>
      </w:r>
      <w:r>
        <w:rPr>
          <w:rFonts w:hint="eastAsia"/>
          <w:color w:val="auto"/>
          <w:lang w:eastAsia="zh-CN"/>
        </w:rPr>
        <w:t>）</w:t>
      </w:r>
      <w:r>
        <w:rPr>
          <w:rFonts w:hint="eastAsia"/>
          <w:color w:val="auto"/>
        </w:rPr>
        <w:t>以西约26.0km</w:t>
      </w:r>
      <w:r>
        <w:rPr>
          <w:rFonts w:hint="eastAsia"/>
          <w:color w:val="auto"/>
          <w:lang w:eastAsia="zh-CN"/>
        </w:rPr>
        <w:t>，</w:t>
      </w:r>
      <w:r>
        <w:rPr>
          <w:rFonts w:hint="eastAsia"/>
          <w:color w:val="auto"/>
        </w:rPr>
        <w:t>该断裂属于早-中更新世断裂。根据《建筑抗震设计</w:t>
      </w:r>
      <w:r>
        <w:rPr>
          <w:rFonts w:hint="eastAsia"/>
          <w:color w:val="auto"/>
          <w:lang w:val="en-US" w:eastAsia="zh-CN"/>
        </w:rPr>
        <w:t>标准</w:t>
      </w:r>
      <w:r>
        <w:rPr>
          <w:rFonts w:hint="eastAsia"/>
          <w:color w:val="auto"/>
        </w:rPr>
        <w:t>》（GB50011-2010 2024年版）第4.1.7条</w:t>
      </w:r>
      <w:r>
        <w:rPr>
          <w:rFonts w:hint="eastAsia"/>
          <w:color w:val="auto"/>
          <w:lang w:eastAsia="zh-CN"/>
        </w:rPr>
        <w:t>，</w:t>
      </w:r>
      <w:r>
        <w:rPr>
          <w:rFonts w:hint="eastAsia"/>
          <w:color w:val="auto"/>
        </w:rPr>
        <w:t>楚雄彝族自治州武定县狮山镇抗震设防烈度为7度，场地周围10km范围内无发震断裂</w:t>
      </w:r>
      <w:r>
        <w:rPr>
          <w:rFonts w:hint="eastAsia"/>
          <w:color w:val="auto"/>
          <w:lang w:eastAsia="zh-CN"/>
        </w:rPr>
        <w:t>。</w:t>
      </w:r>
    </w:p>
    <w:p w14:paraId="404782F7">
      <w:pPr>
        <w:pStyle w:val="4"/>
        <w:bidi w:val="0"/>
        <w:rPr>
          <w:rFonts w:hint="eastAsia"/>
          <w:color w:val="auto"/>
        </w:rPr>
      </w:pPr>
      <w:bookmarkStart w:id="74" w:name="_Toc8286"/>
      <w:r>
        <w:rPr>
          <w:rFonts w:hint="eastAsia"/>
          <w:color w:val="auto"/>
        </w:rPr>
        <w:t>2.</w:t>
      </w:r>
      <w:r>
        <w:rPr>
          <w:rFonts w:hint="eastAsia"/>
          <w:color w:val="auto"/>
          <w:lang w:val="en-US" w:eastAsia="zh-CN"/>
        </w:rPr>
        <w:t>2.3</w:t>
      </w:r>
      <w:r>
        <w:rPr>
          <w:rFonts w:hint="eastAsia"/>
          <w:color w:val="auto"/>
        </w:rPr>
        <w:t xml:space="preserve"> 地震及区域稳定性</w:t>
      </w:r>
      <w:bookmarkEnd w:id="74"/>
    </w:p>
    <w:p w14:paraId="1401A4B4">
      <w:pPr>
        <w:bidi w:val="0"/>
        <w:rPr>
          <w:rFonts w:hint="eastAsia" w:eastAsia="宋体"/>
          <w:color w:val="auto"/>
          <w:lang w:eastAsia="zh-CN"/>
        </w:rPr>
      </w:pPr>
      <w:r>
        <w:rPr>
          <w:rFonts w:hint="eastAsia"/>
          <w:color w:val="auto"/>
        </w:rPr>
        <w:t>依据《中国地震动参数区划图》</w:t>
      </w:r>
      <w:r>
        <w:rPr>
          <w:rFonts w:hint="eastAsia"/>
          <w:color w:val="auto"/>
          <w:lang w:eastAsia="zh-CN"/>
        </w:rPr>
        <w:t>（</w:t>
      </w:r>
      <w:r>
        <w:rPr>
          <w:rFonts w:hint="eastAsia"/>
          <w:color w:val="auto"/>
        </w:rPr>
        <w:t>GB18306-2015</w:t>
      </w:r>
      <w:r>
        <w:rPr>
          <w:rFonts w:hint="eastAsia"/>
          <w:color w:val="auto"/>
          <w:lang w:eastAsia="zh-CN"/>
        </w:rPr>
        <w:t>）</w:t>
      </w:r>
      <w:r>
        <w:rPr>
          <w:rFonts w:hint="eastAsia"/>
          <w:color w:val="auto"/>
        </w:rPr>
        <w:t>，拟建场地地震基本烈度为7度</w:t>
      </w:r>
      <w:r>
        <w:rPr>
          <w:rFonts w:hint="eastAsia"/>
          <w:color w:val="auto"/>
          <w:lang w:eastAsia="zh-CN"/>
        </w:rPr>
        <w:t>；</w:t>
      </w:r>
      <w:r>
        <w:rPr>
          <w:rFonts w:hint="eastAsia"/>
          <w:color w:val="auto"/>
        </w:rPr>
        <w:t>地震分组为第三组，地震加速度值为0.15g，地震特征周期为0.45s。依据1</w:t>
      </w:r>
      <w:r>
        <w:rPr>
          <w:rFonts w:hint="eastAsia"/>
          <w:color w:val="auto"/>
          <w:lang w:eastAsia="zh-CN"/>
        </w:rPr>
        <w:t>：</w:t>
      </w:r>
      <w:r>
        <w:rPr>
          <w:rFonts w:hint="eastAsia"/>
          <w:color w:val="auto"/>
        </w:rPr>
        <w:t>100万《云南省区域地壳稳定评价图》，拟建场地所处区域为III区</w:t>
      </w:r>
      <w:r>
        <w:rPr>
          <w:rFonts w:hint="eastAsia"/>
          <w:color w:val="auto"/>
          <w:lang w:eastAsia="zh-CN"/>
        </w:rPr>
        <w:t>（</w:t>
      </w:r>
      <w:r>
        <w:rPr>
          <w:rFonts w:hint="eastAsia"/>
          <w:color w:val="auto"/>
        </w:rPr>
        <w:t>次稳定区</w:t>
      </w:r>
      <w:r>
        <w:rPr>
          <w:rFonts w:hint="eastAsia"/>
          <w:color w:val="auto"/>
          <w:lang w:eastAsia="zh-CN"/>
        </w:rPr>
        <w:t>）。</w:t>
      </w:r>
    </w:p>
    <w:p w14:paraId="25DA9A35">
      <w:pPr>
        <w:pStyle w:val="4"/>
        <w:bidi w:val="0"/>
        <w:rPr>
          <w:rFonts w:hint="eastAsia"/>
          <w:color w:val="auto"/>
          <w:lang w:eastAsia="zh-CN"/>
        </w:rPr>
      </w:pPr>
      <w:bookmarkStart w:id="75" w:name="_Toc21226"/>
      <w:r>
        <w:rPr>
          <w:rFonts w:hint="eastAsia"/>
          <w:color w:val="auto"/>
          <w:lang w:val="en-US" w:eastAsia="zh-CN"/>
        </w:rPr>
        <w:t xml:space="preserve">2.2.4 </w:t>
      </w:r>
      <w:r>
        <w:rPr>
          <w:rFonts w:hint="eastAsia"/>
          <w:color w:val="auto"/>
        </w:rPr>
        <w:t>水文</w:t>
      </w:r>
      <w:bookmarkEnd w:id="75"/>
    </w:p>
    <w:p w14:paraId="1A40E3BA">
      <w:pPr>
        <w:bidi w:val="0"/>
        <w:rPr>
          <w:color w:val="auto"/>
        </w:rPr>
      </w:pPr>
      <w:r>
        <w:rPr>
          <w:rFonts w:hint="eastAsia"/>
          <w:color w:val="auto"/>
        </w:rPr>
        <w:t>本项目所在地区水文状况主要体现在丰富的地下水资源，尤其是观音洞山泉水的质量优良，具有较高的经济价值。资料记载，早在1994年，水文地质研究人员对观音洞山泉水进行了检测，发现山泉水富含对人体有益的锗、锰、钴、锂、锶、碘等多种微量元素。这股山泉水不仅清冽甘润、口感极佳，还成为了当地群众的</w:t>
      </w:r>
      <w:r>
        <w:rPr>
          <w:rFonts w:hint="eastAsia"/>
          <w:color w:val="auto"/>
          <w:lang w:eastAsia="zh-CN"/>
        </w:rPr>
        <w:t>“</w:t>
      </w:r>
      <w:r>
        <w:rPr>
          <w:rFonts w:hint="eastAsia"/>
          <w:color w:val="auto"/>
        </w:rPr>
        <w:t>致富泉</w:t>
      </w:r>
      <w:r>
        <w:rPr>
          <w:rFonts w:hint="eastAsia"/>
          <w:color w:val="auto"/>
          <w:lang w:eastAsia="zh-CN"/>
        </w:rPr>
        <w:t>”</w:t>
      </w:r>
      <w:r>
        <w:rPr>
          <w:rFonts w:hint="eastAsia"/>
          <w:color w:val="auto"/>
        </w:rPr>
        <w:t>，通过成立矿泉水厂，将观音洞泉水送入了武定县千家万户。同时，该地区的降雨量和气温也呈现出一定的季节性变化，这些因素共同影响着当地的生态环境和农业生产。</w:t>
      </w:r>
    </w:p>
    <w:p w14:paraId="36C7FF7B">
      <w:pPr>
        <w:pStyle w:val="4"/>
        <w:bidi w:val="0"/>
        <w:rPr>
          <w:rFonts w:hint="eastAsia"/>
          <w:color w:val="auto"/>
        </w:rPr>
      </w:pPr>
      <w:bookmarkStart w:id="76" w:name="_Toc6620"/>
      <w:r>
        <w:rPr>
          <w:rFonts w:hint="eastAsia"/>
          <w:color w:val="auto"/>
          <w:lang w:val="en-US" w:eastAsia="zh-CN"/>
        </w:rPr>
        <w:t xml:space="preserve">2.2.5 </w:t>
      </w:r>
      <w:r>
        <w:rPr>
          <w:rFonts w:hint="eastAsia"/>
          <w:color w:val="auto"/>
        </w:rPr>
        <w:t>地形地貌</w:t>
      </w:r>
      <w:bookmarkEnd w:id="76"/>
    </w:p>
    <w:p w14:paraId="3C657794">
      <w:pPr>
        <w:bidi w:val="0"/>
        <w:rPr>
          <w:color w:val="auto"/>
        </w:rPr>
      </w:pPr>
      <w:r>
        <w:rPr>
          <w:rFonts w:hint="eastAsia"/>
          <w:color w:val="auto"/>
        </w:rPr>
        <w:t>拟建场位于楚雄彝族自治州武定县狮山镇白邑花果箐钛选厂内，拟建场地为厂区，场地属山麓斜坡堆积成因地貌的山前斜坡地段。场地整体呈南东高北西低，局部地形起伏较大。</w:t>
      </w:r>
    </w:p>
    <w:p w14:paraId="769A8418">
      <w:pPr>
        <w:pStyle w:val="4"/>
        <w:bidi w:val="0"/>
        <w:rPr>
          <w:color w:val="auto"/>
        </w:rPr>
      </w:pPr>
      <w:bookmarkStart w:id="77" w:name="_Toc21746"/>
      <w:r>
        <w:rPr>
          <w:rFonts w:hint="eastAsia"/>
          <w:color w:val="auto"/>
        </w:rPr>
        <w:t>2.2.6 勘察报告结论</w:t>
      </w:r>
      <w:bookmarkEnd w:id="77"/>
    </w:p>
    <w:p w14:paraId="093AFF7E">
      <w:pPr>
        <w:bidi w:val="0"/>
        <w:rPr>
          <w:rFonts w:hint="eastAsia"/>
          <w:color w:val="auto"/>
        </w:rPr>
      </w:pPr>
      <w:r>
        <w:rPr>
          <w:rFonts w:hint="eastAsia"/>
          <w:color w:val="auto"/>
          <w:lang w:val="en-US" w:eastAsia="zh-CN"/>
        </w:rPr>
        <w:t>1、</w:t>
      </w:r>
      <w:r>
        <w:rPr>
          <w:rFonts w:hint="eastAsia"/>
          <w:color w:val="auto"/>
        </w:rPr>
        <w:t>勘察范围内未发现滑坡、崩塌、岩溶塌陷、冲沟、地裂缝以及新构造断裂等影响场地稳定性的不良地质作用和地质灾害隐患，未发现暗埋浜、塘，场地整平后，场地处于抗震不利地段，场地整平后属稳定性差场地，工程建设适宜性分类为适宜性差建设场地。</w:t>
      </w:r>
    </w:p>
    <w:p w14:paraId="57FF9DFA">
      <w:pPr>
        <w:bidi w:val="0"/>
        <w:rPr>
          <w:rFonts w:hint="eastAsia"/>
          <w:color w:val="auto"/>
        </w:rPr>
      </w:pPr>
      <w:r>
        <w:rPr>
          <w:rFonts w:hint="eastAsia"/>
          <w:color w:val="auto"/>
          <w:lang w:val="en-US" w:eastAsia="zh-CN"/>
        </w:rPr>
        <w:t>2、</w:t>
      </w:r>
      <w:r>
        <w:rPr>
          <w:rFonts w:hint="eastAsia"/>
          <w:color w:val="auto"/>
        </w:rPr>
        <w:t>拟建场地地基土由①素填土、②全~强风化泥质粉砂岩、③中风化泥灰岩组成，故根据拟采用的基础持力层及其下卧层进行评价，为不均性地基。拟建物需选择相应的浅基础或深基础形式。</w:t>
      </w:r>
    </w:p>
    <w:p w14:paraId="7E8AA826">
      <w:pPr>
        <w:bidi w:val="0"/>
        <w:rPr>
          <w:rFonts w:hint="eastAsia"/>
          <w:color w:val="auto"/>
        </w:rPr>
      </w:pPr>
      <w:r>
        <w:rPr>
          <w:rFonts w:hint="eastAsia"/>
          <w:color w:val="auto"/>
          <w:lang w:val="en-US" w:eastAsia="zh-CN"/>
        </w:rPr>
        <w:t>3、</w:t>
      </w:r>
      <w:r>
        <w:rPr>
          <w:rFonts w:hint="eastAsia"/>
          <w:color w:val="auto"/>
        </w:rPr>
        <w:t>根据《建筑与市政工程抗震通用规范》GB55002-2021第3.1.3条，综合判定该地段属对建筑抗震不利地段。</w:t>
      </w:r>
    </w:p>
    <w:p w14:paraId="51DF81F7">
      <w:pPr>
        <w:bidi w:val="0"/>
        <w:rPr>
          <w:rFonts w:hint="eastAsia"/>
          <w:color w:val="auto"/>
        </w:rPr>
      </w:pPr>
      <w:r>
        <w:rPr>
          <w:rFonts w:hint="eastAsia"/>
          <w:color w:val="auto"/>
          <w:lang w:val="en-US" w:eastAsia="zh-CN"/>
        </w:rPr>
        <w:t>4、</w:t>
      </w:r>
      <w:r>
        <w:rPr>
          <w:rFonts w:hint="eastAsia"/>
          <w:color w:val="auto"/>
        </w:rPr>
        <w:t>拟建场地地基土类型为中硬土，拟建场地类别判为Ⅱ类。场地内在地面下20.00m深度范围内未揭露饱和砂土、粉土，可不考虑地基土的地震液化问题</w:t>
      </w:r>
      <w:r>
        <w:rPr>
          <w:rFonts w:hint="eastAsia"/>
          <w:color w:val="auto"/>
          <w:lang w:eastAsia="zh-CN"/>
        </w:rPr>
        <w:t>；</w:t>
      </w:r>
      <w:r>
        <w:rPr>
          <w:rFonts w:hint="eastAsia"/>
          <w:color w:val="auto"/>
        </w:rPr>
        <w:t>本场地可不考虑软土震陷影响。</w:t>
      </w:r>
    </w:p>
    <w:p w14:paraId="200EBE1C">
      <w:pPr>
        <w:bidi w:val="0"/>
        <w:rPr>
          <w:rFonts w:hint="eastAsia"/>
          <w:color w:val="auto"/>
        </w:rPr>
      </w:pPr>
      <w:r>
        <w:rPr>
          <w:rFonts w:hint="eastAsia"/>
          <w:color w:val="auto"/>
          <w:lang w:val="en-US" w:eastAsia="zh-CN"/>
        </w:rPr>
        <w:t>5、</w:t>
      </w:r>
      <w:r>
        <w:rPr>
          <w:rFonts w:hint="eastAsia"/>
          <w:color w:val="auto"/>
        </w:rPr>
        <w:t>拟建工程场地抗震设防烈度为7度，设计地震分组为第三组，场地基本地震动峰值加速度值为0.15g</w:t>
      </w:r>
      <w:r>
        <w:rPr>
          <w:rFonts w:hint="eastAsia"/>
          <w:color w:val="auto"/>
          <w:lang w:eastAsia="zh-CN"/>
        </w:rPr>
        <w:t>，</w:t>
      </w:r>
      <w:r>
        <w:rPr>
          <w:rFonts w:hint="eastAsia"/>
          <w:color w:val="auto"/>
        </w:rPr>
        <w:t>场地基本地震动加速度反应谱特征周期0.45s。</w:t>
      </w:r>
    </w:p>
    <w:p w14:paraId="5373EBA4">
      <w:pPr>
        <w:bidi w:val="0"/>
        <w:rPr>
          <w:rFonts w:hint="eastAsia" w:eastAsia="宋体"/>
          <w:color w:val="auto"/>
          <w:lang w:val="en-US" w:eastAsia="zh-CN"/>
        </w:rPr>
      </w:pPr>
      <w:r>
        <w:rPr>
          <w:rFonts w:hint="eastAsia"/>
          <w:color w:val="auto"/>
          <w:lang w:val="en-US" w:eastAsia="zh-CN"/>
        </w:rPr>
        <w:t>6、</w:t>
      </w:r>
      <w:r>
        <w:rPr>
          <w:rFonts w:hint="eastAsia"/>
          <w:color w:val="auto"/>
        </w:rPr>
        <w:t>场地地下水对混凝土结构具微腐蚀性、对混凝土结构中的钢筋具微腐蚀性</w:t>
      </w:r>
      <w:r>
        <w:rPr>
          <w:rFonts w:hint="eastAsia"/>
          <w:color w:val="auto"/>
          <w:lang w:eastAsia="zh-CN"/>
        </w:rPr>
        <w:t>；</w:t>
      </w:r>
      <w:r>
        <w:rPr>
          <w:rFonts w:hint="eastAsia"/>
          <w:color w:val="auto"/>
        </w:rPr>
        <w:t>场地土对混凝土结构、钢筋混凝土结构中的钢筋具微腐蚀性，对钢结构具微腐蚀性。</w:t>
      </w:r>
    </w:p>
    <w:p w14:paraId="7B011A50">
      <w:pPr>
        <w:pStyle w:val="3"/>
        <w:bidi w:val="0"/>
        <w:rPr>
          <w:color w:val="auto"/>
        </w:rPr>
      </w:pPr>
      <w:bookmarkStart w:id="78" w:name="_Toc12513"/>
      <w:r>
        <w:rPr>
          <w:rFonts w:hint="eastAsia"/>
          <w:color w:val="auto"/>
        </w:rPr>
        <w:t>2.3 项目建设条件</w:t>
      </w:r>
      <w:bookmarkEnd w:id="78"/>
    </w:p>
    <w:p w14:paraId="3F112F9C">
      <w:pPr>
        <w:pStyle w:val="4"/>
        <w:bidi w:val="0"/>
        <w:rPr>
          <w:rFonts w:hint="eastAsia"/>
          <w:color w:val="auto"/>
        </w:rPr>
      </w:pPr>
      <w:bookmarkStart w:id="79" w:name="_Toc32433"/>
      <w:r>
        <w:rPr>
          <w:rFonts w:hint="eastAsia"/>
          <w:color w:val="auto"/>
          <w:lang w:val="en-US" w:eastAsia="zh-CN"/>
        </w:rPr>
        <w:t>2.3.1</w:t>
      </w:r>
      <w:r>
        <w:rPr>
          <w:rFonts w:hint="eastAsia"/>
          <w:color w:val="auto"/>
        </w:rPr>
        <w:t xml:space="preserve"> 地质资源条件</w:t>
      </w:r>
      <w:bookmarkEnd w:id="79"/>
    </w:p>
    <w:p w14:paraId="181FDBC4">
      <w:pPr>
        <w:bidi w:val="0"/>
        <w:rPr>
          <w:rFonts w:hint="eastAsia"/>
          <w:color w:val="auto"/>
        </w:rPr>
      </w:pPr>
      <w:r>
        <w:rPr>
          <w:rFonts w:hint="eastAsia"/>
          <w:color w:val="auto"/>
        </w:rPr>
        <w:t>根据业主提供资料可知，本项目来料主要为武定县周边钛矿山选矿厂供矿，矿石量资源丰富，完全能够满足本项目供矿需求，各选矿厂钛粗精矿采用汽车运输到本项目选厂原矿堆场。</w:t>
      </w:r>
    </w:p>
    <w:p w14:paraId="28F94F13">
      <w:pPr>
        <w:pStyle w:val="4"/>
        <w:bidi w:val="0"/>
        <w:rPr>
          <w:rFonts w:hint="eastAsia"/>
          <w:color w:val="auto"/>
        </w:rPr>
      </w:pPr>
      <w:bookmarkStart w:id="80" w:name="_Toc5336"/>
      <w:r>
        <w:rPr>
          <w:rFonts w:hint="eastAsia"/>
          <w:color w:val="auto"/>
          <w:lang w:val="en-US" w:eastAsia="zh-CN"/>
        </w:rPr>
        <w:t>2.3</w:t>
      </w:r>
      <w:r>
        <w:rPr>
          <w:rFonts w:hint="eastAsia"/>
          <w:color w:val="auto"/>
        </w:rPr>
        <w:t>.2 水源条件</w:t>
      </w:r>
      <w:bookmarkEnd w:id="80"/>
    </w:p>
    <w:p w14:paraId="5BF60898">
      <w:pPr>
        <w:bidi w:val="0"/>
        <w:rPr>
          <w:rFonts w:hint="eastAsia"/>
          <w:color w:val="auto"/>
        </w:rPr>
      </w:pPr>
      <w:r>
        <w:rPr>
          <w:rFonts w:hint="eastAsia"/>
          <w:color w:val="auto"/>
        </w:rPr>
        <w:t>生产新水使用厂区西北侧菜园河水泵提水，水量充沛，水质较好，可作为本项目选厂生产水源地，</w:t>
      </w:r>
      <w:r>
        <w:rPr>
          <w:rFonts w:hint="eastAsia"/>
          <w:color w:val="auto"/>
          <w:lang w:val="en-US" w:eastAsia="zh-CN"/>
        </w:rPr>
        <w:t>满足生产用水需求；</w:t>
      </w:r>
      <w:r>
        <w:rPr>
          <w:rFonts w:hint="eastAsia"/>
          <w:color w:val="auto"/>
        </w:rPr>
        <w:t>生活用水使用市政自来水管网，满足厂区生活用水需求。</w:t>
      </w:r>
    </w:p>
    <w:p w14:paraId="021406F5">
      <w:pPr>
        <w:pStyle w:val="4"/>
        <w:bidi w:val="0"/>
        <w:rPr>
          <w:rFonts w:hint="eastAsia"/>
          <w:color w:val="auto"/>
        </w:rPr>
      </w:pPr>
      <w:bookmarkStart w:id="81" w:name="_Toc9811"/>
      <w:r>
        <w:rPr>
          <w:rFonts w:hint="eastAsia"/>
          <w:color w:val="auto"/>
          <w:lang w:val="en-US" w:eastAsia="zh-CN"/>
        </w:rPr>
        <w:t>2.3</w:t>
      </w:r>
      <w:r>
        <w:rPr>
          <w:rFonts w:hint="eastAsia"/>
          <w:color w:val="auto"/>
        </w:rPr>
        <w:t>.3 供电条件</w:t>
      </w:r>
      <w:bookmarkEnd w:id="81"/>
    </w:p>
    <w:p w14:paraId="0ACEBFC2">
      <w:pPr>
        <w:bidi w:val="0"/>
        <w:rPr>
          <w:rFonts w:hint="eastAsia"/>
          <w:color w:val="auto"/>
        </w:rPr>
      </w:pPr>
      <w:r>
        <w:rPr>
          <w:rFonts w:hint="eastAsia"/>
          <w:color w:val="auto"/>
        </w:rPr>
        <w:t>本工程从狮山镇浦西10KV线供电，距离本项目1km，引入本项目选矿车间160KVA/100KVA变压器，降压后配送至各生产车间（配电室），能够满足本工程的用电需求。车间设备设计总功率617.5KW，实际使用功率400KW。车间设计总负载为850A，实际使用负载810A。</w:t>
      </w:r>
    </w:p>
    <w:p w14:paraId="25628F97">
      <w:pPr>
        <w:pStyle w:val="4"/>
        <w:bidi w:val="0"/>
        <w:rPr>
          <w:rFonts w:hint="eastAsia"/>
          <w:color w:val="auto"/>
        </w:rPr>
      </w:pPr>
      <w:bookmarkStart w:id="82" w:name="_Toc15870"/>
      <w:r>
        <w:rPr>
          <w:rFonts w:hint="eastAsia"/>
          <w:color w:val="auto"/>
          <w:lang w:val="en-US" w:eastAsia="zh-CN"/>
        </w:rPr>
        <w:t>2.3</w:t>
      </w:r>
      <w:r>
        <w:rPr>
          <w:rFonts w:hint="eastAsia"/>
          <w:color w:val="auto"/>
        </w:rPr>
        <w:t>.4 选矿厂用地</w:t>
      </w:r>
      <w:bookmarkEnd w:id="82"/>
    </w:p>
    <w:p w14:paraId="7F572C33">
      <w:pPr>
        <w:bidi w:val="0"/>
        <w:rPr>
          <w:rFonts w:hint="eastAsia"/>
          <w:color w:val="auto"/>
        </w:rPr>
      </w:pPr>
      <w:r>
        <w:rPr>
          <w:rFonts w:hint="eastAsia"/>
          <w:color w:val="auto"/>
        </w:rPr>
        <w:t>根据企业提供的用地协议，此工业用地由武定县狮山镇白邑村委会下旧城村委出租，土地使用范围为下旧村右侧，划过箐钛选厂周边，面积合计为13.4亩。租期为20年（2024年7月18日至2044年7月18日止）。</w:t>
      </w:r>
    </w:p>
    <w:p w14:paraId="054607E6">
      <w:pPr>
        <w:bidi w:val="0"/>
        <w:rPr>
          <w:rFonts w:hint="eastAsia"/>
          <w:color w:val="auto"/>
        </w:rPr>
      </w:pPr>
      <w:r>
        <w:rPr>
          <w:rFonts w:hint="eastAsia"/>
          <w:color w:val="auto"/>
        </w:rPr>
        <w:t>综上所述，本项目选厂厂址有较好的基础建设条件。</w:t>
      </w:r>
    </w:p>
    <w:p w14:paraId="370503B7">
      <w:pPr>
        <w:pStyle w:val="4"/>
        <w:bidi w:val="0"/>
        <w:rPr>
          <w:rFonts w:hint="eastAsia"/>
          <w:color w:val="auto"/>
        </w:rPr>
      </w:pPr>
      <w:bookmarkStart w:id="83" w:name="_Toc31447"/>
      <w:r>
        <w:rPr>
          <w:rFonts w:hint="eastAsia"/>
          <w:color w:val="auto"/>
          <w:lang w:val="en-US" w:eastAsia="zh-CN"/>
        </w:rPr>
        <w:t>2.3</w:t>
      </w:r>
      <w:r>
        <w:rPr>
          <w:rFonts w:hint="eastAsia"/>
          <w:color w:val="auto"/>
        </w:rPr>
        <w:t>.5 建筑材料</w:t>
      </w:r>
      <w:bookmarkEnd w:id="83"/>
    </w:p>
    <w:p w14:paraId="720F7C43">
      <w:pPr>
        <w:bidi w:val="0"/>
        <w:rPr>
          <w:color w:val="auto"/>
        </w:rPr>
      </w:pPr>
      <w:r>
        <w:rPr>
          <w:rFonts w:hint="eastAsia"/>
          <w:color w:val="auto"/>
        </w:rPr>
        <w:t>本项目所在地有水泥生产厂家，砂、石、水泥等建筑材料基本可在当地解决，木材、钢材可从武定县购入。</w:t>
      </w:r>
    </w:p>
    <w:p w14:paraId="2294982F">
      <w:pPr>
        <w:pStyle w:val="3"/>
        <w:bidi w:val="0"/>
        <w:rPr>
          <w:rFonts w:hint="eastAsia"/>
          <w:color w:val="auto"/>
          <w:lang w:val="en-US" w:eastAsia="zh-CN"/>
        </w:rPr>
      </w:pPr>
      <w:bookmarkStart w:id="84" w:name="_Toc16429"/>
      <w:r>
        <w:rPr>
          <w:rFonts w:hint="eastAsia"/>
          <w:color w:val="auto"/>
          <w:lang w:val="en-US" w:eastAsia="zh-CN"/>
        </w:rPr>
        <w:t xml:space="preserve">2.4 </w:t>
      </w:r>
      <w:r>
        <w:rPr>
          <w:rFonts w:hint="eastAsia"/>
          <w:color w:val="auto"/>
        </w:rPr>
        <w:t>建设方案</w:t>
      </w:r>
      <w:bookmarkEnd w:id="84"/>
    </w:p>
    <w:p w14:paraId="276DC175">
      <w:pPr>
        <w:pStyle w:val="4"/>
        <w:bidi w:val="0"/>
        <w:rPr>
          <w:rFonts w:hint="eastAsia"/>
          <w:color w:val="auto"/>
        </w:rPr>
      </w:pPr>
      <w:bookmarkStart w:id="85" w:name="_Toc9790"/>
      <w:r>
        <w:rPr>
          <w:rFonts w:hint="eastAsia"/>
          <w:color w:val="auto"/>
          <w:lang w:val="en-US" w:eastAsia="zh-CN"/>
        </w:rPr>
        <w:t xml:space="preserve">2.4.1 </w:t>
      </w:r>
      <w:r>
        <w:rPr>
          <w:rFonts w:hint="eastAsia"/>
          <w:color w:val="auto"/>
        </w:rPr>
        <w:t>建设规模</w:t>
      </w:r>
      <w:bookmarkEnd w:id="85"/>
    </w:p>
    <w:p w14:paraId="7498B672">
      <w:pPr>
        <w:bidi w:val="0"/>
        <w:rPr>
          <w:rFonts w:hint="eastAsia" w:eastAsia="宋体"/>
          <w:color w:val="auto"/>
          <w:lang w:val="en-US" w:eastAsia="zh-CN"/>
        </w:rPr>
      </w:pPr>
      <w:r>
        <w:rPr>
          <w:rFonts w:hint="eastAsia"/>
          <w:color w:val="auto"/>
        </w:rPr>
        <w:t>武定县花果箐钛矿采选厂技改扩建项目，技改扩建后生产规模为300t/d，6万t/a。</w:t>
      </w:r>
      <w:r>
        <w:rPr>
          <w:rFonts w:hint="eastAsia"/>
          <w:color w:val="auto"/>
          <w:lang w:val="en-US" w:eastAsia="zh-CN"/>
        </w:rPr>
        <w:t xml:space="preserve"> </w:t>
      </w:r>
    </w:p>
    <w:p w14:paraId="31809581">
      <w:pPr>
        <w:pStyle w:val="4"/>
        <w:bidi w:val="0"/>
        <w:rPr>
          <w:rFonts w:hint="eastAsia"/>
          <w:color w:val="auto"/>
          <w:lang w:val="en-US" w:eastAsia="zh-CN"/>
        </w:rPr>
      </w:pPr>
      <w:bookmarkStart w:id="86" w:name="_Toc5310"/>
      <w:r>
        <w:rPr>
          <w:rFonts w:hint="eastAsia"/>
          <w:color w:val="auto"/>
          <w:lang w:val="en-US" w:eastAsia="zh-CN"/>
        </w:rPr>
        <w:t>2.4.2 工作制度</w:t>
      </w:r>
      <w:bookmarkEnd w:id="86"/>
    </w:p>
    <w:p w14:paraId="2959D5CE">
      <w:pPr>
        <w:bidi w:val="0"/>
        <w:rPr>
          <w:rFonts w:hint="eastAsia"/>
          <w:color w:val="auto"/>
          <w:lang w:val="en-US" w:eastAsia="zh-CN"/>
        </w:rPr>
      </w:pPr>
      <w:r>
        <w:rPr>
          <w:rFonts w:hint="eastAsia"/>
          <w:color w:val="auto"/>
          <w:lang w:val="en-US" w:eastAsia="zh-CN"/>
        </w:rPr>
        <w:t>本项目工作制度定为200d/a，3班/d，8h/班。</w:t>
      </w:r>
    </w:p>
    <w:p w14:paraId="18B71ADC">
      <w:pPr>
        <w:pStyle w:val="4"/>
        <w:bidi w:val="0"/>
        <w:rPr>
          <w:rFonts w:hint="eastAsia"/>
          <w:color w:val="auto"/>
          <w:lang w:val="en-US" w:eastAsia="zh-CN"/>
        </w:rPr>
      </w:pPr>
      <w:bookmarkStart w:id="87" w:name="_Toc24148"/>
      <w:r>
        <w:rPr>
          <w:rFonts w:hint="eastAsia"/>
          <w:color w:val="auto"/>
          <w:lang w:val="en-US" w:eastAsia="zh-CN"/>
        </w:rPr>
        <w:t>2.4.3 产品方案</w:t>
      </w:r>
      <w:bookmarkEnd w:id="87"/>
    </w:p>
    <w:p w14:paraId="0BC8D423">
      <w:pPr>
        <w:bidi w:val="0"/>
        <w:rPr>
          <w:rFonts w:hint="eastAsia"/>
          <w:color w:val="auto"/>
          <w:lang w:val="en-US" w:eastAsia="zh-CN"/>
        </w:rPr>
      </w:pPr>
      <w:r>
        <w:rPr>
          <w:rFonts w:hint="eastAsia"/>
          <w:color w:val="auto"/>
          <w:lang w:val="en-US" w:eastAsia="zh-CN"/>
        </w:rPr>
        <w:t>合格钛精矿和铁精矿，40%品位钛精矿10000t/a，低品位钛精矿4500t/a,综合钛精矿14500 t/a，铁精矿12000t/a，钛精矿、铁精矿产品外销。</w:t>
      </w:r>
    </w:p>
    <w:p w14:paraId="0E635F31">
      <w:pPr>
        <w:pStyle w:val="3"/>
        <w:bidi w:val="0"/>
        <w:rPr>
          <w:rFonts w:hint="default"/>
          <w:color w:val="auto"/>
          <w:lang w:val="en-US" w:eastAsia="zh-CN"/>
        </w:rPr>
      </w:pPr>
      <w:bookmarkStart w:id="88" w:name="_Toc7365"/>
      <w:r>
        <w:rPr>
          <w:rFonts w:hint="eastAsia"/>
          <w:color w:val="auto"/>
          <w:lang w:val="en-US" w:eastAsia="zh-CN"/>
        </w:rPr>
        <w:t>2.5 选矿</w:t>
      </w:r>
      <w:bookmarkEnd w:id="88"/>
    </w:p>
    <w:p w14:paraId="281BC815">
      <w:pPr>
        <w:pStyle w:val="4"/>
        <w:bidi w:val="0"/>
        <w:rPr>
          <w:rFonts w:hint="eastAsia"/>
          <w:color w:val="auto"/>
        </w:rPr>
      </w:pPr>
      <w:bookmarkStart w:id="89" w:name="_Toc16517"/>
      <w:r>
        <w:rPr>
          <w:rFonts w:hint="eastAsia"/>
          <w:color w:val="auto"/>
          <w:lang w:val="en-US" w:eastAsia="zh-CN"/>
        </w:rPr>
        <w:t xml:space="preserve">2.5.1 </w:t>
      </w:r>
      <w:r>
        <w:rPr>
          <w:rFonts w:hint="eastAsia"/>
          <w:color w:val="auto"/>
        </w:rPr>
        <w:t>技改扩建选矿厂与原选矿厂关系</w:t>
      </w:r>
      <w:bookmarkEnd w:id="89"/>
    </w:p>
    <w:p w14:paraId="4BCEC320">
      <w:pPr>
        <w:bidi w:val="0"/>
        <w:rPr>
          <w:rFonts w:hint="eastAsia"/>
          <w:color w:val="auto"/>
        </w:rPr>
      </w:pPr>
      <w:r>
        <w:rPr>
          <w:rFonts w:hint="eastAsia"/>
          <w:color w:val="auto"/>
        </w:rPr>
        <w:t>1、位置关系</w:t>
      </w:r>
    </w:p>
    <w:p w14:paraId="46356F55">
      <w:pPr>
        <w:bidi w:val="0"/>
        <w:rPr>
          <w:rFonts w:hint="eastAsia"/>
          <w:color w:val="auto"/>
        </w:rPr>
      </w:pPr>
      <w:r>
        <w:rPr>
          <w:rFonts w:hint="eastAsia"/>
          <w:color w:val="auto"/>
        </w:rPr>
        <w:t>本项目在原有选矿厂内进行改扩建，根据选矿厂工艺流程，结合功能分区，选矿厂采用纵向式分台阶布置，将各生产车间依次由高到低台阶式布置。</w:t>
      </w:r>
    </w:p>
    <w:p w14:paraId="59EAD577">
      <w:pPr>
        <w:bidi w:val="0"/>
        <w:rPr>
          <w:rFonts w:hint="eastAsia"/>
          <w:color w:val="auto"/>
        </w:rPr>
      </w:pPr>
      <w:r>
        <w:rPr>
          <w:rFonts w:hint="eastAsia"/>
          <w:color w:val="auto"/>
          <w:lang w:val="en-US" w:eastAsia="zh-CN"/>
        </w:rPr>
        <w:t>2</w:t>
      </w:r>
      <w:r>
        <w:rPr>
          <w:rFonts w:hint="eastAsia"/>
          <w:color w:val="auto"/>
        </w:rPr>
        <w:t>、公辅设施</w:t>
      </w:r>
    </w:p>
    <w:p w14:paraId="3930936E">
      <w:pPr>
        <w:bidi w:val="0"/>
        <w:rPr>
          <w:rFonts w:hint="eastAsia"/>
          <w:color w:val="auto"/>
        </w:rPr>
      </w:pPr>
      <w:r>
        <w:rPr>
          <w:rFonts w:hint="eastAsia"/>
          <w:color w:val="auto"/>
        </w:rPr>
        <w:t>本项目所有公辅设施全部利旧，主要包括总降、高位水池、材料仓库、办公室等。</w:t>
      </w:r>
    </w:p>
    <w:p w14:paraId="3584C815">
      <w:pPr>
        <w:bidi w:val="0"/>
        <w:rPr>
          <w:rFonts w:hint="eastAsia"/>
          <w:color w:val="auto"/>
        </w:rPr>
      </w:pPr>
      <w:r>
        <w:rPr>
          <w:rFonts w:hint="eastAsia"/>
          <w:color w:val="auto"/>
          <w:lang w:val="en-US" w:eastAsia="zh-CN"/>
        </w:rPr>
        <w:t>3</w:t>
      </w:r>
      <w:r>
        <w:rPr>
          <w:rFonts w:hint="eastAsia"/>
          <w:color w:val="auto"/>
        </w:rPr>
        <w:t>、利旧生产设施鉴定结论</w:t>
      </w:r>
    </w:p>
    <w:p w14:paraId="317C1CB9">
      <w:pPr>
        <w:bidi w:val="0"/>
        <w:rPr>
          <w:rFonts w:hint="eastAsia"/>
          <w:color w:val="auto"/>
        </w:rPr>
      </w:pPr>
      <w:r>
        <w:rPr>
          <w:rFonts w:hint="eastAsia"/>
          <w:color w:val="auto"/>
        </w:rPr>
        <w:t>1）总降变电站：室外设置，主体结构无变形、倾斜，满足继续使用要求。</w:t>
      </w:r>
    </w:p>
    <w:p w14:paraId="61CF45F5">
      <w:pPr>
        <w:bidi w:val="0"/>
        <w:rPr>
          <w:rFonts w:hint="eastAsia"/>
          <w:color w:val="auto"/>
        </w:rPr>
      </w:pPr>
      <w:r>
        <w:rPr>
          <w:rFonts w:hint="eastAsia"/>
          <w:color w:val="auto"/>
        </w:rPr>
        <w:t>2）高位水池：高位水池采用混凝土结构保存完好，满足蓄水要求。</w:t>
      </w:r>
    </w:p>
    <w:p w14:paraId="2302F7BE">
      <w:pPr>
        <w:bidi w:val="0"/>
        <w:rPr>
          <w:color w:val="auto"/>
        </w:rPr>
      </w:pPr>
      <w:r>
        <w:rPr>
          <w:rFonts w:hint="eastAsia"/>
          <w:color w:val="auto"/>
        </w:rPr>
        <w:t>3）材料仓库：砖混结构，墙体完整无开裂、剥落，主体结构物变形、倾斜，屋顶无漏洞及脱落，各仓门、锁扣完整无损，符合使用要求。</w:t>
      </w:r>
    </w:p>
    <w:p w14:paraId="0F866C5E">
      <w:pPr>
        <w:pStyle w:val="4"/>
        <w:bidi w:val="0"/>
        <w:rPr>
          <w:rFonts w:hint="default"/>
          <w:color w:val="auto"/>
          <w:lang w:val="en-US" w:eastAsia="zh-CN"/>
        </w:rPr>
      </w:pPr>
      <w:bookmarkStart w:id="90" w:name="_Toc26108"/>
      <w:r>
        <w:rPr>
          <w:rFonts w:hint="eastAsia"/>
          <w:color w:val="auto"/>
          <w:lang w:val="en-US" w:eastAsia="zh-CN"/>
        </w:rPr>
        <w:t>2.5.2 工艺流程</w:t>
      </w:r>
      <w:bookmarkEnd w:id="90"/>
    </w:p>
    <w:p w14:paraId="5609A80D">
      <w:pPr>
        <w:bidi w:val="0"/>
        <w:rPr>
          <w:rFonts w:hint="eastAsia"/>
          <w:color w:val="auto"/>
          <w:lang w:eastAsia="zh-CN"/>
        </w:rPr>
      </w:pPr>
      <w:r>
        <w:rPr>
          <w:rFonts w:hint="eastAsia"/>
          <w:color w:val="auto"/>
        </w:rPr>
        <w:t>本</w:t>
      </w:r>
      <w:r>
        <w:rPr>
          <w:rFonts w:hint="eastAsia"/>
          <w:color w:val="auto"/>
          <w:lang w:val="en-US" w:eastAsia="zh-CN"/>
        </w:rPr>
        <w:t>项目</w:t>
      </w:r>
      <w:r>
        <w:rPr>
          <w:rFonts w:hint="eastAsia"/>
          <w:color w:val="auto"/>
        </w:rPr>
        <w:t>工艺流程为</w:t>
      </w:r>
      <w:r>
        <w:rPr>
          <w:rFonts w:hint="eastAsia"/>
          <w:color w:val="auto"/>
          <w:lang w:eastAsia="zh-CN"/>
        </w:rPr>
        <w:t>“</w:t>
      </w:r>
      <w:r>
        <w:rPr>
          <w:rFonts w:hint="eastAsia"/>
          <w:color w:val="auto"/>
        </w:rPr>
        <w:t>分级（洗矿+高频振筛）-球磨-磁选-重选-烘干</w:t>
      </w:r>
      <w:r>
        <w:rPr>
          <w:rFonts w:hint="eastAsia"/>
          <w:color w:val="auto"/>
          <w:lang w:eastAsia="zh-CN"/>
        </w:rPr>
        <w:t>”。</w:t>
      </w:r>
    </w:p>
    <w:p w14:paraId="157875C3">
      <w:pPr>
        <w:bidi w:val="0"/>
        <w:rPr>
          <w:rFonts w:hint="default"/>
          <w:color w:val="auto"/>
          <w:lang w:val="en-US" w:eastAsia="zh-CN"/>
        </w:rPr>
      </w:pPr>
      <w:r>
        <w:rPr>
          <w:rFonts w:hint="eastAsia"/>
          <w:color w:val="auto"/>
          <w:lang w:val="en-US" w:eastAsia="zh-CN"/>
        </w:rPr>
        <w:t>1、选钛工艺</w:t>
      </w:r>
    </w:p>
    <w:p w14:paraId="0FE32681">
      <w:pPr>
        <w:bidi w:val="0"/>
        <w:rPr>
          <w:rFonts w:hint="eastAsia"/>
          <w:color w:val="auto"/>
          <w:lang w:eastAsia="zh-CN"/>
        </w:rPr>
      </w:pPr>
      <w:r>
        <w:rPr>
          <w:rFonts w:hint="eastAsia"/>
          <w:color w:val="auto"/>
          <w:lang w:eastAsia="zh-CN"/>
        </w:rPr>
        <w:t>钛粗精矿通过汽车运送至选厂后给入本项目原料仓，通过格筛（筛孔尺寸7cm）进行格渣，筛下物料进入槽式洗矿机，粗粒（2～70mm）物料进入球磨机磨矿，磨矿产品进入产品矿浆池，在通过泵给入洗矿机形成闭路磨矿系统，洗矿细泥进入圆筒筛（2台）筛分，筛下产品进入磁选机选铁，选铁产品运送至选铁车间，选铁尾矿进入两次高梯度磁选机，磁选精矿进入强磁选钛，选钛粗精矿给入5层叠筛，筛上物料进入螺旋溜槽两次粗选，螺旋溜槽粗精矿给入螺旋溜槽精选，精矿产品进入沉淀池自然脱水，脱水产品进入钛精矿仓，再进入回转窑烘干，烘干产品经过磁选产出钛精矿。螺旋溜槽尾矿给入扫选作业，扫选尾矿进入摇床再次选别，摇床精矿与钛精矿一并进入脱水作业，中矿顺序返回，摇床尾矿进入浓缩桶浓缩，浓缩产品进入板框压滤机，压滤产品送至砖厂制砖，回水返回高位水池回用。</w:t>
      </w:r>
    </w:p>
    <w:p w14:paraId="05B31901">
      <w:pPr>
        <w:bidi w:val="0"/>
        <w:rPr>
          <w:rFonts w:hint="eastAsia"/>
          <w:color w:val="auto"/>
          <w:lang w:eastAsia="zh-CN"/>
        </w:rPr>
      </w:pPr>
      <w:r>
        <w:rPr>
          <w:rFonts w:hint="eastAsia"/>
          <w:color w:val="auto"/>
          <w:lang w:val="en-US" w:eastAsia="zh-CN"/>
        </w:rPr>
        <w:t>2、</w:t>
      </w:r>
      <w:r>
        <w:rPr>
          <w:rFonts w:hint="eastAsia"/>
          <w:color w:val="auto"/>
          <w:lang w:eastAsia="zh-CN"/>
        </w:rPr>
        <w:t>钛精矿烘干车间</w:t>
      </w:r>
    </w:p>
    <w:p w14:paraId="62CCF0E5">
      <w:pPr>
        <w:bidi w:val="0"/>
        <w:rPr>
          <w:rFonts w:hint="eastAsia"/>
          <w:color w:val="auto"/>
          <w:lang w:eastAsia="zh-CN"/>
        </w:rPr>
      </w:pPr>
      <w:r>
        <w:rPr>
          <w:rFonts w:hint="eastAsia"/>
          <w:color w:val="auto"/>
          <w:lang w:eastAsia="zh-CN"/>
        </w:rPr>
        <w:t>钛精矿运送至烘干车间，通过料仓进入焙烧回转窑，烘干后钛精矿含水控制在3%以内，回转窑烘干燃料为生物颗粒（环保燃料），烘干钛精矿产品在经过干式磁选机磁选后产出钛精矿，钛精矿外售。</w:t>
      </w:r>
    </w:p>
    <w:p w14:paraId="42F97BF9">
      <w:pPr>
        <w:bidi w:val="0"/>
        <w:rPr>
          <w:rFonts w:hint="eastAsia"/>
          <w:color w:val="auto"/>
          <w:lang w:eastAsia="zh-CN"/>
        </w:rPr>
      </w:pPr>
      <w:r>
        <w:rPr>
          <w:rFonts w:hint="eastAsia"/>
          <w:color w:val="auto"/>
          <w:lang w:val="en-US" w:eastAsia="zh-CN"/>
        </w:rPr>
        <w:t>3、</w:t>
      </w:r>
      <w:r>
        <w:rPr>
          <w:rFonts w:hint="eastAsia"/>
          <w:color w:val="auto"/>
          <w:lang w:eastAsia="zh-CN"/>
        </w:rPr>
        <w:t>选铁车间</w:t>
      </w:r>
    </w:p>
    <w:p w14:paraId="0BF164C2">
      <w:pPr>
        <w:bidi w:val="0"/>
        <w:rPr>
          <w:rFonts w:hint="eastAsia"/>
          <w:color w:val="auto"/>
          <w:lang w:eastAsia="zh-CN"/>
        </w:rPr>
      </w:pPr>
      <w:r>
        <w:rPr>
          <w:rFonts w:hint="eastAsia"/>
          <w:color w:val="auto"/>
          <w:lang w:eastAsia="zh-CN"/>
        </w:rPr>
        <w:t>沉淀后的铁粗精矿通过汽车运输至铁原矿堆场，通过装载机给入料仓，进入分级机分级后粗粒进入球磨机磨矿，合格产品进入磁选机选别，磁选后产出合格的铁精矿，磁选尾矿进入螺旋溜槽重选（选钛）。</w:t>
      </w:r>
    </w:p>
    <w:p w14:paraId="3C3CD978">
      <w:pPr>
        <w:bidi w:val="0"/>
        <w:rPr>
          <w:rFonts w:hint="eastAsia"/>
          <w:color w:val="auto"/>
          <w:lang w:eastAsia="zh-CN"/>
        </w:rPr>
      </w:pPr>
      <w:r>
        <w:rPr>
          <w:rFonts w:hint="eastAsia"/>
          <w:color w:val="auto"/>
          <w:lang w:val="en-US" w:eastAsia="zh-CN"/>
        </w:rPr>
        <w:t>4、</w:t>
      </w:r>
      <w:r>
        <w:rPr>
          <w:rFonts w:hint="eastAsia"/>
          <w:color w:val="auto"/>
          <w:lang w:eastAsia="zh-CN"/>
        </w:rPr>
        <w:t>尾矿处理</w:t>
      </w:r>
    </w:p>
    <w:p w14:paraId="6AC13C32">
      <w:pPr>
        <w:bidi w:val="0"/>
        <w:rPr>
          <w:rFonts w:hint="eastAsia"/>
          <w:color w:val="auto"/>
          <w:lang w:eastAsia="zh-CN"/>
        </w:rPr>
      </w:pPr>
      <w:r>
        <w:rPr>
          <w:rFonts w:hint="eastAsia"/>
          <w:color w:val="auto"/>
          <w:lang w:eastAsia="zh-CN"/>
        </w:rPr>
        <w:t>本项目所产生的尾矿浓缩脱水后运送至砖厂制砖（已签订合同），本项目不设尾矿库。</w:t>
      </w:r>
    </w:p>
    <w:p w14:paraId="3E0D5739">
      <w:pPr>
        <w:pStyle w:val="4"/>
        <w:bidi w:val="0"/>
        <w:rPr>
          <w:rFonts w:hint="default"/>
          <w:color w:val="auto"/>
          <w:lang w:val="en-US" w:eastAsia="zh-CN"/>
        </w:rPr>
      </w:pPr>
      <w:bookmarkStart w:id="91" w:name="_Toc31136"/>
      <w:r>
        <w:rPr>
          <w:rFonts w:hint="eastAsia"/>
          <w:color w:val="auto"/>
          <w:lang w:val="en-US" w:eastAsia="zh-CN"/>
        </w:rPr>
        <w:t>2.5.3 主要设备</w:t>
      </w:r>
      <w:bookmarkEnd w:id="91"/>
    </w:p>
    <w:p w14:paraId="05902C5C">
      <w:pPr>
        <w:pStyle w:val="18"/>
        <w:bidi w:val="0"/>
        <w:rPr>
          <w:rFonts w:hint="default"/>
          <w:color w:val="auto"/>
          <w:lang w:val="en-US" w:eastAsia="zh-CN"/>
        </w:rPr>
      </w:pPr>
      <w:r>
        <w:rPr>
          <w:rFonts w:hint="eastAsia"/>
          <w:color w:val="auto"/>
          <w:lang w:val="en-US" w:eastAsia="zh-CN"/>
        </w:rPr>
        <w:t>表2.5-1  主要设备表</w:t>
      </w:r>
    </w:p>
    <w:tbl>
      <w:tblPr>
        <w:tblStyle w:val="15"/>
        <w:tblW w:w="45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11"/>
        <w:gridCol w:w="2987"/>
        <w:gridCol w:w="3061"/>
        <w:gridCol w:w="1743"/>
      </w:tblGrid>
      <w:tr w14:paraId="67121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blHeader/>
          <w:jc w:val="center"/>
        </w:trPr>
        <w:tc>
          <w:tcPr>
            <w:tcW w:w="418" w:type="pct"/>
            <w:shd w:val="clear" w:color="auto" w:fill="auto"/>
            <w:vAlign w:val="center"/>
          </w:tcPr>
          <w:p w14:paraId="53CEC6D3">
            <w:pPr>
              <w:pStyle w:val="19"/>
              <w:bidi w:val="0"/>
              <w:rPr>
                <w:rFonts w:hint="eastAsia"/>
                <w:color w:val="auto"/>
              </w:rPr>
            </w:pPr>
            <w:bookmarkStart w:id="92" w:name="_Hlk191196412"/>
            <w:r>
              <w:rPr>
                <w:rFonts w:hint="eastAsia"/>
                <w:color w:val="auto"/>
              </w:rPr>
              <w:t>序号</w:t>
            </w:r>
          </w:p>
        </w:tc>
        <w:tc>
          <w:tcPr>
            <w:tcW w:w="1757" w:type="pct"/>
            <w:shd w:val="clear" w:color="auto" w:fill="auto"/>
            <w:vAlign w:val="center"/>
          </w:tcPr>
          <w:p w14:paraId="3EAE5C14">
            <w:pPr>
              <w:pStyle w:val="19"/>
              <w:bidi w:val="0"/>
              <w:rPr>
                <w:rFonts w:hint="eastAsia"/>
                <w:color w:val="auto"/>
              </w:rPr>
            </w:pPr>
            <w:r>
              <w:rPr>
                <w:rFonts w:hint="eastAsia"/>
                <w:color w:val="auto"/>
              </w:rPr>
              <w:t>设备名称</w:t>
            </w:r>
          </w:p>
        </w:tc>
        <w:tc>
          <w:tcPr>
            <w:tcW w:w="1800" w:type="pct"/>
            <w:shd w:val="clear" w:color="auto" w:fill="auto"/>
            <w:vAlign w:val="center"/>
          </w:tcPr>
          <w:p w14:paraId="420F336C">
            <w:pPr>
              <w:pStyle w:val="19"/>
              <w:bidi w:val="0"/>
              <w:rPr>
                <w:rFonts w:hint="eastAsia"/>
                <w:color w:val="auto"/>
              </w:rPr>
            </w:pPr>
            <w:r>
              <w:rPr>
                <w:rFonts w:hint="eastAsia"/>
                <w:color w:val="auto"/>
              </w:rPr>
              <w:t>型号/参数</w:t>
            </w:r>
          </w:p>
        </w:tc>
        <w:tc>
          <w:tcPr>
            <w:tcW w:w="1025" w:type="pct"/>
            <w:shd w:val="clear" w:color="auto" w:fill="auto"/>
            <w:vAlign w:val="center"/>
          </w:tcPr>
          <w:p w14:paraId="5C348D00">
            <w:pPr>
              <w:pStyle w:val="19"/>
              <w:bidi w:val="0"/>
              <w:rPr>
                <w:rFonts w:hint="eastAsia"/>
                <w:color w:val="auto"/>
              </w:rPr>
            </w:pPr>
            <w:r>
              <w:rPr>
                <w:rFonts w:hint="eastAsia"/>
                <w:color w:val="auto"/>
              </w:rPr>
              <w:t>数量</w:t>
            </w:r>
          </w:p>
        </w:tc>
      </w:tr>
      <w:tr w14:paraId="50330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0" w:hRule="atLeast"/>
          <w:tblHeader/>
          <w:jc w:val="center"/>
        </w:trPr>
        <w:tc>
          <w:tcPr>
            <w:tcW w:w="5000" w:type="pct"/>
            <w:gridSpan w:val="4"/>
            <w:shd w:val="clear" w:color="auto" w:fill="auto"/>
            <w:vAlign w:val="center"/>
          </w:tcPr>
          <w:p w14:paraId="3D5DBD46">
            <w:pPr>
              <w:pStyle w:val="19"/>
              <w:bidi w:val="0"/>
              <w:rPr>
                <w:rFonts w:hint="eastAsia"/>
                <w:color w:val="auto"/>
              </w:rPr>
            </w:pPr>
            <w:r>
              <w:rPr>
                <w:rFonts w:hint="eastAsia"/>
                <w:color w:val="auto"/>
              </w:rPr>
              <w:t>选钛车间主要设备</w:t>
            </w:r>
          </w:p>
        </w:tc>
      </w:tr>
      <w:tr w14:paraId="41639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0" w:hRule="atLeast"/>
          <w:tblHeader/>
          <w:jc w:val="center"/>
        </w:trPr>
        <w:tc>
          <w:tcPr>
            <w:tcW w:w="418" w:type="pct"/>
            <w:shd w:val="clear" w:color="auto" w:fill="auto"/>
            <w:vAlign w:val="center"/>
          </w:tcPr>
          <w:p w14:paraId="51531514">
            <w:pPr>
              <w:pStyle w:val="19"/>
              <w:bidi w:val="0"/>
              <w:rPr>
                <w:rFonts w:hint="eastAsia"/>
                <w:color w:val="auto"/>
              </w:rPr>
            </w:pPr>
            <w:r>
              <w:rPr>
                <w:rFonts w:hint="eastAsia"/>
                <w:color w:val="auto"/>
              </w:rPr>
              <w:t>1</w:t>
            </w:r>
          </w:p>
        </w:tc>
        <w:tc>
          <w:tcPr>
            <w:tcW w:w="1757" w:type="pct"/>
            <w:shd w:val="clear" w:color="auto" w:fill="auto"/>
            <w:vAlign w:val="center"/>
          </w:tcPr>
          <w:p w14:paraId="7B5C936D">
            <w:pPr>
              <w:pStyle w:val="19"/>
              <w:bidi w:val="0"/>
              <w:rPr>
                <w:rFonts w:hint="eastAsia"/>
                <w:color w:val="auto"/>
              </w:rPr>
            </w:pPr>
            <w:r>
              <w:rPr>
                <w:rFonts w:hint="eastAsia"/>
                <w:color w:val="auto"/>
              </w:rPr>
              <w:t>高频脱水筛</w:t>
            </w:r>
          </w:p>
        </w:tc>
        <w:tc>
          <w:tcPr>
            <w:tcW w:w="1800" w:type="pct"/>
            <w:shd w:val="clear" w:color="auto" w:fill="auto"/>
            <w:vAlign w:val="center"/>
          </w:tcPr>
          <w:p w14:paraId="2990C3C5">
            <w:pPr>
              <w:pStyle w:val="19"/>
              <w:bidi w:val="0"/>
              <w:rPr>
                <w:rFonts w:hint="eastAsia"/>
                <w:color w:val="auto"/>
              </w:rPr>
            </w:pPr>
          </w:p>
        </w:tc>
        <w:tc>
          <w:tcPr>
            <w:tcW w:w="1025" w:type="pct"/>
            <w:shd w:val="clear" w:color="auto" w:fill="auto"/>
            <w:vAlign w:val="center"/>
          </w:tcPr>
          <w:p w14:paraId="31B32A1E">
            <w:pPr>
              <w:pStyle w:val="19"/>
              <w:bidi w:val="0"/>
              <w:rPr>
                <w:rFonts w:hint="eastAsia"/>
                <w:color w:val="auto"/>
              </w:rPr>
            </w:pPr>
            <w:r>
              <w:rPr>
                <w:rFonts w:hint="eastAsia"/>
                <w:color w:val="auto"/>
              </w:rPr>
              <w:t>1台</w:t>
            </w:r>
          </w:p>
        </w:tc>
      </w:tr>
      <w:tr w14:paraId="6D479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418" w:type="pct"/>
            <w:shd w:val="clear" w:color="auto" w:fill="auto"/>
            <w:vAlign w:val="center"/>
          </w:tcPr>
          <w:p w14:paraId="25313677">
            <w:pPr>
              <w:pStyle w:val="19"/>
              <w:bidi w:val="0"/>
              <w:rPr>
                <w:rFonts w:hint="eastAsia"/>
                <w:color w:val="auto"/>
              </w:rPr>
            </w:pPr>
            <w:r>
              <w:rPr>
                <w:rFonts w:hint="eastAsia"/>
                <w:color w:val="auto"/>
              </w:rPr>
              <w:t>2</w:t>
            </w:r>
          </w:p>
        </w:tc>
        <w:tc>
          <w:tcPr>
            <w:tcW w:w="1757" w:type="pct"/>
            <w:shd w:val="clear" w:color="auto" w:fill="auto"/>
            <w:vAlign w:val="center"/>
          </w:tcPr>
          <w:p w14:paraId="6C032A60">
            <w:pPr>
              <w:pStyle w:val="19"/>
              <w:bidi w:val="0"/>
              <w:rPr>
                <w:rFonts w:hint="eastAsia"/>
                <w:color w:val="auto"/>
              </w:rPr>
            </w:pPr>
            <w:r>
              <w:rPr>
                <w:rFonts w:hint="eastAsia"/>
                <w:color w:val="auto"/>
              </w:rPr>
              <w:t>球磨机</w:t>
            </w:r>
          </w:p>
        </w:tc>
        <w:tc>
          <w:tcPr>
            <w:tcW w:w="1800" w:type="pct"/>
            <w:shd w:val="clear" w:color="auto" w:fill="auto"/>
            <w:vAlign w:val="center"/>
          </w:tcPr>
          <w:p w14:paraId="507D9917">
            <w:pPr>
              <w:pStyle w:val="19"/>
              <w:bidi w:val="0"/>
              <w:rPr>
                <w:rFonts w:hint="eastAsia"/>
                <w:color w:val="auto"/>
              </w:rPr>
            </w:pPr>
            <w:r>
              <w:rPr>
                <w:rFonts w:hint="eastAsia"/>
                <w:color w:val="auto"/>
              </w:rPr>
              <w:t>MQG-Φ1200×4500</w:t>
            </w:r>
          </w:p>
        </w:tc>
        <w:tc>
          <w:tcPr>
            <w:tcW w:w="1025" w:type="pct"/>
            <w:shd w:val="clear" w:color="auto" w:fill="auto"/>
            <w:vAlign w:val="center"/>
          </w:tcPr>
          <w:p w14:paraId="7D66D6B3">
            <w:pPr>
              <w:pStyle w:val="19"/>
              <w:bidi w:val="0"/>
              <w:rPr>
                <w:rFonts w:hint="eastAsia"/>
                <w:color w:val="auto"/>
              </w:rPr>
            </w:pPr>
            <w:r>
              <w:rPr>
                <w:rFonts w:hint="eastAsia"/>
                <w:color w:val="auto"/>
              </w:rPr>
              <w:t>1台</w:t>
            </w:r>
          </w:p>
        </w:tc>
      </w:tr>
      <w:tr w14:paraId="084CF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0" w:hRule="atLeast"/>
          <w:tblHeader/>
          <w:jc w:val="center"/>
        </w:trPr>
        <w:tc>
          <w:tcPr>
            <w:tcW w:w="418" w:type="pct"/>
            <w:shd w:val="clear" w:color="auto" w:fill="auto"/>
            <w:vAlign w:val="center"/>
          </w:tcPr>
          <w:p w14:paraId="6FA95E96">
            <w:pPr>
              <w:pStyle w:val="19"/>
              <w:bidi w:val="0"/>
              <w:rPr>
                <w:rFonts w:hint="eastAsia"/>
                <w:color w:val="auto"/>
              </w:rPr>
            </w:pPr>
            <w:r>
              <w:rPr>
                <w:rFonts w:hint="eastAsia"/>
                <w:color w:val="auto"/>
              </w:rPr>
              <w:t>3</w:t>
            </w:r>
          </w:p>
        </w:tc>
        <w:tc>
          <w:tcPr>
            <w:tcW w:w="1757" w:type="pct"/>
            <w:shd w:val="clear" w:color="auto" w:fill="auto"/>
            <w:vAlign w:val="center"/>
          </w:tcPr>
          <w:p w14:paraId="4F9E9501">
            <w:pPr>
              <w:pStyle w:val="19"/>
              <w:bidi w:val="0"/>
              <w:rPr>
                <w:rFonts w:hint="eastAsia"/>
                <w:color w:val="auto"/>
              </w:rPr>
            </w:pPr>
            <w:r>
              <w:rPr>
                <w:rFonts w:hint="eastAsia"/>
                <w:color w:val="auto"/>
              </w:rPr>
              <w:t>球磨机</w:t>
            </w:r>
          </w:p>
        </w:tc>
        <w:tc>
          <w:tcPr>
            <w:tcW w:w="1800" w:type="pct"/>
            <w:shd w:val="clear" w:color="auto" w:fill="auto"/>
            <w:vAlign w:val="center"/>
          </w:tcPr>
          <w:p w14:paraId="11C73297">
            <w:pPr>
              <w:pStyle w:val="19"/>
              <w:bidi w:val="0"/>
              <w:rPr>
                <w:rFonts w:hint="eastAsia"/>
                <w:color w:val="auto"/>
              </w:rPr>
            </w:pPr>
            <w:r>
              <w:rPr>
                <w:rFonts w:hint="eastAsia"/>
                <w:color w:val="auto"/>
              </w:rPr>
              <w:t>MQY-Φ1500×4500</w:t>
            </w:r>
          </w:p>
        </w:tc>
        <w:tc>
          <w:tcPr>
            <w:tcW w:w="1025" w:type="pct"/>
            <w:shd w:val="clear" w:color="auto" w:fill="auto"/>
            <w:vAlign w:val="center"/>
          </w:tcPr>
          <w:p w14:paraId="21EC7B90">
            <w:pPr>
              <w:pStyle w:val="19"/>
              <w:bidi w:val="0"/>
              <w:rPr>
                <w:rFonts w:hint="eastAsia"/>
                <w:color w:val="auto"/>
              </w:rPr>
            </w:pPr>
            <w:r>
              <w:rPr>
                <w:rFonts w:hint="eastAsia"/>
                <w:color w:val="auto"/>
              </w:rPr>
              <w:t>1台</w:t>
            </w:r>
          </w:p>
        </w:tc>
      </w:tr>
      <w:tr w14:paraId="36B9A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0" w:hRule="atLeast"/>
          <w:tblHeader/>
          <w:jc w:val="center"/>
        </w:trPr>
        <w:tc>
          <w:tcPr>
            <w:tcW w:w="418" w:type="pct"/>
            <w:shd w:val="clear" w:color="auto" w:fill="auto"/>
            <w:vAlign w:val="center"/>
          </w:tcPr>
          <w:p w14:paraId="0C0630A9">
            <w:pPr>
              <w:pStyle w:val="19"/>
              <w:bidi w:val="0"/>
              <w:rPr>
                <w:rFonts w:hint="eastAsia"/>
                <w:color w:val="auto"/>
              </w:rPr>
            </w:pPr>
            <w:r>
              <w:rPr>
                <w:rFonts w:hint="eastAsia"/>
                <w:color w:val="auto"/>
              </w:rPr>
              <w:t>4</w:t>
            </w:r>
          </w:p>
        </w:tc>
        <w:tc>
          <w:tcPr>
            <w:tcW w:w="1757" w:type="pct"/>
            <w:shd w:val="clear" w:color="auto" w:fill="auto"/>
            <w:vAlign w:val="center"/>
          </w:tcPr>
          <w:p w14:paraId="648583C2">
            <w:pPr>
              <w:pStyle w:val="19"/>
              <w:bidi w:val="0"/>
              <w:rPr>
                <w:rFonts w:hint="eastAsia"/>
                <w:color w:val="auto"/>
              </w:rPr>
            </w:pPr>
            <w:r>
              <w:rPr>
                <w:rFonts w:hint="eastAsia"/>
                <w:color w:val="auto"/>
              </w:rPr>
              <w:t>圆筒振动筛</w:t>
            </w:r>
          </w:p>
        </w:tc>
        <w:tc>
          <w:tcPr>
            <w:tcW w:w="1800" w:type="pct"/>
            <w:shd w:val="clear" w:color="auto" w:fill="auto"/>
            <w:vAlign w:val="center"/>
          </w:tcPr>
          <w:p w14:paraId="711C8470">
            <w:pPr>
              <w:pStyle w:val="19"/>
              <w:bidi w:val="0"/>
              <w:rPr>
                <w:rFonts w:hint="eastAsia"/>
                <w:color w:val="auto"/>
              </w:rPr>
            </w:pPr>
            <w:r>
              <w:rPr>
                <w:rFonts w:hint="eastAsia"/>
                <w:color w:val="auto"/>
              </w:rPr>
              <w:t>2200×6000</w:t>
            </w:r>
          </w:p>
        </w:tc>
        <w:tc>
          <w:tcPr>
            <w:tcW w:w="1025" w:type="pct"/>
            <w:shd w:val="clear" w:color="auto" w:fill="auto"/>
            <w:vAlign w:val="center"/>
          </w:tcPr>
          <w:p w14:paraId="6E11AA28">
            <w:pPr>
              <w:pStyle w:val="19"/>
              <w:bidi w:val="0"/>
              <w:rPr>
                <w:rFonts w:hint="eastAsia"/>
                <w:color w:val="auto"/>
              </w:rPr>
            </w:pPr>
            <w:r>
              <w:rPr>
                <w:rFonts w:hint="eastAsia"/>
                <w:color w:val="auto"/>
              </w:rPr>
              <w:t>2台</w:t>
            </w:r>
          </w:p>
        </w:tc>
      </w:tr>
      <w:tr w14:paraId="44420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418" w:type="pct"/>
            <w:shd w:val="clear" w:color="auto" w:fill="auto"/>
            <w:vAlign w:val="center"/>
          </w:tcPr>
          <w:p w14:paraId="0B91A72C">
            <w:pPr>
              <w:pStyle w:val="19"/>
              <w:bidi w:val="0"/>
              <w:rPr>
                <w:rFonts w:hint="eastAsia"/>
                <w:color w:val="auto"/>
              </w:rPr>
            </w:pPr>
            <w:r>
              <w:rPr>
                <w:rFonts w:hint="eastAsia"/>
                <w:color w:val="auto"/>
              </w:rPr>
              <w:t>5</w:t>
            </w:r>
          </w:p>
        </w:tc>
        <w:tc>
          <w:tcPr>
            <w:tcW w:w="1757" w:type="pct"/>
            <w:shd w:val="clear" w:color="auto" w:fill="auto"/>
            <w:vAlign w:val="center"/>
          </w:tcPr>
          <w:p w14:paraId="6DC7031F">
            <w:pPr>
              <w:pStyle w:val="19"/>
              <w:bidi w:val="0"/>
              <w:rPr>
                <w:rFonts w:hint="eastAsia"/>
                <w:color w:val="auto"/>
              </w:rPr>
            </w:pPr>
            <w:r>
              <w:rPr>
                <w:rFonts w:hint="eastAsia"/>
                <w:color w:val="auto"/>
              </w:rPr>
              <w:t>槽式洗矿机</w:t>
            </w:r>
          </w:p>
        </w:tc>
        <w:tc>
          <w:tcPr>
            <w:tcW w:w="1800" w:type="pct"/>
            <w:shd w:val="clear" w:color="auto" w:fill="auto"/>
            <w:vAlign w:val="center"/>
          </w:tcPr>
          <w:p w14:paraId="06CFA8B0">
            <w:pPr>
              <w:pStyle w:val="19"/>
              <w:bidi w:val="0"/>
              <w:rPr>
                <w:rFonts w:hint="eastAsia"/>
                <w:color w:val="auto"/>
              </w:rPr>
            </w:pPr>
          </w:p>
        </w:tc>
        <w:tc>
          <w:tcPr>
            <w:tcW w:w="1025" w:type="pct"/>
            <w:shd w:val="clear" w:color="auto" w:fill="auto"/>
            <w:vAlign w:val="center"/>
          </w:tcPr>
          <w:p w14:paraId="6787151E">
            <w:pPr>
              <w:pStyle w:val="19"/>
              <w:bidi w:val="0"/>
              <w:rPr>
                <w:rFonts w:hint="eastAsia"/>
                <w:color w:val="auto"/>
              </w:rPr>
            </w:pPr>
            <w:r>
              <w:rPr>
                <w:rFonts w:hint="eastAsia"/>
                <w:color w:val="auto"/>
              </w:rPr>
              <w:t>1台</w:t>
            </w:r>
          </w:p>
        </w:tc>
      </w:tr>
      <w:tr w14:paraId="618DC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418" w:type="pct"/>
            <w:shd w:val="clear" w:color="auto" w:fill="auto"/>
            <w:vAlign w:val="center"/>
          </w:tcPr>
          <w:p w14:paraId="35219649">
            <w:pPr>
              <w:pStyle w:val="19"/>
              <w:bidi w:val="0"/>
              <w:rPr>
                <w:rFonts w:hint="eastAsia"/>
                <w:color w:val="auto"/>
              </w:rPr>
            </w:pPr>
            <w:r>
              <w:rPr>
                <w:rFonts w:hint="eastAsia"/>
                <w:color w:val="auto"/>
              </w:rPr>
              <w:t>6</w:t>
            </w:r>
          </w:p>
        </w:tc>
        <w:tc>
          <w:tcPr>
            <w:tcW w:w="1757" w:type="pct"/>
            <w:shd w:val="clear" w:color="auto" w:fill="auto"/>
            <w:vAlign w:val="center"/>
          </w:tcPr>
          <w:p w14:paraId="648F43A3">
            <w:pPr>
              <w:pStyle w:val="19"/>
              <w:bidi w:val="0"/>
              <w:rPr>
                <w:rFonts w:hint="eastAsia"/>
                <w:color w:val="auto"/>
              </w:rPr>
            </w:pPr>
            <w:r>
              <w:rPr>
                <w:rFonts w:hint="eastAsia"/>
                <w:color w:val="auto"/>
              </w:rPr>
              <w:t>滚筒磁选机</w:t>
            </w:r>
          </w:p>
        </w:tc>
        <w:tc>
          <w:tcPr>
            <w:tcW w:w="1800" w:type="pct"/>
            <w:shd w:val="clear" w:color="auto" w:fill="auto"/>
            <w:vAlign w:val="center"/>
          </w:tcPr>
          <w:p w14:paraId="6722AB3D">
            <w:pPr>
              <w:pStyle w:val="19"/>
              <w:bidi w:val="0"/>
              <w:rPr>
                <w:rFonts w:hint="eastAsia"/>
                <w:color w:val="auto"/>
              </w:rPr>
            </w:pPr>
            <w:r>
              <w:rPr>
                <w:rFonts w:hint="eastAsia"/>
                <w:color w:val="auto"/>
              </w:rPr>
              <w:t>CT(GNBS)(900*3000)</w:t>
            </w:r>
          </w:p>
        </w:tc>
        <w:tc>
          <w:tcPr>
            <w:tcW w:w="1025" w:type="pct"/>
            <w:shd w:val="clear" w:color="auto" w:fill="auto"/>
            <w:vAlign w:val="center"/>
          </w:tcPr>
          <w:p w14:paraId="381039FF">
            <w:pPr>
              <w:pStyle w:val="19"/>
              <w:bidi w:val="0"/>
              <w:rPr>
                <w:rFonts w:hint="eastAsia"/>
                <w:color w:val="auto"/>
              </w:rPr>
            </w:pPr>
            <w:r>
              <w:rPr>
                <w:rFonts w:hint="eastAsia"/>
                <w:color w:val="auto"/>
              </w:rPr>
              <w:t>1台</w:t>
            </w:r>
          </w:p>
        </w:tc>
      </w:tr>
      <w:tr w14:paraId="5E545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0" w:hRule="atLeast"/>
          <w:tblHeader/>
          <w:jc w:val="center"/>
        </w:trPr>
        <w:tc>
          <w:tcPr>
            <w:tcW w:w="418" w:type="pct"/>
            <w:shd w:val="clear" w:color="auto" w:fill="auto"/>
            <w:vAlign w:val="center"/>
          </w:tcPr>
          <w:p w14:paraId="17566590">
            <w:pPr>
              <w:pStyle w:val="19"/>
              <w:bidi w:val="0"/>
              <w:rPr>
                <w:rFonts w:hint="eastAsia"/>
                <w:color w:val="auto"/>
              </w:rPr>
            </w:pPr>
            <w:r>
              <w:rPr>
                <w:rFonts w:hint="eastAsia"/>
                <w:color w:val="auto"/>
              </w:rPr>
              <w:t>7</w:t>
            </w:r>
          </w:p>
        </w:tc>
        <w:tc>
          <w:tcPr>
            <w:tcW w:w="1757" w:type="pct"/>
            <w:shd w:val="clear" w:color="auto" w:fill="auto"/>
            <w:vAlign w:val="center"/>
          </w:tcPr>
          <w:p w14:paraId="68830B12">
            <w:pPr>
              <w:pStyle w:val="19"/>
              <w:bidi w:val="0"/>
              <w:rPr>
                <w:rFonts w:hint="eastAsia"/>
                <w:color w:val="auto"/>
              </w:rPr>
            </w:pPr>
            <w:r>
              <w:rPr>
                <w:rFonts w:hint="eastAsia"/>
                <w:color w:val="auto"/>
              </w:rPr>
              <w:t>高梯度磁选机</w:t>
            </w:r>
          </w:p>
        </w:tc>
        <w:tc>
          <w:tcPr>
            <w:tcW w:w="1800" w:type="pct"/>
            <w:shd w:val="clear" w:color="auto" w:fill="auto"/>
            <w:vAlign w:val="center"/>
          </w:tcPr>
          <w:p w14:paraId="064C8F81">
            <w:pPr>
              <w:pStyle w:val="19"/>
              <w:bidi w:val="0"/>
              <w:rPr>
                <w:rFonts w:hint="eastAsia"/>
                <w:color w:val="auto"/>
              </w:rPr>
            </w:pPr>
            <w:r>
              <w:rPr>
                <w:rFonts w:hint="eastAsia"/>
                <w:color w:val="auto"/>
              </w:rPr>
              <w:t>SLON-130</w:t>
            </w:r>
          </w:p>
        </w:tc>
        <w:tc>
          <w:tcPr>
            <w:tcW w:w="1025" w:type="pct"/>
            <w:shd w:val="clear" w:color="auto" w:fill="auto"/>
            <w:vAlign w:val="center"/>
          </w:tcPr>
          <w:p w14:paraId="4229F2CC">
            <w:pPr>
              <w:pStyle w:val="19"/>
              <w:bidi w:val="0"/>
              <w:rPr>
                <w:rFonts w:hint="eastAsia"/>
                <w:color w:val="auto"/>
              </w:rPr>
            </w:pPr>
            <w:r>
              <w:rPr>
                <w:rFonts w:hint="eastAsia"/>
                <w:color w:val="auto"/>
              </w:rPr>
              <w:t>2组</w:t>
            </w:r>
          </w:p>
        </w:tc>
      </w:tr>
      <w:tr w14:paraId="5718B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418" w:type="pct"/>
            <w:shd w:val="clear" w:color="auto" w:fill="auto"/>
            <w:vAlign w:val="center"/>
          </w:tcPr>
          <w:p w14:paraId="64E7F7A5">
            <w:pPr>
              <w:pStyle w:val="19"/>
              <w:bidi w:val="0"/>
              <w:rPr>
                <w:rFonts w:hint="eastAsia"/>
                <w:color w:val="auto"/>
              </w:rPr>
            </w:pPr>
            <w:r>
              <w:rPr>
                <w:rFonts w:hint="eastAsia"/>
                <w:color w:val="auto"/>
              </w:rPr>
              <w:t>8</w:t>
            </w:r>
          </w:p>
        </w:tc>
        <w:tc>
          <w:tcPr>
            <w:tcW w:w="1757" w:type="pct"/>
            <w:shd w:val="clear" w:color="auto" w:fill="auto"/>
            <w:vAlign w:val="center"/>
          </w:tcPr>
          <w:p w14:paraId="3214652F">
            <w:pPr>
              <w:pStyle w:val="19"/>
              <w:bidi w:val="0"/>
              <w:rPr>
                <w:rFonts w:hint="eastAsia"/>
                <w:color w:val="auto"/>
              </w:rPr>
            </w:pPr>
            <w:r>
              <w:rPr>
                <w:rFonts w:hint="eastAsia"/>
                <w:color w:val="auto"/>
              </w:rPr>
              <w:t>螺旋溜槽</w:t>
            </w:r>
          </w:p>
        </w:tc>
        <w:tc>
          <w:tcPr>
            <w:tcW w:w="1800" w:type="pct"/>
            <w:shd w:val="clear" w:color="auto" w:fill="auto"/>
            <w:vAlign w:val="center"/>
          </w:tcPr>
          <w:p w14:paraId="537A99A9">
            <w:pPr>
              <w:pStyle w:val="19"/>
              <w:bidi w:val="0"/>
              <w:rPr>
                <w:rFonts w:hint="eastAsia"/>
                <w:color w:val="auto"/>
              </w:rPr>
            </w:pPr>
            <w:r>
              <w:rPr>
                <w:rFonts w:hint="eastAsia"/>
                <w:color w:val="auto"/>
              </w:rPr>
              <w:t>5LL-1200</w:t>
            </w:r>
          </w:p>
        </w:tc>
        <w:tc>
          <w:tcPr>
            <w:tcW w:w="1025" w:type="pct"/>
            <w:shd w:val="clear" w:color="auto" w:fill="auto"/>
            <w:vAlign w:val="center"/>
          </w:tcPr>
          <w:p w14:paraId="2165BD37">
            <w:pPr>
              <w:pStyle w:val="19"/>
              <w:bidi w:val="0"/>
              <w:rPr>
                <w:rFonts w:hint="eastAsia"/>
                <w:color w:val="auto"/>
              </w:rPr>
            </w:pPr>
            <w:r>
              <w:rPr>
                <w:rFonts w:hint="eastAsia"/>
                <w:color w:val="auto"/>
              </w:rPr>
              <w:t>6组</w:t>
            </w:r>
          </w:p>
        </w:tc>
      </w:tr>
      <w:tr w14:paraId="1F51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418" w:type="pct"/>
            <w:shd w:val="clear" w:color="auto" w:fill="auto"/>
            <w:vAlign w:val="center"/>
          </w:tcPr>
          <w:p w14:paraId="6976A34E">
            <w:pPr>
              <w:pStyle w:val="19"/>
              <w:bidi w:val="0"/>
              <w:rPr>
                <w:rFonts w:hint="eastAsia"/>
                <w:color w:val="auto"/>
              </w:rPr>
            </w:pPr>
            <w:r>
              <w:rPr>
                <w:rFonts w:hint="eastAsia"/>
                <w:color w:val="auto"/>
              </w:rPr>
              <w:t>9</w:t>
            </w:r>
          </w:p>
        </w:tc>
        <w:tc>
          <w:tcPr>
            <w:tcW w:w="1757" w:type="pct"/>
            <w:shd w:val="clear" w:color="auto" w:fill="auto"/>
            <w:vAlign w:val="center"/>
          </w:tcPr>
          <w:p w14:paraId="0763E931">
            <w:pPr>
              <w:pStyle w:val="19"/>
              <w:bidi w:val="0"/>
              <w:rPr>
                <w:rFonts w:hint="eastAsia"/>
                <w:color w:val="auto"/>
              </w:rPr>
            </w:pPr>
            <w:r>
              <w:rPr>
                <w:rFonts w:hint="eastAsia"/>
                <w:color w:val="auto"/>
              </w:rPr>
              <w:t>摇床</w:t>
            </w:r>
          </w:p>
        </w:tc>
        <w:tc>
          <w:tcPr>
            <w:tcW w:w="1800" w:type="pct"/>
            <w:shd w:val="clear" w:color="auto" w:fill="auto"/>
            <w:vAlign w:val="center"/>
          </w:tcPr>
          <w:p w14:paraId="1EF5A7F6">
            <w:pPr>
              <w:pStyle w:val="19"/>
              <w:bidi w:val="0"/>
              <w:rPr>
                <w:rFonts w:hint="eastAsia"/>
                <w:color w:val="auto"/>
              </w:rPr>
            </w:pPr>
            <w:r>
              <w:rPr>
                <w:rFonts w:hint="eastAsia"/>
                <w:color w:val="auto"/>
              </w:rPr>
              <w:t>6-S</w:t>
            </w:r>
          </w:p>
        </w:tc>
        <w:tc>
          <w:tcPr>
            <w:tcW w:w="1025" w:type="pct"/>
            <w:shd w:val="clear" w:color="auto" w:fill="auto"/>
            <w:vAlign w:val="center"/>
          </w:tcPr>
          <w:p w14:paraId="513953D2">
            <w:pPr>
              <w:pStyle w:val="19"/>
              <w:bidi w:val="0"/>
              <w:rPr>
                <w:rFonts w:hint="eastAsia"/>
                <w:color w:val="auto"/>
              </w:rPr>
            </w:pPr>
            <w:r>
              <w:rPr>
                <w:rFonts w:hint="eastAsia"/>
                <w:color w:val="auto"/>
              </w:rPr>
              <w:t>6台组</w:t>
            </w:r>
          </w:p>
        </w:tc>
      </w:tr>
      <w:tr w14:paraId="2C319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418" w:type="pct"/>
            <w:shd w:val="clear" w:color="auto" w:fill="auto"/>
            <w:vAlign w:val="center"/>
          </w:tcPr>
          <w:p w14:paraId="131F5E7C">
            <w:pPr>
              <w:pStyle w:val="19"/>
              <w:bidi w:val="0"/>
              <w:rPr>
                <w:rFonts w:hint="eastAsia"/>
                <w:color w:val="auto"/>
              </w:rPr>
            </w:pPr>
            <w:r>
              <w:rPr>
                <w:rFonts w:hint="eastAsia"/>
                <w:color w:val="auto"/>
              </w:rPr>
              <w:t>10</w:t>
            </w:r>
          </w:p>
        </w:tc>
        <w:tc>
          <w:tcPr>
            <w:tcW w:w="1757" w:type="pct"/>
            <w:shd w:val="clear" w:color="auto" w:fill="auto"/>
            <w:vAlign w:val="center"/>
          </w:tcPr>
          <w:p w14:paraId="357867B5">
            <w:pPr>
              <w:pStyle w:val="19"/>
              <w:bidi w:val="0"/>
              <w:rPr>
                <w:rFonts w:hint="eastAsia"/>
                <w:color w:val="auto"/>
              </w:rPr>
            </w:pPr>
            <w:r>
              <w:rPr>
                <w:rFonts w:hint="eastAsia"/>
                <w:color w:val="auto"/>
              </w:rPr>
              <w:t>平流式反冲沉淀罐浓缩桶</w:t>
            </w:r>
          </w:p>
        </w:tc>
        <w:tc>
          <w:tcPr>
            <w:tcW w:w="1800" w:type="pct"/>
            <w:shd w:val="clear" w:color="auto" w:fill="auto"/>
            <w:vAlign w:val="center"/>
          </w:tcPr>
          <w:p w14:paraId="672F481E">
            <w:pPr>
              <w:pStyle w:val="19"/>
              <w:bidi w:val="0"/>
              <w:rPr>
                <w:rFonts w:hint="eastAsia"/>
                <w:color w:val="auto"/>
              </w:rPr>
            </w:pPr>
            <w:r>
              <w:rPr>
                <w:rFonts w:hint="eastAsia"/>
                <w:color w:val="auto"/>
              </w:rPr>
              <w:t>500立方米</w:t>
            </w:r>
          </w:p>
        </w:tc>
        <w:tc>
          <w:tcPr>
            <w:tcW w:w="1025" w:type="pct"/>
            <w:shd w:val="clear" w:color="auto" w:fill="auto"/>
            <w:vAlign w:val="center"/>
          </w:tcPr>
          <w:p w14:paraId="1BEE9E09">
            <w:pPr>
              <w:pStyle w:val="19"/>
              <w:bidi w:val="0"/>
              <w:rPr>
                <w:rFonts w:hint="eastAsia"/>
                <w:color w:val="auto"/>
              </w:rPr>
            </w:pPr>
            <w:r>
              <w:rPr>
                <w:rFonts w:hint="eastAsia"/>
                <w:color w:val="auto"/>
              </w:rPr>
              <w:t>61台</w:t>
            </w:r>
          </w:p>
        </w:tc>
      </w:tr>
      <w:tr w14:paraId="36EF1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418" w:type="pct"/>
            <w:shd w:val="clear" w:color="auto" w:fill="auto"/>
            <w:vAlign w:val="center"/>
          </w:tcPr>
          <w:p w14:paraId="67DA8FB0">
            <w:pPr>
              <w:pStyle w:val="19"/>
              <w:bidi w:val="0"/>
              <w:rPr>
                <w:rFonts w:hint="eastAsia"/>
                <w:color w:val="auto"/>
              </w:rPr>
            </w:pPr>
            <w:r>
              <w:rPr>
                <w:rFonts w:hint="eastAsia"/>
                <w:color w:val="auto"/>
              </w:rPr>
              <w:t>11</w:t>
            </w:r>
          </w:p>
        </w:tc>
        <w:tc>
          <w:tcPr>
            <w:tcW w:w="1757" w:type="pct"/>
            <w:shd w:val="clear" w:color="auto" w:fill="auto"/>
            <w:vAlign w:val="center"/>
          </w:tcPr>
          <w:p w14:paraId="46C74DAC">
            <w:pPr>
              <w:pStyle w:val="19"/>
              <w:bidi w:val="0"/>
              <w:rPr>
                <w:rFonts w:hint="eastAsia"/>
                <w:color w:val="auto"/>
              </w:rPr>
            </w:pPr>
            <w:r>
              <w:rPr>
                <w:rFonts w:hint="eastAsia"/>
                <w:color w:val="auto"/>
              </w:rPr>
              <w:t>带式板框压滤机</w:t>
            </w:r>
          </w:p>
        </w:tc>
        <w:tc>
          <w:tcPr>
            <w:tcW w:w="1800" w:type="pct"/>
            <w:shd w:val="clear" w:color="auto" w:fill="auto"/>
            <w:vAlign w:val="center"/>
          </w:tcPr>
          <w:p w14:paraId="66FB8730">
            <w:pPr>
              <w:pStyle w:val="19"/>
              <w:bidi w:val="0"/>
              <w:rPr>
                <w:rFonts w:hint="eastAsia"/>
                <w:color w:val="auto"/>
              </w:rPr>
            </w:pPr>
            <w:r>
              <w:rPr>
                <w:rFonts w:hint="eastAsia"/>
                <w:color w:val="auto"/>
              </w:rPr>
              <w:t>DYQ750P500平方米</w:t>
            </w:r>
          </w:p>
        </w:tc>
        <w:tc>
          <w:tcPr>
            <w:tcW w:w="1025" w:type="pct"/>
            <w:shd w:val="clear" w:color="auto" w:fill="auto"/>
            <w:vAlign w:val="center"/>
          </w:tcPr>
          <w:p w14:paraId="5A7E361F">
            <w:pPr>
              <w:pStyle w:val="19"/>
              <w:bidi w:val="0"/>
              <w:rPr>
                <w:rFonts w:hint="eastAsia"/>
                <w:color w:val="auto"/>
              </w:rPr>
            </w:pPr>
            <w:r>
              <w:rPr>
                <w:rFonts w:hint="eastAsia"/>
                <w:color w:val="auto"/>
              </w:rPr>
              <w:t>31台</w:t>
            </w:r>
          </w:p>
        </w:tc>
      </w:tr>
      <w:tr w14:paraId="2999A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0" w:hRule="atLeast"/>
          <w:tblHeader/>
          <w:jc w:val="center"/>
        </w:trPr>
        <w:tc>
          <w:tcPr>
            <w:tcW w:w="418" w:type="pct"/>
            <w:shd w:val="clear" w:color="auto" w:fill="auto"/>
            <w:vAlign w:val="center"/>
          </w:tcPr>
          <w:p w14:paraId="04B1E586">
            <w:pPr>
              <w:pStyle w:val="19"/>
              <w:bidi w:val="0"/>
              <w:rPr>
                <w:rFonts w:hint="eastAsia"/>
                <w:color w:val="auto"/>
              </w:rPr>
            </w:pPr>
            <w:r>
              <w:rPr>
                <w:rFonts w:hint="eastAsia"/>
                <w:color w:val="auto"/>
              </w:rPr>
              <w:t>12</w:t>
            </w:r>
          </w:p>
        </w:tc>
        <w:tc>
          <w:tcPr>
            <w:tcW w:w="1757" w:type="pct"/>
            <w:shd w:val="clear" w:color="auto" w:fill="auto"/>
            <w:vAlign w:val="center"/>
          </w:tcPr>
          <w:p w14:paraId="37BEE693">
            <w:pPr>
              <w:pStyle w:val="19"/>
              <w:bidi w:val="0"/>
              <w:rPr>
                <w:rFonts w:hint="eastAsia"/>
                <w:color w:val="auto"/>
              </w:rPr>
            </w:pPr>
            <w:r>
              <w:rPr>
                <w:rFonts w:hint="eastAsia"/>
                <w:color w:val="auto"/>
              </w:rPr>
              <w:t>抽水泵</w:t>
            </w:r>
          </w:p>
        </w:tc>
        <w:tc>
          <w:tcPr>
            <w:tcW w:w="1800" w:type="pct"/>
            <w:shd w:val="clear" w:color="auto" w:fill="auto"/>
            <w:vAlign w:val="center"/>
          </w:tcPr>
          <w:p w14:paraId="31A06547">
            <w:pPr>
              <w:pStyle w:val="19"/>
              <w:bidi w:val="0"/>
              <w:rPr>
                <w:rFonts w:hint="eastAsia"/>
                <w:color w:val="auto"/>
              </w:rPr>
            </w:pPr>
            <w:r>
              <w:rPr>
                <w:rFonts w:hint="eastAsia"/>
                <w:color w:val="auto"/>
              </w:rPr>
              <w:t>TSW150-160-22</w:t>
            </w:r>
          </w:p>
        </w:tc>
        <w:tc>
          <w:tcPr>
            <w:tcW w:w="1025" w:type="pct"/>
            <w:shd w:val="clear" w:color="auto" w:fill="auto"/>
            <w:vAlign w:val="center"/>
          </w:tcPr>
          <w:p w14:paraId="715A2065">
            <w:pPr>
              <w:pStyle w:val="19"/>
              <w:bidi w:val="0"/>
              <w:rPr>
                <w:rFonts w:hint="eastAsia"/>
                <w:color w:val="auto"/>
              </w:rPr>
            </w:pPr>
            <w:r>
              <w:rPr>
                <w:rFonts w:hint="eastAsia"/>
                <w:color w:val="auto"/>
              </w:rPr>
              <w:t>1台</w:t>
            </w:r>
          </w:p>
        </w:tc>
      </w:tr>
      <w:tr w14:paraId="7C489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418" w:type="pct"/>
            <w:shd w:val="clear" w:color="auto" w:fill="auto"/>
            <w:vAlign w:val="center"/>
          </w:tcPr>
          <w:p w14:paraId="06AC2CD9">
            <w:pPr>
              <w:pStyle w:val="19"/>
              <w:bidi w:val="0"/>
              <w:rPr>
                <w:rFonts w:hint="eastAsia"/>
                <w:color w:val="auto"/>
              </w:rPr>
            </w:pPr>
            <w:r>
              <w:rPr>
                <w:rFonts w:hint="eastAsia"/>
                <w:color w:val="auto"/>
              </w:rPr>
              <w:t>13</w:t>
            </w:r>
          </w:p>
        </w:tc>
        <w:tc>
          <w:tcPr>
            <w:tcW w:w="1757" w:type="pct"/>
            <w:shd w:val="clear" w:color="auto" w:fill="auto"/>
            <w:vAlign w:val="center"/>
          </w:tcPr>
          <w:p w14:paraId="16412E3E">
            <w:pPr>
              <w:pStyle w:val="19"/>
              <w:bidi w:val="0"/>
              <w:rPr>
                <w:rFonts w:hint="eastAsia"/>
                <w:color w:val="auto"/>
              </w:rPr>
            </w:pPr>
            <w:r>
              <w:rPr>
                <w:rFonts w:hint="eastAsia"/>
                <w:color w:val="auto"/>
              </w:rPr>
              <w:t>砂浆渣浆泵</w:t>
            </w:r>
          </w:p>
        </w:tc>
        <w:tc>
          <w:tcPr>
            <w:tcW w:w="1800" w:type="pct"/>
            <w:shd w:val="clear" w:color="auto" w:fill="auto"/>
            <w:vAlign w:val="center"/>
          </w:tcPr>
          <w:p w14:paraId="5D97B6D8">
            <w:pPr>
              <w:pStyle w:val="19"/>
              <w:bidi w:val="0"/>
              <w:rPr>
                <w:rFonts w:hint="eastAsia"/>
                <w:color w:val="auto"/>
              </w:rPr>
            </w:pPr>
            <w:r>
              <w:rPr>
                <w:rFonts w:hint="eastAsia"/>
                <w:color w:val="auto"/>
              </w:rPr>
              <w:t>80</w:t>
            </w:r>
          </w:p>
        </w:tc>
        <w:tc>
          <w:tcPr>
            <w:tcW w:w="1025" w:type="pct"/>
            <w:shd w:val="clear" w:color="auto" w:fill="auto"/>
            <w:vAlign w:val="center"/>
          </w:tcPr>
          <w:p w14:paraId="204E70C2">
            <w:pPr>
              <w:pStyle w:val="19"/>
              <w:bidi w:val="0"/>
              <w:rPr>
                <w:rFonts w:hint="eastAsia"/>
                <w:color w:val="auto"/>
              </w:rPr>
            </w:pPr>
            <w:r>
              <w:rPr>
                <w:rFonts w:hint="eastAsia"/>
                <w:color w:val="auto"/>
              </w:rPr>
              <w:t>5台</w:t>
            </w:r>
          </w:p>
        </w:tc>
      </w:tr>
      <w:tr w14:paraId="02DA3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0" w:hRule="atLeast"/>
          <w:tblHeader/>
          <w:jc w:val="center"/>
        </w:trPr>
        <w:tc>
          <w:tcPr>
            <w:tcW w:w="418" w:type="pct"/>
            <w:shd w:val="clear" w:color="auto" w:fill="auto"/>
            <w:vAlign w:val="center"/>
          </w:tcPr>
          <w:p w14:paraId="0817A74F">
            <w:pPr>
              <w:pStyle w:val="19"/>
              <w:bidi w:val="0"/>
              <w:rPr>
                <w:rFonts w:hint="eastAsia"/>
                <w:color w:val="auto"/>
              </w:rPr>
            </w:pPr>
            <w:r>
              <w:rPr>
                <w:rFonts w:hint="eastAsia"/>
                <w:color w:val="auto"/>
              </w:rPr>
              <w:t>14</w:t>
            </w:r>
          </w:p>
        </w:tc>
        <w:tc>
          <w:tcPr>
            <w:tcW w:w="1757" w:type="pct"/>
            <w:shd w:val="clear" w:color="auto" w:fill="auto"/>
            <w:vAlign w:val="center"/>
          </w:tcPr>
          <w:p w14:paraId="0E7A3ADF">
            <w:pPr>
              <w:pStyle w:val="19"/>
              <w:bidi w:val="0"/>
              <w:rPr>
                <w:rFonts w:hint="eastAsia"/>
                <w:color w:val="auto"/>
              </w:rPr>
            </w:pPr>
            <w:r>
              <w:rPr>
                <w:rFonts w:hint="eastAsia"/>
                <w:color w:val="auto"/>
              </w:rPr>
              <w:t>回水泵</w:t>
            </w:r>
          </w:p>
        </w:tc>
        <w:tc>
          <w:tcPr>
            <w:tcW w:w="1800" w:type="pct"/>
            <w:shd w:val="clear" w:color="auto" w:fill="auto"/>
            <w:vAlign w:val="center"/>
          </w:tcPr>
          <w:p w14:paraId="02314732">
            <w:pPr>
              <w:pStyle w:val="19"/>
              <w:bidi w:val="0"/>
              <w:rPr>
                <w:rFonts w:hint="eastAsia"/>
                <w:color w:val="auto"/>
              </w:rPr>
            </w:pPr>
            <w:r>
              <w:rPr>
                <w:rFonts w:hint="eastAsia"/>
                <w:color w:val="auto"/>
              </w:rPr>
              <w:t>TSWR-100-100</w:t>
            </w:r>
          </w:p>
        </w:tc>
        <w:tc>
          <w:tcPr>
            <w:tcW w:w="1025" w:type="pct"/>
            <w:shd w:val="clear" w:color="auto" w:fill="auto"/>
            <w:vAlign w:val="center"/>
          </w:tcPr>
          <w:p w14:paraId="3784F5E6">
            <w:pPr>
              <w:pStyle w:val="19"/>
              <w:bidi w:val="0"/>
              <w:rPr>
                <w:rFonts w:hint="eastAsia"/>
                <w:color w:val="auto"/>
              </w:rPr>
            </w:pPr>
            <w:r>
              <w:rPr>
                <w:rFonts w:hint="eastAsia"/>
                <w:color w:val="auto"/>
              </w:rPr>
              <w:t>1台</w:t>
            </w:r>
          </w:p>
        </w:tc>
      </w:tr>
      <w:tr w14:paraId="44575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418" w:type="pct"/>
            <w:shd w:val="clear" w:color="auto" w:fill="auto"/>
            <w:vAlign w:val="center"/>
          </w:tcPr>
          <w:p w14:paraId="031694B0">
            <w:pPr>
              <w:pStyle w:val="19"/>
              <w:bidi w:val="0"/>
              <w:rPr>
                <w:rFonts w:hint="eastAsia"/>
                <w:color w:val="auto"/>
              </w:rPr>
            </w:pPr>
            <w:r>
              <w:rPr>
                <w:rFonts w:hint="eastAsia"/>
                <w:color w:val="auto"/>
              </w:rPr>
              <w:t>15</w:t>
            </w:r>
          </w:p>
        </w:tc>
        <w:tc>
          <w:tcPr>
            <w:tcW w:w="1757" w:type="pct"/>
            <w:shd w:val="clear" w:color="auto" w:fill="auto"/>
            <w:vAlign w:val="center"/>
          </w:tcPr>
          <w:p w14:paraId="1FD32DFA">
            <w:pPr>
              <w:pStyle w:val="19"/>
              <w:bidi w:val="0"/>
              <w:rPr>
                <w:rFonts w:hint="eastAsia"/>
                <w:color w:val="auto"/>
              </w:rPr>
            </w:pPr>
            <w:r>
              <w:rPr>
                <w:rFonts w:hint="eastAsia"/>
                <w:color w:val="auto"/>
              </w:rPr>
              <w:t>地磅</w:t>
            </w:r>
          </w:p>
        </w:tc>
        <w:tc>
          <w:tcPr>
            <w:tcW w:w="1800" w:type="pct"/>
            <w:shd w:val="clear" w:color="auto" w:fill="auto"/>
            <w:vAlign w:val="center"/>
          </w:tcPr>
          <w:p w14:paraId="59295996">
            <w:pPr>
              <w:pStyle w:val="19"/>
              <w:bidi w:val="0"/>
              <w:rPr>
                <w:rFonts w:hint="eastAsia"/>
                <w:color w:val="auto"/>
              </w:rPr>
            </w:pPr>
          </w:p>
        </w:tc>
        <w:tc>
          <w:tcPr>
            <w:tcW w:w="1025" w:type="pct"/>
            <w:shd w:val="clear" w:color="auto" w:fill="auto"/>
            <w:vAlign w:val="center"/>
          </w:tcPr>
          <w:p w14:paraId="419810E5">
            <w:pPr>
              <w:pStyle w:val="19"/>
              <w:bidi w:val="0"/>
              <w:rPr>
                <w:rFonts w:hint="eastAsia"/>
                <w:color w:val="auto"/>
              </w:rPr>
            </w:pPr>
            <w:r>
              <w:rPr>
                <w:rFonts w:hint="eastAsia"/>
                <w:color w:val="auto"/>
              </w:rPr>
              <w:t>1台</w:t>
            </w:r>
          </w:p>
        </w:tc>
      </w:tr>
      <w:tr w14:paraId="1F7F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418" w:type="pct"/>
            <w:shd w:val="clear" w:color="auto" w:fill="auto"/>
            <w:vAlign w:val="center"/>
          </w:tcPr>
          <w:p w14:paraId="7FEBF984">
            <w:pPr>
              <w:pStyle w:val="19"/>
              <w:bidi w:val="0"/>
              <w:rPr>
                <w:rFonts w:hint="eastAsia"/>
                <w:color w:val="auto"/>
              </w:rPr>
            </w:pPr>
            <w:r>
              <w:rPr>
                <w:rFonts w:hint="eastAsia"/>
                <w:color w:val="auto"/>
              </w:rPr>
              <w:t>16</w:t>
            </w:r>
          </w:p>
        </w:tc>
        <w:tc>
          <w:tcPr>
            <w:tcW w:w="1757" w:type="pct"/>
            <w:shd w:val="clear" w:color="auto" w:fill="auto"/>
            <w:vAlign w:val="center"/>
          </w:tcPr>
          <w:p w14:paraId="54159A8E">
            <w:pPr>
              <w:pStyle w:val="19"/>
              <w:bidi w:val="0"/>
              <w:rPr>
                <w:rFonts w:hint="eastAsia"/>
                <w:color w:val="auto"/>
              </w:rPr>
            </w:pPr>
            <w:r>
              <w:rPr>
                <w:rFonts w:hint="eastAsia"/>
                <w:color w:val="auto"/>
              </w:rPr>
              <w:t>多层叠筛</w:t>
            </w:r>
          </w:p>
        </w:tc>
        <w:tc>
          <w:tcPr>
            <w:tcW w:w="1800" w:type="pct"/>
            <w:shd w:val="clear" w:color="auto" w:fill="auto"/>
            <w:vAlign w:val="center"/>
          </w:tcPr>
          <w:p w14:paraId="51A9E75F">
            <w:pPr>
              <w:pStyle w:val="19"/>
              <w:bidi w:val="0"/>
              <w:rPr>
                <w:rFonts w:hint="eastAsia"/>
                <w:color w:val="auto"/>
              </w:rPr>
            </w:pPr>
          </w:p>
        </w:tc>
        <w:tc>
          <w:tcPr>
            <w:tcW w:w="1025" w:type="pct"/>
            <w:shd w:val="clear" w:color="auto" w:fill="auto"/>
            <w:vAlign w:val="center"/>
          </w:tcPr>
          <w:p w14:paraId="39AA7EAF">
            <w:pPr>
              <w:pStyle w:val="19"/>
              <w:bidi w:val="0"/>
              <w:rPr>
                <w:rFonts w:hint="eastAsia"/>
                <w:color w:val="auto"/>
              </w:rPr>
            </w:pPr>
            <w:r>
              <w:rPr>
                <w:rFonts w:hint="eastAsia"/>
                <w:color w:val="auto"/>
              </w:rPr>
              <w:t>2台</w:t>
            </w:r>
          </w:p>
        </w:tc>
      </w:tr>
      <w:tr w14:paraId="2A8BF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0" w:hRule="atLeast"/>
          <w:tblHeader/>
          <w:jc w:val="center"/>
        </w:trPr>
        <w:tc>
          <w:tcPr>
            <w:tcW w:w="5000" w:type="pct"/>
            <w:gridSpan w:val="4"/>
            <w:shd w:val="clear" w:color="auto" w:fill="auto"/>
            <w:vAlign w:val="center"/>
          </w:tcPr>
          <w:p w14:paraId="28D2657B">
            <w:pPr>
              <w:pStyle w:val="19"/>
              <w:bidi w:val="0"/>
              <w:rPr>
                <w:rFonts w:hint="eastAsia"/>
                <w:color w:val="auto"/>
              </w:rPr>
            </w:pPr>
            <w:r>
              <w:rPr>
                <w:rFonts w:hint="eastAsia"/>
                <w:color w:val="auto"/>
              </w:rPr>
              <w:t>选铁车间主要设备</w:t>
            </w:r>
          </w:p>
        </w:tc>
      </w:tr>
      <w:tr w14:paraId="26845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0" w:hRule="atLeast"/>
          <w:tblHeader/>
          <w:jc w:val="center"/>
        </w:trPr>
        <w:tc>
          <w:tcPr>
            <w:tcW w:w="418" w:type="pct"/>
            <w:shd w:val="clear" w:color="auto" w:fill="auto"/>
            <w:vAlign w:val="center"/>
          </w:tcPr>
          <w:p w14:paraId="55E7E740">
            <w:pPr>
              <w:pStyle w:val="19"/>
              <w:bidi w:val="0"/>
              <w:rPr>
                <w:rFonts w:hint="eastAsia"/>
                <w:color w:val="auto"/>
              </w:rPr>
            </w:pPr>
            <w:r>
              <w:rPr>
                <w:rFonts w:hint="eastAsia"/>
                <w:color w:val="auto"/>
              </w:rPr>
              <w:t>1</w:t>
            </w:r>
          </w:p>
        </w:tc>
        <w:tc>
          <w:tcPr>
            <w:tcW w:w="1757" w:type="pct"/>
            <w:shd w:val="clear" w:color="auto" w:fill="auto"/>
            <w:vAlign w:val="center"/>
          </w:tcPr>
          <w:p w14:paraId="3C9F5725">
            <w:pPr>
              <w:pStyle w:val="19"/>
              <w:bidi w:val="0"/>
              <w:rPr>
                <w:rFonts w:hint="eastAsia"/>
                <w:color w:val="auto"/>
              </w:rPr>
            </w:pPr>
            <w:r>
              <w:rPr>
                <w:rFonts w:hint="eastAsia"/>
                <w:color w:val="auto"/>
              </w:rPr>
              <w:t>球磨机</w:t>
            </w:r>
          </w:p>
        </w:tc>
        <w:tc>
          <w:tcPr>
            <w:tcW w:w="1800" w:type="pct"/>
            <w:shd w:val="clear" w:color="auto" w:fill="auto"/>
            <w:vAlign w:val="center"/>
          </w:tcPr>
          <w:p w14:paraId="47DEF890">
            <w:pPr>
              <w:pStyle w:val="19"/>
              <w:bidi w:val="0"/>
              <w:rPr>
                <w:rFonts w:hint="eastAsia"/>
                <w:color w:val="auto"/>
              </w:rPr>
            </w:pPr>
            <w:r>
              <w:rPr>
                <w:rFonts w:hint="eastAsia"/>
                <w:color w:val="auto"/>
              </w:rPr>
              <w:t>MQG-Φ1200×4500</w:t>
            </w:r>
          </w:p>
        </w:tc>
        <w:tc>
          <w:tcPr>
            <w:tcW w:w="1025" w:type="pct"/>
            <w:shd w:val="clear" w:color="auto" w:fill="auto"/>
            <w:vAlign w:val="center"/>
          </w:tcPr>
          <w:p w14:paraId="4FF28926">
            <w:pPr>
              <w:pStyle w:val="19"/>
              <w:bidi w:val="0"/>
              <w:rPr>
                <w:rFonts w:hint="eastAsia"/>
                <w:color w:val="auto"/>
              </w:rPr>
            </w:pPr>
            <w:r>
              <w:rPr>
                <w:rFonts w:hint="eastAsia"/>
                <w:color w:val="auto"/>
              </w:rPr>
              <w:t>1台</w:t>
            </w:r>
          </w:p>
        </w:tc>
      </w:tr>
      <w:tr w14:paraId="0902D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0" w:hRule="atLeast"/>
          <w:tblHeader/>
          <w:jc w:val="center"/>
        </w:trPr>
        <w:tc>
          <w:tcPr>
            <w:tcW w:w="418" w:type="pct"/>
            <w:shd w:val="clear" w:color="auto" w:fill="auto"/>
            <w:vAlign w:val="center"/>
          </w:tcPr>
          <w:p w14:paraId="3D64381F">
            <w:pPr>
              <w:pStyle w:val="19"/>
              <w:bidi w:val="0"/>
              <w:rPr>
                <w:rFonts w:hint="eastAsia"/>
                <w:color w:val="auto"/>
              </w:rPr>
            </w:pPr>
            <w:r>
              <w:rPr>
                <w:rFonts w:hint="eastAsia"/>
                <w:color w:val="auto"/>
              </w:rPr>
              <w:t>2</w:t>
            </w:r>
          </w:p>
        </w:tc>
        <w:tc>
          <w:tcPr>
            <w:tcW w:w="1757" w:type="pct"/>
            <w:shd w:val="clear" w:color="auto" w:fill="auto"/>
            <w:vAlign w:val="center"/>
          </w:tcPr>
          <w:p w14:paraId="48C9DA79">
            <w:pPr>
              <w:pStyle w:val="19"/>
              <w:bidi w:val="0"/>
              <w:rPr>
                <w:rFonts w:hint="eastAsia"/>
                <w:color w:val="auto"/>
              </w:rPr>
            </w:pPr>
            <w:r>
              <w:rPr>
                <w:rFonts w:hint="eastAsia"/>
                <w:color w:val="auto"/>
              </w:rPr>
              <w:t>螺旋分级机</w:t>
            </w:r>
          </w:p>
        </w:tc>
        <w:tc>
          <w:tcPr>
            <w:tcW w:w="1800" w:type="pct"/>
            <w:shd w:val="clear" w:color="auto" w:fill="auto"/>
            <w:vAlign w:val="center"/>
          </w:tcPr>
          <w:p w14:paraId="02CF2C4D">
            <w:pPr>
              <w:pStyle w:val="19"/>
              <w:bidi w:val="0"/>
              <w:rPr>
                <w:rFonts w:hint="eastAsia"/>
                <w:color w:val="auto"/>
              </w:rPr>
            </w:pPr>
            <w:r>
              <w:rPr>
                <w:rFonts w:hint="eastAsia"/>
                <w:color w:val="auto"/>
              </w:rPr>
              <w:t>FG1500</w:t>
            </w:r>
          </w:p>
        </w:tc>
        <w:tc>
          <w:tcPr>
            <w:tcW w:w="1025" w:type="pct"/>
            <w:shd w:val="clear" w:color="auto" w:fill="auto"/>
            <w:vAlign w:val="center"/>
          </w:tcPr>
          <w:p w14:paraId="60E33F5E">
            <w:pPr>
              <w:pStyle w:val="19"/>
              <w:bidi w:val="0"/>
              <w:rPr>
                <w:rFonts w:hint="eastAsia"/>
                <w:color w:val="auto"/>
              </w:rPr>
            </w:pPr>
            <w:r>
              <w:rPr>
                <w:rFonts w:hint="eastAsia"/>
                <w:color w:val="auto"/>
              </w:rPr>
              <w:t>1台</w:t>
            </w:r>
          </w:p>
        </w:tc>
      </w:tr>
      <w:tr w14:paraId="2BB9A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0" w:hRule="atLeast"/>
          <w:tblHeader/>
          <w:jc w:val="center"/>
        </w:trPr>
        <w:tc>
          <w:tcPr>
            <w:tcW w:w="418" w:type="pct"/>
            <w:shd w:val="clear" w:color="auto" w:fill="auto"/>
            <w:vAlign w:val="center"/>
          </w:tcPr>
          <w:p w14:paraId="4D2E5388">
            <w:pPr>
              <w:pStyle w:val="19"/>
              <w:bidi w:val="0"/>
              <w:rPr>
                <w:rFonts w:hint="eastAsia"/>
                <w:color w:val="auto"/>
              </w:rPr>
            </w:pPr>
            <w:r>
              <w:rPr>
                <w:rFonts w:hint="eastAsia"/>
                <w:color w:val="auto"/>
              </w:rPr>
              <w:t>3</w:t>
            </w:r>
          </w:p>
        </w:tc>
        <w:tc>
          <w:tcPr>
            <w:tcW w:w="1757" w:type="pct"/>
            <w:shd w:val="clear" w:color="auto" w:fill="auto"/>
            <w:vAlign w:val="center"/>
          </w:tcPr>
          <w:p w14:paraId="05476B2A">
            <w:pPr>
              <w:pStyle w:val="19"/>
              <w:bidi w:val="0"/>
              <w:rPr>
                <w:rFonts w:hint="eastAsia"/>
                <w:color w:val="auto"/>
              </w:rPr>
            </w:pPr>
            <w:r>
              <w:rPr>
                <w:rFonts w:hint="eastAsia"/>
                <w:color w:val="auto"/>
              </w:rPr>
              <w:t>滚筒磁选机</w:t>
            </w:r>
          </w:p>
        </w:tc>
        <w:tc>
          <w:tcPr>
            <w:tcW w:w="1800" w:type="pct"/>
            <w:shd w:val="clear" w:color="auto" w:fill="auto"/>
            <w:vAlign w:val="center"/>
          </w:tcPr>
          <w:p w14:paraId="1FE6ED2C">
            <w:pPr>
              <w:pStyle w:val="19"/>
              <w:bidi w:val="0"/>
              <w:rPr>
                <w:rFonts w:hint="eastAsia"/>
                <w:color w:val="auto"/>
              </w:rPr>
            </w:pPr>
            <w:r>
              <w:rPr>
                <w:rFonts w:hint="eastAsia"/>
                <w:color w:val="auto"/>
              </w:rPr>
              <w:t>CT(GNBS)900*3000</w:t>
            </w:r>
          </w:p>
        </w:tc>
        <w:tc>
          <w:tcPr>
            <w:tcW w:w="1025" w:type="pct"/>
            <w:shd w:val="clear" w:color="auto" w:fill="auto"/>
            <w:vAlign w:val="center"/>
          </w:tcPr>
          <w:p w14:paraId="79256C53">
            <w:pPr>
              <w:pStyle w:val="19"/>
              <w:bidi w:val="0"/>
              <w:rPr>
                <w:rFonts w:hint="eastAsia"/>
                <w:color w:val="auto"/>
              </w:rPr>
            </w:pPr>
            <w:r>
              <w:rPr>
                <w:rFonts w:hint="eastAsia"/>
                <w:color w:val="auto"/>
              </w:rPr>
              <w:t>1台</w:t>
            </w:r>
          </w:p>
        </w:tc>
      </w:tr>
      <w:tr w14:paraId="1D8B5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418" w:type="pct"/>
            <w:shd w:val="clear" w:color="auto" w:fill="auto"/>
            <w:vAlign w:val="center"/>
          </w:tcPr>
          <w:p w14:paraId="0C46FA1F">
            <w:pPr>
              <w:pStyle w:val="19"/>
              <w:bidi w:val="0"/>
              <w:rPr>
                <w:rFonts w:hint="eastAsia"/>
                <w:color w:val="auto"/>
              </w:rPr>
            </w:pPr>
            <w:r>
              <w:rPr>
                <w:rFonts w:hint="eastAsia"/>
                <w:color w:val="auto"/>
              </w:rPr>
              <w:t>4</w:t>
            </w:r>
          </w:p>
        </w:tc>
        <w:tc>
          <w:tcPr>
            <w:tcW w:w="1757" w:type="pct"/>
            <w:shd w:val="clear" w:color="auto" w:fill="auto"/>
            <w:vAlign w:val="center"/>
          </w:tcPr>
          <w:p w14:paraId="19F62712">
            <w:pPr>
              <w:pStyle w:val="19"/>
              <w:bidi w:val="0"/>
              <w:rPr>
                <w:rFonts w:hint="eastAsia"/>
                <w:color w:val="auto"/>
              </w:rPr>
            </w:pPr>
            <w:r>
              <w:rPr>
                <w:rFonts w:hint="eastAsia"/>
                <w:color w:val="auto"/>
              </w:rPr>
              <w:t>螺旋溜槽</w:t>
            </w:r>
          </w:p>
        </w:tc>
        <w:tc>
          <w:tcPr>
            <w:tcW w:w="1800" w:type="pct"/>
            <w:shd w:val="clear" w:color="auto" w:fill="auto"/>
            <w:vAlign w:val="center"/>
          </w:tcPr>
          <w:p w14:paraId="13458CAC">
            <w:pPr>
              <w:pStyle w:val="19"/>
              <w:bidi w:val="0"/>
              <w:rPr>
                <w:rFonts w:hint="eastAsia"/>
                <w:color w:val="auto"/>
              </w:rPr>
            </w:pPr>
            <w:r>
              <w:rPr>
                <w:rFonts w:hint="eastAsia"/>
                <w:color w:val="auto"/>
              </w:rPr>
              <w:t>5LL-1200</w:t>
            </w:r>
          </w:p>
        </w:tc>
        <w:tc>
          <w:tcPr>
            <w:tcW w:w="1025" w:type="pct"/>
            <w:shd w:val="clear" w:color="auto" w:fill="auto"/>
            <w:vAlign w:val="center"/>
          </w:tcPr>
          <w:p w14:paraId="6E325FA0">
            <w:pPr>
              <w:pStyle w:val="19"/>
              <w:bidi w:val="0"/>
              <w:rPr>
                <w:rFonts w:hint="eastAsia"/>
                <w:color w:val="auto"/>
              </w:rPr>
            </w:pPr>
            <w:r>
              <w:rPr>
                <w:rFonts w:hint="eastAsia"/>
                <w:color w:val="auto"/>
              </w:rPr>
              <w:t>18组</w:t>
            </w:r>
          </w:p>
        </w:tc>
      </w:tr>
      <w:tr w14:paraId="5B8A6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0" w:hRule="atLeast"/>
          <w:tblHeader/>
          <w:jc w:val="center"/>
        </w:trPr>
        <w:tc>
          <w:tcPr>
            <w:tcW w:w="5000" w:type="pct"/>
            <w:gridSpan w:val="4"/>
            <w:shd w:val="clear" w:color="auto" w:fill="auto"/>
            <w:vAlign w:val="center"/>
          </w:tcPr>
          <w:p w14:paraId="06D604FF">
            <w:pPr>
              <w:pStyle w:val="19"/>
              <w:bidi w:val="0"/>
              <w:rPr>
                <w:rFonts w:hint="eastAsia"/>
                <w:color w:val="auto"/>
              </w:rPr>
            </w:pPr>
            <w:r>
              <w:rPr>
                <w:rFonts w:hint="eastAsia"/>
                <w:color w:val="auto"/>
              </w:rPr>
              <w:t>烘干车间主要设备</w:t>
            </w:r>
          </w:p>
        </w:tc>
      </w:tr>
      <w:tr w14:paraId="22A4F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0" w:hRule="atLeast"/>
          <w:tblHeader/>
          <w:jc w:val="center"/>
        </w:trPr>
        <w:tc>
          <w:tcPr>
            <w:tcW w:w="418" w:type="pct"/>
            <w:shd w:val="clear" w:color="auto" w:fill="auto"/>
            <w:vAlign w:val="center"/>
          </w:tcPr>
          <w:p w14:paraId="67156706">
            <w:pPr>
              <w:pStyle w:val="19"/>
              <w:bidi w:val="0"/>
              <w:rPr>
                <w:rFonts w:hint="eastAsia"/>
                <w:color w:val="auto"/>
              </w:rPr>
            </w:pPr>
            <w:r>
              <w:rPr>
                <w:rFonts w:hint="eastAsia"/>
                <w:color w:val="auto"/>
              </w:rPr>
              <w:t>1</w:t>
            </w:r>
          </w:p>
        </w:tc>
        <w:tc>
          <w:tcPr>
            <w:tcW w:w="1757" w:type="pct"/>
            <w:shd w:val="clear" w:color="auto" w:fill="auto"/>
            <w:vAlign w:val="center"/>
          </w:tcPr>
          <w:p w14:paraId="3B1E38E2">
            <w:pPr>
              <w:pStyle w:val="19"/>
              <w:bidi w:val="0"/>
              <w:rPr>
                <w:rFonts w:hint="eastAsia"/>
                <w:color w:val="auto"/>
              </w:rPr>
            </w:pPr>
            <w:r>
              <w:rPr>
                <w:rFonts w:hint="eastAsia"/>
                <w:color w:val="auto"/>
              </w:rPr>
              <w:t>烘干回转窑</w:t>
            </w:r>
          </w:p>
        </w:tc>
        <w:tc>
          <w:tcPr>
            <w:tcW w:w="1800" w:type="pct"/>
            <w:shd w:val="clear" w:color="auto" w:fill="auto"/>
            <w:vAlign w:val="center"/>
          </w:tcPr>
          <w:p w14:paraId="1178F891">
            <w:pPr>
              <w:pStyle w:val="19"/>
              <w:bidi w:val="0"/>
              <w:rPr>
                <w:rFonts w:hint="eastAsia"/>
                <w:color w:val="auto"/>
              </w:rPr>
            </w:pPr>
            <w:r>
              <w:rPr>
                <w:rFonts w:hint="eastAsia"/>
                <w:color w:val="auto"/>
              </w:rPr>
              <w:t>1.2*11m</w:t>
            </w:r>
          </w:p>
        </w:tc>
        <w:tc>
          <w:tcPr>
            <w:tcW w:w="1025" w:type="pct"/>
            <w:shd w:val="clear" w:color="auto" w:fill="auto"/>
            <w:vAlign w:val="center"/>
          </w:tcPr>
          <w:p w14:paraId="68E48A92">
            <w:pPr>
              <w:pStyle w:val="19"/>
              <w:bidi w:val="0"/>
              <w:rPr>
                <w:rFonts w:hint="eastAsia"/>
                <w:color w:val="auto"/>
              </w:rPr>
            </w:pPr>
            <w:r>
              <w:rPr>
                <w:rFonts w:hint="eastAsia"/>
                <w:color w:val="auto"/>
              </w:rPr>
              <w:t>1台</w:t>
            </w:r>
          </w:p>
        </w:tc>
      </w:tr>
      <w:tr w14:paraId="3B2F1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0" w:hRule="atLeast"/>
          <w:tblHeader/>
          <w:jc w:val="center"/>
        </w:trPr>
        <w:tc>
          <w:tcPr>
            <w:tcW w:w="418" w:type="pct"/>
            <w:shd w:val="clear" w:color="auto" w:fill="auto"/>
            <w:vAlign w:val="center"/>
          </w:tcPr>
          <w:p w14:paraId="2CA0140C">
            <w:pPr>
              <w:pStyle w:val="19"/>
              <w:bidi w:val="0"/>
              <w:rPr>
                <w:rFonts w:hint="eastAsia"/>
                <w:color w:val="auto"/>
              </w:rPr>
            </w:pPr>
            <w:r>
              <w:rPr>
                <w:rFonts w:hint="eastAsia"/>
                <w:color w:val="auto"/>
              </w:rPr>
              <w:t>2</w:t>
            </w:r>
          </w:p>
        </w:tc>
        <w:tc>
          <w:tcPr>
            <w:tcW w:w="1757" w:type="pct"/>
            <w:shd w:val="clear" w:color="auto" w:fill="auto"/>
            <w:vAlign w:val="center"/>
          </w:tcPr>
          <w:p w14:paraId="142DCE54">
            <w:pPr>
              <w:pStyle w:val="19"/>
              <w:bidi w:val="0"/>
              <w:rPr>
                <w:rFonts w:hint="eastAsia"/>
                <w:color w:val="auto"/>
              </w:rPr>
            </w:pPr>
            <w:r>
              <w:rPr>
                <w:rFonts w:hint="eastAsia"/>
                <w:color w:val="auto"/>
              </w:rPr>
              <w:t>振动给料器</w:t>
            </w:r>
          </w:p>
        </w:tc>
        <w:tc>
          <w:tcPr>
            <w:tcW w:w="1800" w:type="pct"/>
            <w:shd w:val="clear" w:color="auto" w:fill="auto"/>
            <w:vAlign w:val="center"/>
          </w:tcPr>
          <w:p w14:paraId="3C51284F">
            <w:pPr>
              <w:pStyle w:val="19"/>
              <w:bidi w:val="0"/>
              <w:rPr>
                <w:rFonts w:hint="eastAsia"/>
                <w:color w:val="auto"/>
              </w:rPr>
            </w:pPr>
            <w:r>
              <w:rPr>
                <w:rFonts w:hint="eastAsia"/>
                <w:color w:val="auto"/>
              </w:rPr>
              <w:t>2.2kW</w:t>
            </w:r>
          </w:p>
        </w:tc>
        <w:tc>
          <w:tcPr>
            <w:tcW w:w="1025" w:type="pct"/>
            <w:shd w:val="clear" w:color="auto" w:fill="auto"/>
            <w:vAlign w:val="center"/>
          </w:tcPr>
          <w:p w14:paraId="10843698">
            <w:pPr>
              <w:pStyle w:val="19"/>
              <w:bidi w:val="0"/>
              <w:rPr>
                <w:rFonts w:hint="eastAsia"/>
                <w:color w:val="auto"/>
              </w:rPr>
            </w:pPr>
            <w:r>
              <w:rPr>
                <w:color w:val="auto"/>
              </w:rPr>
              <w:t>1</w:t>
            </w:r>
            <w:r>
              <w:rPr>
                <w:rFonts w:hint="eastAsia"/>
                <w:color w:val="auto"/>
              </w:rPr>
              <w:t>台</w:t>
            </w:r>
          </w:p>
        </w:tc>
      </w:tr>
      <w:tr w14:paraId="0E432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0" w:hRule="atLeast"/>
          <w:tblHeader/>
          <w:jc w:val="center"/>
        </w:trPr>
        <w:tc>
          <w:tcPr>
            <w:tcW w:w="418" w:type="pct"/>
            <w:shd w:val="clear" w:color="auto" w:fill="auto"/>
            <w:vAlign w:val="center"/>
          </w:tcPr>
          <w:p w14:paraId="19321212">
            <w:pPr>
              <w:pStyle w:val="19"/>
              <w:bidi w:val="0"/>
              <w:rPr>
                <w:rFonts w:hint="eastAsia"/>
                <w:color w:val="auto"/>
              </w:rPr>
            </w:pPr>
            <w:r>
              <w:rPr>
                <w:rFonts w:hint="eastAsia"/>
                <w:color w:val="auto"/>
              </w:rPr>
              <w:t>3</w:t>
            </w:r>
          </w:p>
        </w:tc>
        <w:tc>
          <w:tcPr>
            <w:tcW w:w="1757" w:type="pct"/>
            <w:shd w:val="clear" w:color="auto" w:fill="auto"/>
            <w:vAlign w:val="center"/>
          </w:tcPr>
          <w:p w14:paraId="30EC0106">
            <w:pPr>
              <w:pStyle w:val="19"/>
              <w:bidi w:val="0"/>
              <w:rPr>
                <w:rFonts w:hint="eastAsia"/>
                <w:color w:val="auto"/>
              </w:rPr>
            </w:pPr>
            <w:r>
              <w:rPr>
                <w:rFonts w:hint="eastAsia"/>
                <w:color w:val="auto"/>
              </w:rPr>
              <w:t>鼓风机</w:t>
            </w:r>
          </w:p>
        </w:tc>
        <w:tc>
          <w:tcPr>
            <w:tcW w:w="1800" w:type="pct"/>
            <w:shd w:val="clear" w:color="auto" w:fill="auto"/>
            <w:vAlign w:val="center"/>
          </w:tcPr>
          <w:p w14:paraId="68F01DC4">
            <w:pPr>
              <w:pStyle w:val="19"/>
              <w:bidi w:val="0"/>
              <w:rPr>
                <w:rFonts w:hint="eastAsia"/>
                <w:color w:val="auto"/>
              </w:rPr>
            </w:pPr>
            <w:r>
              <w:rPr>
                <w:rFonts w:hint="eastAsia"/>
                <w:color w:val="auto"/>
              </w:rPr>
              <w:t>22kW</w:t>
            </w:r>
          </w:p>
        </w:tc>
        <w:tc>
          <w:tcPr>
            <w:tcW w:w="1025" w:type="pct"/>
            <w:shd w:val="clear" w:color="auto" w:fill="auto"/>
            <w:vAlign w:val="center"/>
          </w:tcPr>
          <w:p w14:paraId="5EB2D932">
            <w:pPr>
              <w:pStyle w:val="19"/>
              <w:bidi w:val="0"/>
              <w:rPr>
                <w:rFonts w:hint="eastAsia"/>
                <w:color w:val="auto"/>
              </w:rPr>
            </w:pPr>
            <w:r>
              <w:rPr>
                <w:color w:val="auto"/>
              </w:rPr>
              <w:t>1</w:t>
            </w:r>
            <w:r>
              <w:rPr>
                <w:rFonts w:hint="eastAsia"/>
                <w:color w:val="auto"/>
              </w:rPr>
              <w:t>台</w:t>
            </w:r>
          </w:p>
        </w:tc>
      </w:tr>
      <w:tr w14:paraId="4CB3D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418" w:type="pct"/>
            <w:shd w:val="clear" w:color="auto" w:fill="auto"/>
            <w:vAlign w:val="center"/>
          </w:tcPr>
          <w:p w14:paraId="41A3D6BA">
            <w:pPr>
              <w:pStyle w:val="19"/>
              <w:bidi w:val="0"/>
              <w:rPr>
                <w:rFonts w:hint="eastAsia"/>
                <w:color w:val="auto"/>
              </w:rPr>
            </w:pPr>
            <w:r>
              <w:rPr>
                <w:rFonts w:hint="eastAsia"/>
                <w:color w:val="auto"/>
              </w:rPr>
              <w:t>4</w:t>
            </w:r>
          </w:p>
        </w:tc>
        <w:tc>
          <w:tcPr>
            <w:tcW w:w="1757" w:type="pct"/>
            <w:shd w:val="clear" w:color="auto" w:fill="auto"/>
            <w:vAlign w:val="center"/>
          </w:tcPr>
          <w:p w14:paraId="45716C78">
            <w:pPr>
              <w:pStyle w:val="19"/>
              <w:bidi w:val="0"/>
              <w:rPr>
                <w:rFonts w:hint="eastAsia"/>
                <w:color w:val="auto"/>
              </w:rPr>
            </w:pPr>
            <w:r>
              <w:rPr>
                <w:rFonts w:hint="eastAsia"/>
                <w:color w:val="auto"/>
              </w:rPr>
              <w:t>带式除尘器</w:t>
            </w:r>
          </w:p>
        </w:tc>
        <w:tc>
          <w:tcPr>
            <w:tcW w:w="1800" w:type="pct"/>
            <w:shd w:val="clear" w:color="auto" w:fill="auto"/>
            <w:vAlign w:val="center"/>
          </w:tcPr>
          <w:p w14:paraId="2B5B1BB3">
            <w:pPr>
              <w:pStyle w:val="19"/>
              <w:bidi w:val="0"/>
              <w:rPr>
                <w:rFonts w:hint="eastAsia"/>
                <w:color w:val="auto"/>
              </w:rPr>
            </w:pPr>
            <w:r>
              <w:rPr>
                <w:rFonts w:hint="eastAsia"/>
                <w:color w:val="auto"/>
              </w:rPr>
              <w:t>37kW</w:t>
            </w:r>
          </w:p>
        </w:tc>
        <w:tc>
          <w:tcPr>
            <w:tcW w:w="1025" w:type="pct"/>
            <w:shd w:val="clear" w:color="auto" w:fill="auto"/>
            <w:vAlign w:val="center"/>
          </w:tcPr>
          <w:p w14:paraId="61426F47">
            <w:pPr>
              <w:pStyle w:val="19"/>
              <w:bidi w:val="0"/>
              <w:rPr>
                <w:rFonts w:hint="eastAsia"/>
                <w:color w:val="auto"/>
              </w:rPr>
            </w:pPr>
            <w:r>
              <w:rPr>
                <w:color w:val="auto"/>
              </w:rPr>
              <w:t>1</w:t>
            </w:r>
            <w:r>
              <w:rPr>
                <w:rFonts w:hint="eastAsia"/>
                <w:color w:val="auto"/>
              </w:rPr>
              <w:t>台</w:t>
            </w:r>
          </w:p>
        </w:tc>
      </w:tr>
      <w:tr w14:paraId="2CAD7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418" w:type="pct"/>
            <w:shd w:val="clear" w:color="auto" w:fill="auto"/>
            <w:vAlign w:val="center"/>
          </w:tcPr>
          <w:p w14:paraId="2AE7368C">
            <w:pPr>
              <w:pStyle w:val="19"/>
              <w:bidi w:val="0"/>
              <w:rPr>
                <w:rFonts w:hint="eastAsia"/>
                <w:color w:val="auto"/>
              </w:rPr>
            </w:pPr>
            <w:r>
              <w:rPr>
                <w:rFonts w:hint="eastAsia"/>
                <w:color w:val="auto"/>
              </w:rPr>
              <w:t>5</w:t>
            </w:r>
          </w:p>
        </w:tc>
        <w:tc>
          <w:tcPr>
            <w:tcW w:w="1757" w:type="pct"/>
            <w:shd w:val="clear" w:color="auto" w:fill="auto"/>
            <w:vAlign w:val="center"/>
          </w:tcPr>
          <w:p w14:paraId="032474E0">
            <w:pPr>
              <w:pStyle w:val="19"/>
              <w:bidi w:val="0"/>
              <w:rPr>
                <w:rFonts w:hint="eastAsia"/>
                <w:color w:val="auto"/>
              </w:rPr>
            </w:pPr>
            <w:r>
              <w:rPr>
                <w:rFonts w:hint="eastAsia"/>
                <w:color w:val="auto"/>
              </w:rPr>
              <w:t>干式磁选机</w:t>
            </w:r>
          </w:p>
        </w:tc>
        <w:tc>
          <w:tcPr>
            <w:tcW w:w="1800" w:type="pct"/>
            <w:shd w:val="clear" w:color="auto" w:fill="auto"/>
            <w:vAlign w:val="center"/>
          </w:tcPr>
          <w:p w14:paraId="28A46AF3">
            <w:pPr>
              <w:pStyle w:val="19"/>
              <w:bidi w:val="0"/>
              <w:rPr>
                <w:rFonts w:hint="eastAsia"/>
                <w:color w:val="auto"/>
              </w:rPr>
            </w:pPr>
            <w:r>
              <w:rPr>
                <w:rFonts w:hint="eastAsia"/>
                <w:color w:val="auto"/>
              </w:rPr>
              <w:t>CTSNB</w:t>
            </w:r>
          </w:p>
        </w:tc>
        <w:tc>
          <w:tcPr>
            <w:tcW w:w="1025" w:type="pct"/>
            <w:shd w:val="clear" w:color="auto" w:fill="auto"/>
            <w:vAlign w:val="center"/>
          </w:tcPr>
          <w:p w14:paraId="46A7C140">
            <w:pPr>
              <w:pStyle w:val="19"/>
              <w:bidi w:val="0"/>
              <w:rPr>
                <w:rFonts w:hint="eastAsia"/>
                <w:color w:val="auto"/>
              </w:rPr>
            </w:pPr>
            <w:r>
              <w:rPr>
                <w:color w:val="auto"/>
              </w:rPr>
              <w:t>1</w:t>
            </w:r>
            <w:r>
              <w:rPr>
                <w:rFonts w:hint="eastAsia"/>
                <w:color w:val="auto"/>
              </w:rPr>
              <w:t>台</w:t>
            </w:r>
          </w:p>
        </w:tc>
      </w:tr>
      <w:tr w14:paraId="4B213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418" w:type="pct"/>
            <w:shd w:val="clear" w:color="auto" w:fill="auto"/>
            <w:vAlign w:val="center"/>
          </w:tcPr>
          <w:p w14:paraId="16C6D5D6">
            <w:pPr>
              <w:pStyle w:val="19"/>
              <w:bidi w:val="0"/>
              <w:rPr>
                <w:rFonts w:hint="eastAsia"/>
                <w:color w:val="auto"/>
              </w:rPr>
            </w:pPr>
            <w:r>
              <w:rPr>
                <w:rFonts w:hint="eastAsia"/>
                <w:color w:val="auto"/>
              </w:rPr>
              <w:t>6</w:t>
            </w:r>
          </w:p>
        </w:tc>
        <w:tc>
          <w:tcPr>
            <w:tcW w:w="1757" w:type="pct"/>
            <w:shd w:val="clear" w:color="auto" w:fill="auto"/>
            <w:vAlign w:val="center"/>
          </w:tcPr>
          <w:p w14:paraId="65062970">
            <w:pPr>
              <w:pStyle w:val="19"/>
              <w:bidi w:val="0"/>
              <w:rPr>
                <w:rFonts w:hint="eastAsia"/>
                <w:color w:val="auto"/>
              </w:rPr>
            </w:pPr>
            <w:r>
              <w:rPr>
                <w:rFonts w:hint="eastAsia"/>
                <w:color w:val="auto"/>
              </w:rPr>
              <w:t>皮带运输机</w:t>
            </w:r>
          </w:p>
        </w:tc>
        <w:tc>
          <w:tcPr>
            <w:tcW w:w="1800" w:type="pct"/>
            <w:shd w:val="clear" w:color="auto" w:fill="auto"/>
            <w:vAlign w:val="center"/>
          </w:tcPr>
          <w:p w14:paraId="38709E75">
            <w:pPr>
              <w:pStyle w:val="19"/>
              <w:bidi w:val="0"/>
              <w:rPr>
                <w:rFonts w:hint="eastAsia"/>
                <w:color w:val="auto"/>
              </w:rPr>
            </w:pPr>
            <w:r>
              <w:rPr>
                <w:color w:val="auto"/>
              </w:rPr>
              <w:t>1.2kW</w:t>
            </w:r>
          </w:p>
        </w:tc>
        <w:tc>
          <w:tcPr>
            <w:tcW w:w="1025" w:type="pct"/>
            <w:shd w:val="clear" w:color="auto" w:fill="auto"/>
            <w:vAlign w:val="center"/>
          </w:tcPr>
          <w:p w14:paraId="537BB024">
            <w:pPr>
              <w:pStyle w:val="19"/>
              <w:bidi w:val="0"/>
              <w:rPr>
                <w:rFonts w:hint="eastAsia"/>
                <w:color w:val="auto"/>
              </w:rPr>
            </w:pPr>
            <w:r>
              <w:rPr>
                <w:color w:val="auto"/>
              </w:rPr>
              <w:t>4</w:t>
            </w:r>
            <w:r>
              <w:rPr>
                <w:rFonts w:hint="eastAsia"/>
                <w:color w:val="auto"/>
              </w:rPr>
              <w:t>台</w:t>
            </w:r>
          </w:p>
        </w:tc>
      </w:tr>
      <w:tr w14:paraId="435BB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5000" w:type="pct"/>
            <w:gridSpan w:val="4"/>
            <w:shd w:val="clear" w:color="auto" w:fill="auto"/>
            <w:vAlign w:val="center"/>
          </w:tcPr>
          <w:p w14:paraId="53BE3748">
            <w:pPr>
              <w:pStyle w:val="19"/>
              <w:bidi w:val="0"/>
              <w:rPr>
                <w:rFonts w:hint="eastAsia"/>
                <w:color w:val="auto"/>
              </w:rPr>
            </w:pPr>
            <w:r>
              <w:rPr>
                <w:rFonts w:hint="eastAsia"/>
                <w:color w:val="auto"/>
              </w:rPr>
              <w:t>其它主要设备</w:t>
            </w:r>
          </w:p>
        </w:tc>
      </w:tr>
      <w:tr w14:paraId="71501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418" w:type="pct"/>
            <w:shd w:val="clear" w:color="auto" w:fill="auto"/>
            <w:vAlign w:val="center"/>
          </w:tcPr>
          <w:p w14:paraId="300E8A5B">
            <w:pPr>
              <w:pStyle w:val="19"/>
              <w:bidi w:val="0"/>
              <w:rPr>
                <w:rFonts w:hint="eastAsia"/>
                <w:color w:val="auto"/>
              </w:rPr>
            </w:pPr>
            <w:r>
              <w:rPr>
                <w:rFonts w:hint="eastAsia"/>
                <w:color w:val="auto"/>
              </w:rPr>
              <w:t>1</w:t>
            </w:r>
          </w:p>
        </w:tc>
        <w:tc>
          <w:tcPr>
            <w:tcW w:w="1757" w:type="pct"/>
            <w:shd w:val="clear" w:color="auto" w:fill="auto"/>
            <w:vAlign w:val="center"/>
          </w:tcPr>
          <w:p w14:paraId="38DEA3B2">
            <w:pPr>
              <w:pStyle w:val="19"/>
              <w:bidi w:val="0"/>
              <w:rPr>
                <w:rFonts w:hint="eastAsia"/>
                <w:color w:val="auto"/>
              </w:rPr>
            </w:pPr>
            <w:r>
              <w:rPr>
                <w:rFonts w:hint="eastAsia"/>
                <w:color w:val="auto"/>
              </w:rPr>
              <w:t>变压器</w:t>
            </w:r>
          </w:p>
        </w:tc>
        <w:tc>
          <w:tcPr>
            <w:tcW w:w="1800" w:type="pct"/>
            <w:shd w:val="clear" w:color="auto" w:fill="auto"/>
            <w:vAlign w:val="center"/>
          </w:tcPr>
          <w:p w14:paraId="503AA6F3">
            <w:pPr>
              <w:pStyle w:val="19"/>
              <w:bidi w:val="0"/>
              <w:rPr>
                <w:rFonts w:hint="eastAsia"/>
                <w:color w:val="auto"/>
              </w:rPr>
            </w:pPr>
            <w:r>
              <w:rPr>
                <w:rFonts w:hint="eastAsia"/>
                <w:color w:val="auto"/>
              </w:rPr>
              <w:t>160KVA</w:t>
            </w:r>
          </w:p>
        </w:tc>
        <w:tc>
          <w:tcPr>
            <w:tcW w:w="1025" w:type="pct"/>
            <w:shd w:val="clear" w:color="auto" w:fill="auto"/>
            <w:vAlign w:val="center"/>
          </w:tcPr>
          <w:p w14:paraId="75239676">
            <w:pPr>
              <w:pStyle w:val="19"/>
              <w:bidi w:val="0"/>
              <w:rPr>
                <w:rFonts w:hint="eastAsia"/>
                <w:color w:val="auto"/>
              </w:rPr>
            </w:pPr>
            <w:r>
              <w:rPr>
                <w:rFonts w:hint="eastAsia"/>
                <w:color w:val="auto"/>
              </w:rPr>
              <w:t>1台</w:t>
            </w:r>
          </w:p>
        </w:tc>
      </w:tr>
      <w:tr w14:paraId="3A9A9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418" w:type="pct"/>
            <w:shd w:val="clear" w:color="auto" w:fill="auto"/>
            <w:vAlign w:val="center"/>
          </w:tcPr>
          <w:p w14:paraId="27F86A17">
            <w:pPr>
              <w:pStyle w:val="19"/>
              <w:bidi w:val="0"/>
              <w:rPr>
                <w:rFonts w:hint="eastAsia"/>
                <w:color w:val="auto"/>
              </w:rPr>
            </w:pPr>
            <w:r>
              <w:rPr>
                <w:rFonts w:hint="eastAsia"/>
                <w:color w:val="auto"/>
              </w:rPr>
              <w:t>2</w:t>
            </w:r>
          </w:p>
        </w:tc>
        <w:tc>
          <w:tcPr>
            <w:tcW w:w="1757" w:type="pct"/>
            <w:shd w:val="clear" w:color="auto" w:fill="auto"/>
            <w:vAlign w:val="center"/>
          </w:tcPr>
          <w:p w14:paraId="000AB207">
            <w:pPr>
              <w:pStyle w:val="19"/>
              <w:bidi w:val="0"/>
              <w:rPr>
                <w:rFonts w:hint="eastAsia"/>
                <w:color w:val="auto"/>
              </w:rPr>
            </w:pPr>
            <w:r>
              <w:rPr>
                <w:rFonts w:hint="eastAsia"/>
                <w:color w:val="auto"/>
              </w:rPr>
              <w:t>变压器</w:t>
            </w:r>
          </w:p>
        </w:tc>
        <w:tc>
          <w:tcPr>
            <w:tcW w:w="1800" w:type="pct"/>
            <w:shd w:val="clear" w:color="auto" w:fill="auto"/>
            <w:vAlign w:val="center"/>
          </w:tcPr>
          <w:p w14:paraId="355C5677">
            <w:pPr>
              <w:pStyle w:val="19"/>
              <w:bidi w:val="0"/>
              <w:rPr>
                <w:rFonts w:hint="eastAsia"/>
                <w:color w:val="auto"/>
              </w:rPr>
            </w:pPr>
            <w:r>
              <w:rPr>
                <w:rFonts w:hint="eastAsia"/>
                <w:color w:val="auto"/>
              </w:rPr>
              <w:t>100KVA</w:t>
            </w:r>
          </w:p>
        </w:tc>
        <w:tc>
          <w:tcPr>
            <w:tcW w:w="1025" w:type="pct"/>
            <w:shd w:val="clear" w:color="auto" w:fill="auto"/>
            <w:vAlign w:val="center"/>
          </w:tcPr>
          <w:p w14:paraId="326DD53F">
            <w:pPr>
              <w:pStyle w:val="19"/>
              <w:bidi w:val="0"/>
              <w:rPr>
                <w:rFonts w:hint="eastAsia"/>
                <w:color w:val="auto"/>
              </w:rPr>
            </w:pPr>
            <w:r>
              <w:rPr>
                <w:rFonts w:hint="eastAsia"/>
                <w:color w:val="auto"/>
              </w:rPr>
              <w:t>1台</w:t>
            </w:r>
          </w:p>
        </w:tc>
      </w:tr>
      <w:tr w14:paraId="0074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0" w:hRule="atLeast"/>
          <w:tblHeader/>
          <w:jc w:val="center"/>
        </w:trPr>
        <w:tc>
          <w:tcPr>
            <w:tcW w:w="418" w:type="pct"/>
            <w:shd w:val="clear" w:color="auto" w:fill="auto"/>
            <w:vAlign w:val="center"/>
          </w:tcPr>
          <w:p w14:paraId="572B993D">
            <w:pPr>
              <w:pStyle w:val="19"/>
              <w:bidi w:val="0"/>
              <w:rPr>
                <w:rFonts w:hint="eastAsia"/>
                <w:color w:val="auto"/>
              </w:rPr>
            </w:pPr>
            <w:r>
              <w:rPr>
                <w:rFonts w:hint="eastAsia"/>
                <w:color w:val="auto"/>
              </w:rPr>
              <w:t>3</w:t>
            </w:r>
          </w:p>
        </w:tc>
        <w:tc>
          <w:tcPr>
            <w:tcW w:w="1757" w:type="pct"/>
            <w:shd w:val="clear" w:color="auto" w:fill="auto"/>
            <w:vAlign w:val="center"/>
          </w:tcPr>
          <w:p w14:paraId="3EA29493">
            <w:pPr>
              <w:pStyle w:val="19"/>
              <w:bidi w:val="0"/>
              <w:rPr>
                <w:rFonts w:hint="eastAsia"/>
                <w:color w:val="auto"/>
              </w:rPr>
            </w:pPr>
            <w:r>
              <w:rPr>
                <w:rFonts w:hint="eastAsia"/>
                <w:color w:val="auto"/>
              </w:rPr>
              <w:t>变压器</w:t>
            </w:r>
          </w:p>
        </w:tc>
        <w:tc>
          <w:tcPr>
            <w:tcW w:w="1800" w:type="pct"/>
            <w:shd w:val="clear" w:color="auto" w:fill="auto"/>
            <w:vAlign w:val="center"/>
          </w:tcPr>
          <w:p w14:paraId="7E2A95F4">
            <w:pPr>
              <w:pStyle w:val="19"/>
              <w:bidi w:val="0"/>
              <w:rPr>
                <w:rFonts w:hint="eastAsia"/>
                <w:color w:val="auto"/>
              </w:rPr>
            </w:pPr>
            <w:r>
              <w:rPr>
                <w:rFonts w:hint="eastAsia"/>
                <w:color w:val="auto"/>
              </w:rPr>
              <w:t>315KVA</w:t>
            </w:r>
          </w:p>
        </w:tc>
        <w:tc>
          <w:tcPr>
            <w:tcW w:w="1025" w:type="pct"/>
            <w:shd w:val="clear" w:color="auto" w:fill="auto"/>
            <w:vAlign w:val="center"/>
          </w:tcPr>
          <w:p w14:paraId="42C7A794">
            <w:pPr>
              <w:pStyle w:val="19"/>
              <w:bidi w:val="0"/>
              <w:rPr>
                <w:rFonts w:hint="eastAsia"/>
                <w:color w:val="auto"/>
              </w:rPr>
            </w:pPr>
            <w:r>
              <w:rPr>
                <w:rFonts w:hint="eastAsia"/>
                <w:color w:val="auto"/>
              </w:rPr>
              <w:t>1台</w:t>
            </w:r>
          </w:p>
        </w:tc>
      </w:tr>
      <w:tr w14:paraId="48F68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418" w:type="pct"/>
            <w:shd w:val="clear" w:color="auto" w:fill="auto"/>
            <w:vAlign w:val="center"/>
          </w:tcPr>
          <w:p w14:paraId="176ABC31">
            <w:pPr>
              <w:pStyle w:val="19"/>
              <w:bidi w:val="0"/>
              <w:rPr>
                <w:rFonts w:hint="eastAsia"/>
                <w:color w:val="auto"/>
              </w:rPr>
            </w:pPr>
            <w:r>
              <w:rPr>
                <w:rFonts w:hint="eastAsia"/>
                <w:color w:val="auto"/>
              </w:rPr>
              <w:t>4</w:t>
            </w:r>
          </w:p>
        </w:tc>
        <w:tc>
          <w:tcPr>
            <w:tcW w:w="1757" w:type="pct"/>
            <w:shd w:val="clear" w:color="auto" w:fill="auto"/>
            <w:vAlign w:val="center"/>
          </w:tcPr>
          <w:p w14:paraId="74C25CD2">
            <w:pPr>
              <w:pStyle w:val="19"/>
              <w:bidi w:val="0"/>
              <w:rPr>
                <w:rFonts w:hint="eastAsia"/>
                <w:color w:val="auto"/>
              </w:rPr>
            </w:pPr>
            <w:r>
              <w:rPr>
                <w:rFonts w:hint="eastAsia"/>
                <w:color w:val="auto"/>
              </w:rPr>
              <w:t>变压器</w:t>
            </w:r>
          </w:p>
        </w:tc>
        <w:tc>
          <w:tcPr>
            <w:tcW w:w="1800" w:type="pct"/>
            <w:shd w:val="clear" w:color="auto" w:fill="auto"/>
            <w:vAlign w:val="center"/>
          </w:tcPr>
          <w:p w14:paraId="5F6FD265">
            <w:pPr>
              <w:pStyle w:val="19"/>
              <w:bidi w:val="0"/>
              <w:rPr>
                <w:rFonts w:hint="eastAsia"/>
                <w:color w:val="auto"/>
              </w:rPr>
            </w:pPr>
            <w:r>
              <w:rPr>
                <w:rFonts w:hint="eastAsia"/>
                <w:color w:val="auto"/>
              </w:rPr>
              <w:t>80KVA</w:t>
            </w:r>
          </w:p>
        </w:tc>
        <w:tc>
          <w:tcPr>
            <w:tcW w:w="1025" w:type="pct"/>
            <w:shd w:val="clear" w:color="auto" w:fill="auto"/>
            <w:vAlign w:val="center"/>
          </w:tcPr>
          <w:p w14:paraId="5FE756B7">
            <w:pPr>
              <w:pStyle w:val="19"/>
              <w:bidi w:val="0"/>
              <w:rPr>
                <w:rFonts w:hint="eastAsia"/>
                <w:color w:val="auto"/>
              </w:rPr>
            </w:pPr>
            <w:r>
              <w:rPr>
                <w:rFonts w:hint="eastAsia"/>
                <w:color w:val="auto"/>
              </w:rPr>
              <w:t>1台</w:t>
            </w:r>
          </w:p>
        </w:tc>
      </w:tr>
      <w:tr w14:paraId="50E18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418" w:type="pct"/>
            <w:shd w:val="clear" w:color="auto" w:fill="auto"/>
            <w:vAlign w:val="center"/>
          </w:tcPr>
          <w:p w14:paraId="345EAE0A">
            <w:pPr>
              <w:pStyle w:val="19"/>
              <w:bidi w:val="0"/>
              <w:rPr>
                <w:rFonts w:hint="eastAsia"/>
                <w:color w:val="auto"/>
              </w:rPr>
            </w:pPr>
            <w:r>
              <w:rPr>
                <w:rFonts w:hint="eastAsia"/>
                <w:color w:val="auto"/>
              </w:rPr>
              <w:t>5</w:t>
            </w:r>
          </w:p>
        </w:tc>
        <w:tc>
          <w:tcPr>
            <w:tcW w:w="1757" w:type="pct"/>
            <w:shd w:val="clear" w:color="auto" w:fill="auto"/>
            <w:vAlign w:val="center"/>
          </w:tcPr>
          <w:p w14:paraId="2F47880E">
            <w:pPr>
              <w:pStyle w:val="19"/>
              <w:bidi w:val="0"/>
              <w:rPr>
                <w:rFonts w:hint="eastAsia"/>
                <w:color w:val="auto"/>
              </w:rPr>
            </w:pPr>
            <w:r>
              <w:rPr>
                <w:rFonts w:hint="eastAsia"/>
                <w:color w:val="auto"/>
              </w:rPr>
              <w:t>装载机</w:t>
            </w:r>
          </w:p>
        </w:tc>
        <w:tc>
          <w:tcPr>
            <w:tcW w:w="1800" w:type="pct"/>
            <w:shd w:val="clear" w:color="auto" w:fill="auto"/>
            <w:vAlign w:val="center"/>
          </w:tcPr>
          <w:p w14:paraId="663B536E">
            <w:pPr>
              <w:pStyle w:val="19"/>
              <w:bidi w:val="0"/>
              <w:rPr>
                <w:rFonts w:hint="eastAsia"/>
                <w:color w:val="auto"/>
              </w:rPr>
            </w:pPr>
            <w:r>
              <w:rPr>
                <w:rFonts w:hint="eastAsia"/>
                <w:color w:val="auto"/>
              </w:rPr>
              <w:t>LC50</w:t>
            </w:r>
          </w:p>
        </w:tc>
        <w:tc>
          <w:tcPr>
            <w:tcW w:w="1025" w:type="pct"/>
            <w:shd w:val="clear" w:color="auto" w:fill="auto"/>
            <w:vAlign w:val="center"/>
          </w:tcPr>
          <w:p w14:paraId="0CFC94B5">
            <w:pPr>
              <w:pStyle w:val="19"/>
              <w:bidi w:val="0"/>
              <w:rPr>
                <w:rFonts w:hint="eastAsia"/>
                <w:color w:val="auto"/>
              </w:rPr>
            </w:pPr>
            <w:r>
              <w:rPr>
                <w:rFonts w:hint="eastAsia"/>
                <w:color w:val="auto"/>
              </w:rPr>
              <w:t>3台</w:t>
            </w:r>
          </w:p>
        </w:tc>
      </w:tr>
      <w:bookmarkEnd w:id="92"/>
    </w:tbl>
    <w:p w14:paraId="229690DD">
      <w:pPr>
        <w:pStyle w:val="4"/>
        <w:bidi w:val="0"/>
        <w:rPr>
          <w:color w:val="auto"/>
        </w:rPr>
      </w:pPr>
      <w:bookmarkStart w:id="93" w:name="_Toc20490"/>
      <w:r>
        <w:rPr>
          <w:rFonts w:hint="eastAsia"/>
          <w:color w:val="auto"/>
          <w:lang w:val="en-US" w:eastAsia="zh-CN"/>
        </w:rPr>
        <w:t xml:space="preserve">2.5.4 </w:t>
      </w:r>
      <w:r>
        <w:rPr>
          <w:rFonts w:hint="eastAsia"/>
          <w:color w:val="auto"/>
        </w:rPr>
        <w:t>厂房布置和设备配置</w:t>
      </w:r>
      <w:bookmarkEnd w:id="93"/>
    </w:p>
    <w:p w14:paraId="6607A607">
      <w:pPr>
        <w:bidi w:val="0"/>
        <w:rPr>
          <w:rFonts w:hint="eastAsia"/>
          <w:color w:val="auto"/>
        </w:rPr>
      </w:pPr>
      <w:r>
        <w:rPr>
          <w:rFonts w:hint="eastAsia"/>
          <w:color w:val="auto"/>
          <w:lang w:val="en-US" w:eastAsia="zh-CN"/>
        </w:rPr>
        <w:t>1、</w:t>
      </w:r>
      <w:r>
        <w:rPr>
          <w:rFonts w:hint="eastAsia"/>
          <w:color w:val="auto"/>
        </w:rPr>
        <w:t>车间组成</w:t>
      </w:r>
    </w:p>
    <w:p w14:paraId="79B12C1A">
      <w:pPr>
        <w:bidi w:val="0"/>
        <w:rPr>
          <w:color w:val="auto"/>
        </w:rPr>
      </w:pPr>
      <w:r>
        <w:rPr>
          <w:rFonts w:hint="eastAsia"/>
          <w:color w:val="auto"/>
        </w:rPr>
        <w:t>选厂由</w:t>
      </w:r>
      <w:r>
        <w:rPr>
          <w:rFonts w:hint="eastAsia"/>
          <w:color w:val="auto"/>
          <w:lang w:val="en-US" w:eastAsia="zh-CN"/>
        </w:rPr>
        <w:t>选矿车间</w:t>
      </w:r>
      <w:r>
        <w:rPr>
          <w:rFonts w:hint="eastAsia"/>
          <w:color w:val="auto"/>
        </w:rPr>
        <w:t>、烘干车间等组成。</w:t>
      </w:r>
    </w:p>
    <w:p w14:paraId="7C1CC1C8">
      <w:pPr>
        <w:bidi w:val="0"/>
        <w:rPr>
          <w:rFonts w:hint="eastAsia"/>
          <w:color w:val="auto"/>
        </w:rPr>
      </w:pPr>
      <w:r>
        <w:rPr>
          <w:rFonts w:hint="eastAsia"/>
          <w:color w:val="auto"/>
          <w:lang w:val="en-US" w:eastAsia="zh-CN"/>
        </w:rPr>
        <w:t>2、</w:t>
      </w:r>
      <w:r>
        <w:rPr>
          <w:rFonts w:hint="eastAsia"/>
          <w:color w:val="auto"/>
        </w:rPr>
        <w:t>厂房布置</w:t>
      </w:r>
    </w:p>
    <w:p w14:paraId="6DCB90C5">
      <w:pPr>
        <w:bidi w:val="0"/>
        <w:rPr>
          <w:color w:val="auto"/>
        </w:rPr>
      </w:pPr>
      <w:r>
        <w:rPr>
          <w:rFonts w:hint="eastAsia"/>
          <w:color w:val="auto"/>
        </w:rPr>
        <w:t>武定县花果箐钛矿采选厂项目为技改扩建项目，拆除厂房原有老旧设备及厂房，设备全部外购，厂房重建。该生产线分级车间、重选车间、磨矿车间、磁选车间、脱水车间全部采用台阶式布置。</w:t>
      </w:r>
    </w:p>
    <w:p w14:paraId="74083DDD">
      <w:pPr>
        <w:bidi w:val="0"/>
        <w:rPr>
          <w:rFonts w:hint="eastAsia"/>
          <w:color w:val="auto"/>
        </w:rPr>
      </w:pPr>
      <w:r>
        <w:rPr>
          <w:rFonts w:hint="eastAsia"/>
          <w:color w:val="auto"/>
          <w:lang w:val="en-US" w:eastAsia="zh-CN"/>
        </w:rPr>
        <w:t>3、</w:t>
      </w:r>
      <w:r>
        <w:rPr>
          <w:rFonts w:hint="eastAsia"/>
          <w:color w:val="auto"/>
        </w:rPr>
        <w:t>设备配置</w:t>
      </w:r>
    </w:p>
    <w:p w14:paraId="20FDD6E8">
      <w:pPr>
        <w:bidi w:val="0"/>
        <w:rPr>
          <w:rFonts w:hint="eastAsia"/>
          <w:color w:val="auto"/>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rPr>
        <w:t>各厂房单独配置。</w:t>
      </w:r>
    </w:p>
    <w:p w14:paraId="7DEDC8E6">
      <w:pPr>
        <w:bidi w:val="0"/>
        <w:rPr>
          <w:rFonts w:hint="eastAsia"/>
          <w:color w:val="auto"/>
        </w:rPr>
      </w:pPr>
      <w:r>
        <w:rPr>
          <w:rFonts w:hint="eastAsia"/>
          <w:color w:val="auto"/>
          <w:lang w:eastAsia="zh-CN"/>
        </w:rPr>
        <w:t>（</w:t>
      </w:r>
      <w:r>
        <w:rPr>
          <w:rFonts w:hint="eastAsia"/>
          <w:color w:val="auto"/>
          <w:lang w:val="en-US" w:eastAsia="zh-CN"/>
        </w:rPr>
        <w:t>2</w:t>
      </w:r>
      <w:r>
        <w:rPr>
          <w:rFonts w:hint="eastAsia"/>
          <w:color w:val="auto"/>
          <w:lang w:eastAsia="zh-CN"/>
        </w:rPr>
        <w:t>）</w:t>
      </w:r>
      <w:r>
        <w:rPr>
          <w:rFonts w:hint="eastAsia"/>
          <w:color w:val="auto"/>
          <w:lang w:val="en-US" w:eastAsia="zh-CN"/>
        </w:rPr>
        <w:t>选矿</w:t>
      </w:r>
      <w:r>
        <w:rPr>
          <w:rFonts w:hint="eastAsia"/>
          <w:color w:val="auto"/>
        </w:rPr>
        <w:t>车间由高频脱水筛</w:t>
      </w:r>
      <w:r>
        <w:rPr>
          <w:rFonts w:hint="eastAsia"/>
          <w:color w:val="auto"/>
          <w:lang w:eastAsia="zh-CN"/>
        </w:rPr>
        <w:t>、</w:t>
      </w:r>
      <w:r>
        <w:rPr>
          <w:rFonts w:hint="eastAsia"/>
          <w:color w:val="auto"/>
        </w:rPr>
        <w:t>摇床、螺旋溜槽、球磨机等组成，设置检修场地。各重选设备之间紧密联系，矿浆自流，合理利用厂房，便于给料、操作及检修，重选车间精矿、尾矿分别通过泵送至精矿脱水设备和尾矿脱水设备。精矿脱水采用平板式反冲沉淀罐+过滤两段脱水。</w:t>
      </w:r>
    </w:p>
    <w:p w14:paraId="1F42BA7C">
      <w:pPr>
        <w:bidi w:val="0"/>
        <w:rPr>
          <w:rFonts w:hint="eastAsia"/>
          <w:color w:val="auto"/>
        </w:rPr>
      </w:pPr>
      <w:r>
        <w:rPr>
          <w:rFonts w:hint="eastAsia"/>
          <w:color w:val="auto"/>
          <w:lang w:eastAsia="zh-CN"/>
        </w:rPr>
        <w:t>（</w:t>
      </w:r>
      <w:r>
        <w:rPr>
          <w:rFonts w:hint="eastAsia"/>
          <w:color w:val="auto"/>
          <w:lang w:val="en-US" w:eastAsia="zh-CN"/>
        </w:rPr>
        <w:t>3</w:t>
      </w:r>
      <w:r>
        <w:rPr>
          <w:rFonts w:hint="eastAsia"/>
          <w:color w:val="auto"/>
          <w:lang w:eastAsia="zh-CN"/>
        </w:rPr>
        <w:t>）</w:t>
      </w:r>
      <w:r>
        <w:rPr>
          <w:rFonts w:hint="eastAsia"/>
          <w:color w:val="auto"/>
        </w:rPr>
        <w:t>钛精矿</w:t>
      </w:r>
      <w:r>
        <w:rPr>
          <w:rFonts w:hint="eastAsia"/>
          <w:color w:val="auto"/>
          <w:lang w:val="en-US" w:eastAsia="zh-CN"/>
        </w:rPr>
        <w:t>采用回转窑烘干，烘干燃料为生物颗粒。</w:t>
      </w:r>
      <w:r>
        <w:rPr>
          <w:rFonts w:hint="eastAsia"/>
          <w:color w:val="auto"/>
        </w:rPr>
        <w:t>尾矿输送采用管道泵送至浓缩机。</w:t>
      </w:r>
    </w:p>
    <w:p w14:paraId="5163FC59">
      <w:pPr>
        <w:pStyle w:val="4"/>
        <w:bidi w:val="0"/>
        <w:rPr>
          <w:rFonts w:hint="eastAsia"/>
          <w:color w:val="auto"/>
        </w:rPr>
      </w:pPr>
      <w:bookmarkStart w:id="94" w:name="_Toc122"/>
      <w:r>
        <w:rPr>
          <w:rFonts w:hint="eastAsia"/>
          <w:color w:val="auto"/>
          <w:lang w:val="en-US" w:eastAsia="zh-CN"/>
        </w:rPr>
        <w:t xml:space="preserve">2.5.5 </w:t>
      </w:r>
      <w:r>
        <w:rPr>
          <w:rFonts w:hint="eastAsia"/>
          <w:color w:val="auto"/>
        </w:rPr>
        <w:t>选矿厂装备水平及自动化</w:t>
      </w:r>
      <w:bookmarkEnd w:id="94"/>
    </w:p>
    <w:p w14:paraId="1FB7A316">
      <w:pPr>
        <w:bidi w:val="0"/>
        <w:rPr>
          <w:color w:val="auto"/>
        </w:rPr>
      </w:pPr>
      <w:r>
        <w:rPr>
          <w:rFonts w:hint="eastAsia"/>
          <w:color w:val="auto"/>
          <w:lang w:val="en-US" w:eastAsia="zh-CN"/>
        </w:rPr>
        <w:t>本项目</w:t>
      </w:r>
      <w:r>
        <w:rPr>
          <w:rFonts w:hint="eastAsia"/>
          <w:color w:val="auto"/>
        </w:rPr>
        <w:t>选厂是装备水平较高的小型钛铁矿选矿厂，在选厂的各生产环节：分级、重选、磨矿、脱水等均采用大型设备，并按照生产要求及规范设置各车间检修设备。选厂具有一定的自动化控制水平。</w:t>
      </w:r>
    </w:p>
    <w:p w14:paraId="55C88909">
      <w:pPr>
        <w:pStyle w:val="4"/>
        <w:bidi w:val="0"/>
        <w:rPr>
          <w:rFonts w:hint="eastAsia"/>
          <w:color w:val="auto"/>
        </w:rPr>
      </w:pPr>
      <w:bookmarkStart w:id="95" w:name="_Toc23825"/>
      <w:r>
        <w:rPr>
          <w:rFonts w:hint="eastAsia"/>
          <w:color w:val="auto"/>
          <w:lang w:val="en-US" w:eastAsia="zh-CN"/>
        </w:rPr>
        <w:t>2.5.6</w:t>
      </w:r>
      <w:r>
        <w:rPr>
          <w:rFonts w:hint="eastAsia"/>
          <w:color w:val="auto"/>
        </w:rPr>
        <w:t xml:space="preserve"> 辅助设施</w:t>
      </w:r>
      <w:bookmarkEnd w:id="95"/>
    </w:p>
    <w:p w14:paraId="075B5507">
      <w:pPr>
        <w:bidi w:val="0"/>
        <w:rPr>
          <w:rFonts w:hint="eastAsia"/>
          <w:color w:val="auto"/>
        </w:rPr>
      </w:pPr>
      <w:r>
        <w:rPr>
          <w:rFonts w:hint="eastAsia"/>
          <w:color w:val="auto"/>
          <w:lang w:val="en-US" w:eastAsia="zh-CN"/>
        </w:rPr>
        <w:t>1、</w:t>
      </w:r>
      <w:r>
        <w:rPr>
          <w:rFonts w:hint="eastAsia"/>
          <w:color w:val="auto"/>
        </w:rPr>
        <w:t>矿仓容积及储存时间</w:t>
      </w:r>
    </w:p>
    <w:p w14:paraId="1AED26AA">
      <w:pPr>
        <w:bidi w:val="0"/>
        <w:rPr>
          <w:rFonts w:hint="eastAsia"/>
          <w:color w:val="auto"/>
        </w:rPr>
      </w:pPr>
      <w:r>
        <w:rPr>
          <w:rFonts w:hint="eastAsia"/>
          <w:color w:val="auto"/>
        </w:rPr>
        <w:t>钛精矿、铁精矿设置堆存车间，精矿车间为90×18×4m（按照堆高），满足堆存时间要求。</w:t>
      </w:r>
    </w:p>
    <w:p w14:paraId="1AFBB46C">
      <w:pPr>
        <w:bidi w:val="0"/>
        <w:rPr>
          <w:rFonts w:hint="eastAsia"/>
          <w:color w:val="auto"/>
        </w:rPr>
      </w:pPr>
      <w:r>
        <w:rPr>
          <w:rFonts w:hint="eastAsia"/>
          <w:color w:val="auto"/>
          <w:lang w:val="en-US" w:eastAsia="zh-CN"/>
        </w:rPr>
        <w:t>2、</w:t>
      </w:r>
      <w:r>
        <w:rPr>
          <w:rFonts w:hint="eastAsia"/>
          <w:color w:val="auto"/>
        </w:rPr>
        <w:t>通风除尘</w:t>
      </w:r>
    </w:p>
    <w:p w14:paraId="246F05D5">
      <w:pPr>
        <w:bidi w:val="0"/>
        <w:rPr>
          <w:color w:val="auto"/>
        </w:rPr>
      </w:pPr>
      <w:r>
        <w:rPr>
          <w:rFonts w:hint="eastAsia"/>
          <w:color w:val="auto"/>
        </w:rPr>
        <w:t>不单独设置除尘设施，车间采用自然通风降尘。</w:t>
      </w:r>
    </w:p>
    <w:p w14:paraId="2077D3D8">
      <w:pPr>
        <w:pStyle w:val="4"/>
        <w:bidi w:val="0"/>
        <w:rPr>
          <w:rFonts w:hint="eastAsia"/>
          <w:color w:val="auto"/>
        </w:rPr>
      </w:pPr>
      <w:bookmarkStart w:id="96" w:name="_Toc8903"/>
      <w:r>
        <w:rPr>
          <w:rFonts w:hint="eastAsia"/>
          <w:color w:val="auto"/>
          <w:lang w:val="en-US" w:eastAsia="zh-CN"/>
        </w:rPr>
        <w:t xml:space="preserve">2.5.7 </w:t>
      </w:r>
      <w:r>
        <w:rPr>
          <w:rFonts w:hint="eastAsia"/>
          <w:color w:val="auto"/>
        </w:rPr>
        <w:t>其他设施</w:t>
      </w:r>
      <w:bookmarkEnd w:id="96"/>
    </w:p>
    <w:p w14:paraId="6E0A00A8">
      <w:pPr>
        <w:bidi w:val="0"/>
        <w:rPr>
          <w:color w:val="auto"/>
        </w:rPr>
      </w:pPr>
      <w:r>
        <w:rPr>
          <w:rFonts w:hint="eastAsia"/>
          <w:color w:val="auto"/>
        </w:rPr>
        <w:t>选矿厂的其它辅助设施均利用原有设施。</w:t>
      </w:r>
    </w:p>
    <w:p w14:paraId="1A5C6247">
      <w:pPr>
        <w:pStyle w:val="3"/>
        <w:bidi w:val="0"/>
        <w:rPr>
          <w:rFonts w:hint="eastAsia"/>
          <w:color w:val="auto"/>
        </w:rPr>
      </w:pPr>
      <w:bookmarkStart w:id="97" w:name="_Toc4009"/>
      <w:r>
        <w:rPr>
          <w:rFonts w:hint="eastAsia"/>
          <w:color w:val="auto"/>
        </w:rPr>
        <w:t>2.6 总图运输</w:t>
      </w:r>
      <w:bookmarkEnd w:id="97"/>
    </w:p>
    <w:p w14:paraId="7347DDA2">
      <w:pPr>
        <w:pStyle w:val="4"/>
        <w:bidi w:val="0"/>
        <w:rPr>
          <w:color w:val="auto"/>
        </w:rPr>
      </w:pPr>
      <w:bookmarkStart w:id="98" w:name="_Toc23975"/>
      <w:r>
        <w:rPr>
          <w:rFonts w:hint="eastAsia"/>
          <w:color w:val="auto"/>
        </w:rPr>
        <w:t>2.6.1 总平面布置</w:t>
      </w:r>
      <w:bookmarkEnd w:id="98"/>
    </w:p>
    <w:p w14:paraId="02E5B239">
      <w:pPr>
        <w:bidi w:val="0"/>
        <w:rPr>
          <w:color w:val="auto"/>
        </w:rPr>
      </w:pPr>
      <w:r>
        <w:rPr>
          <w:rFonts w:hint="eastAsia"/>
          <w:color w:val="auto"/>
        </w:rPr>
        <w:t>1、平面布置</w:t>
      </w:r>
    </w:p>
    <w:p w14:paraId="75E0B892">
      <w:pPr>
        <w:bidi w:val="0"/>
        <w:rPr>
          <w:rFonts w:hint="eastAsia"/>
          <w:color w:val="auto"/>
        </w:rPr>
      </w:pPr>
      <w:r>
        <w:rPr>
          <w:rFonts w:hint="eastAsia"/>
          <w:color w:val="auto"/>
        </w:rPr>
        <w:t>选矿厂采用纵例式分台阶布置，将各生产车间依次由高到低布置，沿选厂主要场地布置有主干道。原矿磨矿后由管道送入选厂各作业，分级后进入重选、磁选系统，再经浓缩、脱水获得精矿、尾矿。</w:t>
      </w:r>
    </w:p>
    <w:p w14:paraId="58956314">
      <w:pPr>
        <w:bidi w:val="0"/>
        <w:rPr>
          <w:rFonts w:hint="eastAsia"/>
          <w:color w:val="auto"/>
        </w:rPr>
      </w:pPr>
      <w:r>
        <w:rPr>
          <w:rFonts w:hint="eastAsia"/>
          <w:color w:val="auto"/>
        </w:rPr>
        <w:t>将高位水池布置在厂区高处，高位水池场地较为平缓。</w:t>
      </w:r>
    </w:p>
    <w:p w14:paraId="3395A484">
      <w:pPr>
        <w:bidi w:val="0"/>
        <w:rPr>
          <w:rFonts w:hint="eastAsia"/>
          <w:color w:val="auto"/>
        </w:rPr>
      </w:pPr>
      <w:r>
        <w:rPr>
          <w:rFonts w:hint="eastAsia"/>
          <w:color w:val="auto"/>
        </w:rPr>
        <w:t>供配电设施靠近用电负荷中心布置。</w:t>
      </w:r>
    </w:p>
    <w:p w14:paraId="5D7D13BC">
      <w:pPr>
        <w:bidi w:val="0"/>
        <w:rPr>
          <w:rFonts w:hint="eastAsia"/>
          <w:color w:val="auto"/>
        </w:rPr>
      </w:pPr>
      <w:r>
        <w:rPr>
          <w:rFonts w:hint="eastAsia"/>
          <w:color w:val="auto"/>
        </w:rPr>
        <w:t>生活办公区为选厂已有工程，集中布置在选厂平缓地段。</w:t>
      </w:r>
    </w:p>
    <w:p w14:paraId="49F16E16">
      <w:pPr>
        <w:bidi w:val="0"/>
        <w:rPr>
          <w:rFonts w:hint="eastAsia"/>
          <w:color w:val="auto"/>
        </w:rPr>
      </w:pPr>
      <w:r>
        <w:rPr>
          <w:rFonts w:hint="eastAsia"/>
          <w:color w:val="auto"/>
          <w:lang w:val="en-US" w:eastAsia="zh-CN"/>
        </w:rPr>
        <w:t>2、</w:t>
      </w:r>
      <w:r>
        <w:rPr>
          <w:rFonts w:hint="eastAsia"/>
          <w:color w:val="auto"/>
        </w:rPr>
        <w:t>竖向布置</w:t>
      </w:r>
    </w:p>
    <w:p w14:paraId="3ECEFFE4">
      <w:pPr>
        <w:bidi w:val="0"/>
        <w:rPr>
          <w:rFonts w:hint="eastAsia"/>
          <w:color w:val="auto"/>
        </w:rPr>
      </w:pPr>
      <w:r>
        <w:rPr>
          <w:rFonts w:hint="eastAsia"/>
          <w:color w:val="auto"/>
        </w:rPr>
        <w:t>本项目主要由分级车间、重选车间、磨矿车间、磁选车间、脱水车间、烘干车间等组成，各平台场地标高分别为：</w:t>
      </w:r>
    </w:p>
    <w:p w14:paraId="15714800">
      <w:pPr>
        <w:bidi w:val="0"/>
        <w:rPr>
          <w:rFonts w:hint="eastAsia"/>
          <w:color w:val="auto"/>
        </w:rPr>
      </w:pPr>
      <w:r>
        <w:rPr>
          <w:rFonts w:hint="eastAsia"/>
          <w:color w:val="auto"/>
        </w:rPr>
        <w:t>分级车间：分级车间设备平台标高1734m。</w:t>
      </w:r>
    </w:p>
    <w:p w14:paraId="398E598E">
      <w:pPr>
        <w:bidi w:val="0"/>
        <w:rPr>
          <w:rFonts w:hint="eastAsia"/>
          <w:color w:val="auto"/>
        </w:rPr>
      </w:pPr>
      <w:r>
        <w:rPr>
          <w:rFonts w:hint="eastAsia"/>
          <w:color w:val="auto"/>
        </w:rPr>
        <w:t>重选车间：场地标高1730m。</w:t>
      </w:r>
    </w:p>
    <w:p w14:paraId="528619B5">
      <w:pPr>
        <w:bidi w:val="0"/>
        <w:rPr>
          <w:rFonts w:hint="eastAsia"/>
          <w:color w:val="auto"/>
        </w:rPr>
      </w:pPr>
      <w:r>
        <w:rPr>
          <w:rFonts w:hint="eastAsia"/>
          <w:color w:val="auto"/>
        </w:rPr>
        <w:t>磨矿车间：磨矿车间场地标高1730m。</w:t>
      </w:r>
    </w:p>
    <w:p w14:paraId="2625BEC4">
      <w:pPr>
        <w:bidi w:val="0"/>
        <w:rPr>
          <w:rFonts w:hint="eastAsia"/>
          <w:color w:val="auto"/>
        </w:rPr>
      </w:pPr>
      <w:r>
        <w:rPr>
          <w:rFonts w:hint="eastAsia"/>
          <w:color w:val="auto"/>
        </w:rPr>
        <w:t>磁选车间：场地标高1735m。</w:t>
      </w:r>
    </w:p>
    <w:p w14:paraId="0A8B14E4">
      <w:pPr>
        <w:bidi w:val="0"/>
        <w:rPr>
          <w:rFonts w:hint="eastAsia"/>
          <w:color w:val="auto"/>
        </w:rPr>
      </w:pPr>
      <w:r>
        <w:rPr>
          <w:rFonts w:hint="eastAsia"/>
          <w:color w:val="auto"/>
        </w:rPr>
        <w:t>脱水车间：场地标高1710m。</w:t>
      </w:r>
    </w:p>
    <w:p w14:paraId="231A8009">
      <w:pPr>
        <w:bidi w:val="0"/>
        <w:rPr>
          <w:rFonts w:hint="eastAsia"/>
          <w:color w:val="auto"/>
        </w:rPr>
      </w:pPr>
      <w:r>
        <w:rPr>
          <w:rFonts w:hint="eastAsia"/>
          <w:color w:val="auto"/>
        </w:rPr>
        <w:t>烘干车间：场地标高1732m。</w:t>
      </w:r>
    </w:p>
    <w:p w14:paraId="51AEED7F">
      <w:pPr>
        <w:bidi w:val="0"/>
        <w:rPr>
          <w:color w:val="auto"/>
        </w:rPr>
      </w:pPr>
      <w:r>
        <w:rPr>
          <w:rFonts w:hint="eastAsia"/>
          <w:color w:val="auto"/>
        </w:rPr>
        <w:t>辅助设施：选厂回水高位水池池底标高为1745m。其它辅助设施：地磅、地磅房位于选厂精矿堆存附近。</w:t>
      </w:r>
    </w:p>
    <w:p w14:paraId="189D279C">
      <w:pPr>
        <w:bidi w:val="0"/>
        <w:rPr>
          <w:rFonts w:hint="eastAsia"/>
          <w:color w:val="auto"/>
        </w:rPr>
      </w:pPr>
      <w:r>
        <w:rPr>
          <w:rFonts w:hint="eastAsia"/>
          <w:color w:val="auto"/>
          <w:lang w:val="en-US" w:eastAsia="zh-CN"/>
        </w:rPr>
        <w:t>3、</w:t>
      </w:r>
      <w:r>
        <w:rPr>
          <w:rFonts w:hint="eastAsia"/>
          <w:color w:val="auto"/>
        </w:rPr>
        <w:t>场地排水</w:t>
      </w:r>
    </w:p>
    <w:p w14:paraId="24797A21">
      <w:pPr>
        <w:bidi w:val="0"/>
        <w:rPr>
          <w:color w:val="auto"/>
        </w:rPr>
      </w:pPr>
      <w:r>
        <w:rPr>
          <w:rFonts w:hint="eastAsia"/>
          <w:color w:val="auto"/>
        </w:rPr>
        <w:t>厂区利用公路水沟以及厂区周边的截洪沟作为排水工程，现有排水工程能满足选厂排水需求。各车间平台修建的排水沟接入干道排水沟，最终汇入公路边沟排出。</w:t>
      </w:r>
    </w:p>
    <w:p w14:paraId="7502C930">
      <w:pPr>
        <w:bidi w:val="0"/>
        <w:rPr>
          <w:rFonts w:hint="eastAsia"/>
          <w:color w:val="auto"/>
        </w:rPr>
      </w:pPr>
      <w:r>
        <w:rPr>
          <w:rFonts w:hint="eastAsia"/>
          <w:color w:val="auto"/>
          <w:lang w:val="en-US" w:eastAsia="zh-CN"/>
        </w:rPr>
        <w:t>4、</w:t>
      </w:r>
      <w:r>
        <w:rPr>
          <w:rFonts w:hint="eastAsia"/>
          <w:color w:val="auto"/>
        </w:rPr>
        <w:t>边坡的防护型式</w:t>
      </w:r>
    </w:p>
    <w:p w14:paraId="0F18AD52">
      <w:pPr>
        <w:bidi w:val="0"/>
        <w:rPr>
          <w:color w:val="auto"/>
        </w:rPr>
      </w:pPr>
      <w:r>
        <w:rPr>
          <w:rFonts w:hint="eastAsia"/>
          <w:color w:val="auto"/>
        </w:rPr>
        <w:t>场地内的挖方边坡，高度8m以内采用重力式挡土墙或者桩板式抗滑挡墙等支护措施，高度超过8m采用桩板式抗滑挡墙、锚索框格梁加固等支护措施。同时，作好坡面排水、地下排水和减少坡面水下渗等排水措施，同时尽量避开雨季施工。</w:t>
      </w:r>
    </w:p>
    <w:p w14:paraId="61337750">
      <w:pPr>
        <w:pStyle w:val="4"/>
        <w:bidi w:val="0"/>
        <w:rPr>
          <w:color w:val="auto"/>
        </w:rPr>
      </w:pPr>
      <w:bookmarkStart w:id="99" w:name="_Toc2480"/>
      <w:r>
        <w:rPr>
          <w:rFonts w:hint="eastAsia"/>
          <w:color w:val="auto"/>
          <w:lang w:val="en-US" w:eastAsia="zh-CN"/>
        </w:rPr>
        <w:t xml:space="preserve">2.6.2 </w:t>
      </w:r>
      <w:r>
        <w:rPr>
          <w:rFonts w:hint="eastAsia"/>
          <w:color w:val="auto"/>
        </w:rPr>
        <w:t>内外部运输</w:t>
      </w:r>
      <w:bookmarkEnd w:id="99"/>
    </w:p>
    <w:p w14:paraId="1A829771">
      <w:pPr>
        <w:bidi w:val="0"/>
        <w:rPr>
          <w:rFonts w:hint="default" w:eastAsia="宋体"/>
          <w:color w:val="auto"/>
          <w:lang w:val="en-US" w:eastAsia="zh-CN"/>
        </w:rPr>
      </w:pPr>
      <w:r>
        <w:rPr>
          <w:rFonts w:hint="eastAsia"/>
          <w:color w:val="auto"/>
          <w:lang w:val="en-US" w:eastAsia="zh-CN"/>
        </w:rPr>
        <w:t>1、外部运输</w:t>
      </w:r>
    </w:p>
    <w:p w14:paraId="5B71B395">
      <w:pPr>
        <w:bidi w:val="0"/>
        <w:rPr>
          <w:rFonts w:hint="eastAsia" w:eastAsia="宋体"/>
          <w:color w:val="auto"/>
          <w:lang w:eastAsia="zh-CN"/>
        </w:rPr>
      </w:pPr>
      <w:r>
        <w:rPr>
          <w:rFonts w:hint="eastAsia"/>
          <w:color w:val="auto"/>
        </w:rPr>
        <w:t>外部运输车辆采用社会力量</w:t>
      </w:r>
      <w:r>
        <w:rPr>
          <w:rFonts w:hint="eastAsia"/>
          <w:color w:val="auto"/>
          <w:lang w:eastAsia="zh-CN"/>
        </w:rPr>
        <w:t>。</w:t>
      </w:r>
    </w:p>
    <w:p w14:paraId="6C2ED563">
      <w:pPr>
        <w:bidi w:val="0"/>
        <w:rPr>
          <w:rFonts w:hint="default" w:eastAsia="宋体"/>
          <w:color w:val="auto"/>
          <w:lang w:val="en-US" w:eastAsia="zh-CN"/>
        </w:rPr>
      </w:pPr>
      <w:r>
        <w:rPr>
          <w:rFonts w:hint="eastAsia"/>
          <w:color w:val="auto"/>
          <w:lang w:val="en-US" w:eastAsia="zh-CN"/>
        </w:rPr>
        <w:t>2、内部运输</w:t>
      </w:r>
    </w:p>
    <w:p w14:paraId="3FB6E169">
      <w:pPr>
        <w:bidi w:val="0"/>
        <w:rPr>
          <w:rFonts w:hint="eastAsia"/>
          <w:color w:val="auto"/>
        </w:rPr>
      </w:pPr>
      <w:r>
        <w:rPr>
          <w:rFonts w:hint="eastAsia"/>
          <w:color w:val="auto"/>
        </w:rPr>
        <w:t>内部运输车辆自配，内部运输车辆配置详见表</w:t>
      </w:r>
      <w:r>
        <w:rPr>
          <w:rFonts w:hint="eastAsia"/>
          <w:color w:val="auto"/>
          <w:lang w:val="en-US" w:eastAsia="zh-CN"/>
        </w:rPr>
        <w:t>2.6-1</w:t>
      </w:r>
      <w:r>
        <w:rPr>
          <w:rFonts w:hint="eastAsia"/>
          <w:color w:val="auto"/>
        </w:rPr>
        <w:t>。</w:t>
      </w:r>
    </w:p>
    <w:p w14:paraId="745B78D6">
      <w:pPr>
        <w:pStyle w:val="18"/>
        <w:bidi w:val="0"/>
        <w:rPr>
          <w:color w:val="auto"/>
        </w:rPr>
      </w:pPr>
      <w:r>
        <w:rPr>
          <w:rFonts w:hint="eastAsia"/>
          <w:color w:val="auto"/>
        </w:rPr>
        <w:t>表</w:t>
      </w:r>
      <w:r>
        <w:rPr>
          <w:rFonts w:hint="eastAsia"/>
          <w:color w:val="auto"/>
          <w:lang w:val="en-US" w:eastAsia="zh-CN"/>
        </w:rPr>
        <w:t>2.6-1</w:t>
      </w:r>
      <w:r>
        <w:rPr>
          <w:rFonts w:hint="eastAsia"/>
          <w:color w:val="auto"/>
        </w:rPr>
        <w:t xml:space="preserve">  总图内部运输设备表</w:t>
      </w:r>
    </w:p>
    <w:tbl>
      <w:tblPr>
        <w:tblStyle w:val="14"/>
        <w:tblW w:w="5028" w:type="pct"/>
        <w:jc w:val="center"/>
        <w:tblLayout w:type="autofit"/>
        <w:tblCellMar>
          <w:top w:w="0" w:type="dxa"/>
          <w:left w:w="0" w:type="dxa"/>
          <w:bottom w:w="0" w:type="dxa"/>
          <w:right w:w="0" w:type="dxa"/>
        </w:tblCellMar>
      </w:tblPr>
      <w:tblGrid>
        <w:gridCol w:w="717"/>
        <w:gridCol w:w="2987"/>
        <w:gridCol w:w="892"/>
        <w:gridCol w:w="4650"/>
      </w:tblGrid>
      <w:tr w14:paraId="32D9CF68">
        <w:tblPrEx>
          <w:tblCellMar>
            <w:top w:w="0" w:type="dxa"/>
            <w:left w:w="0" w:type="dxa"/>
            <w:bottom w:w="0" w:type="dxa"/>
            <w:right w:w="0" w:type="dxa"/>
          </w:tblCellMar>
        </w:tblPrEx>
        <w:trPr>
          <w:trHeight w:val="386" w:hRule="atLeast"/>
          <w:jc w:val="center"/>
        </w:trPr>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293E1E">
            <w:pPr>
              <w:pStyle w:val="19"/>
              <w:bidi w:val="0"/>
              <w:rPr>
                <w:rFonts w:hint="eastAsia" w:eastAsia="宋体"/>
                <w:b/>
                <w:bCs/>
                <w:color w:val="auto"/>
                <w:lang w:val="en-US" w:eastAsia="zh-CN"/>
              </w:rPr>
            </w:pPr>
            <w:r>
              <w:rPr>
                <w:rFonts w:hint="eastAsia"/>
                <w:b/>
                <w:bCs/>
                <w:color w:val="auto"/>
                <w:lang w:val="en-US" w:eastAsia="zh-CN"/>
              </w:rPr>
              <w:t>序号</w:t>
            </w:r>
          </w:p>
        </w:tc>
        <w:tc>
          <w:tcPr>
            <w:tcW w:w="16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32C688">
            <w:pPr>
              <w:pStyle w:val="19"/>
              <w:bidi w:val="0"/>
              <w:rPr>
                <w:rFonts w:hint="eastAsia"/>
                <w:b/>
                <w:bCs/>
                <w:color w:val="auto"/>
                <w:lang w:val="en-US"/>
              </w:rPr>
            </w:pPr>
            <w:r>
              <w:rPr>
                <w:b/>
                <w:bCs/>
                <w:color w:val="auto"/>
                <w:lang w:val="en-US"/>
              </w:rPr>
              <w:t>设备名称</w:t>
            </w:r>
          </w:p>
        </w:tc>
        <w:tc>
          <w:tcPr>
            <w:tcW w:w="482" w:type="pct"/>
            <w:tcBorders>
              <w:top w:val="single" w:color="auto" w:sz="4" w:space="0"/>
              <w:left w:val="nil"/>
              <w:bottom w:val="single" w:color="auto" w:sz="4" w:space="0"/>
              <w:right w:val="single" w:color="auto" w:sz="4" w:space="0"/>
            </w:tcBorders>
            <w:shd w:val="clear" w:color="auto" w:fill="auto"/>
            <w:noWrap/>
            <w:vAlign w:val="center"/>
          </w:tcPr>
          <w:p w14:paraId="25F730BD">
            <w:pPr>
              <w:pStyle w:val="19"/>
              <w:bidi w:val="0"/>
              <w:rPr>
                <w:rFonts w:hint="eastAsia"/>
                <w:b/>
                <w:bCs/>
                <w:color w:val="auto"/>
                <w:lang w:val="en-US"/>
              </w:rPr>
            </w:pPr>
            <w:r>
              <w:rPr>
                <w:b/>
                <w:bCs/>
                <w:color w:val="auto"/>
                <w:lang w:val="en-US"/>
              </w:rPr>
              <w:t>数量</w:t>
            </w:r>
          </w:p>
        </w:tc>
        <w:tc>
          <w:tcPr>
            <w:tcW w:w="2514" w:type="pct"/>
            <w:tcBorders>
              <w:top w:val="single" w:color="auto" w:sz="4" w:space="0"/>
              <w:left w:val="nil"/>
              <w:bottom w:val="single" w:color="auto" w:sz="4" w:space="0"/>
              <w:right w:val="single" w:color="auto" w:sz="4" w:space="0"/>
            </w:tcBorders>
            <w:shd w:val="clear" w:color="auto" w:fill="auto"/>
            <w:noWrap/>
            <w:vAlign w:val="center"/>
          </w:tcPr>
          <w:p w14:paraId="17159AA1">
            <w:pPr>
              <w:pStyle w:val="19"/>
              <w:bidi w:val="0"/>
              <w:rPr>
                <w:rFonts w:hint="eastAsia"/>
                <w:b/>
                <w:bCs/>
                <w:color w:val="auto"/>
                <w:lang w:val="en-US"/>
              </w:rPr>
            </w:pPr>
            <w:r>
              <w:rPr>
                <w:b/>
                <w:bCs/>
                <w:color w:val="auto"/>
                <w:lang w:val="en-US"/>
              </w:rPr>
              <w:t>用途</w:t>
            </w:r>
          </w:p>
        </w:tc>
      </w:tr>
      <w:tr w14:paraId="684F4ED7">
        <w:tblPrEx>
          <w:tblCellMar>
            <w:top w:w="0" w:type="dxa"/>
            <w:left w:w="0" w:type="dxa"/>
            <w:bottom w:w="0" w:type="dxa"/>
            <w:right w:w="0" w:type="dxa"/>
          </w:tblCellMar>
        </w:tblPrEx>
        <w:trPr>
          <w:trHeight w:val="386" w:hRule="atLeast"/>
          <w:jc w:val="center"/>
        </w:trPr>
        <w:tc>
          <w:tcPr>
            <w:tcW w:w="388" w:type="pct"/>
            <w:tcBorders>
              <w:top w:val="nil"/>
              <w:left w:val="single" w:color="auto" w:sz="4" w:space="0"/>
              <w:bottom w:val="single" w:color="auto" w:sz="4" w:space="0"/>
              <w:right w:val="single" w:color="auto" w:sz="4" w:space="0"/>
            </w:tcBorders>
            <w:shd w:val="clear" w:color="auto" w:fill="auto"/>
            <w:noWrap/>
            <w:vAlign w:val="center"/>
          </w:tcPr>
          <w:p w14:paraId="1FC790B7">
            <w:pPr>
              <w:pStyle w:val="19"/>
              <w:bidi w:val="0"/>
              <w:rPr>
                <w:rFonts w:hint="eastAsia" w:eastAsia="宋体"/>
                <w:color w:val="auto"/>
                <w:lang w:val="en-US" w:eastAsia="zh-CN"/>
              </w:rPr>
            </w:pPr>
            <w:r>
              <w:rPr>
                <w:rFonts w:hint="eastAsia"/>
                <w:color w:val="auto"/>
                <w:lang w:val="en-US" w:eastAsia="zh-CN"/>
              </w:rPr>
              <w:t>1</w:t>
            </w:r>
          </w:p>
        </w:tc>
        <w:tc>
          <w:tcPr>
            <w:tcW w:w="1615" w:type="pct"/>
            <w:tcBorders>
              <w:top w:val="nil"/>
              <w:left w:val="single" w:color="auto" w:sz="4" w:space="0"/>
              <w:bottom w:val="single" w:color="auto" w:sz="4" w:space="0"/>
              <w:right w:val="single" w:color="auto" w:sz="4" w:space="0"/>
            </w:tcBorders>
            <w:shd w:val="clear" w:color="auto" w:fill="auto"/>
            <w:noWrap/>
            <w:vAlign w:val="center"/>
          </w:tcPr>
          <w:p w14:paraId="68F6961B">
            <w:pPr>
              <w:pStyle w:val="19"/>
              <w:bidi w:val="0"/>
              <w:rPr>
                <w:rFonts w:hint="eastAsia"/>
                <w:color w:val="auto"/>
                <w:lang w:val="en-US"/>
              </w:rPr>
            </w:pPr>
            <w:r>
              <w:rPr>
                <w:color w:val="auto"/>
                <w:lang w:val="en-US"/>
              </w:rPr>
              <w:t>皮卡车</w:t>
            </w:r>
          </w:p>
        </w:tc>
        <w:tc>
          <w:tcPr>
            <w:tcW w:w="482" w:type="pct"/>
            <w:tcBorders>
              <w:top w:val="nil"/>
              <w:left w:val="nil"/>
              <w:bottom w:val="single" w:color="auto" w:sz="4" w:space="0"/>
              <w:right w:val="single" w:color="auto" w:sz="4" w:space="0"/>
            </w:tcBorders>
            <w:shd w:val="clear" w:color="auto" w:fill="auto"/>
            <w:noWrap/>
            <w:vAlign w:val="center"/>
          </w:tcPr>
          <w:p w14:paraId="56E97508">
            <w:pPr>
              <w:pStyle w:val="19"/>
              <w:bidi w:val="0"/>
              <w:rPr>
                <w:rFonts w:hint="eastAsia"/>
                <w:color w:val="auto"/>
                <w:lang w:val="en-US"/>
              </w:rPr>
            </w:pPr>
            <w:r>
              <w:rPr>
                <w:rFonts w:hint="eastAsia"/>
                <w:color w:val="auto"/>
                <w:lang w:val="en-US"/>
              </w:rPr>
              <w:t>2</w:t>
            </w:r>
          </w:p>
        </w:tc>
        <w:tc>
          <w:tcPr>
            <w:tcW w:w="2514" w:type="pct"/>
            <w:tcBorders>
              <w:top w:val="nil"/>
              <w:left w:val="nil"/>
              <w:bottom w:val="single" w:color="auto" w:sz="4" w:space="0"/>
              <w:right w:val="single" w:color="auto" w:sz="4" w:space="0"/>
            </w:tcBorders>
            <w:shd w:val="clear" w:color="auto" w:fill="auto"/>
            <w:noWrap/>
            <w:vAlign w:val="center"/>
          </w:tcPr>
          <w:p w14:paraId="553B8AF9">
            <w:pPr>
              <w:pStyle w:val="19"/>
              <w:bidi w:val="0"/>
              <w:rPr>
                <w:rFonts w:hint="eastAsia"/>
                <w:color w:val="auto"/>
                <w:lang w:val="en-US"/>
              </w:rPr>
            </w:pPr>
            <w:r>
              <w:rPr>
                <w:color w:val="auto"/>
                <w:lang w:val="en-US"/>
              </w:rPr>
              <w:t>生活物资及原材料的运输</w:t>
            </w:r>
          </w:p>
        </w:tc>
      </w:tr>
      <w:tr w14:paraId="61A0C74A">
        <w:tblPrEx>
          <w:tblCellMar>
            <w:top w:w="0" w:type="dxa"/>
            <w:left w:w="0" w:type="dxa"/>
            <w:bottom w:w="0" w:type="dxa"/>
            <w:right w:w="0" w:type="dxa"/>
          </w:tblCellMar>
        </w:tblPrEx>
        <w:trPr>
          <w:trHeight w:val="386" w:hRule="atLeast"/>
          <w:jc w:val="center"/>
        </w:trPr>
        <w:tc>
          <w:tcPr>
            <w:tcW w:w="388" w:type="pct"/>
            <w:tcBorders>
              <w:top w:val="nil"/>
              <w:left w:val="single" w:color="auto" w:sz="4" w:space="0"/>
              <w:bottom w:val="single" w:color="auto" w:sz="4" w:space="0"/>
              <w:right w:val="single" w:color="auto" w:sz="4" w:space="0"/>
            </w:tcBorders>
            <w:shd w:val="clear" w:color="auto" w:fill="auto"/>
            <w:noWrap/>
            <w:vAlign w:val="center"/>
          </w:tcPr>
          <w:p w14:paraId="7E86622E">
            <w:pPr>
              <w:pStyle w:val="19"/>
              <w:bidi w:val="0"/>
              <w:rPr>
                <w:rFonts w:hint="eastAsia" w:eastAsia="宋体"/>
                <w:color w:val="auto"/>
                <w:lang w:val="en-US" w:eastAsia="zh-CN"/>
              </w:rPr>
            </w:pPr>
            <w:r>
              <w:rPr>
                <w:rFonts w:hint="eastAsia"/>
                <w:color w:val="auto"/>
                <w:lang w:val="en-US" w:eastAsia="zh-CN"/>
              </w:rPr>
              <w:t>2</w:t>
            </w:r>
          </w:p>
        </w:tc>
        <w:tc>
          <w:tcPr>
            <w:tcW w:w="1615" w:type="pct"/>
            <w:tcBorders>
              <w:top w:val="nil"/>
              <w:left w:val="single" w:color="auto" w:sz="4" w:space="0"/>
              <w:bottom w:val="single" w:color="auto" w:sz="4" w:space="0"/>
              <w:right w:val="single" w:color="auto" w:sz="4" w:space="0"/>
            </w:tcBorders>
            <w:shd w:val="clear" w:color="auto" w:fill="auto"/>
            <w:noWrap/>
            <w:vAlign w:val="center"/>
          </w:tcPr>
          <w:p w14:paraId="45908CE2">
            <w:pPr>
              <w:pStyle w:val="19"/>
              <w:bidi w:val="0"/>
              <w:rPr>
                <w:rFonts w:hint="eastAsia"/>
                <w:color w:val="auto"/>
                <w:lang w:val="en-US"/>
              </w:rPr>
            </w:pPr>
            <w:r>
              <w:rPr>
                <w:color w:val="auto"/>
                <w:lang w:val="en-US"/>
              </w:rPr>
              <w:t>山东临工LG953装载机</w:t>
            </w:r>
          </w:p>
        </w:tc>
        <w:tc>
          <w:tcPr>
            <w:tcW w:w="482" w:type="pct"/>
            <w:tcBorders>
              <w:top w:val="nil"/>
              <w:left w:val="nil"/>
              <w:bottom w:val="single" w:color="auto" w:sz="4" w:space="0"/>
              <w:right w:val="single" w:color="auto" w:sz="4" w:space="0"/>
            </w:tcBorders>
            <w:shd w:val="clear" w:color="auto" w:fill="auto"/>
            <w:noWrap/>
            <w:vAlign w:val="center"/>
          </w:tcPr>
          <w:p w14:paraId="5579A0D4">
            <w:pPr>
              <w:pStyle w:val="19"/>
              <w:bidi w:val="0"/>
              <w:rPr>
                <w:rFonts w:hint="eastAsia"/>
                <w:color w:val="auto"/>
                <w:lang w:val="en-US"/>
              </w:rPr>
            </w:pPr>
            <w:r>
              <w:rPr>
                <w:rFonts w:hint="eastAsia"/>
                <w:color w:val="auto"/>
                <w:lang w:val="en-US"/>
              </w:rPr>
              <w:t>1</w:t>
            </w:r>
          </w:p>
        </w:tc>
        <w:tc>
          <w:tcPr>
            <w:tcW w:w="2514" w:type="pct"/>
            <w:tcBorders>
              <w:top w:val="nil"/>
              <w:left w:val="nil"/>
              <w:bottom w:val="single" w:color="auto" w:sz="4" w:space="0"/>
              <w:right w:val="single" w:color="auto" w:sz="4" w:space="0"/>
            </w:tcBorders>
            <w:shd w:val="clear" w:color="auto" w:fill="auto"/>
            <w:noWrap/>
            <w:vAlign w:val="center"/>
          </w:tcPr>
          <w:p w14:paraId="361BBFFB">
            <w:pPr>
              <w:pStyle w:val="19"/>
              <w:bidi w:val="0"/>
              <w:rPr>
                <w:rFonts w:hint="eastAsia"/>
                <w:color w:val="auto"/>
                <w:lang w:val="en-US"/>
              </w:rPr>
            </w:pPr>
            <w:r>
              <w:rPr>
                <w:color w:val="auto"/>
                <w:lang w:val="en-US"/>
              </w:rPr>
              <w:t>各工业场地矿石堆场、废石</w:t>
            </w:r>
            <w:r>
              <w:rPr>
                <w:rFonts w:hint="eastAsia"/>
                <w:color w:val="auto"/>
                <w:lang w:val="en-US"/>
              </w:rPr>
              <w:t>清理、精矿</w:t>
            </w:r>
            <w:r>
              <w:rPr>
                <w:color w:val="auto"/>
                <w:lang w:val="en-US"/>
              </w:rPr>
              <w:t>装车</w:t>
            </w:r>
            <w:r>
              <w:rPr>
                <w:rFonts w:hint="eastAsia"/>
                <w:color w:val="auto"/>
                <w:lang w:val="en-US"/>
              </w:rPr>
              <w:t>等</w:t>
            </w:r>
          </w:p>
        </w:tc>
      </w:tr>
      <w:tr w14:paraId="670F4537">
        <w:tblPrEx>
          <w:tblCellMar>
            <w:top w:w="0" w:type="dxa"/>
            <w:left w:w="0" w:type="dxa"/>
            <w:bottom w:w="0" w:type="dxa"/>
            <w:right w:w="0" w:type="dxa"/>
          </w:tblCellMar>
        </w:tblPrEx>
        <w:trPr>
          <w:trHeight w:val="386" w:hRule="atLeast"/>
          <w:jc w:val="center"/>
        </w:trPr>
        <w:tc>
          <w:tcPr>
            <w:tcW w:w="388" w:type="pct"/>
            <w:tcBorders>
              <w:top w:val="nil"/>
              <w:left w:val="single" w:color="auto" w:sz="4" w:space="0"/>
              <w:bottom w:val="single" w:color="auto" w:sz="4" w:space="0"/>
              <w:right w:val="single" w:color="auto" w:sz="4" w:space="0"/>
            </w:tcBorders>
            <w:shd w:val="clear" w:color="auto" w:fill="auto"/>
            <w:noWrap/>
            <w:vAlign w:val="center"/>
          </w:tcPr>
          <w:p w14:paraId="2AF9E591">
            <w:pPr>
              <w:pStyle w:val="19"/>
              <w:bidi w:val="0"/>
              <w:rPr>
                <w:rFonts w:hint="eastAsia" w:eastAsia="宋体"/>
                <w:color w:val="auto"/>
                <w:lang w:val="en-US" w:eastAsia="zh-CN"/>
              </w:rPr>
            </w:pPr>
            <w:r>
              <w:rPr>
                <w:rFonts w:hint="eastAsia"/>
                <w:color w:val="auto"/>
                <w:lang w:val="en-US" w:eastAsia="zh-CN"/>
              </w:rPr>
              <w:t>3</w:t>
            </w:r>
          </w:p>
        </w:tc>
        <w:tc>
          <w:tcPr>
            <w:tcW w:w="1615" w:type="pct"/>
            <w:tcBorders>
              <w:top w:val="nil"/>
              <w:left w:val="single" w:color="auto" w:sz="4" w:space="0"/>
              <w:bottom w:val="single" w:color="auto" w:sz="4" w:space="0"/>
              <w:right w:val="single" w:color="auto" w:sz="4" w:space="0"/>
            </w:tcBorders>
            <w:shd w:val="clear" w:color="auto" w:fill="auto"/>
            <w:noWrap/>
            <w:vAlign w:val="center"/>
          </w:tcPr>
          <w:p w14:paraId="700A4A2E">
            <w:pPr>
              <w:pStyle w:val="19"/>
              <w:bidi w:val="0"/>
              <w:rPr>
                <w:rFonts w:hint="eastAsia"/>
                <w:color w:val="auto"/>
                <w:lang w:val="en-US"/>
              </w:rPr>
            </w:pPr>
            <w:r>
              <w:rPr>
                <w:color w:val="auto"/>
                <w:lang w:val="en-US"/>
              </w:rPr>
              <w:t>CPC（D）15-AG26叉车</w:t>
            </w:r>
          </w:p>
        </w:tc>
        <w:tc>
          <w:tcPr>
            <w:tcW w:w="482" w:type="pct"/>
            <w:tcBorders>
              <w:top w:val="nil"/>
              <w:left w:val="nil"/>
              <w:bottom w:val="single" w:color="auto" w:sz="4" w:space="0"/>
              <w:right w:val="single" w:color="auto" w:sz="4" w:space="0"/>
            </w:tcBorders>
            <w:shd w:val="clear" w:color="auto" w:fill="auto"/>
            <w:noWrap/>
            <w:vAlign w:val="center"/>
          </w:tcPr>
          <w:p w14:paraId="55CCC0EB">
            <w:pPr>
              <w:pStyle w:val="19"/>
              <w:bidi w:val="0"/>
              <w:rPr>
                <w:rFonts w:hint="eastAsia"/>
                <w:color w:val="auto"/>
                <w:lang w:val="en-US"/>
              </w:rPr>
            </w:pPr>
            <w:r>
              <w:rPr>
                <w:color w:val="auto"/>
                <w:lang w:val="en-US"/>
              </w:rPr>
              <w:t>2</w:t>
            </w:r>
          </w:p>
        </w:tc>
        <w:tc>
          <w:tcPr>
            <w:tcW w:w="2514" w:type="pct"/>
            <w:tcBorders>
              <w:top w:val="nil"/>
              <w:left w:val="nil"/>
              <w:bottom w:val="single" w:color="auto" w:sz="4" w:space="0"/>
              <w:right w:val="single" w:color="auto" w:sz="4" w:space="0"/>
            </w:tcBorders>
            <w:shd w:val="clear" w:color="auto" w:fill="auto"/>
            <w:noWrap/>
            <w:vAlign w:val="center"/>
          </w:tcPr>
          <w:p w14:paraId="2B11DB1A">
            <w:pPr>
              <w:pStyle w:val="19"/>
              <w:bidi w:val="0"/>
              <w:rPr>
                <w:rFonts w:hint="eastAsia"/>
                <w:color w:val="auto"/>
                <w:lang w:val="en-US"/>
              </w:rPr>
            </w:pPr>
            <w:r>
              <w:rPr>
                <w:color w:val="auto"/>
                <w:lang w:val="en-US"/>
              </w:rPr>
              <w:t>各机修工业场地材料运输</w:t>
            </w:r>
          </w:p>
        </w:tc>
      </w:tr>
      <w:tr w14:paraId="0FECCBA6">
        <w:tblPrEx>
          <w:tblCellMar>
            <w:top w:w="0" w:type="dxa"/>
            <w:left w:w="0" w:type="dxa"/>
            <w:bottom w:w="0" w:type="dxa"/>
            <w:right w:w="0" w:type="dxa"/>
          </w:tblCellMar>
        </w:tblPrEx>
        <w:trPr>
          <w:trHeight w:val="386" w:hRule="atLeast"/>
          <w:jc w:val="center"/>
        </w:trPr>
        <w:tc>
          <w:tcPr>
            <w:tcW w:w="388" w:type="pct"/>
            <w:tcBorders>
              <w:top w:val="nil"/>
              <w:left w:val="single" w:color="auto" w:sz="4" w:space="0"/>
              <w:bottom w:val="single" w:color="auto" w:sz="4" w:space="0"/>
              <w:right w:val="single" w:color="auto" w:sz="4" w:space="0"/>
            </w:tcBorders>
            <w:shd w:val="clear" w:color="auto" w:fill="auto"/>
            <w:noWrap/>
            <w:vAlign w:val="center"/>
          </w:tcPr>
          <w:p w14:paraId="754A75AC">
            <w:pPr>
              <w:pStyle w:val="19"/>
              <w:bidi w:val="0"/>
              <w:rPr>
                <w:rFonts w:hint="eastAsia" w:eastAsia="宋体"/>
                <w:color w:val="auto"/>
                <w:lang w:val="en-US" w:eastAsia="zh-CN"/>
              </w:rPr>
            </w:pPr>
            <w:r>
              <w:rPr>
                <w:rFonts w:hint="eastAsia"/>
                <w:color w:val="auto"/>
                <w:lang w:val="en-US" w:eastAsia="zh-CN"/>
              </w:rPr>
              <w:t>4</w:t>
            </w:r>
          </w:p>
        </w:tc>
        <w:tc>
          <w:tcPr>
            <w:tcW w:w="1615" w:type="pct"/>
            <w:tcBorders>
              <w:top w:val="nil"/>
              <w:left w:val="single" w:color="auto" w:sz="4" w:space="0"/>
              <w:bottom w:val="single" w:color="auto" w:sz="4" w:space="0"/>
              <w:right w:val="single" w:color="auto" w:sz="4" w:space="0"/>
            </w:tcBorders>
            <w:shd w:val="clear" w:color="auto" w:fill="auto"/>
            <w:noWrap/>
            <w:vAlign w:val="center"/>
          </w:tcPr>
          <w:p w14:paraId="4FDF47D7">
            <w:pPr>
              <w:pStyle w:val="19"/>
              <w:bidi w:val="0"/>
              <w:rPr>
                <w:rFonts w:hint="eastAsia"/>
                <w:color w:val="auto"/>
                <w:lang w:val="en-US"/>
              </w:rPr>
            </w:pPr>
            <w:r>
              <w:rPr>
                <w:color w:val="auto"/>
                <w:lang w:val="en-US"/>
              </w:rPr>
              <w:t>越野车</w:t>
            </w:r>
          </w:p>
        </w:tc>
        <w:tc>
          <w:tcPr>
            <w:tcW w:w="482" w:type="pct"/>
            <w:tcBorders>
              <w:top w:val="nil"/>
              <w:left w:val="nil"/>
              <w:bottom w:val="single" w:color="auto" w:sz="4" w:space="0"/>
              <w:right w:val="single" w:color="auto" w:sz="4" w:space="0"/>
            </w:tcBorders>
            <w:shd w:val="clear" w:color="auto" w:fill="auto"/>
            <w:noWrap/>
            <w:vAlign w:val="center"/>
          </w:tcPr>
          <w:p w14:paraId="43D3DC6C">
            <w:pPr>
              <w:pStyle w:val="19"/>
              <w:bidi w:val="0"/>
              <w:rPr>
                <w:rFonts w:hint="eastAsia"/>
                <w:color w:val="auto"/>
                <w:lang w:val="en-US"/>
              </w:rPr>
            </w:pPr>
            <w:r>
              <w:rPr>
                <w:rFonts w:hint="eastAsia"/>
                <w:color w:val="auto"/>
                <w:lang w:val="en-US"/>
              </w:rPr>
              <w:t>2</w:t>
            </w:r>
          </w:p>
        </w:tc>
        <w:tc>
          <w:tcPr>
            <w:tcW w:w="2514" w:type="pct"/>
            <w:tcBorders>
              <w:top w:val="nil"/>
              <w:left w:val="nil"/>
              <w:bottom w:val="single" w:color="auto" w:sz="4" w:space="0"/>
              <w:right w:val="single" w:color="auto" w:sz="4" w:space="0"/>
            </w:tcBorders>
            <w:shd w:val="clear" w:color="auto" w:fill="auto"/>
            <w:noWrap/>
            <w:vAlign w:val="center"/>
          </w:tcPr>
          <w:p w14:paraId="31BBE27E">
            <w:pPr>
              <w:pStyle w:val="19"/>
              <w:bidi w:val="0"/>
              <w:rPr>
                <w:rFonts w:hint="eastAsia"/>
                <w:color w:val="auto"/>
                <w:lang w:val="en-US"/>
              </w:rPr>
            </w:pPr>
            <w:r>
              <w:rPr>
                <w:color w:val="auto"/>
                <w:lang w:val="en-US"/>
              </w:rPr>
              <w:t>企业管理使用</w:t>
            </w:r>
          </w:p>
        </w:tc>
      </w:tr>
    </w:tbl>
    <w:p w14:paraId="519AA655">
      <w:pPr>
        <w:pStyle w:val="4"/>
        <w:bidi w:val="0"/>
        <w:rPr>
          <w:rFonts w:hint="default" w:eastAsia="宋体"/>
          <w:color w:val="auto"/>
          <w:lang w:val="en-US" w:eastAsia="zh-CN"/>
        </w:rPr>
      </w:pPr>
      <w:bookmarkStart w:id="100" w:name="_Toc1980"/>
      <w:r>
        <w:rPr>
          <w:rFonts w:hint="eastAsia"/>
          <w:color w:val="auto"/>
          <w:lang w:val="en-US" w:eastAsia="zh-CN"/>
        </w:rPr>
        <w:t>2.6.3 厂区道路</w:t>
      </w:r>
      <w:bookmarkEnd w:id="100"/>
    </w:p>
    <w:p w14:paraId="3C23EAEE">
      <w:pPr>
        <w:bidi w:val="0"/>
        <w:rPr>
          <w:color w:val="auto"/>
        </w:rPr>
      </w:pPr>
      <w:r>
        <w:rPr>
          <w:rFonts w:hint="eastAsia"/>
          <w:color w:val="auto"/>
        </w:rPr>
        <w:t>沿用选矿厂区周边已修建的主干道，选厂各主要平台与主干道相接，共同组成道路运输系统，满足生产及消防要求。道路路面宽度为：厂区主干道宽7.0m，支线公路宽度5.0m，道路等级：碎石硬化路面。</w:t>
      </w:r>
    </w:p>
    <w:p w14:paraId="7BE35BA7">
      <w:pPr>
        <w:pStyle w:val="4"/>
        <w:bidi w:val="0"/>
        <w:rPr>
          <w:rFonts w:hint="default"/>
          <w:color w:val="auto"/>
          <w:lang w:val="en-US" w:eastAsia="zh-CN"/>
        </w:rPr>
      </w:pPr>
      <w:bookmarkStart w:id="101" w:name="_Toc31381"/>
      <w:r>
        <w:rPr>
          <w:rFonts w:hint="eastAsia"/>
          <w:color w:val="auto"/>
          <w:lang w:val="en-US" w:eastAsia="zh-CN"/>
        </w:rPr>
        <w:t>2.6.4 厂区绿化</w:t>
      </w:r>
      <w:bookmarkEnd w:id="101"/>
    </w:p>
    <w:p w14:paraId="5D3D7597">
      <w:pPr>
        <w:bidi w:val="0"/>
        <w:rPr>
          <w:rFonts w:hint="eastAsia"/>
          <w:color w:val="auto"/>
        </w:rPr>
      </w:pPr>
      <w:r>
        <w:rPr>
          <w:rFonts w:hint="eastAsia"/>
          <w:color w:val="auto"/>
        </w:rPr>
        <w:t>道路两旁种植行道树，利用车间周围空地种花、植树。对人员集散，主要建筑物，厂前区等地段，进行重点绿化。</w:t>
      </w:r>
    </w:p>
    <w:p w14:paraId="36493424">
      <w:pPr>
        <w:bidi w:val="0"/>
        <w:rPr>
          <w:color w:val="auto"/>
        </w:rPr>
      </w:pPr>
      <w:r>
        <w:rPr>
          <w:rFonts w:hint="eastAsia"/>
          <w:color w:val="auto"/>
        </w:rPr>
        <w:t>选厂绿化面积为120m</w:t>
      </w:r>
      <w:r>
        <w:rPr>
          <w:rFonts w:hint="eastAsia"/>
          <w:color w:val="auto"/>
          <w:vertAlign w:val="superscript"/>
        </w:rPr>
        <w:t>2</w:t>
      </w:r>
      <w:r>
        <w:rPr>
          <w:rFonts w:hint="eastAsia"/>
          <w:color w:val="auto"/>
        </w:rPr>
        <w:t>，绿地率约为30%。选用适合当地气候，能吸附和抗污染的花草和树种。</w:t>
      </w:r>
    </w:p>
    <w:p w14:paraId="36DBA27E">
      <w:pPr>
        <w:pStyle w:val="3"/>
        <w:bidi w:val="0"/>
        <w:rPr>
          <w:color w:val="auto"/>
        </w:rPr>
      </w:pPr>
      <w:bookmarkStart w:id="102" w:name="_Toc16575"/>
      <w:r>
        <w:rPr>
          <w:rFonts w:hint="eastAsia"/>
          <w:color w:val="auto"/>
        </w:rPr>
        <w:t>2.7 给排水</w:t>
      </w:r>
      <w:bookmarkEnd w:id="102"/>
    </w:p>
    <w:p w14:paraId="480C0518">
      <w:pPr>
        <w:pStyle w:val="4"/>
        <w:bidi w:val="0"/>
        <w:rPr>
          <w:rFonts w:hint="eastAsia"/>
          <w:color w:val="auto"/>
        </w:rPr>
      </w:pPr>
      <w:bookmarkStart w:id="103" w:name="_Toc8462"/>
      <w:r>
        <w:rPr>
          <w:rFonts w:hint="eastAsia"/>
          <w:color w:val="auto"/>
          <w:lang w:val="en-US" w:eastAsia="zh-CN"/>
        </w:rPr>
        <w:t xml:space="preserve">2.7.1 </w:t>
      </w:r>
      <w:r>
        <w:rPr>
          <w:rFonts w:hint="eastAsia"/>
          <w:color w:val="auto"/>
        </w:rPr>
        <w:t>供水水源</w:t>
      </w:r>
      <w:bookmarkEnd w:id="103"/>
    </w:p>
    <w:p w14:paraId="43FDA666">
      <w:pPr>
        <w:bidi w:val="0"/>
        <w:rPr>
          <w:color w:val="auto"/>
        </w:rPr>
      </w:pPr>
      <w:r>
        <w:rPr>
          <w:rFonts w:hint="eastAsia"/>
          <w:color w:val="auto"/>
        </w:rPr>
        <w:t>武定县境内河流分属金沙江和元江两大水系，其中金沙江水系占主导地位‌，本项目区属于金沙江水系，项目区周边主要发育为自然箐沟。选厂生产用水部分用新水，新水取自厂区西北侧菜园河，部分用回水，生活用水来自于当地村庄。</w:t>
      </w:r>
    </w:p>
    <w:p w14:paraId="23877FE5">
      <w:pPr>
        <w:pStyle w:val="4"/>
        <w:bidi w:val="0"/>
        <w:rPr>
          <w:rFonts w:hint="eastAsia"/>
          <w:color w:val="auto"/>
        </w:rPr>
      </w:pPr>
      <w:bookmarkStart w:id="104" w:name="_Toc31471"/>
      <w:r>
        <w:rPr>
          <w:rFonts w:hint="eastAsia"/>
          <w:color w:val="auto"/>
          <w:lang w:val="en-US" w:eastAsia="zh-CN"/>
        </w:rPr>
        <w:t xml:space="preserve">2.7.2 </w:t>
      </w:r>
      <w:r>
        <w:rPr>
          <w:rFonts w:hint="eastAsia"/>
          <w:color w:val="auto"/>
        </w:rPr>
        <w:t>用水量标准及用水量</w:t>
      </w:r>
      <w:bookmarkEnd w:id="104"/>
    </w:p>
    <w:p w14:paraId="4D7F1584">
      <w:pPr>
        <w:bidi w:val="0"/>
        <w:rPr>
          <w:rFonts w:hint="eastAsia"/>
          <w:color w:val="auto"/>
        </w:rPr>
      </w:pPr>
      <w:r>
        <w:rPr>
          <w:rFonts w:hint="eastAsia"/>
          <w:color w:val="auto"/>
        </w:rPr>
        <w:t>1、用水量标准</w:t>
      </w:r>
    </w:p>
    <w:p w14:paraId="4DB9869B">
      <w:pPr>
        <w:bidi w:val="0"/>
        <w:rPr>
          <w:rFonts w:hint="eastAsia" w:eastAsia="宋体"/>
          <w:color w:val="auto"/>
          <w:lang w:eastAsia="zh-CN"/>
        </w:rPr>
      </w:pPr>
      <w:r>
        <w:rPr>
          <w:rFonts w:hint="eastAsia"/>
          <w:color w:val="auto"/>
        </w:rPr>
        <w:t>工艺用水：按工艺要求</w:t>
      </w:r>
      <w:r>
        <w:rPr>
          <w:rFonts w:hint="eastAsia"/>
          <w:color w:val="auto"/>
          <w:lang w:eastAsia="zh-CN"/>
        </w:rPr>
        <w:t>。</w:t>
      </w:r>
    </w:p>
    <w:p w14:paraId="710B7191">
      <w:pPr>
        <w:bidi w:val="0"/>
        <w:rPr>
          <w:rFonts w:hint="eastAsia"/>
          <w:color w:val="auto"/>
        </w:rPr>
      </w:pPr>
      <w:r>
        <w:rPr>
          <w:rFonts w:hint="eastAsia"/>
          <w:color w:val="auto"/>
        </w:rPr>
        <w:t>生活、清洁用水：50升/（人·d）</w:t>
      </w:r>
    </w:p>
    <w:p w14:paraId="5E6FBD0D">
      <w:pPr>
        <w:bidi w:val="0"/>
        <w:rPr>
          <w:rFonts w:hint="eastAsia"/>
          <w:color w:val="auto"/>
        </w:rPr>
      </w:pPr>
      <w:r>
        <w:rPr>
          <w:rFonts w:hint="eastAsia"/>
          <w:color w:val="auto"/>
        </w:rPr>
        <w:t>2、用水量</w:t>
      </w:r>
    </w:p>
    <w:p w14:paraId="7712858C">
      <w:pPr>
        <w:bidi w:val="0"/>
        <w:rPr>
          <w:rFonts w:hint="eastAsia"/>
          <w:color w:val="auto"/>
        </w:rPr>
      </w:pPr>
      <w:r>
        <w:rPr>
          <w:rFonts w:hint="eastAsia"/>
          <w:color w:val="auto"/>
        </w:rPr>
        <w:t>总用水量：1500m</w:t>
      </w:r>
      <w:r>
        <w:rPr>
          <w:rFonts w:hint="eastAsia"/>
          <w:color w:val="auto"/>
          <w:vertAlign w:val="superscript"/>
        </w:rPr>
        <w:t>3</w:t>
      </w:r>
      <w:r>
        <w:rPr>
          <w:rFonts w:hint="eastAsia"/>
          <w:color w:val="auto"/>
        </w:rPr>
        <w:t>/d，回水用量1320m</w:t>
      </w:r>
      <w:r>
        <w:rPr>
          <w:rFonts w:hint="eastAsia"/>
          <w:color w:val="auto"/>
          <w:vertAlign w:val="superscript"/>
        </w:rPr>
        <w:t>3</w:t>
      </w:r>
      <w:r>
        <w:rPr>
          <w:rFonts w:hint="eastAsia"/>
          <w:color w:val="auto"/>
        </w:rPr>
        <w:t>/d。</w:t>
      </w:r>
    </w:p>
    <w:p w14:paraId="50FA17C2">
      <w:pPr>
        <w:bidi w:val="0"/>
        <w:rPr>
          <w:color w:val="auto"/>
        </w:rPr>
      </w:pPr>
      <w:r>
        <w:rPr>
          <w:rFonts w:hint="eastAsia"/>
          <w:color w:val="auto"/>
        </w:rPr>
        <w:t>本项目总循环（回）水利用率为88%，选厂单位耗水量约为5m</w:t>
      </w:r>
      <w:r>
        <w:rPr>
          <w:rFonts w:hint="eastAsia"/>
          <w:color w:val="auto"/>
          <w:vertAlign w:val="superscript"/>
        </w:rPr>
        <w:t>3</w:t>
      </w:r>
      <w:r>
        <w:rPr>
          <w:rFonts w:hint="eastAsia"/>
          <w:color w:val="auto"/>
        </w:rPr>
        <w:t>/t原矿。</w:t>
      </w:r>
    </w:p>
    <w:p w14:paraId="327D268E">
      <w:pPr>
        <w:bidi w:val="0"/>
        <w:rPr>
          <w:rFonts w:hint="eastAsia"/>
          <w:color w:val="auto"/>
        </w:rPr>
      </w:pPr>
      <w:r>
        <w:rPr>
          <w:rFonts w:hint="eastAsia"/>
          <w:color w:val="auto"/>
        </w:rPr>
        <w:t>3、水质、水压</w:t>
      </w:r>
    </w:p>
    <w:p w14:paraId="0FD9292E">
      <w:pPr>
        <w:bidi w:val="0"/>
        <w:rPr>
          <w:rFonts w:hint="default" w:eastAsia="宋体"/>
          <w:color w:val="auto"/>
          <w:lang w:val="en-US" w:eastAsia="zh-CN"/>
        </w:rPr>
      </w:pPr>
      <w:r>
        <w:rPr>
          <w:rFonts w:hint="eastAsia"/>
          <w:color w:val="auto"/>
        </w:rPr>
        <w:t>水质、水压</w:t>
      </w:r>
      <w:r>
        <w:rPr>
          <w:rFonts w:hint="eastAsia"/>
          <w:color w:val="auto"/>
          <w:lang w:val="en-US" w:eastAsia="zh-CN"/>
        </w:rPr>
        <w:t>满足要求。</w:t>
      </w:r>
    </w:p>
    <w:p w14:paraId="3405707A">
      <w:pPr>
        <w:pStyle w:val="4"/>
        <w:bidi w:val="0"/>
        <w:rPr>
          <w:rFonts w:hint="default"/>
          <w:color w:val="auto"/>
          <w:lang w:val="en-US" w:eastAsia="zh-CN"/>
        </w:rPr>
      </w:pPr>
      <w:bookmarkStart w:id="105" w:name="_Toc848"/>
      <w:r>
        <w:rPr>
          <w:rFonts w:hint="eastAsia"/>
          <w:color w:val="auto"/>
          <w:lang w:val="en-US" w:eastAsia="zh-CN"/>
        </w:rPr>
        <w:t>2.7.3 供水</w:t>
      </w:r>
      <w:bookmarkEnd w:id="105"/>
    </w:p>
    <w:p w14:paraId="3129DBE1">
      <w:pPr>
        <w:bidi w:val="0"/>
        <w:rPr>
          <w:rFonts w:hint="eastAsia"/>
          <w:color w:val="auto"/>
        </w:rPr>
      </w:pPr>
      <w:r>
        <w:rPr>
          <w:rFonts w:hint="eastAsia"/>
          <w:color w:val="auto"/>
          <w:lang w:val="en-US" w:eastAsia="zh-CN"/>
        </w:rPr>
        <w:t>1、</w:t>
      </w:r>
      <w:r>
        <w:rPr>
          <w:rFonts w:hint="eastAsia"/>
          <w:color w:val="auto"/>
        </w:rPr>
        <w:t>供水系统</w:t>
      </w:r>
    </w:p>
    <w:p w14:paraId="0B7DC87A">
      <w:pPr>
        <w:bidi w:val="0"/>
        <w:rPr>
          <w:rFonts w:hint="eastAsia"/>
          <w:color w:val="auto"/>
        </w:rPr>
      </w:pPr>
      <w:r>
        <w:rPr>
          <w:rFonts w:hint="eastAsia"/>
          <w:color w:val="auto"/>
        </w:rPr>
        <w:t>生产供水：生产水源来源于厂区西北侧菜园河。选矿工艺回水进入选厂生产高位回水池（V=1000m</w:t>
      </w:r>
      <w:r>
        <w:rPr>
          <w:rFonts w:hint="eastAsia"/>
          <w:color w:val="auto"/>
          <w:vertAlign w:val="superscript"/>
        </w:rPr>
        <w:t>3</w:t>
      </w:r>
      <w:r>
        <w:rPr>
          <w:rFonts w:hint="eastAsia"/>
          <w:color w:val="auto"/>
        </w:rPr>
        <w:t>，池底标高1745m），通过高位水池供至选厂各用水点使用。</w:t>
      </w:r>
    </w:p>
    <w:p w14:paraId="2DFB75EF">
      <w:pPr>
        <w:bidi w:val="0"/>
        <w:rPr>
          <w:rFonts w:hint="eastAsia"/>
          <w:color w:val="auto"/>
        </w:rPr>
      </w:pPr>
      <w:r>
        <w:rPr>
          <w:rFonts w:hint="eastAsia"/>
          <w:color w:val="auto"/>
        </w:rPr>
        <w:t>生活供水：选厂厂区生活用水</w:t>
      </w:r>
      <w:r>
        <w:rPr>
          <w:rFonts w:hint="eastAsia"/>
          <w:color w:val="auto"/>
          <w:lang w:val="en-US" w:eastAsia="zh-CN"/>
        </w:rPr>
        <w:t>来自当地村庄</w:t>
      </w:r>
      <w:r>
        <w:rPr>
          <w:rFonts w:hint="eastAsia"/>
          <w:color w:val="auto"/>
        </w:rPr>
        <w:t>，</w:t>
      </w:r>
      <w:r>
        <w:rPr>
          <w:rFonts w:hint="eastAsia"/>
          <w:color w:val="auto"/>
          <w:lang w:val="en-US" w:eastAsia="zh-CN"/>
        </w:rPr>
        <w:t>选厂</w:t>
      </w:r>
      <w:r>
        <w:rPr>
          <w:rFonts w:hint="eastAsia"/>
          <w:color w:val="auto"/>
        </w:rPr>
        <w:t>已自建办公</w:t>
      </w:r>
      <w:r>
        <w:rPr>
          <w:rFonts w:hint="eastAsia"/>
          <w:color w:val="auto"/>
          <w:lang w:val="en-US" w:eastAsia="zh-CN"/>
        </w:rPr>
        <w:t>区</w:t>
      </w:r>
      <w:r>
        <w:rPr>
          <w:rFonts w:hint="eastAsia"/>
          <w:color w:val="auto"/>
        </w:rPr>
        <w:t>，设置了健全的生活供水管网设施。</w:t>
      </w:r>
    </w:p>
    <w:p w14:paraId="034C3BA8">
      <w:pPr>
        <w:bidi w:val="0"/>
        <w:rPr>
          <w:rFonts w:hint="eastAsia"/>
          <w:color w:val="auto"/>
        </w:rPr>
      </w:pPr>
      <w:r>
        <w:rPr>
          <w:rFonts w:hint="eastAsia"/>
          <w:color w:val="auto"/>
          <w:lang w:val="en-US" w:eastAsia="zh-CN"/>
        </w:rPr>
        <w:t>2、</w:t>
      </w:r>
      <w:r>
        <w:rPr>
          <w:rFonts w:hint="eastAsia"/>
          <w:color w:val="auto"/>
        </w:rPr>
        <w:t>回水系统</w:t>
      </w:r>
    </w:p>
    <w:p w14:paraId="7D7C3730">
      <w:pPr>
        <w:bidi w:val="0"/>
        <w:rPr>
          <w:rFonts w:hint="eastAsia"/>
          <w:color w:val="auto"/>
        </w:rPr>
      </w:pPr>
      <w:r>
        <w:rPr>
          <w:rFonts w:hint="eastAsia"/>
          <w:color w:val="auto"/>
        </w:rPr>
        <w:t>回水主要为浓缩池溢流水、精矿过滤水。本项目原有300t/d生产线的高位水池一座，技改扩建项目继续使用。</w:t>
      </w:r>
    </w:p>
    <w:p w14:paraId="51221E57">
      <w:pPr>
        <w:bidi w:val="0"/>
        <w:rPr>
          <w:rFonts w:hint="eastAsia"/>
          <w:color w:val="auto"/>
        </w:rPr>
      </w:pPr>
      <w:r>
        <w:rPr>
          <w:rFonts w:hint="eastAsia"/>
          <w:color w:val="auto"/>
          <w:lang w:val="en-US" w:eastAsia="zh-CN"/>
        </w:rPr>
        <w:t>3、</w:t>
      </w:r>
      <w:r>
        <w:rPr>
          <w:rFonts w:hint="eastAsia"/>
          <w:color w:val="auto"/>
        </w:rPr>
        <w:t>厂区供水系统</w:t>
      </w:r>
    </w:p>
    <w:p w14:paraId="617FE962">
      <w:pPr>
        <w:bidi w:val="0"/>
        <w:rPr>
          <w:color w:val="auto"/>
        </w:rPr>
      </w:pPr>
      <w:r>
        <w:rPr>
          <w:rFonts w:hint="eastAsia"/>
          <w:color w:val="auto"/>
        </w:rPr>
        <w:t>选厂回水高位水池建在选厂上游的1745m平台，容积1000m</w:t>
      </w:r>
      <w:r>
        <w:rPr>
          <w:rFonts w:hint="eastAsia"/>
          <w:color w:val="auto"/>
          <w:vertAlign w:val="superscript"/>
        </w:rPr>
        <w:t>3</w:t>
      </w:r>
      <w:r>
        <w:rPr>
          <w:rFonts w:hint="eastAsia"/>
          <w:color w:val="auto"/>
        </w:rPr>
        <w:t>；新水高位水池建在选厂上游的1745m平台，容积500m</w:t>
      </w:r>
      <w:r>
        <w:rPr>
          <w:rFonts w:hint="eastAsia"/>
          <w:color w:val="auto"/>
          <w:vertAlign w:val="superscript"/>
        </w:rPr>
        <w:t>3</w:t>
      </w:r>
      <w:r>
        <w:rPr>
          <w:rFonts w:hint="eastAsia"/>
          <w:color w:val="auto"/>
        </w:rPr>
        <w:t>，通过供水管网向选厂生产线各用水点使用。</w:t>
      </w:r>
    </w:p>
    <w:p w14:paraId="3EC02EBB">
      <w:pPr>
        <w:pStyle w:val="4"/>
        <w:bidi w:val="0"/>
        <w:rPr>
          <w:rFonts w:hint="eastAsia"/>
          <w:color w:val="auto"/>
        </w:rPr>
      </w:pPr>
      <w:bookmarkStart w:id="106" w:name="_Toc21716"/>
      <w:r>
        <w:rPr>
          <w:rFonts w:hint="eastAsia"/>
          <w:color w:val="auto"/>
          <w:lang w:val="en-US" w:eastAsia="zh-CN"/>
        </w:rPr>
        <w:t xml:space="preserve">2.7.4 </w:t>
      </w:r>
      <w:r>
        <w:rPr>
          <w:rFonts w:hint="eastAsia"/>
          <w:color w:val="auto"/>
        </w:rPr>
        <w:t>排水</w:t>
      </w:r>
      <w:bookmarkEnd w:id="106"/>
    </w:p>
    <w:p w14:paraId="0BD4A911">
      <w:pPr>
        <w:bidi w:val="0"/>
        <w:rPr>
          <w:rFonts w:hint="eastAsia"/>
          <w:color w:val="auto"/>
        </w:rPr>
      </w:pPr>
      <w:r>
        <w:rPr>
          <w:rFonts w:hint="eastAsia"/>
          <w:color w:val="auto"/>
          <w:lang w:val="en-US" w:eastAsia="zh-CN"/>
        </w:rPr>
        <w:t>1、</w:t>
      </w:r>
      <w:r>
        <w:rPr>
          <w:rFonts w:hint="eastAsia"/>
          <w:color w:val="auto"/>
        </w:rPr>
        <w:t>生产排水系统</w:t>
      </w:r>
    </w:p>
    <w:p w14:paraId="0145949D">
      <w:pPr>
        <w:bidi w:val="0"/>
        <w:rPr>
          <w:rFonts w:hint="eastAsia"/>
          <w:color w:val="auto"/>
        </w:rPr>
      </w:pPr>
      <w:r>
        <w:rPr>
          <w:rFonts w:hint="eastAsia"/>
          <w:color w:val="auto"/>
        </w:rPr>
        <w:t>本项目中，钛精矿、铁精矿、尾矿脱水过程中浓缩池溢流水排放至附近沉淀池或水池，经过自然沉淀后回用；过滤机澄清滤液排放至附近收集池，经过自然沉淀后回用，本项目无生产污水外排。</w:t>
      </w:r>
    </w:p>
    <w:p w14:paraId="61C1883A">
      <w:pPr>
        <w:bidi w:val="0"/>
        <w:rPr>
          <w:rFonts w:hint="eastAsia"/>
          <w:color w:val="auto"/>
        </w:rPr>
      </w:pPr>
      <w:r>
        <w:rPr>
          <w:rFonts w:hint="eastAsia"/>
          <w:color w:val="auto"/>
          <w:lang w:val="en-US" w:eastAsia="zh-CN"/>
        </w:rPr>
        <w:t>2、</w:t>
      </w:r>
      <w:r>
        <w:rPr>
          <w:rFonts w:hint="eastAsia"/>
          <w:color w:val="auto"/>
        </w:rPr>
        <w:t>生活污水处理系统</w:t>
      </w:r>
    </w:p>
    <w:p w14:paraId="45BAB51C">
      <w:pPr>
        <w:bidi w:val="0"/>
        <w:rPr>
          <w:color w:val="auto"/>
        </w:rPr>
      </w:pPr>
      <w:r>
        <w:rPr>
          <w:rFonts w:hint="eastAsia"/>
          <w:color w:val="auto"/>
        </w:rPr>
        <w:t>生活污水经生活区的的污水处理系统进行处理，处理后达《城镇污水处理厂污染物排放标准》（GB18918-2002）中的标准后全部用于绿化。</w:t>
      </w:r>
    </w:p>
    <w:p w14:paraId="6A27C233">
      <w:pPr>
        <w:pStyle w:val="4"/>
        <w:bidi w:val="0"/>
        <w:rPr>
          <w:rFonts w:hint="eastAsia"/>
          <w:color w:val="auto"/>
        </w:rPr>
      </w:pPr>
      <w:bookmarkStart w:id="107" w:name="_Toc23110"/>
      <w:r>
        <w:rPr>
          <w:rFonts w:hint="eastAsia"/>
          <w:color w:val="auto"/>
          <w:lang w:val="en-US" w:eastAsia="zh-CN"/>
        </w:rPr>
        <w:t xml:space="preserve">2.7.5 </w:t>
      </w:r>
      <w:r>
        <w:rPr>
          <w:rFonts w:hint="eastAsia"/>
          <w:color w:val="auto"/>
        </w:rPr>
        <w:t>消防</w:t>
      </w:r>
      <w:bookmarkEnd w:id="107"/>
    </w:p>
    <w:p w14:paraId="21D21475">
      <w:pPr>
        <w:bidi w:val="0"/>
        <w:rPr>
          <w:rFonts w:hint="eastAsia"/>
          <w:color w:val="auto"/>
        </w:rPr>
      </w:pPr>
      <w:r>
        <w:rPr>
          <w:rFonts w:hint="eastAsia"/>
          <w:color w:val="auto"/>
          <w:lang w:val="en-US" w:eastAsia="zh-CN"/>
        </w:rPr>
        <w:t>1、</w:t>
      </w:r>
      <w:r>
        <w:rPr>
          <w:rFonts w:hint="eastAsia"/>
          <w:color w:val="auto"/>
        </w:rPr>
        <w:t>消防水量</w:t>
      </w:r>
    </w:p>
    <w:p w14:paraId="591632CC">
      <w:pPr>
        <w:bidi w:val="0"/>
        <w:rPr>
          <w:rFonts w:hint="eastAsia"/>
          <w:color w:val="auto"/>
        </w:rPr>
      </w:pPr>
      <w:r>
        <w:rPr>
          <w:rFonts w:hint="eastAsia"/>
          <w:color w:val="auto"/>
        </w:rPr>
        <w:t>厂区为坡地阶梯型布置，耐火等级二级，火灾危险性分类为丁类</w:t>
      </w:r>
      <w:r>
        <w:rPr>
          <w:rFonts w:hint="eastAsia"/>
          <w:color w:val="auto"/>
          <w:lang w:val="en-US" w:eastAsia="zh-CN"/>
        </w:rPr>
        <w:t>和戊类</w:t>
      </w:r>
      <w:r>
        <w:rPr>
          <w:rFonts w:hint="eastAsia"/>
          <w:color w:val="auto"/>
        </w:rPr>
        <w:t>，据《建筑设计防火规范》（GB50016-2014</w:t>
      </w:r>
      <w:r>
        <w:rPr>
          <w:rFonts w:hint="eastAsia"/>
          <w:color w:val="auto"/>
          <w:lang w:eastAsia="zh-CN"/>
        </w:rPr>
        <w:t>，2018版</w:t>
      </w:r>
      <w:r>
        <w:rPr>
          <w:rFonts w:hint="eastAsia"/>
          <w:color w:val="auto"/>
        </w:rPr>
        <w:t>）需设置室外消防给水系统，室外消防水量为20L/s，2小时消防水量144m</w:t>
      </w:r>
      <w:r>
        <w:rPr>
          <w:rFonts w:hint="eastAsia"/>
          <w:color w:val="auto"/>
          <w:vertAlign w:val="superscript"/>
        </w:rPr>
        <w:t>3</w:t>
      </w:r>
      <w:r>
        <w:rPr>
          <w:rFonts w:hint="eastAsia"/>
          <w:color w:val="auto"/>
        </w:rPr>
        <w:t>。</w:t>
      </w:r>
    </w:p>
    <w:p w14:paraId="13BA9942">
      <w:pPr>
        <w:bidi w:val="0"/>
        <w:rPr>
          <w:rFonts w:hint="eastAsia"/>
          <w:color w:val="auto"/>
        </w:rPr>
      </w:pPr>
      <w:r>
        <w:rPr>
          <w:rFonts w:hint="eastAsia"/>
          <w:color w:val="auto"/>
          <w:lang w:val="en-US" w:eastAsia="zh-CN"/>
        </w:rPr>
        <w:t>2、</w:t>
      </w:r>
      <w:r>
        <w:rPr>
          <w:rFonts w:hint="eastAsia"/>
          <w:color w:val="auto"/>
        </w:rPr>
        <w:t>消防给水</w:t>
      </w:r>
    </w:p>
    <w:p w14:paraId="2BDFD95E">
      <w:pPr>
        <w:bidi w:val="0"/>
        <w:rPr>
          <w:rFonts w:hint="eastAsia"/>
          <w:color w:val="auto"/>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rPr>
        <w:t>室内消防：据《建筑设计防火规范》（GB50016-2014</w:t>
      </w:r>
      <w:r>
        <w:rPr>
          <w:rFonts w:hint="eastAsia"/>
          <w:color w:val="auto"/>
          <w:lang w:eastAsia="zh-CN"/>
        </w:rPr>
        <w:t>，</w:t>
      </w:r>
      <w:r>
        <w:rPr>
          <w:rFonts w:hint="eastAsia"/>
          <w:color w:val="auto"/>
          <w:lang w:val="en-US" w:eastAsia="zh-CN"/>
        </w:rPr>
        <w:t>2018版</w:t>
      </w:r>
      <w:r>
        <w:rPr>
          <w:rFonts w:hint="eastAsia"/>
          <w:color w:val="auto"/>
        </w:rPr>
        <w:t>），建筑厂房内可不设置消防给水。</w:t>
      </w:r>
    </w:p>
    <w:p w14:paraId="5B688A4C">
      <w:pPr>
        <w:bidi w:val="0"/>
        <w:rPr>
          <w:color w:val="auto"/>
        </w:rPr>
      </w:pPr>
      <w:r>
        <w:rPr>
          <w:rFonts w:hint="eastAsia"/>
          <w:color w:val="auto"/>
          <w:lang w:eastAsia="zh-CN"/>
        </w:rPr>
        <w:t>（</w:t>
      </w:r>
      <w:r>
        <w:rPr>
          <w:rFonts w:hint="eastAsia"/>
          <w:color w:val="auto"/>
          <w:lang w:val="en-US" w:eastAsia="zh-CN"/>
        </w:rPr>
        <w:t>2</w:t>
      </w:r>
      <w:r>
        <w:rPr>
          <w:rFonts w:hint="eastAsia"/>
          <w:color w:val="auto"/>
          <w:lang w:eastAsia="zh-CN"/>
        </w:rPr>
        <w:t>）</w:t>
      </w:r>
      <w:r>
        <w:rPr>
          <w:rFonts w:hint="eastAsia"/>
          <w:color w:val="auto"/>
        </w:rPr>
        <w:t>室外消防采用低压消防系统，消防用水量为144m</w:t>
      </w:r>
      <w:r>
        <w:rPr>
          <w:rFonts w:hint="eastAsia"/>
          <w:color w:val="auto"/>
          <w:vertAlign w:val="superscript"/>
        </w:rPr>
        <w:t>3</w:t>
      </w:r>
      <w:r>
        <w:rPr>
          <w:rFonts w:hint="eastAsia"/>
          <w:color w:val="auto"/>
        </w:rPr>
        <w:t>，储存在高位水池中，能满足水压和水量要求。火灾时，由生产高位水池、手抬式消防机动泵或消防车满足消防要求。室外消火栓保护半径为150m，布置间距不大于120m。</w:t>
      </w:r>
    </w:p>
    <w:p w14:paraId="5A4B5C2A">
      <w:pPr>
        <w:bidi w:val="0"/>
        <w:rPr>
          <w:rFonts w:hint="eastAsia"/>
          <w:color w:val="auto"/>
        </w:rPr>
      </w:pPr>
      <w:r>
        <w:rPr>
          <w:rFonts w:hint="eastAsia"/>
          <w:color w:val="auto"/>
          <w:lang w:val="en-US" w:eastAsia="zh-CN"/>
        </w:rPr>
        <w:t>3、</w:t>
      </w:r>
      <w:r>
        <w:rPr>
          <w:rFonts w:hint="eastAsia"/>
          <w:color w:val="auto"/>
        </w:rPr>
        <w:t>建筑灭火器配置</w:t>
      </w:r>
    </w:p>
    <w:p w14:paraId="6FBD99DE">
      <w:pPr>
        <w:bidi w:val="0"/>
        <w:rPr>
          <w:color w:val="auto"/>
        </w:rPr>
      </w:pPr>
      <w:r>
        <w:rPr>
          <w:rFonts w:hint="eastAsia"/>
          <w:color w:val="auto"/>
        </w:rPr>
        <w:t>根据《建筑灭火器配置设计规范》GB50140-2005，各车间内配置一定数量的MF/ABC5型或MF/ABC3型手提式干粉灭火器。</w:t>
      </w:r>
    </w:p>
    <w:p w14:paraId="5D73F8BD">
      <w:pPr>
        <w:pStyle w:val="3"/>
        <w:bidi w:val="0"/>
        <w:rPr>
          <w:rFonts w:hint="default"/>
          <w:color w:val="auto"/>
          <w:lang w:val="en-US" w:eastAsia="zh-CN"/>
        </w:rPr>
      </w:pPr>
      <w:bookmarkStart w:id="108" w:name="_Toc28193"/>
      <w:r>
        <w:rPr>
          <w:rFonts w:hint="eastAsia"/>
          <w:color w:val="auto"/>
          <w:lang w:val="en-US" w:eastAsia="zh-CN"/>
        </w:rPr>
        <w:t>2.8 供配电</w:t>
      </w:r>
      <w:bookmarkEnd w:id="108"/>
    </w:p>
    <w:p w14:paraId="48BD2A22">
      <w:pPr>
        <w:pStyle w:val="4"/>
        <w:bidi w:val="0"/>
        <w:rPr>
          <w:rFonts w:hint="eastAsia"/>
          <w:color w:val="auto"/>
        </w:rPr>
      </w:pPr>
      <w:bookmarkStart w:id="109" w:name="_Toc20326"/>
      <w:r>
        <w:rPr>
          <w:rFonts w:hint="eastAsia"/>
          <w:color w:val="auto"/>
          <w:lang w:val="en-US" w:eastAsia="zh-CN"/>
        </w:rPr>
        <w:t xml:space="preserve">2.8.1 </w:t>
      </w:r>
      <w:r>
        <w:rPr>
          <w:rFonts w:hint="eastAsia"/>
          <w:color w:val="auto"/>
        </w:rPr>
        <w:t>供电</w:t>
      </w:r>
      <w:bookmarkEnd w:id="109"/>
    </w:p>
    <w:p w14:paraId="0EBD02FB">
      <w:pPr>
        <w:bidi w:val="0"/>
        <w:rPr>
          <w:rFonts w:hint="eastAsia"/>
          <w:color w:val="auto"/>
        </w:rPr>
      </w:pPr>
      <w:r>
        <w:rPr>
          <w:rFonts w:hint="eastAsia"/>
          <w:color w:val="auto"/>
          <w:lang w:val="en-US" w:eastAsia="zh-CN"/>
        </w:rPr>
        <w:t>1、</w:t>
      </w:r>
      <w:r>
        <w:rPr>
          <w:rFonts w:hint="eastAsia"/>
          <w:color w:val="auto"/>
        </w:rPr>
        <w:t>电源</w:t>
      </w:r>
    </w:p>
    <w:p w14:paraId="2FB6C2AA">
      <w:pPr>
        <w:bidi w:val="0"/>
        <w:rPr>
          <w:rFonts w:hint="eastAsia"/>
          <w:color w:val="auto"/>
        </w:rPr>
      </w:pPr>
      <w:r>
        <w:rPr>
          <w:rFonts w:hint="eastAsia"/>
          <w:color w:val="auto"/>
        </w:rPr>
        <w:t>本项目电源引至狮山镇浦西10KV线，引入选厂选厂160KVA/ 100KVA变压器，降压后至各车间配电室。</w:t>
      </w:r>
    </w:p>
    <w:p w14:paraId="2CAA09F9">
      <w:pPr>
        <w:bidi w:val="0"/>
        <w:rPr>
          <w:rFonts w:hint="eastAsia"/>
          <w:color w:val="auto"/>
        </w:rPr>
      </w:pPr>
      <w:r>
        <w:rPr>
          <w:rFonts w:hint="eastAsia"/>
          <w:color w:val="auto"/>
          <w:lang w:val="en-US" w:eastAsia="zh-CN"/>
        </w:rPr>
        <w:t>2、</w:t>
      </w:r>
      <w:r>
        <w:rPr>
          <w:rFonts w:hint="eastAsia"/>
          <w:color w:val="auto"/>
        </w:rPr>
        <w:t>配电系统及用电负荷</w:t>
      </w:r>
    </w:p>
    <w:p w14:paraId="1AA652B8">
      <w:pPr>
        <w:bidi w:val="0"/>
        <w:rPr>
          <w:rFonts w:hint="eastAsia"/>
          <w:color w:val="auto"/>
        </w:rPr>
      </w:pPr>
      <w:r>
        <w:rPr>
          <w:rFonts w:hint="eastAsia"/>
          <w:color w:val="auto"/>
        </w:rPr>
        <w:t>本</w:t>
      </w:r>
      <w:r>
        <w:rPr>
          <w:rFonts w:hint="eastAsia"/>
          <w:color w:val="auto"/>
          <w:lang w:val="en-US" w:eastAsia="zh-CN"/>
        </w:rPr>
        <w:t>项目</w:t>
      </w:r>
      <w:r>
        <w:rPr>
          <w:rFonts w:hint="eastAsia"/>
          <w:color w:val="auto"/>
        </w:rPr>
        <w:t>用电负荷主要分布在选厂的各个车间，根据各专业提供的用电设备型号、规格及工作制度，电力负荷计算结果如下：</w:t>
      </w:r>
    </w:p>
    <w:p w14:paraId="3AC354FB">
      <w:pPr>
        <w:bidi w:val="0"/>
        <w:rPr>
          <w:rFonts w:hint="eastAsia"/>
          <w:color w:val="auto"/>
        </w:rPr>
      </w:pPr>
      <w:r>
        <w:rPr>
          <w:rFonts w:hint="eastAsia"/>
          <w:color w:val="auto"/>
        </w:rPr>
        <w:t>全厂安装容量：617.5kW，工作容量：400kW，全年电耗为1920k-kWh，折合单位耗电量32kW·h/t。</w:t>
      </w:r>
    </w:p>
    <w:p w14:paraId="7660152A">
      <w:pPr>
        <w:bidi w:val="0"/>
        <w:rPr>
          <w:color w:val="auto"/>
        </w:rPr>
      </w:pPr>
      <w:r>
        <w:rPr>
          <w:rFonts w:hint="eastAsia"/>
          <w:color w:val="auto"/>
        </w:rPr>
        <w:t>该项目车间内用电主要由狮山镇浦西10KV线供给，经车间内变压器降压后，使用380V/220V供车间内各用电设备和照明用电。</w:t>
      </w:r>
    </w:p>
    <w:p w14:paraId="7B33DB27">
      <w:pPr>
        <w:pStyle w:val="4"/>
        <w:bidi w:val="0"/>
        <w:rPr>
          <w:rFonts w:hint="eastAsia"/>
          <w:color w:val="auto"/>
        </w:rPr>
      </w:pPr>
      <w:bookmarkStart w:id="110" w:name="_Toc30921"/>
      <w:r>
        <w:rPr>
          <w:rFonts w:hint="eastAsia"/>
          <w:color w:val="auto"/>
          <w:lang w:val="en-US" w:eastAsia="zh-CN"/>
        </w:rPr>
        <w:t xml:space="preserve">2.8.2 </w:t>
      </w:r>
      <w:r>
        <w:rPr>
          <w:rFonts w:hint="eastAsia"/>
          <w:color w:val="auto"/>
        </w:rPr>
        <w:t>主要设备及输配电线路选择</w:t>
      </w:r>
      <w:bookmarkEnd w:id="110"/>
    </w:p>
    <w:p w14:paraId="2B5B4685">
      <w:pPr>
        <w:bidi w:val="0"/>
        <w:rPr>
          <w:rFonts w:hint="eastAsia"/>
          <w:color w:val="auto"/>
        </w:rPr>
      </w:pPr>
      <w:r>
        <w:rPr>
          <w:rFonts w:hint="eastAsia"/>
          <w:color w:val="auto"/>
          <w:lang w:val="en-US" w:eastAsia="zh-CN"/>
        </w:rPr>
        <w:t>1、</w:t>
      </w:r>
      <w:r>
        <w:rPr>
          <w:rFonts w:hint="eastAsia"/>
          <w:color w:val="auto"/>
        </w:rPr>
        <w:t>主要设备选择</w:t>
      </w:r>
    </w:p>
    <w:p w14:paraId="77C2E8F7">
      <w:pPr>
        <w:bidi w:val="0"/>
        <w:rPr>
          <w:rFonts w:hint="eastAsia"/>
          <w:color w:val="auto"/>
        </w:rPr>
      </w:pPr>
      <w:r>
        <w:rPr>
          <w:rFonts w:hint="eastAsia"/>
          <w:color w:val="auto"/>
        </w:rPr>
        <w:t>10kV变压器：采用S11-M系列油式全密封变压器。</w:t>
      </w:r>
    </w:p>
    <w:p w14:paraId="1819138C">
      <w:pPr>
        <w:bidi w:val="0"/>
        <w:rPr>
          <w:rFonts w:hint="eastAsia"/>
          <w:color w:val="auto"/>
        </w:rPr>
      </w:pPr>
      <w:r>
        <w:rPr>
          <w:rFonts w:hint="eastAsia"/>
          <w:color w:val="auto"/>
        </w:rPr>
        <w:t>低压配电柜：低压配电柜采用GGD型，动力配电箱选用XL-21型。</w:t>
      </w:r>
    </w:p>
    <w:p w14:paraId="126A4261">
      <w:pPr>
        <w:bidi w:val="0"/>
        <w:rPr>
          <w:rFonts w:hint="eastAsia"/>
          <w:color w:val="auto"/>
        </w:rPr>
      </w:pPr>
      <w:r>
        <w:rPr>
          <w:rFonts w:hint="eastAsia"/>
          <w:color w:val="auto"/>
          <w:lang w:val="en-US" w:eastAsia="zh-CN"/>
        </w:rPr>
        <w:t>2、</w:t>
      </w:r>
      <w:r>
        <w:rPr>
          <w:rFonts w:hint="eastAsia"/>
          <w:color w:val="auto"/>
        </w:rPr>
        <w:t>输配电线路导线选型原则</w:t>
      </w:r>
    </w:p>
    <w:p w14:paraId="24F7736F">
      <w:pPr>
        <w:bidi w:val="0"/>
        <w:rPr>
          <w:rFonts w:hint="eastAsia"/>
          <w:color w:val="auto"/>
        </w:rPr>
      </w:pPr>
      <w:r>
        <w:rPr>
          <w:rFonts w:hint="eastAsia"/>
          <w:color w:val="auto"/>
        </w:rPr>
        <w:t>从总降变电所至选矿各车间变电所10kV线路采用架空线路。</w:t>
      </w:r>
    </w:p>
    <w:p w14:paraId="1E9A5DE3">
      <w:pPr>
        <w:bidi w:val="0"/>
        <w:rPr>
          <w:rFonts w:hint="eastAsia"/>
          <w:color w:val="auto"/>
        </w:rPr>
      </w:pPr>
      <w:r>
        <w:rPr>
          <w:rFonts w:hint="eastAsia"/>
          <w:color w:val="auto"/>
          <w:lang w:val="en-US" w:eastAsia="zh-CN"/>
        </w:rPr>
        <w:t>3、</w:t>
      </w:r>
      <w:r>
        <w:rPr>
          <w:rFonts w:hint="eastAsia"/>
          <w:color w:val="auto"/>
        </w:rPr>
        <w:t>电缆敷设</w:t>
      </w:r>
    </w:p>
    <w:p w14:paraId="76BDE089">
      <w:pPr>
        <w:bidi w:val="0"/>
        <w:rPr>
          <w:rFonts w:hint="eastAsia"/>
          <w:color w:val="auto"/>
        </w:rPr>
      </w:pPr>
      <w:r>
        <w:rPr>
          <w:rFonts w:hint="eastAsia"/>
          <w:color w:val="auto"/>
          <w:lang w:eastAsia="zh-CN"/>
        </w:rPr>
        <w:t>（</w:t>
      </w:r>
      <w:r>
        <w:rPr>
          <w:rFonts w:hint="eastAsia"/>
          <w:color w:val="auto"/>
        </w:rPr>
        <w:t>1）电力和控制电缆均采用铜芯电缆，照明线路采用铜芯导线。</w:t>
      </w:r>
    </w:p>
    <w:p w14:paraId="609098B4">
      <w:pPr>
        <w:bidi w:val="0"/>
        <w:rPr>
          <w:rFonts w:hint="eastAsia"/>
          <w:color w:val="auto"/>
        </w:rPr>
      </w:pPr>
      <w:r>
        <w:rPr>
          <w:rFonts w:hint="eastAsia"/>
          <w:color w:val="auto"/>
          <w:lang w:eastAsia="zh-CN"/>
        </w:rPr>
        <w:t>（</w:t>
      </w:r>
      <w:r>
        <w:rPr>
          <w:rFonts w:hint="eastAsia"/>
          <w:color w:val="auto"/>
        </w:rPr>
        <w:t>2）户内电缆采用电缆沟、电缆桥架或埋管暗敷方式；户外电缆采用穿钢管直埋或电缆桥架的敷设方式。</w:t>
      </w:r>
    </w:p>
    <w:p w14:paraId="27B7A9DA">
      <w:pPr>
        <w:bidi w:val="0"/>
        <w:rPr>
          <w:rFonts w:hint="eastAsia"/>
          <w:color w:val="auto"/>
        </w:rPr>
      </w:pPr>
      <w:r>
        <w:rPr>
          <w:rFonts w:hint="eastAsia"/>
          <w:color w:val="auto"/>
          <w:lang w:eastAsia="zh-CN"/>
        </w:rPr>
        <w:t>（</w:t>
      </w:r>
      <w:r>
        <w:rPr>
          <w:rFonts w:hint="eastAsia"/>
          <w:color w:val="auto"/>
        </w:rPr>
        <w:t>3）电缆防火延燃措施</w:t>
      </w:r>
      <w:r>
        <w:rPr>
          <w:rFonts w:hint="eastAsia"/>
          <w:color w:val="auto"/>
          <w:lang w:val="en-US" w:eastAsia="zh-CN"/>
        </w:rPr>
        <w:t>符合</w:t>
      </w:r>
      <w:r>
        <w:rPr>
          <w:rFonts w:hint="eastAsia"/>
          <w:color w:val="auto"/>
        </w:rPr>
        <w:t>《电力工程电缆设计规范》</w:t>
      </w:r>
      <w:r>
        <w:rPr>
          <w:rFonts w:hint="eastAsia"/>
          <w:color w:val="auto"/>
          <w:lang w:val="en-US" w:eastAsia="zh-CN"/>
        </w:rPr>
        <w:t>要求</w:t>
      </w:r>
      <w:r>
        <w:rPr>
          <w:rFonts w:hint="eastAsia"/>
          <w:color w:val="auto"/>
        </w:rPr>
        <w:t>。</w:t>
      </w:r>
    </w:p>
    <w:p w14:paraId="5EB63173">
      <w:pPr>
        <w:bidi w:val="0"/>
        <w:rPr>
          <w:rFonts w:hint="eastAsia"/>
          <w:color w:val="auto"/>
        </w:rPr>
      </w:pPr>
      <w:r>
        <w:rPr>
          <w:rFonts w:hint="eastAsia"/>
          <w:color w:val="auto"/>
          <w:lang w:val="en-US" w:eastAsia="zh-CN"/>
        </w:rPr>
        <w:t>4、</w:t>
      </w:r>
      <w:r>
        <w:rPr>
          <w:rFonts w:hint="eastAsia"/>
          <w:color w:val="auto"/>
        </w:rPr>
        <w:t>电力传动</w:t>
      </w:r>
    </w:p>
    <w:p w14:paraId="723D3BCD">
      <w:pPr>
        <w:bidi w:val="0"/>
        <w:rPr>
          <w:rFonts w:hint="eastAsia"/>
          <w:color w:val="auto"/>
        </w:rPr>
      </w:pPr>
      <w:r>
        <w:rPr>
          <w:rFonts w:hint="eastAsia"/>
          <w:color w:val="auto"/>
        </w:rPr>
        <w:t>选矿厂车间采用集中联锁控制，控制装置采用PLC作为主控器，在控制室集中操作。</w:t>
      </w:r>
    </w:p>
    <w:p w14:paraId="3314174D">
      <w:pPr>
        <w:bidi w:val="0"/>
        <w:rPr>
          <w:rFonts w:hint="eastAsia"/>
          <w:color w:val="auto"/>
        </w:rPr>
      </w:pPr>
      <w:r>
        <w:rPr>
          <w:rFonts w:hint="eastAsia"/>
          <w:color w:val="auto"/>
        </w:rPr>
        <w:t>砂泵及电机等有调速要求的设备采用交流变频调速器调速。为减小电动机启动时启动电流对配电系统的冲击，功率较大的电机采用软启动方式启动，小功率电机一般采用直接起动方式。此外，所有电动机的保护采用具有多重保护功能的智能电动机保护器。为了保证安全，在各相关生产岗位设置联系信号。</w:t>
      </w:r>
    </w:p>
    <w:p w14:paraId="0AED0975">
      <w:pPr>
        <w:bidi w:val="0"/>
        <w:rPr>
          <w:rFonts w:hint="eastAsia"/>
          <w:color w:val="auto"/>
        </w:rPr>
      </w:pPr>
      <w:r>
        <w:rPr>
          <w:rFonts w:hint="eastAsia"/>
          <w:color w:val="auto"/>
        </w:rPr>
        <w:t>选厂设置一个自动控制系统，所有电动机的电控装置及随机配套的电控系统均通过总线或硬接点与自动控制系统连接，将设备的运行参数送入自动控制系统。为了便于检修，在现场设置就地操作箱，所有生产流程上的设备均采用</w:t>
      </w:r>
      <w:r>
        <w:rPr>
          <w:rFonts w:hint="eastAsia"/>
          <w:color w:val="auto"/>
          <w:lang w:eastAsia="zh-CN"/>
        </w:rPr>
        <w:t>“</w:t>
      </w:r>
      <w:r>
        <w:rPr>
          <w:rFonts w:hint="eastAsia"/>
          <w:color w:val="auto"/>
        </w:rPr>
        <w:t>机旁手动</w:t>
      </w:r>
      <w:r>
        <w:rPr>
          <w:rFonts w:hint="eastAsia"/>
          <w:color w:val="auto"/>
          <w:lang w:eastAsia="zh-CN"/>
        </w:rPr>
        <w:t>”</w:t>
      </w:r>
      <w:r>
        <w:rPr>
          <w:rFonts w:hint="eastAsia"/>
          <w:color w:val="auto"/>
        </w:rPr>
        <w:t>控制。</w:t>
      </w:r>
      <w:r>
        <w:rPr>
          <w:rFonts w:hint="eastAsia"/>
          <w:color w:val="auto"/>
          <w:lang w:eastAsia="zh-CN"/>
        </w:rPr>
        <w:t>“</w:t>
      </w:r>
      <w:r>
        <w:rPr>
          <w:rFonts w:hint="eastAsia"/>
          <w:color w:val="auto"/>
        </w:rPr>
        <w:t>机旁</w:t>
      </w:r>
      <w:r>
        <w:rPr>
          <w:rFonts w:hint="eastAsia"/>
          <w:color w:val="auto"/>
          <w:lang w:eastAsia="zh-CN"/>
        </w:rPr>
        <w:t>”</w:t>
      </w:r>
      <w:r>
        <w:rPr>
          <w:rFonts w:hint="eastAsia"/>
          <w:color w:val="auto"/>
        </w:rPr>
        <w:t>控制状态由操作工人在机旁的控制箱上手动实施。</w:t>
      </w:r>
    </w:p>
    <w:p w14:paraId="54CE9B2B">
      <w:pPr>
        <w:bidi w:val="0"/>
        <w:rPr>
          <w:rFonts w:hint="eastAsia"/>
          <w:color w:val="auto"/>
        </w:rPr>
      </w:pPr>
      <w:r>
        <w:rPr>
          <w:rFonts w:hint="eastAsia"/>
          <w:color w:val="auto"/>
        </w:rPr>
        <w:t>为防止谐波电流产生过电压和附加损耗，采用带消谐功能的低压补偿屏。</w:t>
      </w:r>
    </w:p>
    <w:p w14:paraId="1628A288">
      <w:pPr>
        <w:bidi w:val="0"/>
        <w:rPr>
          <w:color w:val="auto"/>
        </w:rPr>
      </w:pPr>
      <w:r>
        <w:rPr>
          <w:rFonts w:hint="eastAsia"/>
          <w:color w:val="auto"/>
        </w:rPr>
        <w:t>在各车间变电所低压侧进线柜均设带电流、电压、电度功能的多功能表，75kW以上的设备设电度表，55kW以上的设备设电流表。</w:t>
      </w:r>
    </w:p>
    <w:p w14:paraId="65A5AE9C">
      <w:pPr>
        <w:pStyle w:val="4"/>
        <w:bidi w:val="0"/>
        <w:rPr>
          <w:rFonts w:hint="eastAsia"/>
          <w:color w:val="auto"/>
        </w:rPr>
      </w:pPr>
      <w:bookmarkStart w:id="111" w:name="_Toc27133"/>
      <w:r>
        <w:rPr>
          <w:rFonts w:hint="eastAsia"/>
          <w:color w:val="auto"/>
          <w:lang w:val="en-US" w:eastAsia="zh-CN"/>
        </w:rPr>
        <w:t xml:space="preserve">2.8.3 </w:t>
      </w:r>
      <w:r>
        <w:rPr>
          <w:rFonts w:hint="eastAsia"/>
          <w:color w:val="auto"/>
        </w:rPr>
        <w:t>无功补偿及谐波治理</w:t>
      </w:r>
      <w:bookmarkEnd w:id="111"/>
    </w:p>
    <w:p w14:paraId="17D247D5">
      <w:pPr>
        <w:bidi w:val="0"/>
        <w:rPr>
          <w:rFonts w:hint="eastAsia"/>
          <w:color w:val="auto"/>
        </w:rPr>
      </w:pPr>
      <w:r>
        <w:rPr>
          <w:rFonts w:hint="eastAsia"/>
          <w:color w:val="auto"/>
        </w:rPr>
        <w:t>设计采用在每段0.4kV母线上分别集中装设静电电容补偿的方式以减少无功损耗，补偿后，功率因数前后期均达到0.90以上，以满足地方电力部门的要求。</w:t>
      </w:r>
    </w:p>
    <w:p w14:paraId="7C1D5A48">
      <w:pPr>
        <w:bidi w:val="0"/>
        <w:rPr>
          <w:rFonts w:hint="eastAsia"/>
          <w:color w:val="auto"/>
        </w:rPr>
      </w:pPr>
      <w:r>
        <w:rPr>
          <w:rFonts w:hint="eastAsia"/>
          <w:color w:val="auto"/>
        </w:rPr>
        <w:t>本企业谐波源主要为软启动器、变频调速装置及节能灯。设计采取在每段0.4kV母线无功自动补偿装置内加装无源滤波设备的方式，限制各次滤波，注入电网谐波电流可满足《电能质量公用电网谐波》的要求。</w:t>
      </w:r>
    </w:p>
    <w:p w14:paraId="5444C3B7">
      <w:pPr>
        <w:pStyle w:val="4"/>
        <w:bidi w:val="0"/>
        <w:rPr>
          <w:rFonts w:hint="eastAsia"/>
          <w:color w:val="auto"/>
        </w:rPr>
      </w:pPr>
      <w:bookmarkStart w:id="112" w:name="_Toc3959"/>
      <w:r>
        <w:rPr>
          <w:rFonts w:hint="eastAsia"/>
          <w:color w:val="auto"/>
          <w:lang w:val="en-US" w:eastAsia="zh-CN"/>
        </w:rPr>
        <w:t xml:space="preserve">2.8.4 </w:t>
      </w:r>
      <w:r>
        <w:rPr>
          <w:rFonts w:hint="eastAsia"/>
          <w:color w:val="auto"/>
        </w:rPr>
        <w:t>继电保护、过电压保护与防雷</w:t>
      </w:r>
      <w:bookmarkEnd w:id="112"/>
    </w:p>
    <w:p w14:paraId="5BAFF3F8">
      <w:pPr>
        <w:bidi w:val="0"/>
        <w:rPr>
          <w:rFonts w:hint="eastAsia"/>
          <w:color w:val="auto"/>
        </w:rPr>
      </w:pPr>
      <w:r>
        <w:rPr>
          <w:rFonts w:hint="eastAsia"/>
          <w:color w:val="auto"/>
        </w:rPr>
        <w:t>1、继电保护</w:t>
      </w:r>
    </w:p>
    <w:p w14:paraId="508CFA71">
      <w:pPr>
        <w:bidi w:val="0"/>
        <w:rPr>
          <w:rFonts w:hint="eastAsia"/>
          <w:color w:val="auto"/>
        </w:rPr>
      </w:pPr>
      <w:r>
        <w:rPr>
          <w:rFonts w:hint="eastAsia"/>
          <w:color w:val="auto"/>
        </w:rPr>
        <w:t>1）高压馈出线（10kV）及变压器设瞬时电流速断保护、带时限过电流保护。</w:t>
      </w:r>
    </w:p>
    <w:p w14:paraId="496F7172">
      <w:pPr>
        <w:bidi w:val="0"/>
        <w:rPr>
          <w:rFonts w:hint="eastAsia"/>
          <w:color w:val="auto"/>
        </w:rPr>
      </w:pPr>
      <w:r>
        <w:rPr>
          <w:rFonts w:hint="eastAsia"/>
          <w:color w:val="auto"/>
        </w:rPr>
        <w:t>2）高压电容器设置过电流保护、过电压及低电压保护及中性点不平衡电流保护。</w:t>
      </w:r>
    </w:p>
    <w:p w14:paraId="61EC4711">
      <w:pPr>
        <w:bidi w:val="0"/>
        <w:rPr>
          <w:rFonts w:hint="eastAsia"/>
          <w:color w:val="auto"/>
        </w:rPr>
      </w:pPr>
      <w:r>
        <w:rPr>
          <w:rFonts w:hint="eastAsia"/>
          <w:color w:val="auto"/>
        </w:rPr>
        <w:t xml:space="preserve">3）高压电机设反时限过电流保护、过负荷保护及低电压保护。 </w:t>
      </w:r>
    </w:p>
    <w:p w14:paraId="366C650A">
      <w:pPr>
        <w:bidi w:val="0"/>
        <w:rPr>
          <w:rFonts w:hint="eastAsia"/>
          <w:color w:val="auto"/>
        </w:rPr>
      </w:pPr>
      <w:r>
        <w:rPr>
          <w:rFonts w:hint="eastAsia"/>
          <w:color w:val="auto"/>
        </w:rPr>
        <w:t>4）所有10kV馈出线均设单相接地选线功能：变压器回路动作于信号，电机回路动作于跳闸。</w:t>
      </w:r>
    </w:p>
    <w:p w14:paraId="64ABC79E">
      <w:pPr>
        <w:bidi w:val="0"/>
        <w:rPr>
          <w:rFonts w:hint="eastAsia"/>
          <w:color w:val="auto"/>
        </w:rPr>
      </w:pPr>
      <w:r>
        <w:rPr>
          <w:rFonts w:hint="eastAsia"/>
          <w:color w:val="auto"/>
        </w:rPr>
        <w:t>5）对有过负荷可能的变压器均加设过负荷保护;</w:t>
      </w:r>
    </w:p>
    <w:p w14:paraId="29172F8F">
      <w:pPr>
        <w:bidi w:val="0"/>
        <w:rPr>
          <w:rFonts w:hint="eastAsia"/>
          <w:color w:val="auto"/>
        </w:rPr>
      </w:pPr>
      <w:r>
        <w:rPr>
          <w:rFonts w:hint="eastAsia"/>
          <w:color w:val="auto"/>
        </w:rPr>
        <w:t>2、过电压保护及防雷</w:t>
      </w:r>
    </w:p>
    <w:p w14:paraId="0CECF035">
      <w:pPr>
        <w:bidi w:val="0"/>
        <w:rPr>
          <w:rFonts w:hint="eastAsia"/>
          <w:color w:val="auto"/>
        </w:rPr>
      </w:pPr>
      <w:r>
        <w:rPr>
          <w:rFonts w:hint="eastAsia"/>
          <w:color w:val="auto"/>
        </w:rPr>
        <w:t>1）所有真空开关柜均配有ZnO避雷器吸收操作过电压。</w:t>
      </w:r>
    </w:p>
    <w:p w14:paraId="10B16FC6">
      <w:pPr>
        <w:bidi w:val="0"/>
        <w:rPr>
          <w:rFonts w:hint="eastAsia"/>
          <w:color w:val="auto"/>
        </w:rPr>
      </w:pPr>
      <w:r>
        <w:rPr>
          <w:rFonts w:hint="eastAsia"/>
          <w:color w:val="auto"/>
        </w:rPr>
        <w:t>2）10kV母线、10kV架空馈出线端，车间变电所10kV侧（架空进线）、高压电机首端及中性点抽出端，主变中性点均装设阀型避雷器，以防止雷电波袭击电气设备。</w:t>
      </w:r>
    </w:p>
    <w:p w14:paraId="16AD61C1">
      <w:pPr>
        <w:pStyle w:val="4"/>
        <w:bidi w:val="0"/>
        <w:rPr>
          <w:rFonts w:hint="eastAsia"/>
          <w:color w:val="auto"/>
        </w:rPr>
      </w:pPr>
      <w:bookmarkStart w:id="113" w:name="_Toc12346"/>
      <w:r>
        <w:rPr>
          <w:rFonts w:hint="eastAsia"/>
          <w:color w:val="auto"/>
          <w:lang w:val="en-US" w:eastAsia="zh-CN"/>
        </w:rPr>
        <w:t xml:space="preserve">2.8.5 </w:t>
      </w:r>
      <w:r>
        <w:rPr>
          <w:rFonts w:hint="eastAsia"/>
          <w:color w:val="auto"/>
        </w:rPr>
        <w:t>电气照明</w:t>
      </w:r>
      <w:bookmarkEnd w:id="113"/>
    </w:p>
    <w:p w14:paraId="2CEEF116">
      <w:pPr>
        <w:bidi w:val="0"/>
        <w:rPr>
          <w:rFonts w:hint="eastAsia"/>
          <w:color w:val="auto"/>
        </w:rPr>
      </w:pPr>
      <w:r>
        <w:rPr>
          <w:rFonts w:hint="eastAsia"/>
          <w:color w:val="auto"/>
        </w:rPr>
        <w:t>车间内一般设置正常工作照明，面积较大的车间内的照明灯具在车间照明配电箱上分区集中控制，控制室和小车间内的照明灯具采用面板开关分散控制。正常工作环境选用普通灯具，多尘环境选用防水防尘灯具，腐蚀环境选用防腐灯具。车间内尽量采用高效节能荧光灯及LED等节能光源。在潮湿与灯具的安装高度低于2.4m的场所，设置24V安全照明。</w:t>
      </w:r>
    </w:p>
    <w:p w14:paraId="493B171C">
      <w:pPr>
        <w:bidi w:val="0"/>
        <w:rPr>
          <w:rFonts w:hint="eastAsia"/>
          <w:color w:val="auto"/>
        </w:rPr>
      </w:pPr>
      <w:r>
        <w:rPr>
          <w:rFonts w:hint="eastAsia"/>
          <w:color w:val="auto"/>
        </w:rPr>
        <w:t>各车间变电所、调度室、控制室等主要场所除了正常照明，还要设置有应急照明，应急照明时间不低于60分钟。</w:t>
      </w:r>
    </w:p>
    <w:p w14:paraId="6FA3834F">
      <w:pPr>
        <w:pStyle w:val="4"/>
        <w:bidi w:val="0"/>
        <w:rPr>
          <w:rFonts w:hint="eastAsia"/>
          <w:color w:val="auto"/>
        </w:rPr>
      </w:pPr>
      <w:bookmarkStart w:id="114" w:name="_Toc25867"/>
      <w:r>
        <w:rPr>
          <w:rFonts w:hint="eastAsia"/>
          <w:color w:val="auto"/>
          <w:lang w:val="en-US" w:eastAsia="zh-CN"/>
        </w:rPr>
        <w:t xml:space="preserve">2.8.6 </w:t>
      </w:r>
      <w:r>
        <w:rPr>
          <w:rFonts w:hint="eastAsia"/>
          <w:color w:val="auto"/>
        </w:rPr>
        <w:t>防雷及接地</w:t>
      </w:r>
      <w:bookmarkEnd w:id="114"/>
    </w:p>
    <w:p w14:paraId="65C4C869">
      <w:pPr>
        <w:bidi w:val="0"/>
        <w:rPr>
          <w:rFonts w:hint="eastAsia"/>
          <w:color w:val="auto"/>
        </w:rPr>
      </w:pPr>
      <w:r>
        <w:rPr>
          <w:rFonts w:hint="eastAsia"/>
          <w:color w:val="auto"/>
        </w:rPr>
        <w:t>所有建筑物按工业三类防雷建筑物标准设计。为防止直击雷，金属屋面建构筑物尽量利用金属屋面作为接闪器，钢结构或混凝土柱内钢筋作为引下线与建筑物基础钢筋网连接。非金属屋面在建筑物屋面设避雷带，利用钢结构或混凝土柱主钢筋作为引下线，基础或地梁内钢筋作为自然接地体，防雷接地冲击电阻不大于30欧。若上述措施不能满足防雷接地电阻要求时，须增加人工接地装置。</w:t>
      </w:r>
    </w:p>
    <w:p w14:paraId="654BE000">
      <w:pPr>
        <w:bidi w:val="0"/>
        <w:rPr>
          <w:rFonts w:hint="eastAsia"/>
          <w:color w:val="auto"/>
        </w:rPr>
      </w:pPr>
      <w:r>
        <w:rPr>
          <w:rFonts w:hint="eastAsia"/>
          <w:color w:val="auto"/>
        </w:rPr>
        <w:t>低压配电系统的接地型式为TN-S系统，所有正常不带电的电气设备金属外壳、母线支架和金属电缆桥架等均应与PE线相连，PE线可利用电力电缆的第四芯、控制电缆的多余芯线或采用专用导线。防雷接地与电力系统接地采用共同的接地系统，接地电阻≤1欧。车间配电室向邻近车间供电的线路，在进入车间处须重复接地，接地电阻≤10欧。</w:t>
      </w:r>
    </w:p>
    <w:p w14:paraId="2187CB88">
      <w:pPr>
        <w:pStyle w:val="4"/>
        <w:bidi w:val="0"/>
        <w:rPr>
          <w:rFonts w:hint="eastAsia"/>
          <w:color w:val="auto"/>
        </w:rPr>
      </w:pPr>
      <w:bookmarkStart w:id="115" w:name="_Toc24897"/>
      <w:r>
        <w:rPr>
          <w:rFonts w:hint="eastAsia"/>
          <w:color w:val="auto"/>
          <w:lang w:val="en-US" w:eastAsia="zh-CN"/>
        </w:rPr>
        <w:t xml:space="preserve">2.8.7 </w:t>
      </w:r>
      <w:r>
        <w:rPr>
          <w:rFonts w:hint="eastAsia"/>
          <w:color w:val="auto"/>
        </w:rPr>
        <w:t>电气防火</w:t>
      </w:r>
      <w:bookmarkEnd w:id="115"/>
    </w:p>
    <w:p w14:paraId="671F16C6">
      <w:pPr>
        <w:bidi w:val="0"/>
        <w:rPr>
          <w:rFonts w:hint="eastAsia"/>
          <w:color w:val="auto"/>
        </w:rPr>
      </w:pPr>
      <w:r>
        <w:rPr>
          <w:rFonts w:hint="eastAsia"/>
          <w:color w:val="auto"/>
        </w:rPr>
        <w:t>1、配电室设备采用无油设备，室内设置干粉灭火器。</w:t>
      </w:r>
    </w:p>
    <w:p w14:paraId="6F65AE6D">
      <w:pPr>
        <w:bidi w:val="0"/>
        <w:rPr>
          <w:rFonts w:hint="eastAsia"/>
          <w:color w:val="auto"/>
        </w:rPr>
      </w:pPr>
      <w:r>
        <w:rPr>
          <w:rFonts w:hint="eastAsia"/>
          <w:color w:val="auto"/>
        </w:rPr>
        <w:t>2、所有进出配电室的孔洞均防火封堵。</w:t>
      </w:r>
    </w:p>
    <w:p w14:paraId="5D6A710B">
      <w:pPr>
        <w:pStyle w:val="4"/>
        <w:bidi w:val="0"/>
        <w:rPr>
          <w:rFonts w:hint="eastAsia"/>
          <w:color w:val="auto"/>
        </w:rPr>
      </w:pPr>
      <w:bookmarkStart w:id="116" w:name="_Toc15566"/>
      <w:r>
        <w:rPr>
          <w:rFonts w:hint="eastAsia"/>
          <w:color w:val="auto"/>
          <w:lang w:val="en-US" w:eastAsia="zh-CN"/>
        </w:rPr>
        <w:t xml:space="preserve">2.8.8 </w:t>
      </w:r>
      <w:r>
        <w:rPr>
          <w:rFonts w:hint="eastAsia"/>
          <w:color w:val="auto"/>
        </w:rPr>
        <w:t>通信</w:t>
      </w:r>
      <w:bookmarkEnd w:id="116"/>
    </w:p>
    <w:p w14:paraId="222BB7D6">
      <w:pPr>
        <w:bidi w:val="0"/>
        <w:rPr>
          <w:color w:val="auto"/>
        </w:rPr>
      </w:pPr>
      <w:r>
        <w:rPr>
          <w:rFonts w:hint="eastAsia"/>
          <w:color w:val="auto"/>
        </w:rPr>
        <w:t>本项目目前通讯主要利用手机，实现选厂生产调度通讯。</w:t>
      </w:r>
    </w:p>
    <w:p w14:paraId="782EB160">
      <w:pPr>
        <w:pStyle w:val="3"/>
        <w:bidi w:val="0"/>
        <w:rPr>
          <w:rFonts w:hint="eastAsia"/>
          <w:color w:val="auto"/>
        </w:rPr>
      </w:pPr>
      <w:bookmarkStart w:id="117" w:name="_Toc6404"/>
      <w:r>
        <w:rPr>
          <w:rFonts w:hint="eastAsia"/>
          <w:color w:val="auto"/>
        </w:rPr>
        <w:t>2.</w:t>
      </w:r>
      <w:r>
        <w:rPr>
          <w:rFonts w:hint="eastAsia"/>
          <w:color w:val="auto"/>
          <w:lang w:val="en-US" w:eastAsia="zh-CN"/>
        </w:rPr>
        <w:t>9</w:t>
      </w:r>
      <w:r>
        <w:rPr>
          <w:rFonts w:hint="eastAsia"/>
          <w:color w:val="auto"/>
        </w:rPr>
        <w:t xml:space="preserve"> 安全管理</w:t>
      </w:r>
      <w:bookmarkEnd w:id="117"/>
    </w:p>
    <w:p w14:paraId="2C683221">
      <w:pPr>
        <w:pStyle w:val="4"/>
        <w:bidi w:val="0"/>
        <w:rPr>
          <w:rFonts w:hint="eastAsia"/>
          <w:color w:val="auto"/>
        </w:rPr>
      </w:pPr>
      <w:bookmarkStart w:id="118" w:name="_Toc22908"/>
      <w:r>
        <w:rPr>
          <w:rFonts w:hint="eastAsia"/>
          <w:color w:val="auto"/>
        </w:rPr>
        <w:t>2.</w:t>
      </w:r>
      <w:r>
        <w:rPr>
          <w:rFonts w:hint="eastAsia"/>
          <w:color w:val="auto"/>
          <w:lang w:val="en-US" w:eastAsia="zh-CN"/>
        </w:rPr>
        <w:t>9</w:t>
      </w:r>
      <w:r>
        <w:rPr>
          <w:rFonts w:hint="eastAsia"/>
          <w:color w:val="auto"/>
        </w:rPr>
        <w:t>.1 安全管理机构</w:t>
      </w:r>
      <w:bookmarkEnd w:id="118"/>
    </w:p>
    <w:p w14:paraId="5E63E00F">
      <w:pPr>
        <w:bidi w:val="0"/>
        <w:rPr>
          <w:rFonts w:hint="eastAsia"/>
          <w:color w:val="auto"/>
        </w:rPr>
      </w:pPr>
      <w:r>
        <w:rPr>
          <w:rFonts w:hint="eastAsia"/>
          <w:color w:val="auto"/>
        </w:rPr>
        <w:t>设置安全领导小组为安全管理机构，各生产车间、班组与公司形成一个安全卫生管理网，按国家及有关部门规定的职能和职责，检查、监督和贯彻国家、部门下达的各项安全管理指令和规定，制定必要的管理方法、规程和规章制度，定期对职工进行安全教育，实行全面、系统的安全管理。</w:t>
      </w:r>
    </w:p>
    <w:p w14:paraId="4F556893">
      <w:pPr>
        <w:pStyle w:val="4"/>
        <w:bidi w:val="0"/>
        <w:rPr>
          <w:rFonts w:hint="eastAsia"/>
          <w:color w:val="auto"/>
        </w:rPr>
      </w:pPr>
      <w:bookmarkStart w:id="119" w:name="_Toc29623"/>
      <w:r>
        <w:rPr>
          <w:rFonts w:hint="eastAsia"/>
          <w:color w:val="auto"/>
        </w:rPr>
        <w:t>2.</w:t>
      </w:r>
      <w:r>
        <w:rPr>
          <w:rFonts w:hint="eastAsia"/>
          <w:color w:val="auto"/>
          <w:lang w:val="en-US" w:eastAsia="zh-CN"/>
        </w:rPr>
        <w:t>9</w:t>
      </w:r>
      <w:r>
        <w:rPr>
          <w:rFonts w:hint="eastAsia"/>
          <w:color w:val="auto"/>
        </w:rPr>
        <w:t>.2 生产经营单位主要负责人、安全管理人员</w:t>
      </w:r>
      <w:bookmarkEnd w:id="119"/>
    </w:p>
    <w:p w14:paraId="18D68307">
      <w:pPr>
        <w:bidi w:val="0"/>
        <w:rPr>
          <w:rFonts w:hint="eastAsia"/>
          <w:color w:val="auto"/>
        </w:rPr>
      </w:pPr>
      <w:r>
        <w:rPr>
          <w:rFonts w:hint="eastAsia"/>
          <w:color w:val="auto"/>
        </w:rPr>
        <w:t>根据《生产经营单位安全培训规定》（国家安监总局第3号令公布，第63号令修正，第80号令第二次修正），生产经营单位主要负责人、安全管理人员安全培训应当包括下列内容：</w:t>
      </w:r>
    </w:p>
    <w:p w14:paraId="61C355FD">
      <w:pPr>
        <w:bidi w:val="0"/>
        <w:rPr>
          <w:rFonts w:hint="eastAsia"/>
          <w:color w:val="auto"/>
        </w:rPr>
      </w:pPr>
      <w:r>
        <w:rPr>
          <w:rFonts w:hint="eastAsia"/>
          <w:color w:val="auto"/>
        </w:rPr>
        <w:t>（1）国家安全生产方针、政策和有关安全生产的法律、法规、规章及标准；</w:t>
      </w:r>
    </w:p>
    <w:p w14:paraId="1F3068F0">
      <w:pPr>
        <w:bidi w:val="0"/>
        <w:rPr>
          <w:rFonts w:hint="eastAsia"/>
          <w:color w:val="auto"/>
        </w:rPr>
      </w:pPr>
      <w:r>
        <w:rPr>
          <w:rFonts w:hint="eastAsia"/>
          <w:color w:val="auto"/>
        </w:rPr>
        <w:t>（2）安全生产管理基本知识、安全生产技术、安全生产专业知识；</w:t>
      </w:r>
    </w:p>
    <w:p w14:paraId="65A62A9B">
      <w:pPr>
        <w:bidi w:val="0"/>
        <w:rPr>
          <w:rFonts w:hint="eastAsia"/>
          <w:color w:val="auto"/>
        </w:rPr>
      </w:pPr>
      <w:r>
        <w:rPr>
          <w:rFonts w:hint="eastAsia"/>
          <w:color w:val="auto"/>
        </w:rPr>
        <w:t>（3）重大事故防范、应急管理和救援组织以及事故调查处理的有关规定；</w:t>
      </w:r>
    </w:p>
    <w:p w14:paraId="24CC955E">
      <w:pPr>
        <w:bidi w:val="0"/>
        <w:rPr>
          <w:rFonts w:hint="eastAsia"/>
          <w:color w:val="auto"/>
        </w:rPr>
      </w:pPr>
      <w:r>
        <w:rPr>
          <w:rFonts w:hint="eastAsia"/>
          <w:color w:val="auto"/>
        </w:rPr>
        <w:t>（4）职业危害及其预防措施；</w:t>
      </w:r>
    </w:p>
    <w:p w14:paraId="003633D8">
      <w:pPr>
        <w:bidi w:val="0"/>
        <w:rPr>
          <w:rFonts w:hint="eastAsia"/>
          <w:color w:val="auto"/>
        </w:rPr>
      </w:pPr>
      <w:r>
        <w:rPr>
          <w:rFonts w:hint="eastAsia"/>
          <w:color w:val="auto"/>
        </w:rPr>
        <w:t>（5）国内外先进的安全生产管理经验；</w:t>
      </w:r>
    </w:p>
    <w:p w14:paraId="457136A3">
      <w:pPr>
        <w:bidi w:val="0"/>
        <w:rPr>
          <w:rFonts w:hint="eastAsia"/>
          <w:color w:val="auto"/>
        </w:rPr>
      </w:pPr>
      <w:r>
        <w:rPr>
          <w:rFonts w:hint="eastAsia"/>
          <w:color w:val="auto"/>
        </w:rPr>
        <w:t>（6）典型事故和应急救援案例分析；</w:t>
      </w:r>
    </w:p>
    <w:p w14:paraId="3E637D93">
      <w:pPr>
        <w:bidi w:val="0"/>
        <w:rPr>
          <w:rFonts w:hint="eastAsia"/>
          <w:color w:val="auto"/>
        </w:rPr>
      </w:pPr>
      <w:r>
        <w:rPr>
          <w:rFonts w:hint="eastAsia"/>
          <w:color w:val="auto"/>
        </w:rPr>
        <w:t>（7）其他需要培训的内容。</w:t>
      </w:r>
    </w:p>
    <w:p w14:paraId="08E8A28A">
      <w:pPr>
        <w:bidi w:val="0"/>
        <w:rPr>
          <w:rFonts w:hint="eastAsia"/>
          <w:color w:val="auto"/>
        </w:rPr>
      </w:pPr>
      <w:r>
        <w:rPr>
          <w:rFonts w:hint="eastAsia"/>
          <w:color w:val="auto"/>
        </w:rPr>
        <w:t>根据工作性质对其他从业人员进行安全培训，保证其具备本岗位安全操作、应急处置等知识和技能。</w:t>
      </w:r>
    </w:p>
    <w:p w14:paraId="204EDFD4">
      <w:pPr>
        <w:bidi w:val="0"/>
        <w:rPr>
          <w:rFonts w:hint="eastAsia"/>
          <w:color w:val="auto"/>
        </w:rPr>
      </w:pPr>
      <w:r>
        <w:rPr>
          <w:rFonts w:hint="eastAsia"/>
          <w:color w:val="auto"/>
        </w:rPr>
        <w:t>生产经营单位主要负责人和安全生产管理人员初次安全培训时间不得少于72学时。每年再培训时间不得少于20学时。</w:t>
      </w:r>
    </w:p>
    <w:p w14:paraId="4B19F4AB">
      <w:pPr>
        <w:pStyle w:val="4"/>
        <w:bidi w:val="0"/>
        <w:rPr>
          <w:rFonts w:hint="eastAsia"/>
          <w:color w:val="auto"/>
        </w:rPr>
      </w:pPr>
      <w:bookmarkStart w:id="120" w:name="_Toc16719"/>
      <w:r>
        <w:rPr>
          <w:rFonts w:hint="eastAsia"/>
          <w:color w:val="auto"/>
        </w:rPr>
        <w:t>2.</w:t>
      </w:r>
      <w:r>
        <w:rPr>
          <w:rFonts w:hint="eastAsia"/>
          <w:color w:val="auto"/>
          <w:lang w:val="en-US" w:eastAsia="zh-CN"/>
        </w:rPr>
        <w:t>9</w:t>
      </w:r>
      <w:r>
        <w:rPr>
          <w:rFonts w:hint="eastAsia"/>
          <w:color w:val="auto"/>
        </w:rPr>
        <w:t>.3 特种作业人员</w:t>
      </w:r>
      <w:bookmarkEnd w:id="120"/>
    </w:p>
    <w:p w14:paraId="2D44E72C">
      <w:pPr>
        <w:bidi w:val="0"/>
        <w:rPr>
          <w:rFonts w:hint="eastAsia"/>
          <w:color w:val="auto"/>
        </w:rPr>
      </w:pPr>
      <w:r>
        <w:rPr>
          <w:rFonts w:hint="eastAsia"/>
          <w:color w:val="auto"/>
        </w:rPr>
        <w:t>根据《安全生产法》第三十条，生产经营单位的特种作业人员必须按照国家有关规定经专门的安全作业培训，取得相应资格，方可上岗作业。</w:t>
      </w:r>
    </w:p>
    <w:p w14:paraId="7DDA8E64">
      <w:pPr>
        <w:bidi w:val="0"/>
        <w:rPr>
          <w:rFonts w:hint="eastAsia"/>
          <w:color w:val="auto"/>
        </w:rPr>
      </w:pPr>
      <w:r>
        <w:rPr>
          <w:rFonts w:hint="eastAsia"/>
          <w:color w:val="auto"/>
        </w:rPr>
        <w:t>生产经营单位特种作业人员的安全技术培训、考核、发证、复审及其监督管理要符合《特种作业人员安全技术培训考核管理规定》（国家安全生产监督管理总局令第30号，安监总局令第80号令修改）的规定。</w:t>
      </w:r>
    </w:p>
    <w:p w14:paraId="201E1956">
      <w:pPr>
        <w:pStyle w:val="4"/>
        <w:bidi w:val="0"/>
        <w:rPr>
          <w:rFonts w:hint="eastAsia"/>
          <w:color w:val="auto"/>
        </w:rPr>
      </w:pPr>
      <w:bookmarkStart w:id="121" w:name="_Toc13851"/>
      <w:r>
        <w:rPr>
          <w:rFonts w:hint="eastAsia"/>
          <w:color w:val="auto"/>
        </w:rPr>
        <w:t>2.</w:t>
      </w:r>
      <w:r>
        <w:rPr>
          <w:rFonts w:hint="eastAsia"/>
          <w:color w:val="auto"/>
          <w:lang w:val="en-US" w:eastAsia="zh-CN"/>
        </w:rPr>
        <w:t>9</w:t>
      </w:r>
      <w:r>
        <w:rPr>
          <w:rFonts w:hint="eastAsia"/>
          <w:color w:val="auto"/>
        </w:rPr>
        <w:t>.4 从业人员</w:t>
      </w:r>
      <w:bookmarkEnd w:id="121"/>
    </w:p>
    <w:p w14:paraId="03FFD1AE">
      <w:pPr>
        <w:bidi w:val="0"/>
        <w:rPr>
          <w:rFonts w:hint="eastAsia"/>
          <w:color w:val="auto"/>
        </w:rPr>
      </w:pPr>
      <w:r>
        <w:rPr>
          <w:rFonts w:hint="eastAsia"/>
          <w:color w:val="auto"/>
        </w:rPr>
        <w:t>根据《安全生产法》第二十八条，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14:paraId="2871F7B8">
      <w:pPr>
        <w:pStyle w:val="4"/>
        <w:bidi w:val="0"/>
        <w:rPr>
          <w:rFonts w:hint="eastAsia"/>
          <w:color w:val="auto"/>
        </w:rPr>
      </w:pPr>
      <w:bookmarkStart w:id="122" w:name="_Toc26544"/>
      <w:r>
        <w:rPr>
          <w:rFonts w:hint="eastAsia"/>
          <w:color w:val="auto"/>
        </w:rPr>
        <w:t>2.</w:t>
      </w:r>
      <w:r>
        <w:rPr>
          <w:rFonts w:hint="eastAsia"/>
          <w:color w:val="auto"/>
          <w:lang w:val="en-US" w:eastAsia="zh-CN"/>
        </w:rPr>
        <w:t>9</w:t>
      </w:r>
      <w:r>
        <w:rPr>
          <w:rFonts w:hint="eastAsia"/>
          <w:color w:val="auto"/>
        </w:rPr>
        <w:t>.5 外协人员及相关方人员</w:t>
      </w:r>
      <w:bookmarkEnd w:id="122"/>
    </w:p>
    <w:p w14:paraId="661CA9E0">
      <w:pPr>
        <w:bidi w:val="0"/>
        <w:rPr>
          <w:rFonts w:hint="eastAsia"/>
          <w:color w:val="auto"/>
        </w:rPr>
      </w:pPr>
      <w:r>
        <w:rPr>
          <w:rFonts w:hint="eastAsia"/>
          <w:color w:val="auto"/>
        </w:rPr>
        <w:t>根据《安全生产法》第二十八条，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14:paraId="67525A6A">
      <w:pPr>
        <w:pStyle w:val="3"/>
        <w:bidi w:val="0"/>
        <w:rPr>
          <w:rFonts w:hint="eastAsia"/>
          <w:color w:val="auto"/>
        </w:rPr>
      </w:pPr>
      <w:bookmarkStart w:id="123" w:name="_Toc26870"/>
      <w:r>
        <w:rPr>
          <w:rFonts w:hint="eastAsia"/>
          <w:color w:val="auto"/>
        </w:rPr>
        <w:t>2.1</w:t>
      </w:r>
      <w:r>
        <w:rPr>
          <w:rFonts w:hint="eastAsia"/>
          <w:color w:val="auto"/>
          <w:lang w:val="en-US" w:eastAsia="zh-CN"/>
        </w:rPr>
        <w:t>0</w:t>
      </w:r>
      <w:r>
        <w:rPr>
          <w:rFonts w:hint="eastAsia"/>
          <w:color w:val="auto"/>
        </w:rPr>
        <w:t xml:space="preserve"> 安全设施投入</w:t>
      </w:r>
      <w:bookmarkEnd w:id="123"/>
    </w:p>
    <w:p w14:paraId="6FE5DBF0">
      <w:pPr>
        <w:bidi w:val="0"/>
        <w:rPr>
          <w:color w:val="auto"/>
        </w:rPr>
      </w:pPr>
      <w:r>
        <w:rPr>
          <w:rFonts w:hint="eastAsia"/>
          <w:color w:val="auto"/>
        </w:rPr>
        <w:t>项目总资金1500万元，初步设计中未明确安全设施投入情况。</w:t>
      </w:r>
    </w:p>
    <w:p w14:paraId="7467D28A">
      <w:pPr>
        <w:rPr>
          <w:color w:val="auto"/>
        </w:rPr>
      </w:pPr>
      <w:r>
        <w:rPr>
          <w:color w:val="auto"/>
        </w:rPr>
        <w:br w:type="page"/>
      </w:r>
    </w:p>
    <w:p w14:paraId="3E553412">
      <w:pPr>
        <w:pStyle w:val="2"/>
        <w:bidi w:val="0"/>
        <w:rPr>
          <w:rFonts w:hint="eastAsia"/>
          <w:color w:val="auto"/>
        </w:rPr>
      </w:pPr>
      <w:bookmarkStart w:id="124" w:name="_Toc4419"/>
      <w:r>
        <w:rPr>
          <w:rFonts w:hint="eastAsia"/>
          <w:color w:val="auto"/>
        </w:rPr>
        <w:t>3 危险、有害因素辨识及分析</w:t>
      </w:r>
      <w:bookmarkEnd w:id="124"/>
    </w:p>
    <w:p w14:paraId="22E7BE26">
      <w:pPr>
        <w:pStyle w:val="3"/>
        <w:bidi w:val="0"/>
        <w:rPr>
          <w:rFonts w:hint="eastAsia"/>
          <w:color w:val="auto"/>
        </w:rPr>
      </w:pPr>
      <w:bookmarkStart w:id="125" w:name="_Toc2416"/>
      <w:r>
        <w:rPr>
          <w:rFonts w:hint="eastAsia"/>
          <w:color w:val="auto"/>
        </w:rPr>
        <w:t>3.1 主要危险、有害因素辨识与分析</w:t>
      </w:r>
      <w:bookmarkEnd w:id="125"/>
    </w:p>
    <w:p w14:paraId="2E311410">
      <w:pPr>
        <w:pStyle w:val="4"/>
        <w:bidi w:val="0"/>
        <w:rPr>
          <w:rFonts w:hint="eastAsia"/>
          <w:color w:val="auto"/>
        </w:rPr>
      </w:pPr>
      <w:bookmarkStart w:id="126" w:name="_Toc11612"/>
      <w:r>
        <w:rPr>
          <w:rFonts w:hint="eastAsia"/>
          <w:color w:val="auto"/>
        </w:rPr>
        <w:t>3.1.1 辨识与分析的目的</w:t>
      </w:r>
      <w:bookmarkEnd w:id="126"/>
    </w:p>
    <w:p w14:paraId="6DAFABBF">
      <w:pPr>
        <w:bidi w:val="0"/>
        <w:rPr>
          <w:rFonts w:hint="eastAsia"/>
          <w:color w:val="auto"/>
        </w:rPr>
      </w:pPr>
      <w:r>
        <w:rPr>
          <w:rFonts w:hint="eastAsia"/>
          <w:color w:val="auto"/>
        </w:rPr>
        <w:t>危险因素分析的目的是对系统中的潜在危险进行辨识，并根据其危险等级确定防止这些潜在危险发展成事故的对策措施。</w:t>
      </w:r>
    </w:p>
    <w:p w14:paraId="60F40A92">
      <w:pPr>
        <w:bidi w:val="0"/>
        <w:rPr>
          <w:rFonts w:hint="eastAsia"/>
          <w:color w:val="auto"/>
        </w:rPr>
      </w:pPr>
      <w:r>
        <w:rPr>
          <w:rFonts w:hint="eastAsia"/>
          <w:color w:val="auto"/>
        </w:rPr>
        <w:t>有害因素分析的目的是找出生产活动中对作业人员可能产生的各种有害因素，并评估其等级，提出改善劳动条件和防护措施的要求。通过贯彻实施，以控制和减少职业危害，保证作业人员的职业健康。</w:t>
      </w:r>
    </w:p>
    <w:p w14:paraId="12BA493A">
      <w:pPr>
        <w:bidi w:val="0"/>
        <w:rPr>
          <w:rFonts w:hint="eastAsia"/>
          <w:color w:val="auto"/>
        </w:rPr>
      </w:pPr>
      <w:r>
        <w:rPr>
          <w:rFonts w:hint="eastAsia"/>
          <w:color w:val="auto"/>
        </w:rPr>
        <w:t>危险、有害因素分析是安全评价的基础。通过对尾矿处理工艺及系统中可能存在的危险、有害因素进行辨识和分析，确定主要危险、有害因素的种类、存在部位及可能产生的后果，选用适当的评价方法并针对性地提出防治、控制措施。</w:t>
      </w:r>
    </w:p>
    <w:p w14:paraId="6213BF09">
      <w:pPr>
        <w:pStyle w:val="4"/>
        <w:bidi w:val="0"/>
        <w:rPr>
          <w:rFonts w:hint="eastAsia"/>
          <w:color w:val="auto"/>
        </w:rPr>
      </w:pPr>
      <w:bookmarkStart w:id="127" w:name="_Toc15662"/>
      <w:r>
        <w:rPr>
          <w:rFonts w:hint="eastAsia"/>
          <w:color w:val="auto"/>
        </w:rPr>
        <w:t>3.1.2 辨识与分析的方法</w:t>
      </w:r>
      <w:bookmarkEnd w:id="127"/>
    </w:p>
    <w:p w14:paraId="10CAC9B5">
      <w:pPr>
        <w:bidi w:val="0"/>
        <w:rPr>
          <w:rFonts w:hint="eastAsia"/>
          <w:color w:val="auto"/>
        </w:rPr>
      </w:pPr>
      <w:r>
        <w:rPr>
          <w:rFonts w:hint="eastAsia"/>
          <w:color w:val="auto"/>
        </w:rPr>
        <w:t>《企业</w:t>
      </w:r>
      <w:r>
        <w:rPr>
          <w:rFonts w:hint="eastAsia"/>
          <w:color w:val="auto"/>
          <w:lang w:val="en-US" w:eastAsia="zh-CN"/>
        </w:rPr>
        <w:t>职</w:t>
      </w:r>
      <w:r>
        <w:rPr>
          <w:rFonts w:hint="eastAsia"/>
          <w:color w:val="auto"/>
        </w:rPr>
        <w:t>工伤亡事故分类》（GB6441-1986）把事故分为20类，综合考虑起因物、引起事故的诱导性原因、致害物、伤害方式等，本项目可能发生物体打击、车辆伤害、机械伤害、触电、淹溺、高处坠落、坍塌、灼烫、火灾、其他爆炸、中毒和窒息及其他伤害等事故。</w:t>
      </w:r>
    </w:p>
    <w:p w14:paraId="41E5B741">
      <w:pPr>
        <w:bidi w:val="0"/>
        <w:rPr>
          <w:rFonts w:hint="eastAsia"/>
          <w:color w:val="auto"/>
        </w:rPr>
      </w:pPr>
      <w:r>
        <w:rPr>
          <w:rFonts w:hint="eastAsia"/>
          <w:color w:val="auto"/>
        </w:rPr>
        <w:t>按照《生产过程危险和有害因素分类与代码》（GB/T 13861-2022）的规定，将生产及检维修过程中的危险、有害因素分为以下4类：</w:t>
      </w:r>
    </w:p>
    <w:p w14:paraId="5464F1A3">
      <w:pPr>
        <w:bidi w:val="0"/>
        <w:rPr>
          <w:rFonts w:hint="eastAsia"/>
          <w:color w:val="auto"/>
        </w:rPr>
      </w:pPr>
      <w:r>
        <w:rPr>
          <w:rFonts w:hint="eastAsia"/>
          <w:color w:val="auto"/>
        </w:rPr>
        <w:t>（1）人的因素</w:t>
      </w:r>
    </w:p>
    <w:p w14:paraId="40DDAA03">
      <w:pPr>
        <w:bidi w:val="0"/>
        <w:rPr>
          <w:rFonts w:hint="eastAsia"/>
          <w:color w:val="auto"/>
        </w:rPr>
      </w:pPr>
      <w:r>
        <w:rPr>
          <w:rFonts w:hint="eastAsia"/>
          <w:color w:val="auto"/>
        </w:rPr>
        <w:t>1）心理、生理性危险和有害因素；</w:t>
      </w:r>
    </w:p>
    <w:p w14:paraId="740C485C">
      <w:pPr>
        <w:bidi w:val="0"/>
        <w:rPr>
          <w:rFonts w:hint="eastAsia"/>
          <w:color w:val="auto"/>
        </w:rPr>
      </w:pPr>
      <w:r>
        <w:rPr>
          <w:rFonts w:hint="eastAsia"/>
          <w:color w:val="auto"/>
        </w:rPr>
        <w:t>2）行为性危险和有害因素。</w:t>
      </w:r>
    </w:p>
    <w:p w14:paraId="1231CC69">
      <w:pPr>
        <w:bidi w:val="0"/>
        <w:rPr>
          <w:rFonts w:hint="eastAsia"/>
          <w:color w:val="auto"/>
        </w:rPr>
      </w:pPr>
      <w:r>
        <w:rPr>
          <w:rFonts w:hint="eastAsia"/>
          <w:color w:val="auto"/>
        </w:rPr>
        <w:t>（2）物的因素</w:t>
      </w:r>
    </w:p>
    <w:p w14:paraId="4CAC3416">
      <w:pPr>
        <w:bidi w:val="0"/>
        <w:rPr>
          <w:rFonts w:hint="eastAsia"/>
          <w:color w:val="auto"/>
        </w:rPr>
      </w:pPr>
      <w:r>
        <w:rPr>
          <w:rFonts w:hint="eastAsia"/>
          <w:color w:val="auto"/>
        </w:rPr>
        <w:t>1）物理性危险和有害因素；</w:t>
      </w:r>
    </w:p>
    <w:p w14:paraId="4356FA5B">
      <w:pPr>
        <w:bidi w:val="0"/>
        <w:rPr>
          <w:rFonts w:hint="eastAsia"/>
          <w:color w:val="auto"/>
        </w:rPr>
      </w:pPr>
      <w:r>
        <w:rPr>
          <w:rFonts w:hint="eastAsia"/>
          <w:color w:val="auto"/>
        </w:rPr>
        <w:t>2）生物性危险和有害因素。</w:t>
      </w:r>
    </w:p>
    <w:p w14:paraId="547CA4C3">
      <w:pPr>
        <w:bidi w:val="0"/>
        <w:rPr>
          <w:rFonts w:hint="eastAsia"/>
          <w:color w:val="auto"/>
        </w:rPr>
      </w:pPr>
      <w:r>
        <w:rPr>
          <w:rFonts w:hint="eastAsia"/>
          <w:color w:val="auto"/>
        </w:rPr>
        <w:t>（3）环境因素</w:t>
      </w:r>
    </w:p>
    <w:p w14:paraId="34519FCB">
      <w:pPr>
        <w:bidi w:val="0"/>
        <w:rPr>
          <w:rFonts w:hint="eastAsia"/>
          <w:color w:val="auto"/>
        </w:rPr>
      </w:pPr>
      <w:r>
        <w:rPr>
          <w:rFonts w:hint="eastAsia"/>
          <w:color w:val="auto"/>
        </w:rPr>
        <w:t>1）室内作业场所环境不良；</w:t>
      </w:r>
    </w:p>
    <w:p w14:paraId="009490F5">
      <w:pPr>
        <w:bidi w:val="0"/>
        <w:rPr>
          <w:rFonts w:hint="eastAsia"/>
          <w:color w:val="auto"/>
        </w:rPr>
      </w:pPr>
      <w:r>
        <w:rPr>
          <w:rFonts w:hint="eastAsia"/>
          <w:color w:val="auto"/>
        </w:rPr>
        <w:t>2）室外作业场地环境不良；</w:t>
      </w:r>
    </w:p>
    <w:p w14:paraId="116C71C1">
      <w:pPr>
        <w:bidi w:val="0"/>
        <w:rPr>
          <w:rFonts w:hint="eastAsia"/>
          <w:color w:val="auto"/>
        </w:rPr>
      </w:pPr>
      <w:r>
        <w:rPr>
          <w:rFonts w:hint="eastAsia"/>
          <w:color w:val="auto"/>
        </w:rPr>
        <w:t>3）地下（含水下）作业环境不良；</w:t>
      </w:r>
    </w:p>
    <w:p w14:paraId="53A7A741">
      <w:pPr>
        <w:bidi w:val="0"/>
        <w:rPr>
          <w:rFonts w:hint="eastAsia"/>
          <w:color w:val="auto"/>
        </w:rPr>
      </w:pPr>
      <w:r>
        <w:rPr>
          <w:rFonts w:hint="eastAsia"/>
          <w:color w:val="auto"/>
        </w:rPr>
        <w:t>4）其他作业环境不良。</w:t>
      </w:r>
    </w:p>
    <w:p w14:paraId="06E698F6">
      <w:pPr>
        <w:bidi w:val="0"/>
        <w:rPr>
          <w:rFonts w:hint="eastAsia"/>
          <w:color w:val="auto"/>
        </w:rPr>
      </w:pPr>
      <w:r>
        <w:rPr>
          <w:rFonts w:hint="eastAsia"/>
          <w:color w:val="auto"/>
        </w:rPr>
        <w:t>（4）管理因素</w:t>
      </w:r>
    </w:p>
    <w:p w14:paraId="106E8320">
      <w:pPr>
        <w:bidi w:val="0"/>
        <w:rPr>
          <w:rFonts w:hint="eastAsia"/>
          <w:color w:val="auto"/>
        </w:rPr>
      </w:pPr>
      <w:r>
        <w:rPr>
          <w:rFonts w:hint="eastAsia"/>
          <w:color w:val="auto"/>
        </w:rPr>
        <w:t>1）职业安全卫生组织机构不健全；</w:t>
      </w:r>
    </w:p>
    <w:p w14:paraId="7019B97F">
      <w:pPr>
        <w:bidi w:val="0"/>
        <w:rPr>
          <w:rFonts w:hint="eastAsia"/>
          <w:color w:val="auto"/>
        </w:rPr>
      </w:pPr>
      <w:r>
        <w:rPr>
          <w:rFonts w:hint="eastAsia"/>
          <w:color w:val="auto"/>
        </w:rPr>
        <w:t>2）职业安全卫生责任制未落实；</w:t>
      </w:r>
    </w:p>
    <w:p w14:paraId="0903D046">
      <w:pPr>
        <w:bidi w:val="0"/>
        <w:rPr>
          <w:rFonts w:hint="eastAsia"/>
          <w:color w:val="auto"/>
        </w:rPr>
      </w:pPr>
      <w:r>
        <w:rPr>
          <w:rFonts w:hint="eastAsia"/>
          <w:color w:val="auto"/>
        </w:rPr>
        <w:t>3）职业安全卫生管理规章制度不完善；</w:t>
      </w:r>
    </w:p>
    <w:p w14:paraId="49973217">
      <w:pPr>
        <w:bidi w:val="0"/>
        <w:rPr>
          <w:rFonts w:hint="eastAsia"/>
          <w:color w:val="auto"/>
        </w:rPr>
      </w:pPr>
      <w:r>
        <w:rPr>
          <w:rFonts w:hint="eastAsia"/>
          <w:color w:val="auto"/>
        </w:rPr>
        <w:t>4）职业安全卫生投入不足；</w:t>
      </w:r>
    </w:p>
    <w:p w14:paraId="5CF97F42">
      <w:pPr>
        <w:bidi w:val="0"/>
        <w:rPr>
          <w:rFonts w:hint="eastAsia"/>
          <w:color w:val="auto"/>
        </w:rPr>
      </w:pPr>
      <w:r>
        <w:rPr>
          <w:rFonts w:hint="eastAsia"/>
          <w:color w:val="auto"/>
        </w:rPr>
        <w:t>5）职业健康管理不完善；</w:t>
      </w:r>
    </w:p>
    <w:p w14:paraId="26589331">
      <w:pPr>
        <w:bidi w:val="0"/>
        <w:rPr>
          <w:rFonts w:hint="eastAsia"/>
          <w:color w:val="auto"/>
        </w:rPr>
      </w:pPr>
      <w:r>
        <w:rPr>
          <w:rFonts w:hint="eastAsia"/>
          <w:color w:val="auto"/>
        </w:rPr>
        <w:t>6）其他管理因素缺陷。</w:t>
      </w:r>
    </w:p>
    <w:p w14:paraId="5A22F194">
      <w:pPr>
        <w:pStyle w:val="4"/>
        <w:bidi w:val="0"/>
        <w:rPr>
          <w:rFonts w:hint="eastAsia"/>
          <w:color w:val="auto"/>
        </w:rPr>
      </w:pPr>
      <w:bookmarkStart w:id="128" w:name="_Toc30760"/>
      <w:r>
        <w:rPr>
          <w:rFonts w:hint="eastAsia"/>
          <w:color w:val="auto"/>
        </w:rPr>
        <w:t>3.1.3 危险、有害因素辨识依据</w:t>
      </w:r>
      <w:bookmarkEnd w:id="128"/>
    </w:p>
    <w:p w14:paraId="512D304E">
      <w:pPr>
        <w:bidi w:val="0"/>
        <w:rPr>
          <w:rFonts w:hint="eastAsia"/>
          <w:color w:val="auto"/>
        </w:rPr>
      </w:pPr>
      <w:r>
        <w:rPr>
          <w:rFonts w:hint="eastAsia"/>
          <w:color w:val="auto"/>
        </w:rPr>
        <w:t>本报告主要依据《企业职工伤亡事故分类》（GB6441-1986）、《生产过程危险和有害因素分类与代码》（GB/T 13861-2022）、《关于公布建设项目职业病危害风险分类管理目录的通知》（国卫办职健发〔2021〕5号）、《危险化学品目录》（2022年调整版）等对该项目可能存在的危险、有害因进行辨识分析。</w:t>
      </w:r>
    </w:p>
    <w:p w14:paraId="4469D957">
      <w:pPr>
        <w:bidi w:val="0"/>
        <w:rPr>
          <w:rFonts w:hint="eastAsia"/>
          <w:color w:val="auto"/>
        </w:rPr>
      </w:pPr>
      <w:r>
        <w:rPr>
          <w:rFonts w:hint="eastAsia"/>
          <w:color w:val="auto"/>
        </w:rPr>
        <w:t>参照《关于公布建设项目职业病危害风险分类管理目录的通知》（国卫办职健发〔2021〕5号），将有害因素分为生产性粉尘、毒物、噪声与振动、高温、低温、辐射（电离辐射、非电离辐射）及其它有害因素等13类。</w:t>
      </w:r>
    </w:p>
    <w:p w14:paraId="237C82B4">
      <w:pPr>
        <w:pStyle w:val="3"/>
        <w:bidi w:val="0"/>
        <w:rPr>
          <w:rFonts w:hint="eastAsia"/>
          <w:color w:val="auto"/>
        </w:rPr>
      </w:pPr>
      <w:bookmarkStart w:id="129" w:name="_Toc12379"/>
      <w:r>
        <w:rPr>
          <w:rFonts w:hint="eastAsia"/>
          <w:color w:val="auto"/>
        </w:rPr>
        <w:t>3.2 主要危险、有害物质辨识与分析</w:t>
      </w:r>
      <w:bookmarkEnd w:id="129"/>
    </w:p>
    <w:p w14:paraId="5032D2D3">
      <w:pPr>
        <w:bidi w:val="0"/>
        <w:rPr>
          <w:rFonts w:hint="eastAsia"/>
          <w:color w:val="auto"/>
        </w:rPr>
      </w:pPr>
      <w:r>
        <w:rPr>
          <w:rFonts w:hint="eastAsia"/>
          <w:color w:val="auto"/>
        </w:rPr>
        <w:t>该项目选用的物料主要为</w:t>
      </w:r>
      <w:r>
        <w:rPr>
          <w:rFonts w:hint="eastAsia"/>
          <w:color w:val="auto"/>
          <w:lang w:val="en-US" w:eastAsia="zh-CN"/>
        </w:rPr>
        <w:t>原矿</w:t>
      </w:r>
      <w:r>
        <w:rPr>
          <w:rFonts w:hint="eastAsia"/>
          <w:color w:val="auto"/>
        </w:rPr>
        <w:t>、机油。能源介质为水、电</w:t>
      </w:r>
      <w:r>
        <w:rPr>
          <w:rFonts w:hint="eastAsia"/>
          <w:color w:val="auto"/>
          <w:lang w:eastAsia="zh-CN"/>
        </w:rPr>
        <w:t>、</w:t>
      </w:r>
      <w:r>
        <w:rPr>
          <w:rFonts w:hint="eastAsia"/>
          <w:color w:val="auto"/>
          <w:lang w:val="en-US" w:eastAsia="zh-CN"/>
        </w:rPr>
        <w:t>生物颗粒</w:t>
      </w:r>
      <w:r>
        <w:rPr>
          <w:rFonts w:hint="eastAsia"/>
          <w:color w:val="auto"/>
        </w:rPr>
        <w:t>。项目检维修使用到氧气和乙炔，氧气和乙炔贮于存选厂。装载机使用的柴油。项目存在的潜在危害因素为粉尘危害、火灾爆炸事故、机械伤害、噪声振动危害的潜在危害等。</w:t>
      </w:r>
    </w:p>
    <w:p w14:paraId="7BC5C10E">
      <w:pPr>
        <w:pStyle w:val="4"/>
        <w:bidi w:val="0"/>
        <w:rPr>
          <w:rFonts w:hint="eastAsia"/>
          <w:color w:val="auto"/>
        </w:rPr>
      </w:pPr>
      <w:bookmarkStart w:id="130" w:name="_Toc4875"/>
      <w:r>
        <w:rPr>
          <w:rFonts w:hint="eastAsia"/>
          <w:color w:val="auto"/>
        </w:rPr>
        <w:t>3.2.1 危险化学品辨识</w:t>
      </w:r>
      <w:bookmarkEnd w:id="130"/>
    </w:p>
    <w:p w14:paraId="500A1C7B">
      <w:pPr>
        <w:bidi w:val="0"/>
        <w:rPr>
          <w:rFonts w:hint="eastAsia"/>
          <w:color w:val="auto"/>
        </w:rPr>
      </w:pPr>
      <w:r>
        <w:rPr>
          <w:rFonts w:hint="eastAsia"/>
          <w:color w:val="auto"/>
        </w:rPr>
        <w:t>项目存在的主要危险、有害物质有：柴油、变压器油、机油、乙炔、氧气等。</w:t>
      </w:r>
    </w:p>
    <w:p w14:paraId="1085C7DC">
      <w:pPr>
        <w:bidi w:val="0"/>
        <w:rPr>
          <w:rFonts w:hint="eastAsia"/>
          <w:color w:val="auto"/>
        </w:rPr>
      </w:pPr>
      <w:r>
        <w:rPr>
          <w:rFonts w:hint="eastAsia"/>
          <w:color w:val="auto"/>
        </w:rPr>
        <w:t>1、根据《危险化学品目录》（2022调整版）判别：氧气、乙炔、柴油属于危险化学品；变压器油、机油不属于危险化学品，但也具有一定的火灾危险性。</w:t>
      </w:r>
    </w:p>
    <w:p w14:paraId="69BAC1D5">
      <w:pPr>
        <w:bidi w:val="0"/>
        <w:rPr>
          <w:rFonts w:hint="eastAsia"/>
          <w:color w:val="auto"/>
        </w:rPr>
      </w:pPr>
      <w:r>
        <w:rPr>
          <w:rFonts w:hint="eastAsia"/>
          <w:color w:val="auto"/>
        </w:rPr>
        <w:t>2、根据《国家安全监管总局关于公布首批重点监管的危险化学品名录的通知》（原安监总管三[201</w:t>
      </w:r>
      <w:r>
        <w:rPr>
          <w:rFonts w:hint="eastAsia"/>
          <w:color w:val="auto"/>
          <w:lang w:val="en-US" w:eastAsia="zh-CN"/>
        </w:rPr>
        <w:t>1</w:t>
      </w:r>
      <w:r>
        <w:rPr>
          <w:rFonts w:hint="eastAsia"/>
          <w:color w:val="auto"/>
        </w:rPr>
        <w:t>]95号），该项目涉及的主要危险、有害物质中乙炔属于首批重点监管的危险化学品，其它不属于首批重点监管的危险化学品。</w:t>
      </w:r>
    </w:p>
    <w:p w14:paraId="16D5C68D">
      <w:pPr>
        <w:pStyle w:val="4"/>
        <w:bidi w:val="0"/>
        <w:rPr>
          <w:rFonts w:hint="eastAsia"/>
          <w:color w:val="auto"/>
        </w:rPr>
      </w:pPr>
      <w:bookmarkStart w:id="131" w:name="_Toc13581"/>
      <w:r>
        <w:rPr>
          <w:rFonts w:hint="eastAsia"/>
          <w:color w:val="auto"/>
        </w:rPr>
        <w:t>3.2.2危险、有害物质的主要危险特性</w:t>
      </w:r>
      <w:bookmarkEnd w:id="131"/>
    </w:p>
    <w:p w14:paraId="5B9E481D">
      <w:pPr>
        <w:bidi w:val="0"/>
        <w:rPr>
          <w:rFonts w:hint="eastAsia"/>
          <w:color w:val="auto"/>
        </w:rPr>
      </w:pPr>
      <w:r>
        <w:rPr>
          <w:rFonts w:hint="eastAsia"/>
          <w:color w:val="auto"/>
        </w:rPr>
        <w:t>1、柴油</w:t>
      </w:r>
    </w:p>
    <w:p w14:paraId="48D3F667">
      <w:pPr>
        <w:bidi w:val="0"/>
        <w:rPr>
          <w:rFonts w:hint="eastAsia"/>
          <w:color w:val="auto"/>
        </w:rPr>
      </w:pPr>
      <w:r>
        <w:rPr>
          <w:rFonts w:hint="eastAsia"/>
          <w:color w:val="auto"/>
        </w:rPr>
        <w:t>项目中所使用的柴油主要为供给装载机使用的桶装柴油（随用随拉，不储存），加油时油桶存在火灾爆炸的危险。</w:t>
      </w:r>
    </w:p>
    <w:p w14:paraId="3A36FC7B">
      <w:pPr>
        <w:pStyle w:val="18"/>
        <w:bidi w:val="0"/>
        <w:rPr>
          <w:color w:val="auto"/>
        </w:rPr>
      </w:pPr>
      <w:r>
        <w:rPr>
          <w:rFonts w:hint="eastAsia"/>
          <w:color w:val="auto"/>
        </w:rPr>
        <w:t>表3.2-1  柴油理化特性表</w:t>
      </w:r>
    </w:p>
    <w:tbl>
      <w:tblPr>
        <w:tblStyle w:val="14"/>
        <w:tblW w:w="9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6"/>
        <w:gridCol w:w="7457"/>
      </w:tblGrid>
      <w:tr w14:paraId="4F7A1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3" w:type="dxa"/>
            <w:gridSpan w:val="2"/>
            <w:noWrap w:val="0"/>
            <w:vAlign w:val="center"/>
          </w:tcPr>
          <w:p w14:paraId="181F2EE2">
            <w:pPr>
              <w:pStyle w:val="19"/>
              <w:bidi w:val="0"/>
              <w:jc w:val="center"/>
              <w:rPr>
                <w:rFonts w:hint="default"/>
                <w:color w:val="auto"/>
              </w:rPr>
            </w:pPr>
            <w:r>
              <w:rPr>
                <w:rFonts w:hint="default"/>
                <w:color w:val="auto"/>
              </w:rPr>
              <w:t>1.标识</w:t>
            </w:r>
          </w:p>
        </w:tc>
      </w:tr>
      <w:tr w14:paraId="3042D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614B2A40">
            <w:pPr>
              <w:pStyle w:val="19"/>
              <w:bidi w:val="0"/>
              <w:jc w:val="center"/>
              <w:rPr>
                <w:rFonts w:hint="default"/>
                <w:color w:val="auto"/>
              </w:rPr>
            </w:pPr>
            <w:r>
              <w:rPr>
                <w:rFonts w:hint="default"/>
                <w:color w:val="auto"/>
              </w:rPr>
              <w:t>中文名</w:t>
            </w:r>
          </w:p>
        </w:tc>
        <w:tc>
          <w:tcPr>
            <w:tcW w:w="7457" w:type="dxa"/>
            <w:noWrap w:val="0"/>
            <w:vAlign w:val="center"/>
          </w:tcPr>
          <w:p w14:paraId="072510E7">
            <w:pPr>
              <w:pStyle w:val="19"/>
              <w:bidi w:val="0"/>
              <w:jc w:val="left"/>
              <w:rPr>
                <w:rFonts w:hint="default"/>
                <w:color w:val="auto"/>
              </w:rPr>
            </w:pPr>
            <w:r>
              <w:rPr>
                <w:rFonts w:hint="default"/>
                <w:color w:val="auto"/>
              </w:rPr>
              <w:t>柴油</w:t>
            </w:r>
          </w:p>
        </w:tc>
      </w:tr>
      <w:tr w14:paraId="5CFD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6FE22268">
            <w:pPr>
              <w:pStyle w:val="19"/>
              <w:bidi w:val="0"/>
              <w:jc w:val="center"/>
              <w:rPr>
                <w:rFonts w:hint="default"/>
                <w:color w:val="auto"/>
              </w:rPr>
            </w:pPr>
            <w:r>
              <w:rPr>
                <w:rFonts w:hint="default"/>
                <w:color w:val="auto"/>
              </w:rPr>
              <w:t>英文名</w:t>
            </w:r>
          </w:p>
        </w:tc>
        <w:tc>
          <w:tcPr>
            <w:tcW w:w="7457" w:type="dxa"/>
            <w:noWrap w:val="0"/>
            <w:vAlign w:val="center"/>
          </w:tcPr>
          <w:p w14:paraId="655A5D2A">
            <w:pPr>
              <w:pStyle w:val="19"/>
              <w:bidi w:val="0"/>
              <w:jc w:val="left"/>
              <w:rPr>
                <w:rFonts w:hint="default"/>
                <w:color w:val="auto"/>
              </w:rPr>
            </w:pPr>
            <w:r>
              <w:rPr>
                <w:rFonts w:hint="default"/>
                <w:color w:val="auto"/>
              </w:rPr>
              <w:t>Diesel Oil；diesel fuel；</w:t>
            </w:r>
          </w:p>
        </w:tc>
      </w:tr>
      <w:tr w14:paraId="3B19F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61C36D4C">
            <w:pPr>
              <w:pStyle w:val="19"/>
              <w:bidi w:val="0"/>
              <w:jc w:val="center"/>
              <w:rPr>
                <w:rFonts w:hint="default"/>
                <w:color w:val="auto"/>
              </w:rPr>
            </w:pPr>
            <w:r>
              <w:rPr>
                <w:rFonts w:hint="default"/>
                <w:color w:val="auto"/>
              </w:rPr>
              <w:t>CAS号：</w:t>
            </w:r>
          </w:p>
        </w:tc>
        <w:tc>
          <w:tcPr>
            <w:tcW w:w="7457" w:type="dxa"/>
            <w:noWrap w:val="0"/>
            <w:vAlign w:val="center"/>
          </w:tcPr>
          <w:p w14:paraId="2F2F3AA4">
            <w:pPr>
              <w:pStyle w:val="19"/>
              <w:bidi w:val="0"/>
              <w:jc w:val="left"/>
              <w:rPr>
                <w:rFonts w:hint="default"/>
                <w:color w:val="auto"/>
              </w:rPr>
            </w:pPr>
            <w:r>
              <w:rPr>
                <w:rFonts w:hint="default"/>
                <w:color w:val="auto"/>
              </w:rPr>
              <w:t>68334-30-5</w:t>
            </w:r>
          </w:p>
        </w:tc>
      </w:tr>
      <w:tr w14:paraId="4EAE0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3" w:type="dxa"/>
            <w:gridSpan w:val="2"/>
            <w:noWrap w:val="0"/>
            <w:vAlign w:val="center"/>
          </w:tcPr>
          <w:p w14:paraId="43C977C5">
            <w:pPr>
              <w:pStyle w:val="19"/>
              <w:bidi w:val="0"/>
              <w:jc w:val="center"/>
              <w:rPr>
                <w:rFonts w:hint="default"/>
                <w:color w:val="auto"/>
              </w:rPr>
            </w:pPr>
            <w:r>
              <w:rPr>
                <w:rFonts w:hint="default"/>
                <w:color w:val="auto"/>
              </w:rPr>
              <w:t>2.理化性质</w:t>
            </w:r>
          </w:p>
        </w:tc>
      </w:tr>
      <w:tr w14:paraId="2B7A6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1E4173E1">
            <w:pPr>
              <w:pStyle w:val="19"/>
              <w:bidi w:val="0"/>
              <w:jc w:val="center"/>
              <w:rPr>
                <w:rFonts w:hint="default"/>
                <w:color w:val="auto"/>
              </w:rPr>
            </w:pPr>
            <w:r>
              <w:rPr>
                <w:rFonts w:hint="default"/>
                <w:color w:val="auto"/>
              </w:rPr>
              <w:t>主要成分：</w:t>
            </w:r>
          </w:p>
        </w:tc>
        <w:tc>
          <w:tcPr>
            <w:tcW w:w="7457" w:type="dxa"/>
            <w:noWrap w:val="0"/>
            <w:vAlign w:val="center"/>
          </w:tcPr>
          <w:p w14:paraId="09B9802B">
            <w:pPr>
              <w:pStyle w:val="19"/>
              <w:bidi w:val="0"/>
              <w:jc w:val="left"/>
              <w:rPr>
                <w:rFonts w:hint="default"/>
                <w:color w:val="auto"/>
              </w:rPr>
            </w:pPr>
            <w:r>
              <w:rPr>
                <w:rFonts w:hint="default"/>
                <w:color w:val="auto"/>
              </w:rPr>
              <w:t>烷烃、烯烃、环烷烃、芳香烃、多环芳烃与少量硫</w:t>
            </w:r>
            <w:r>
              <w:rPr>
                <w:rFonts w:hint="default"/>
                <w:color w:val="auto"/>
                <w:lang w:eastAsia="zh-CN"/>
              </w:rPr>
              <w:t>（</w:t>
            </w:r>
            <w:r>
              <w:rPr>
                <w:rFonts w:hint="default"/>
                <w:color w:val="auto"/>
              </w:rPr>
              <w:t>2g/kg～60g/kg</w:t>
            </w:r>
            <w:r>
              <w:rPr>
                <w:rFonts w:hint="eastAsia"/>
                <w:color w:val="auto"/>
                <w:lang w:eastAsia="zh-CN"/>
              </w:rPr>
              <w:t>）</w:t>
            </w:r>
            <w:r>
              <w:rPr>
                <w:rFonts w:hint="default"/>
                <w:color w:val="auto"/>
              </w:rPr>
              <w:t>、氮</w:t>
            </w:r>
            <w:r>
              <w:rPr>
                <w:rFonts w:hint="default"/>
                <w:color w:val="auto"/>
                <w:lang w:eastAsia="zh-CN"/>
              </w:rPr>
              <w:t>（</w:t>
            </w:r>
            <w:r>
              <w:rPr>
                <w:rFonts w:hint="default"/>
                <w:color w:val="auto"/>
              </w:rPr>
              <w:t>&lt;lg/kg</w:t>
            </w:r>
            <w:r>
              <w:rPr>
                <w:rFonts w:hint="eastAsia"/>
                <w:color w:val="auto"/>
                <w:lang w:eastAsia="zh-CN"/>
              </w:rPr>
              <w:t>）</w:t>
            </w:r>
            <w:r>
              <w:rPr>
                <w:rFonts w:hint="default"/>
                <w:color w:val="auto"/>
              </w:rPr>
              <w:t>及添加剂组成的混合物</w:t>
            </w:r>
          </w:p>
        </w:tc>
      </w:tr>
      <w:tr w14:paraId="23203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422415A0">
            <w:pPr>
              <w:pStyle w:val="19"/>
              <w:bidi w:val="0"/>
              <w:jc w:val="center"/>
              <w:rPr>
                <w:rFonts w:hint="default"/>
                <w:color w:val="auto"/>
              </w:rPr>
            </w:pPr>
            <w:r>
              <w:rPr>
                <w:rFonts w:hint="default"/>
                <w:color w:val="auto"/>
              </w:rPr>
              <w:t>沸点：</w:t>
            </w:r>
          </w:p>
        </w:tc>
        <w:tc>
          <w:tcPr>
            <w:tcW w:w="7457" w:type="dxa"/>
            <w:noWrap w:val="0"/>
            <w:vAlign w:val="center"/>
          </w:tcPr>
          <w:p w14:paraId="44527C55">
            <w:pPr>
              <w:pStyle w:val="19"/>
              <w:bidi w:val="0"/>
              <w:jc w:val="left"/>
              <w:rPr>
                <w:rFonts w:hint="default"/>
                <w:color w:val="auto"/>
              </w:rPr>
            </w:pPr>
            <w:r>
              <w:rPr>
                <w:rFonts w:hint="default"/>
                <w:color w:val="auto"/>
              </w:rPr>
              <w:t>180℃～370℃</w:t>
            </w:r>
          </w:p>
        </w:tc>
      </w:tr>
      <w:tr w14:paraId="4425C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2DED51E6">
            <w:pPr>
              <w:pStyle w:val="19"/>
              <w:bidi w:val="0"/>
              <w:jc w:val="center"/>
              <w:rPr>
                <w:rFonts w:hint="default"/>
                <w:color w:val="auto"/>
              </w:rPr>
            </w:pPr>
            <w:r>
              <w:rPr>
                <w:rFonts w:hint="default"/>
                <w:color w:val="auto"/>
              </w:rPr>
              <w:t>溶点</w:t>
            </w:r>
          </w:p>
        </w:tc>
        <w:tc>
          <w:tcPr>
            <w:tcW w:w="7457" w:type="dxa"/>
            <w:noWrap w:val="0"/>
            <w:vAlign w:val="center"/>
          </w:tcPr>
          <w:p w14:paraId="398DFBD7">
            <w:pPr>
              <w:pStyle w:val="19"/>
              <w:bidi w:val="0"/>
              <w:jc w:val="left"/>
              <w:rPr>
                <w:rFonts w:hint="default"/>
                <w:color w:val="auto"/>
              </w:rPr>
            </w:pPr>
            <w:r>
              <w:rPr>
                <w:rFonts w:hint="eastAsia"/>
                <w:color w:val="auto"/>
                <w:lang w:val="en-US" w:eastAsia="zh-CN"/>
              </w:rPr>
              <w:t>-</w:t>
            </w:r>
            <w:r>
              <w:rPr>
                <w:rFonts w:hint="default"/>
                <w:color w:val="auto"/>
              </w:rPr>
              <w:t>29.56℃</w:t>
            </w:r>
          </w:p>
        </w:tc>
      </w:tr>
      <w:tr w14:paraId="7017A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46ACE6A6">
            <w:pPr>
              <w:pStyle w:val="19"/>
              <w:bidi w:val="0"/>
              <w:jc w:val="center"/>
              <w:rPr>
                <w:rFonts w:hint="default"/>
                <w:color w:val="auto"/>
              </w:rPr>
            </w:pPr>
            <w:r>
              <w:rPr>
                <w:rFonts w:hint="default"/>
                <w:color w:val="auto"/>
              </w:rPr>
              <w:t>相对密度</w:t>
            </w:r>
            <w:r>
              <w:rPr>
                <w:rFonts w:hint="default"/>
                <w:color w:val="auto"/>
                <w:lang w:eastAsia="zh-CN"/>
              </w:rPr>
              <w:t>（</w:t>
            </w:r>
            <w:r>
              <w:rPr>
                <w:rFonts w:hint="default"/>
                <w:color w:val="auto"/>
              </w:rPr>
              <w:t>水=1</w:t>
            </w:r>
            <w:r>
              <w:rPr>
                <w:rFonts w:hint="eastAsia"/>
                <w:color w:val="auto"/>
                <w:lang w:eastAsia="zh-CN"/>
              </w:rPr>
              <w:t>）</w:t>
            </w:r>
            <w:r>
              <w:rPr>
                <w:rFonts w:hint="default"/>
                <w:color w:val="auto"/>
              </w:rPr>
              <w:t>：</w:t>
            </w:r>
          </w:p>
        </w:tc>
        <w:tc>
          <w:tcPr>
            <w:tcW w:w="7457" w:type="dxa"/>
            <w:noWrap w:val="0"/>
            <w:vAlign w:val="center"/>
          </w:tcPr>
          <w:p w14:paraId="748D16C8">
            <w:pPr>
              <w:pStyle w:val="19"/>
              <w:bidi w:val="0"/>
              <w:jc w:val="left"/>
              <w:rPr>
                <w:rFonts w:hint="default"/>
                <w:color w:val="auto"/>
              </w:rPr>
            </w:pPr>
            <w:r>
              <w:rPr>
                <w:rFonts w:hint="default"/>
                <w:color w:val="auto"/>
              </w:rPr>
              <w:t>0.85～0.9</w:t>
            </w:r>
          </w:p>
        </w:tc>
      </w:tr>
      <w:tr w14:paraId="6E026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1838CE40">
            <w:pPr>
              <w:pStyle w:val="19"/>
              <w:bidi w:val="0"/>
              <w:jc w:val="center"/>
              <w:rPr>
                <w:rFonts w:hint="default"/>
                <w:color w:val="auto"/>
              </w:rPr>
            </w:pPr>
            <w:r>
              <w:rPr>
                <w:rFonts w:hint="default"/>
                <w:color w:val="auto"/>
              </w:rPr>
              <w:t>蒸汽密度：</w:t>
            </w:r>
          </w:p>
        </w:tc>
        <w:tc>
          <w:tcPr>
            <w:tcW w:w="7457" w:type="dxa"/>
            <w:noWrap w:val="0"/>
            <w:vAlign w:val="center"/>
          </w:tcPr>
          <w:p w14:paraId="70144C3C">
            <w:pPr>
              <w:pStyle w:val="19"/>
              <w:bidi w:val="0"/>
              <w:jc w:val="left"/>
              <w:rPr>
                <w:rFonts w:hint="default"/>
                <w:color w:val="auto"/>
              </w:rPr>
            </w:pPr>
            <w:r>
              <w:rPr>
                <w:rFonts w:hint="default"/>
                <w:color w:val="auto"/>
              </w:rPr>
              <w:t>4</w:t>
            </w:r>
          </w:p>
        </w:tc>
      </w:tr>
      <w:tr w14:paraId="3EA93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34B677BD">
            <w:pPr>
              <w:pStyle w:val="19"/>
              <w:bidi w:val="0"/>
              <w:jc w:val="center"/>
              <w:rPr>
                <w:rFonts w:hint="default"/>
                <w:color w:val="auto"/>
              </w:rPr>
            </w:pPr>
            <w:r>
              <w:rPr>
                <w:rFonts w:hint="default"/>
                <w:color w:val="auto"/>
              </w:rPr>
              <w:t>蒸气压：</w:t>
            </w:r>
          </w:p>
        </w:tc>
        <w:tc>
          <w:tcPr>
            <w:tcW w:w="7457" w:type="dxa"/>
            <w:noWrap w:val="0"/>
            <w:vAlign w:val="center"/>
          </w:tcPr>
          <w:p w14:paraId="09B7CD98">
            <w:pPr>
              <w:pStyle w:val="19"/>
              <w:bidi w:val="0"/>
              <w:jc w:val="left"/>
              <w:rPr>
                <w:rFonts w:hint="default"/>
                <w:color w:val="auto"/>
              </w:rPr>
            </w:pPr>
            <w:r>
              <w:rPr>
                <w:rFonts w:hint="default"/>
                <w:color w:val="auto"/>
              </w:rPr>
              <w:t>4.0kPa</w:t>
            </w:r>
          </w:p>
        </w:tc>
      </w:tr>
      <w:tr w14:paraId="01E76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65181E7F">
            <w:pPr>
              <w:pStyle w:val="19"/>
              <w:bidi w:val="0"/>
              <w:jc w:val="center"/>
              <w:rPr>
                <w:rFonts w:hint="default"/>
                <w:color w:val="auto"/>
              </w:rPr>
            </w:pPr>
            <w:r>
              <w:rPr>
                <w:rFonts w:hint="default"/>
                <w:color w:val="auto"/>
              </w:rPr>
              <w:t>外观性状：</w:t>
            </w:r>
          </w:p>
        </w:tc>
        <w:tc>
          <w:tcPr>
            <w:tcW w:w="7457" w:type="dxa"/>
            <w:noWrap w:val="0"/>
            <w:vAlign w:val="center"/>
          </w:tcPr>
          <w:p w14:paraId="330F7771">
            <w:pPr>
              <w:pStyle w:val="19"/>
              <w:bidi w:val="0"/>
              <w:jc w:val="left"/>
              <w:rPr>
                <w:rFonts w:hint="default"/>
                <w:color w:val="auto"/>
              </w:rPr>
            </w:pPr>
            <w:r>
              <w:rPr>
                <w:rFonts w:hint="default"/>
                <w:color w:val="auto"/>
                <w:lang w:eastAsia="zh-CN"/>
              </w:rPr>
              <w:t>（</w:t>
            </w:r>
            <w:r>
              <w:rPr>
                <w:rFonts w:hint="default"/>
                <w:color w:val="auto"/>
              </w:rPr>
              <w:t>以燃料油为例</w:t>
            </w:r>
            <w:r>
              <w:rPr>
                <w:rFonts w:hint="eastAsia"/>
                <w:color w:val="auto"/>
                <w:lang w:eastAsia="zh-CN"/>
              </w:rPr>
              <w:t>）</w:t>
            </w:r>
            <w:r>
              <w:rPr>
                <w:rFonts w:hint="default"/>
                <w:color w:val="auto"/>
              </w:rPr>
              <w:t>稍有粘性的浅黄至棕色或淡黄色液体，不溶于水。</w:t>
            </w:r>
          </w:p>
        </w:tc>
      </w:tr>
      <w:tr w14:paraId="7BC7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19F506C5">
            <w:pPr>
              <w:pStyle w:val="19"/>
              <w:bidi w:val="0"/>
              <w:jc w:val="center"/>
              <w:rPr>
                <w:rFonts w:hint="default"/>
                <w:color w:val="auto"/>
              </w:rPr>
            </w:pPr>
            <w:r>
              <w:rPr>
                <w:rFonts w:hint="default"/>
                <w:color w:val="auto"/>
              </w:rPr>
              <w:t>主要用途</w:t>
            </w:r>
          </w:p>
        </w:tc>
        <w:tc>
          <w:tcPr>
            <w:tcW w:w="7457" w:type="dxa"/>
            <w:noWrap w:val="0"/>
            <w:vAlign w:val="center"/>
          </w:tcPr>
          <w:p w14:paraId="3DF7932C">
            <w:pPr>
              <w:pStyle w:val="19"/>
              <w:bidi w:val="0"/>
              <w:jc w:val="left"/>
              <w:rPr>
                <w:rFonts w:hint="default"/>
                <w:color w:val="auto"/>
              </w:rPr>
            </w:pPr>
            <w:r>
              <w:rPr>
                <w:rFonts w:hint="default"/>
                <w:color w:val="auto"/>
              </w:rPr>
              <w:t>主要用于做柴油汽车、拖拉机等柴油发动机的燃料。</w:t>
            </w:r>
          </w:p>
        </w:tc>
      </w:tr>
      <w:tr w14:paraId="0A863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2FA7C2BB">
            <w:pPr>
              <w:pStyle w:val="19"/>
              <w:bidi w:val="0"/>
              <w:jc w:val="center"/>
              <w:rPr>
                <w:rFonts w:hint="default"/>
                <w:color w:val="auto"/>
              </w:rPr>
            </w:pPr>
            <w:r>
              <w:rPr>
                <w:rFonts w:hint="default"/>
                <w:color w:val="auto"/>
              </w:rPr>
              <w:t>危险特性</w:t>
            </w:r>
          </w:p>
        </w:tc>
        <w:tc>
          <w:tcPr>
            <w:tcW w:w="7457" w:type="dxa"/>
            <w:noWrap w:val="0"/>
            <w:vAlign w:val="center"/>
          </w:tcPr>
          <w:p w14:paraId="4A09101C">
            <w:pPr>
              <w:pStyle w:val="19"/>
              <w:bidi w:val="0"/>
              <w:jc w:val="left"/>
              <w:rPr>
                <w:rFonts w:hint="default"/>
                <w:color w:val="auto"/>
              </w:rPr>
            </w:pPr>
            <w:r>
              <w:rPr>
                <w:rFonts w:hint="default"/>
                <w:color w:val="auto"/>
              </w:rPr>
              <w:t>闪点：40℃</w:t>
            </w:r>
          </w:p>
          <w:p w14:paraId="3AE3AD9E">
            <w:pPr>
              <w:pStyle w:val="19"/>
              <w:bidi w:val="0"/>
              <w:jc w:val="left"/>
              <w:rPr>
                <w:rFonts w:hint="default"/>
                <w:color w:val="auto"/>
              </w:rPr>
            </w:pPr>
            <w:r>
              <w:rPr>
                <w:rFonts w:hint="default"/>
                <w:color w:val="auto"/>
              </w:rPr>
              <w:t>爆炸极限：0.6％～6.5％</w:t>
            </w:r>
          </w:p>
          <w:p w14:paraId="7B039CC8">
            <w:pPr>
              <w:pStyle w:val="19"/>
              <w:bidi w:val="0"/>
              <w:jc w:val="left"/>
              <w:rPr>
                <w:rFonts w:hint="default"/>
                <w:color w:val="auto"/>
              </w:rPr>
            </w:pPr>
            <w:r>
              <w:rPr>
                <w:rFonts w:hint="default"/>
                <w:color w:val="auto"/>
              </w:rPr>
              <w:t>引燃温度：257℃</w:t>
            </w:r>
          </w:p>
          <w:p w14:paraId="1E4FD82D">
            <w:pPr>
              <w:pStyle w:val="19"/>
              <w:bidi w:val="0"/>
              <w:jc w:val="left"/>
              <w:rPr>
                <w:rFonts w:hint="default"/>
                <w:color w:val="auto"/>
              </w:rPr>
            </w:pPr>
            <w:r>
              <w:rPr>
                <w:rFonts w:hint="default"/>
                <w:color w:val="auto"/>
              </w:rPr>
              <w:t>自燃点：350℃~380℃</w:t>
            </w:r>
          </w:p>
          <w:p w14:paraId="3B098EC4">
            <w:pPr>
              <w:pStyle w:val="19"/>
              <w:bidi w:val="0"/>
              <w:jc w:val="left"/>
              <w:rPr>
                <w:rFonts w:hint="default"/>
                <w:color w:val="auto"/>
              </w:rPr>
            </w:pPr>
            <w:r>
              <w:rPr>
                <w:rFonts w:hint="default"/>
                <w:color w:val="auto"/>
              </w:rPr>
              <w:t>稳定性：稳定</w:t>
            </w:r>
          </w:p>
          <w:p w14:paraId="72376ACF">
            <w:pPr>
              <w:pStyle w:val="19"/>
              <w:bidi w:val="0"/>
              <w:jc w:val="left"/>
              <w:rPr>
                <w:rFonts w:hint="default"/>
                <w:color w:val="auto"/>
              </w:rPr>
            </w:pPr>
            <w:r>
              <w:rPr>
                <w:rFonts w:hint="default"/>
                <w:color w:val="auto"/>
              </w:rPr>
              <w:t>聚合危害：不能出现</w:t>
            </w:r>
          </w:p>
          <w:p w14:paraId="360933D6">
            <w:pPr>
              <w:pStyle w:val="19"/>
              <w:bidi w:val="0"/>
              <w:jc w:val="left"/>
              <w:rPr>
                <w:rFonts w:hint="default"/>
                <w:color w:val="auto"/>
              </w:rPr>
            </w:pPr>
            <w:r>
              <w:rPr>
                <w:rFonts w:hint="default"/>
                <w:color w:val="auto"/>
              </w:rPr>
              <w:t>禁忌物：强氧化剂、卤素</w:t>
            </w:r>
          </w:p>
          <w:p w14:paraId="5B7FAE2D">
            <w:pPr>
              <w:pStyle w:val="19"/>
              <w:bidi w:val="0"/>
              <w:jc w:val="left"/>
              <w:rPr>
                <w:rFonts w:hint="default"/>
                <w:color w:val="auto"/>
              </w:rPr>
            </w:pPr>
            <w:r>
              <w:rPr>
                <w:rFonts w:hint="default"/>
                <w:color w:val="auto"/>
              </w:rPr>
              <w:t>①蒸气与空气混合成为爆炸性混合物0.7％~5.0％；</w:t>
            </w:r>
          </w:p>
          <w:p w14:paraId="1FE7B0B4">
            <w:pPr>
              <w:pStyle w:val="19"/>
              <w:bidi w:val="0"/>
              <w:jc w:val="left"/>
              <w:rPr>
                <w:rFonts w:hint="default"/>
                <w:color w:val="auto"/>
              </w:rPr>
            </w:pPr>
            <w:r>
              <w:rPr>
                <w:rFonts w:hint="default"/>
                <w:color w:val="auto"/>
              </w:rPr>
              <w:t>②遇热、火花、明火，有引起燃烧爆炸的危险；</w:t>
            </w:r>
          </w:p>
          <w:p w14:paraId="228DD5FF">
            <w:pPr>
              <w:pStyle w:val="19"/>
              <w:bidi w:val="0"/>
              <w:jc w:val="left"/>
              <w:rPr>
                <w:rFonts w:hint="default"/>
                <w:color w:val="auto"/>
              </w:rPr>
            </w:pPr>
            <w:r>
              <w:rPr>
                <w:rFonts w:hint="default"/>
                <w:color w:val="auto"/>
              </w:rPr>
              <w:t>③遇高热，容器内压增大，有开裂和爆炸的危险；</w:t>
            </w:r>
          </w:p>
          <w:p w14:paraId="0262DDA8">
            <w:pPr>
              <w:pStyle w:val="19"/>
              <w:bidi w:val="0"/>
              <w:jc w:val="left"/>
              <w:rPr>
                <w:rFonts w:hint="default"/>
                <w:color w:val="auto"/>
              </w:rPr>
            </w:pPr>
            <w:r>
              <w:rPr>
                <w:rFonts w:hint="default"/>
                <w:color w:val="auto"/>
              </w:rPr>
              <w:t>④可蓄积静电，引起电火花；</w:t>
            </w:r>
          </w:p>
          <w:p w14:paraId="6C18C7E9">
            <w:pPr>
              <w:pStyle w:val="19"/>
              <w:bidi w:val="0"/>
              <w:jc w:val="left"/>
              <w:rPr>
                <w:rFonts w:hint="default"/>
                <w:color w:val="auto"/>
              </w:rPr>
            </w:pPr>
            <w:r>
              <w:rPr>
                <w:rFonts w:hint="default"/>
                <w:color w:val="auto"/>
              </w:rPr>
              <w:t>⑤分解和燃烧产物为一氧化碳、二氧化碳和硫氧化物；</w:t>
            </w:r>
          </w:p>
          <w:p w14:paraId="1C66FF51">
            <w:pPr>
              <w:pStyle w:val="19"/>
              <w:bidi w:val="0"/>
              <w:jc w:val="left"/>
              <w:rPr>
                <w:rFonts w:hint="default"/>
                <w:color w:val="auto"/>
              </w:rPr>
            </w:pPr>
            <w:r>
              <w:rPr>
                <w:rFonts w:hint="default"/>
                <w:color w:val="auto"/>
              </w:rPr>
              <w:t>⑥避免接触氧化剂。</w:t>
            </w:r>
          </w:p>
        </w:tc>
      </w:tr>
      <w:tr w14:paraId="3A71C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17646F16">
            <w:pPr>
              <w:pStyle w:val="19"/>
              <w:bidi w:val="0"/>
              <w:jc w:val="center"/>
              <w:rPr>
                <w:rFonts w:hint="default"/>
                <w:color w:val="auto"/>
              </w:rPr>
            </w:pPr>
            <w:r>
              <w:rPr>
                <w:rFonts w:hint="default"/>
                <w:color w:val="auto"/>
              </w:rPr>
              <w:t>灭火方法</w:t>
            </w:r>
          </w:p>
        </w:tc>
        <w:tc>
          <w:tcPr>
            <w:tcW w:w="7457" w:type="dxa"/>
            <w:noWrap w:val="0"/>
            <w:vAlign w:val="center"/>
          </w:tcPr>
          <w:p w14:paraId="3314B111">
            <w:pPr>
              <w:pStyle w:val="19"/>
              <w:bidi w:val="0"/>
              <w:jc w:val="left"/>
              <w:rPr>
                <w:rFonts w:hint="default"/>
                <w:color w:val="auto"/>
              </w:rPr>
            </w:pPr>
            <w:r>
              <w:rPr>
                <w:rFonts w:hint="default"/>
                <w:color w:val="auto"/>
              </w:rPr>
              <w:t>泡沫、二氧化碳、干粉、1211灭火剂、砂土。</w:t>
            </w:r>
          </w:p>
        </w:tc>
      </w:tr>
      <w:tr w14:paraId="586CB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3C3F25CE">
            <w:pPr>
              <w:pStyle w:val="19"/>
              <w:bidi w:val="0"/>
              <w:jc w:val="center"/>
              <w:rPr>
                <w:rFonts w:hint="default"/>
                <w:color w:val="auto"/>
              </w:rPr>
            </w:pPr>
            <w:r>
              <w:rPr>
                <w:rFonts w:hint="default"/>
                <w:color w:val="auto"/>
              </w:rPr>
              <w:t>泄漏处理</w:t>
            </w:r>
          </w:p>
        </w:tc>
        <w:tc>
          <w:tcPr>
            <w:tcW w:w="7457" w:type="dxa"/>
            <w:noWrap w:val="0"/>
            <w:vAlign w:val="center"/>
          </w:tcPr>
          <w:p w14:paraId="576A550D">
            <w:pPr>
              <w:pStyle w:val="19"/>
              <w:bidi w:val="0"/>
              <w:jc w:val="left"/>
              <w:rPr>
                <w:rFonts w:hint="default"/>
                <w:color w:val="auto"/>
              </w:rPr>
            </w:pPr>
            <w:r>
              <w:rPr>
                <w:rFonts w:hint="default"/>
                <w:color w:val="auto"/>
              </w:rPr>
              <w:t>疏散泄漏污染区人员至安全区，禁止无关人员进入污染区，切断电源。应急处理人员戴自给式呼吸器，穿一般消防防护服。在确保安全情况下堵漏。喷水雾可减少蒸发。用活性炭或其它惰性材料吸收，然后收集于干燥净洁有盖的容器中，运至废物处理场所。如大量泄漏，利用围堤收容，然后收集、转移、回收或无害处理后废弃。</w:t>
            </w:r>
          </w:p>
        </w:tc>
      </w:tr>
      <w:tr w14:paraId="260EB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19B1B53B">
            <w:pPr>
              <w:pStyle w:val="19"/>
              <w:bidi w:val="0"/>
              <w:jc w:val="center"/>
              <w:rPr>
                <w:rFonts w:hint="default"/>
                <w:color w:val="auto"/>
              </w:rPr>
            </w:pPr>
            <w:r>
              <w:rPr>
                <w:rFonts w:hint="default"/>
                <w:color w:val="auto"/>
              </w:rPr>
              <w:t>储运注意事项</w:t>
            </w:r>
          </w:p>
        </w:tc>
        <w:tc>
          <w:tcPr>
            <w:tcW w:w="7457" w:type="dxa"/>
            <w:noWrap w:val="0"/>
            <w:vAlign w:val="center"/>
          </w:tcPr>
          <w:p w14:paraId="02825CCC">
            <w:pPr>
              <w:pStyle w:val="19"/>
              <w:bidi w:val="0"/>
              <w:jc w:val="left"/>
              <w:rPr>
                <w:rFonts w:hint="default"/>
                <w:color w:val="auto"/>
              </w:rPr>
            </w:pPr>
            <w:r>
              <w:rPr>
                <w:rFonts w:hint="default"/>
                <w:color w:val="auto"/>
              </w:rPr>
              <w:t>储存于阴凉、通风仓间内。远离火种、热源。防止阳光直射。保持容器密封。应与氧化剂分开存放。储存间内的照明、通风等设施应采用防爆型。配备相应品种和数量的消防器材。罐储时要有防爆技术措施。禁止使用易产生火花的机械设备和工具。充装时控制流速，注意防止静电积聚。搬运时要轻装轻卸，防止包装及容器损坏。</w:t>
            </w:r>
          </w:p>
        </w:tc>
      </w:tr>
      <w:tr w14:paraId="7C9F4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693DE5FA">
            <w:pPr>
              <w:pStyle w:val="19"/>
              <w:bidi w:val="0"/>
              <w:jc w:val="center"/>
              <w:rPr>
                <w:rFonts w:hint="default"/>
                <w:color w:val="auto"/>
              </w:rPr>
            </w:pPr>
            <w:r>
              <w:rPr>
                <w:rFonts w:hint="default"/>
                <w:color w:val="auto"/>
              </w:rPr>
              <w:t>防护措施</w:t>
            </w:r>
          </w:p>
        </w:tc>
        <w:tc>
          <w:tcPr>
            <w:tcW w:w="7457" w:type="dxa"/>
            <w:noWrap w:val="0"/>
            <w:vAlign w:val="center"/>
          </w:tcPr>
          <w:p w14:paraId="7D6B1E51">
            <w:pPr>
              <w:pStyle w:val="19"/>
              <w:bidi w:val="0"/>
              <w:jc w:val="left"/>
              <w:rPr>
                <w:rFonts w:hint="default"/>
                <w:color w:val="auto"/>
              </w:rPr>
            </w:pPr>
            <w:r>
              <w:rPr>
                <w:rFonts w:hint="default"/>
                <w:color w:val="auto"/>
              </w:rPr>
              <w:t>工程控制：密闭操作，注意通风。</w:t>
            </w:r>
          </w:p>
          <w:p w14:paraId="7B5C6904">
            <w:pPr>
              <w:pStyle w:val="19"/>
              <w:bidi w:val="0"/>
              <w:jc w:val="left"/>
              <w:rPr>
                <w:rFonts w:hint="default"/>
                <w:color w:val="auto"/>
              </w:rPr>
            </w:pPr>
            <w:r>
              <w:rPr>
                <w:rFonts w:hint="default"/>
                <w:color w:val="auto"/>
              </w:rPr>
              <w:t>呼吸系统防护：一般不需要特殊防护，但建议特殊情况下，佩戴防毒面具。</w:t>
            </w:r>
          </w:p>
          <w:p w14:paraId="01DE3783">
            <w:pPr>
              <w:pStyle w:val="19"/>
              <w:bidi w:val="0"/>
              <w:jc w:val="left"/>
              <w:rPr>
                <w:rFonts w:hint="default"/>
                <w:color w:val="auto"/>
              </w:rPr>
            </w:pPr>
            <w:r>
              <w:rPr>
                <w:rFonts w:hint="default"/>
                <w:color w:val="auto"/>
              </w:rPr>
              <w:t>眼睛防护：必要时戴安</w:t>
            </w:r>
          </w:p>
          <w:p w14:paraId="4D59039A">
            <w:pPr>
              <w:pStyle w:val="19"/>
              <w:bidi w:val="0"/>
              <w:jc w:val="left"/>
              <w:rPr>
                <w:rFonts w:hint="default"/>
                <w:color w:val="auto"/>
              </w:rPr>
            </w:pPr>
            <w:r>
              <w:rPr>
                <w:rFonts w:hint="default"/>
                <w:color w:val="auto"/>
              </w:rPr>
              <w:t>全防护眼镜。</w:t>
            </w:r>
          </w:p>
          <w:p w14:paraId="03514E91">
            <w:pPr>
              <w:pStyle w:val="19"/>
              <w:bidi w:val="0"/>
              <w:jc w:val="left"/>
              <w:rPr>
                <w:rFonts w:hint="default"/>
                <w:color w:val="auto"/>
              </w:rPr>
            </w:pPr>
            <w:r>
              <w:rPr>
                <w:rFonts w:hint="default"/>
                <w:color w:val="auto"/>
              </w:rPr>
              <w:t>防护服：穿工作服</w:t>
            </w:r>
          </w:p>
          <w:p w14:paraId="7FA47E36">
            <w:pPr>
              <w:pStyle w:val="19"/>
              <w:bidi w:val="0"/>
              <w:jc w:val="left"/>
              <w:rPr>
                <w:rFonts w:hint="default"/>
                <w:color w:val="auto"/>
              </w:rPr>
            </w:pPr>
            <w:r>
              <w:rPr>
                <w:rFonts w:hint="default"/>
                <w:color w:val="auto"/>
              </w:rPr>
              <w:t>手防护：戴防护手套</w:t>
            </w:r>
          </w:p>
          <w:p w14:paraId="720A743A">
            <w:pPr>
              <w:pStyle w:val="19"/>
              <w:bidi w:val="0"/>
              <w:jc w:val="left"/>
              <w:rPr>
                <w:rFonts w:hint="default"/>
                <w:color w:val="auto"/>
              </w:rPr>
            </w:pPr>
            <w:r>
              <w:rPr>
                <w:rFonts w:hint="default"/>
                <w:color w:val="auto"/>
              </w:rPr>
              <w:t>其  它：工作后，淋浴更衣。保持良好的卫生习惯。</w:t>
            </w:r>
          </w:p>
        </w:tc>
      </w:tr>
      <w:tr w14:paraId="07B1C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0434F8BD">
            <w:pPr>
              <w:pStyle w:val="19"/>
              <w:bidi w:val="0"/>
              <w:jc w:val="center"/>
              <w:rPr>
                <w:rFonts w:hint="default"/>
                <w:color w:val="auto"/>
              </w:rPr>
            </w:pPr>
            <w:r>
              <w:rPr>
                <w:rFonts w:hint="default"/>
                <w:color w:val="auto"/>
              </w:rPr>
              <w:t>毒理学资料</w:t>
            </w:r>
          </w:p>
        </w:tc>
        <w:tc>
          <w:tcPr>
            <w:tcW w:w="7457" w:type="dxa"/>
            <w:noWrap w:val="0"/>
            <w:vAlign w:val="center"/>
          </w:tcPr>
          <w:p w14:paraId="5FB40813">
            <w:pPr>
              <w:pStyle w:val="19"/>
              <w:bidi w:val="0"/>
              <w:jc w:val="left"/>
              <w:rPr>
                <w:rFonts w:hint="default"/>
                <w:color w:val="auto"/>
              </w:rPr>
            </w:pPr>
            <w:r>
              <w:rPr>
                <w:rFonts w:hint="default"/>
                <w:color w:val="auto"/>
              </w:rPr>
              <w:t>大鼠经口LD50：7500mg/kg。</w:t>
            </w:r>
          </w:p>
          <w:p w14:paraId="3D16FE73">
            <w:pPr>
              <w:pStyle w:val="19"/>
              <w:bidi w:val="0"/>
              <w:jc w:val="left"/>
              <w:rPr>
                <w:rFonts w:hint="default"/>
                <w:color w:val="auto"/>
              </w:rPr>
            </w:pPr>
            <w:r>
              <w:rPr>
                <w:rFonts w:hint="default"/>
                <w:color w:val="auto"/>
              </w:rPr>
              <w:t>兔经皮LD50：&gt;5ml/kg。因杂质及添加剂</w:t>
            </w:r>
            <w:r>
              <w:rPr>
                <w:rFonts w:hint="default"/>
                <w:color w:val="auto"/>
                <w:lang w:eastAsia="zh-CN"/>
              </w:rPr>
              <w:t>（</w:t>
            </w:r>
            <w:r>
              <w:rPr>
                <w:rFonts w:hint="default"/>
                <w:color w:val="auto"/>
              </w:rPr>
              <w:t>如硫化酯类等</w:t>
            </w:r>
            <w:r>
              <w:rPr>
                <w:rFonts w:hint="eastAsia"/>
                <w:color w:val="auto"/>
                <w:lang w:eastAsia="zh-CN"/>
              </w:rPr>
              <w:t>）</w:t>
            </w:r>
            <w:r>
              <w:rPr>
                <w:rFonts w:hint="default"/>
                <w:color w:val="auto"/>
              </w:rPr>
              <w:t>不同而毒性可有差异。</w:t>
            </w:r>
          </w:p>
          <w:p w14:paraId="1F16B759">
            <w:pPr>
              <w:pStyle w:val="19"/>
              <w:bidi w:val="0"/>
              <w:jc w:val="left"/>
              <w:rPr>
                <w:rFonts w:hint="default"/>
                <w:color w:val="auto"/>
              </w:rPr>
            </w:pPr>
            <w:r>
              <w:rPr>
                <w:rFonts w:hint="default"/>
                <w:color w:val="auto"/>
              </w:rPr>
              <w:t>对皮肤和粘膜有刺激作用。也可有轻度麻醉作用。用500mg涂兔皮肤引起中毒皮肤刺激。柴油为高沸点物质，吸入蒸气而毒害的机会较少。</w:t>
            </w:r>
          </w:p>
        </w:tc>
      </w:tr>
      <w:tr w14:paraId="45C1F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125742FB">
            <w:pPr>
              <w:pStyle w:val="19"/>
              <w:bidi w:val="0"/>
              <w:jc w:val="center"/>
              <w:rPr>
                <w:rFonts w:hint="default"/>
                <w:color w:val="auto"/>
              </w:rPr>
            </w:pPr>
            <w:r>
              <w:rPr>
                <w:rFonts w:hint="default"/>
                <w:color w:val="auto"/>
              </w:rPr>
              <w:t>急救</w:t>
            </w:r>
          </w:p>
        </w:tc>
        <w:tc>
          <w:tcPr>
            <w:tcW w:w="7457" w:type="dxa"/>
            <w:noWrap w:val="0"/>
            <w:vAlign w:val="center"/>
          </w:tcPr>
          <w:p w14:paraId="7F4D6CC5">
            <w:pPr>
              <w:pStyle w:val="19"/>
              <w:bidi w:val="0"/>
              <w:jc w:val="left"/>
              <w:rPr>
                <w:rFonts w:hint="default"/>
                <w:color w:val="auto"/>
              </w:rPr>
            </w:pPr>
            <w:r>
              <w:rPr>
                <w:rFonts w:hint="default"/>
                <w:color w:val="auto"/>
              </w:rPr>
              <w:t>皮肤接触：脱去污染的衣着，用肥皂及清水彻底冲洗，就医。</w:t>
            </w:r>
          </w:p>
          <w:p w14:paraId="184738F0">
            <w:pPr>
              <w:pStyle w:val="19"/>
              <w:bidi w:val="0"/>
              <w:jc w:val="left"/>
              <w:rPr>
                <w:rFonts w:hint="default"/>
                <w:color w:val="auto"/>
              </w:rPr>
            </w:pPr>
            <w:r>
              <w:rPr>
                <w:rFonts w:hint="default"/>
                <w:color w:val="auto"/>
              </w:rPr>
              <w:t>眼睛接触：立即翻开上下眼睑，用流动清水或生理盐水冲洗至少1min，就医。</w:t>
            </w:r>
          </w:p>
          <w:p w14:paraId="347F3059">
            <w:pPr>
              <w:pStyle w:val="19"/>
              <w:bidi w:val="0"/>
              <w:jc w:val="left"/>
              <w:rPr>
                <w:rFonts w:hint="default"/>
                <w:color w:val="auto"/>
              </w:rPr>
            </w:pPr>
            <w:r>
              <w:rPr>
                <w:rFonts w:hint="default"/>
                <w:color w:val="auto"/>
              </w:rPr>
              <w:t>吸入：迅速脱离现场至空气新鲜处。保持呼吸道通畅。保暖并休息。呼吸困难时给输氧。呼吸停止时，立即进行人工呼吸。就医。</w:t>
            </w:r>
          </w:p>
          <w:p w14:paraId="68D71754">
            <w:pPr>
              <w:pStyle w:val="19"/>
              <w:bidi w:val="0"/>
              <w:jc w:val="left"/>
              <w:rPr>
                <w:rFonts w:hint="default"/>
                <w:color w:val="auto"/>
              </w:rPr>
            </w:pPr>
            <w:r>
              <w:rPr>
                <w:rFonts w:hint="default"/>
                <w:color w:val="auto"/>
              </w:rPr>
              <w:t>食入：误服者立即漱口，饮足量温水，尽快洗胃。就医。</w:t>
            </w:r>
          </w:p>
        </w:tc>
      </w:tr>
      <w:tr w14:paraId="4AE3A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1C566240">
            <w:pPr>
              <w:pStyle w:val="19"/>
              <w:bidi w:val="0"/>
              <w:jc w:val="center"/>
              <w:rPr>
                <w:rFonts w:hint="default"/>
                <w:color w:val="auto"/>
              </w:rPr>
            </w:pPr>
            <w:r>
              <w:rPr>
                <w:rFonts w:hint="default"/>
                <w:color w:val="auto"/>
              </w:rPr>
              <w:t>临床表现</w:t>
            </w:r>
          </w:p>
        </w:tc>
        <w:tc>
          <w:tcPr>
            <w:tcW w:w="7457" w:type="dxa"/>
            <w:noWrap w:val="0"/>
            <w:vAlign w:val="center"/>
          </w:tcPr>
          <w:p w14:paraId="695AF744">
            <w:pPr>
              <w:pStyle w:val="19"/>
              <w:bidi w:val="0"/>
              <w:jc w:val="left"/>
              <w:rPr>
                <w:rFonts w:hint="default"/>
                <w:color w:val="auto"/>
              </w:rPr>
            </w:pPr>
            <w:r>
              <w:rPr>
                <w:rFonts w:hint="default"/>
                <w:color w:val="auto"/>
              </w:rPr>
              <w:t>有报道拖拉机驾驶台四周空气污染细微雾滴，拖拉机手持续吸入15分钟而引起严重的吸入性肺炎。国外有病例报道，用柴油清洁两手和两臂数周而引发急性肾功能衰竭，肾活检验显示急性肾上管坏死。经治疗后恢复。故需考虑在皮肤大量接触后，个别人可能发生肾脏损害。皮肤接触后可能发生接触性皮炎，表现为红斑、水疱、丘疹。</w:t>
            </w:r>
          </w:p>
        </w:tc>
      </w:tr>
    </w:tbl>
    <w:p w14:paraId="7AB6D2CF">
      <w:pPr>
        <w:bidi w:val="0"/>
        <w:rPr>
          <w:rFonts w:hint="default"/>
          <w:color w:val="auto"/>
          <w:lang w:val="en-US" w:eastAsia="zh-CN"/>
        </w:rPr>
      </w:pPr>
      <w:r>
        <w:rPr>
          <w:rFonts w:hint="eastAsia"/>
          <w:color w:val="auto"/>
          <w:lang w:val="en-US" w:eastAsia="zh-CN"/>
        </w:rPr>
        <w:t>2</w:t>
      </w:r>
      <w:r>
        <w:rPr>
          <w:rFonts w:hint="default"/>
          <w:color w:val="auto"/>
          <w:lang w:val="en-US" w:eastAsia="zh-CN"/>
        </w:rPr>
        <w:t>、乙炔</w:t>
      </w:r>
    </w:p>
    <w:p w14:paraId="6E730006">
      <w:pPr>
        <w:pStyle w:val="18"/>
        <w:bidi w:val="0"/>
        <w:rPr>
          <w:rFonts w:hint="default"/>
          <w:color w:val="auto"/>
          <w:lang w:val="en-US" w:eastAsia="zh-CN"/>
        </w:rPr>
      </w:pPr>
      <w:r>
        <w:rPr>
          <w:rFonts w:hint="default"/>
          <w:color w:val="auto"/>
          <w:lang w:val="en-US" w:eastAsia="zh-CN"/>
        </w:rPr>
        <w:t>表3.</w:t>
      </w:r>
      <w:r>
        <w:rPr>
          <w:rFonts w:hint="eastAsia"/>
          <w:color w:val="auto"/>
          <w:lang w:val="en-US" w:eastAsia="zh-CN"/>
        </w:rPr>
        <w:t>2</w:t>
      </w:r>
      <w:r>
        <w:rPr>
          <w:rFonts w:hint="default"/>
          <w:color w:val="auto"/>
          <w:lang w:val="en-US" w:eastAsia="zh-CN"/>
        </w:rPr>
        <w:t>-</w:t>
      </w:r>
      <w:r>
        <w:rPr>
          <w:rFonts w:hint="eastAsia"/>
          <w:color w:val="auto"/>
          <w:lang w:val="en-US" w:eastAsia="zh-CN"/>
        </w:rPr>
        <w:t>2</w:t>
      </w:r>
      <w:r>
        <w:rPr>
          <w:rFonts w:hint="default"/>
          <w:color w:val="auto"/>
          <w:lang w:val="en-US" w:eastAsia="zh-CN"/>
        </w:rPr>
        <w:t xml:space="preserve">  乙炔理化特性表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333"/>
        <w:gridCol w:w="7070"/>
      </w:tblGrid>
      <w:tr w14:paraId="38D74C85">
        <w:tblPrEx>
          <w:tblCellMar>
            <w:top w:w="0" w:type="dxa"/>
            <w:left w:w="108" w:type="dxa"/>
            <w:bottom w:w="0" w:type="dxa"/>
            <w:right w:w="108" w:type="dxa"/>
          </w:tblCellMar>
        </w:tblPrEx>
        <w:trPr>
          <w:jc w:val="center"/>
        </w:trPr>
        <w:tc>
          <w:tcPr>
            <w:tcW w:w="2333" w:type="dxa"/>
            <w:noWrap w:val="0"/>
            <w:vAlign w:val="center"/>
          </w:tcPr>
          <w:p w14:paraId="07735AFF">
            <w:pPr>
              <w:pStyle w:val="19"/>
              <w:bidi w:val="0"/>
              <w:rPr>
                <w:rFonts w:hint="default"/>
                <w:color w:val="auto"/>
              </w:rPr>
            </w:pPr>
            <w:r>
              <w:rPr>
                <w:rFonts w:hint="default"/>
                <w:color w:val="auto"/>
              </w:rPr>
              <w:t>中文名称：</w:t>
            </w:r>
          </w:p>
        </w:tc>
        <w:tc>
          <w:tcPr>
            <w:tcW w:w="7070" w:type="dxa"/>
            <w:noWrap w:val="0"/>
            <w:vAlign w:val="center"/>
          </w:tcPr>
          <w:p w14:paraId="4A3ABD05">
            <w:pPr>
              <w:pStyle w:val="19"/>
              <w:bidi w:val="0"/>
              <w:jc w:val="left"/>
              <w:rPr>
                <w:rFonts w:hint="default"/>
                <w:color w:val="auto"/>
              </w:rPr>
            </w:pPr>
            <w:r>
              <w:rPr>
                <w:rFonts w:hint="default"/>
                <w:color w:val="auto"/>
              </w:rPr>
              <w:t>乙炔；电石气</w:t>
            </w:r>
          </w:p>
        </w:tc>
      </w:tr>
      <w:tr w14:paraId="5390F6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7D8F6946">
            <w:pPr>
              <w:pStyle w:val="19"/>
              <w:bidi w:val="0"/>
              <w:rPr>
                <w:rFonts w:hint="default"/>
                <w:color w:val="auto"/>
              </w:rPr>
            </w:pPr>
            <w:r>
              <w:rPr>
                <w:rFonts w:hint="default"/>
                <w:color w:val="auto"/>
              </w:rPr>
              <w:t>英文名称：</w:t>
            </w:r>
          </w:p>
        </w:tc>
        <w:tc>
          <w:tcPr>
            <w:tcW w:w="7070" w:type="dxa"/>
            <w:noWrap w:val="0"/>
            <w:vAlign w:val="center"/>
          </w:tcPr>
          <w:p w14:paraId="48D8807F">
            <w:pPr>
              <w:pStyle w:val="19"/>
              <w:bidi w:val="0"/>
              <w:jc w:val="left"/>
              <w:rPr>
                <w:rFonts w:hint="default"/>
                <w:color w:val="auto"/>
              </w:rPr>
            </w:pPr>
            <w:r>
              <w:rPr>
                <w:rFonts w:hint="default"/>
                <w:color w:val="auto"/>
              </w:rPr>
              <w:t>Acetylene</w:t>
            </w:r>
          </w:p>
        </w:tc>
      </w:tr>
      <w:tr w14:paraId="766E53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3ACF9B8E">
            <w:pPr>
              <w:pStyle w:val="19"/>
              <w:bidi w:val="0"/>
              <w:rPr>
                <w:rFonts w:hint="default"/>
                <w:color w:val="auto"/>
              </w:rPr>
            </w:pPr>
            <w:r>
              <w:rPr>
                <w:rFonts w:hint="default"/>
                <w:color w:val="auto"/>
              </w:rPr>
              <w:t>分子式：</w:t>
            </w:r>
          </w:p>
        </w:tc>
        <w:tc>
          <w:tcPr>
            <w:tcW w:w="7070" w:type="dxa"/>
            <w:noWrap w:val="0"/>
            <w:vAlign w:val="center"/>
          </w:tcPr>
          <w:p w14:paraId="65268619">
            <w:pPr>
              <w:pStyle w:val="19"/>
              <w:bidi w:val="0"/>
              <w:jc w:val="left"/>
              <w:rPr>
                <w:rFonts w:hint="default"/>
                <w:color w:val="auto"/>
              </w:rPr>
            </w:pPr>
            <w:r>
              <w:rPr>
                <w:rFonts w:hint="default"/>
                <w:color w:val="auto"/>
              </w:rPr>
              <w:t>C</w:t>
            </w:r>
            <w:r>
              <w:rPr>
                <w:rFonts w:hint="default"/>
                <w:color w:val="auto"/>
                <w:vertAlign w:val="subscript"/>
              </w:rPr>
              <w:t>2</w:t>
            </w:r>
            <w:r>
              <w:rPr>
                <w:rFonts w:hint="default"/>
                <w:color w:val="auto"/>
              </w:rPr>
              <w:t>H</w:t>
            </w:r>
            <w:r>
              <w:rPr>
                <w:rFonts w:hint="default"/>
                <w:color w:val="auto"/>
                <w:vertAlign w:val="subscript"/>
              </w:rPr>
              <w:t>2</w:t>
            </w:r>
          </w:p>
        </w:tc>
      </w:tr>
      <w:tr w14:paraId="0EBE89B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54B925D3">
            <w:pPr>
              <w:pStyle w:val="19"/>
              <w:bidi w:val="0"/>
              <w:rPr>
                <w:rFonts w:hint="default"/>
                <w:color w:val="auto"/>
              </w:rPr>
            </w:pPr>
            <w:r>
              <w:rPr>
                <w:rFonts w:hint="default"/>
                <w:color w:val="auto"/>
              </w:rPr>
              <w:t>相对分子质量：</w:t>
            </w:r>
          </w:p>
        </w:tc>
        <w:tc>
          <w:tcPr>
            <w:tcW w:w="7070" w:type="dxa"/>
            <w:noWrap w:val="0"/>
            <w:vAlign w:val="center"/>
          </w:tcPr>
          <w:p w14:paraId="344793E9">
            <w:pPr>
              <w:pStyle w:val="19"/>
              <w:bidi w:val="0"/>
              <w:jc w:val="left"/>
              <w:rPr>
                <w:rFonts w:hint="default"/>
                <w:color w:val="auto"/>
              </w:rPr>
            </w:pPr>
            <w:r>
              <w:rPr>
                <w:rFonts w:hint="default"/>
                <w:color w:val="auto"/>
              </w:rPr>
              <w:t>26.04</w:t>
            </w:r>
          </w:p>
        </w:tc>
      </w:tr>
      <w:tr w14:paraId="474EA50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47D7487E">
            <w:pPr>
              <w:pStyle w:val="19"/>
              <w:bidi w:val="0"/>
              <w:rPr>
                <w:rFonts w:hint="default"/>
                <w:color w:val="auto"/>
              </w:rPr>
            </w:pPr>
            <w:r>
              <w:rPr>
                <w:rFonts w:hint="default"/>
                <w:color w:val="auto"/>
              </w:rPr>
              <w:t>CAS号：</w:t>
            </w:r>
          </w:p>
        </w:tc>
        <w:tc>
          <w:tcPr>
            <w:tcW w:w="7070" w:type="dxa"/>
            <w:noWrap w:val="0"/>
            <w:vAlign w:val="center"/>
          </w:tcPr>
          <w:p w14:paraId="32CB395B">
            <w:pPr>
              <w:pStyle w:val="19"/>
              <w:bidi w:val="0"/>
              <w:jc w:val="left"/>
              <w:rPr>
                <w:rFonts w:hint="default"/>
                <w:color w:val="auto"/>
              </w:rPr>
            </w:pPr>
            <w:r>
              <w:rPr>
                <w:rFonts w:hint="default"/>
                <w:color w:val="auto"/>
              </w:rPr>
              <w:t>74-86-2</w:t>
            </w:r>
          </w:p>
        </w:tc>
      </w:tr>
      <w:tr w14:paraId="260D67C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55B57B48">
            <w:pPr>
              <w:pStyle w:val="19"/>
              <w:bidi w:val="0"/>
              <w:rPr>
                <w:rFonts w:hint="default"/>
                <w:color w:val="auto"/>
              </w:rPr>
            </w:pPr>
            <w:r>
              <w:rPr>
                <w:rFonts w:hint="default"/>
                <w:color w:val="auto"/>
              </w:rPr>
              <w:t>危规号：</w:t>
            </w:r>
          </w:p>
        </w:tc>
        <w:tc>
          <w:tcPr>
            <w:tcW w:w="7070" w:type="dxa"/>
            <w:noWrap w:val="0"/>
            <w:vAlign w:val="center"/>
          </w:tcPr>
          <w:p w14:paraId="6425584C">
            <w:pPr>
              <w:pStyle w:val="19"/>
              <w:bidi w:val="0"/>
              <w:jc w:val="left"/>
              <w:rPr>
                <w:rFonts w:hint="default"/>
                <w:color w:val="auto"/>
              </w:rPr>
            </w:pPr>
            <w:r>
              <w:rPr>
                <w:rFonts w:hint="default"/>
                <w:color w:val="auto"/>
              </w:rPr>
              <w:t>21024</w:t>
            </w:r>
          </w:p>
        </w:tc>
      </w:tr>
      <w:tr w14:paraId="5F3A75F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55EB8D3F">
            <w:pPr>
              <w:pStyle w:val="19"/>
              <w:bidi w:val="0"/>
              <w:rPr>
                <w:rFonts w:hint="default"/>
                <w:color w:val="auto"/>
              </w:rPr>
            </w:pPr>
            <w:r>
              <w:rPr>
                <w:rFonts w:hint="default"/>
                <w:color w:val="auto"/>
              </w:rPr>
              <w:t>UN编号：</w:t>
            </w:r>
          </w:p>
        </w:tc>
        <w:tc>
          <w:tcPr>
            <w:tcW w:w="7070" w:type="dxa"/>
            <w:noWrap w:val="0"/>
            <w:vAlign w:val="center"/>
          </w:tcPr>
          <w:p w14:paraId="0B41C324">
            <w:pPr>
              <w:pStyle w:val="19"/>
              <w:bidi w:val="0"/>
              <w:jc w:val="left"/>
              <w:rPr>
                <w:rFonts w:hint="default"/>
                <w:color w:val="auto"/>
              </w:rPr>
            </w:pPr>
            <w:r>
              <w:rPr>
                <w:rFonts w:hint="default"/>
                <w:color w:val="auto"/>
              </w:rPr>
              <w:t>1001</w:t>
            </w:r>
          </w:p>
        </w:tc>
      </w:tr>
      <w:tr w14:paraId="76CCCAA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78E4EC4B">
            <w:pPr>
              <w:pStyle w:val="19"/>
              <w:bidi w:val="0"/>
              <w:rPr>
                <w:rFonts w:hint="default"/>
                <w:color w:val="auto"/>
              </w:rPr>
            </w:pPr>
            <w:r>
              <w:rPr>
                <w:rFonts w:hint="default"/>
                <w:color w:val="auto"/>
              </w:rPr>
              <w:t>主要成分：</w:t>
            </w:r>
          </w:p>
        </w:tc>
        <w:tc>
          <w:tcPr>
            <w:tcW w:w="7070" w:type="dxa"/>
            <w:noWrap w:val="0"/>
            <w:vAlign w:val="center"/>
          </w:tcPr>
          <w:p w14:paraId="5D7441A2">
            <w:pPr>
              <w:pStyle w:val="19"/>
              <w:bidi w:val="0"/>
              <w:jc w:val="left"/>
              <w:rPr>
                <w:rFonts w:hint="default"/>
                <w:color w:val="auto"/>
              </w:rPr>
            </w:pPr>
            <w:r>
              <w:rPr>
                <w:rFonts w:hint="default"/>
                <w:color w:val="auto"/>
              </w:rPr>
              <w:t>含量</w:t>
            </w:r>
            <w:r>
              <w:rPr>
                <w:rFonts w:hint="eastAsia"/>
                <w:color w:val="auto"/>
                <w:lang w:eastAsia="zh-CN"/>
              </w:rPr>
              <w:t>：</w:t>
            </w:r>
            <w:r>
              <w:rPr>
                <w:rFonts w:hint="default"/>
                <w:color w:val="auto"/>
              </w:rPr>
              <w:t>工业级≥97.5％。</w:t>
            </w:r>
          </w:p>
        </w:tc>
      </w:tr>
      <w:tr w14:paraId="51B34A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6C7B9C94">
            <w:pPr>
              <w:pStyle w:val="19"/>
              <w:bidi w:val="0"/>
              <w:rPr>
                <w:rFonts w:hint="default"/>
                <w:color w:val="auto"/>
              </w:rPr>
            </w:pPr>
            <w:r>
              <w:rPr>
                <w:rFonts w:hint="default"/>
                <w:color w:val="auto"/>
              </w:rPr>
              <w:t>外观与性状：</w:t>
            </w:r>
          </w:p>
        </w:tc>
        <w:tc>
          <w:tcPr>
            <w:tcW w:w="7070" w:type="dxa"/>
            <w:noWrap w:val="0"/>
            <w:vAlign w:val="center"/>
          </w:tcPr>
          <w:p w14:paraId="03265825">
            <w:pPr>
              <w:pStyle w:val="19"/>
              <w:bidi w:val="0"/>
              <w:jc w:val="left"/>
              <w:rPr>
                <w:rFonts w:hint="default"/>
                <w:color w:val="auto"/>
              </w:rPr>
            </w:pPr>
            <w:r>
              <w:rPr>
                <w:rFonts w:hint="default"/>
                <w:color w:val="auto"/>
              </w:rPr>
              <w:t>无色无臭气体，工业品有使人不愉快的大蒜气味。</w:t>
            </w:r>
          </w:p>
        </w:tc>
      </w:tr>
      <w:tr w14:paraId="18E5234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72F2E19E">
            <w:pPr>
              <w:pStyle w:val="19"/>
              <w:bidi w:val="0"/>
              <w:rPr>
                <w:rFonts w:hint="default"/>
                <w:color w:val="auto"/>
              </w:rPr>
            </w:pPr>
            <w:r>
              <w:rPr>
                <w:rFonts w:hint="default"/>
                <w:color w:val="auto"/>
              </w:rPr>
              <w:t>主要用途：</w:t>
            </w:r>
          </w:p>
        </w:tc>
        <w:tc>
          <w:tcPr>
            <w:tcW w:w="7070" w:type="dxa"/>
            <w:noWrap w:val="0"/>
            <w:vAlign w:val="center"/>
          </w:tcPr>
          <w:p w14:paraId="23521928">
            <w:pPr>
              <w:pStyle w:val="19"/>
              <w:bidi w:val="0"/>
              <w:jc w:val="left"/>
              <w:rPr>
                <w:rFonts w:hint="default"/>
                <w:color w:val="auto"/>
              </w:rPr>
            </w:pPr>
            <w:r>
              <w:rPr>
                <w:rFonts w:hint="default"/>
                <w:color w:val="auto"/>
              </w:rPr>
              <w:t>是有机合成的重要原料之一。亦是合成橡胶、合成纤维和塑料的单体，也用于氧炔焊割。</w:t>
            </w:r>
          </w:p>
        </w:tc>
      </w:tr>
      <w:tr w14:paraId="28C3A3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403" w:type="dxa"/>
            <w:gridSpan w:val="2"/>
            <w:noWrap w:val="0"/>
            <w:vAlign w:val="center"/>
          </w:tcPr>
          <w:p w14:paraId="349E0620">
            <w:pPr>
              <w:pStyle w:val="19"/>
              <w:bidi w:val="0"/>
              <w:jc w:val="center"/>
              <w:rPr>
                <w:rFonts w:hint="default"/>
                <w:color w:val="auto"/>
              </w:rPr>
            </w:pPr>
            <w:r>
              <w:rPr>
                <w:rFonts w:hint="default"/>
                <w:color w:val="auto"/>
              </w:rPr>
              <w:t>健康危害</w:t>
            </w:r>
          </w:p>
        </w:tc>
      </w:tr>
      <w:tr w14:paraId="2716788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454BD419">
            <w:pPr>
              <w:pStyle w:val="19"/>
              <w:bidi w:val="0"/>
              <w:rPr>
                <w:rFonts w:hint="default"/>
                <w:color w:val="auto"/>
              </w:rPr>
            </w:pPr>
            <w:r>
              <w:rPr>
                <w:rFonts w:hint="default"/>
                <w:color w:val="auto"/>
              </w:rPr>
              <w:t>侵入途径：</w:t>
            </w:r>
          </w:p>
        </w:tc>
        <w:tc>
          <w:tcPr>
            <w:tcW w:w="7070" w:type="dxa"/>
            <w:noWrap w:val="0"/>
            <w:vAlign w:val="center"/>
          </w:tcPr>
          <w:p w14:paraId="78724C5E">
            <w:pPr>
              <w:pStyle w:val="19"/>
              <w:bidi w:val="0"/>
              <w:jc w:val="left"/>
              <w:rPr>
                <w:rFonts w:hint="default"/>
                <w:color w:val="auto"/>
              </w:rPr>
            </w:pPr>
            <w:r>
              <w:rPr>
                <w:rFonts w:hint="default"/>
                <w:color w:val="auto"/>
              </w:rPr>
              <w:t>吸入。</w:t>
            </w:r>
          </w:p>
        </w:tc>
      </w:tr>
      <w:tr w14:paraId="1C84A1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611DA46B">
            <w:pPr>
              <w:pStyle w:val="19"/>
              <w:bidi w:val="0"/>
              <w:rPr>
                <w:rFonts w:hint="default"/>
                <w:color w:val="auto"/>
              </w:rPr>
            </w:pPr>
            <w:r>
              <w:rPr>
                <w:rFonts w:hint="default"/>
                <w:color w:val="auto"/>
              </w:rPr>
              <w:t>健康危害：</w:t>
            </w:r>
          </w:p>
        </w:tc>
        <w:tc>
          <w:tcPr>
            <w:tcW w:w="7070" w:type="dxa"/>
            <w:noWrap w:val="0"/>
            <w:vAlign w:val="center"/>
          </w:tcPr>
          <w:p w14:paraId="6513C102">
            <w:pPr>
              <w:pStyle w:val="19"/>
              <w:bidi w:val="0"/>
              <w:jc w:val="left"/>
              <w:rPr>
                <w:rFonts w:hint="default"/>
                <w:color w:val="auto"/>
              </w:rPr>
            </w:pPr>
            <w:r>
              <w:rPr>
                <w:rFonts w:hint="default"/>
                <w:color w:val="auto"/>
              </w:rPr>
              <w:t>具有弱麻醉作用。高浓度吸入可引起单纯窒息。急性中毒：暴露于20％浓度时，出现明显缺氧症状；吸入高浓度，初期兴奋、多语、哭笑不安，后出现眩晕、头痛、恶心、呕吐、共济失调、嗜睡；严重者昏迷、紫绀、瞳孔对光反应消失、脉弱而不齐。当混有磷化氢、硫化氢时，毒性增大，应予以注意。</w:t>
            </w:r>
          </w:p>
        </w:tc>
      </w:tr>
      <w:tr w14:paraId="0FA4B18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1BEA3E3E">
            <w:pPr>
              <w:pStyle w:val="19"/>
              <w:bidi w:val="0"/>
              <w:rPr>
                <w:rFonts w:hint="default"/>
                <w:color w:val="auto"/>
              </w:rPr>
            </w:pPr>
            <w:r>
              <w:rPr>
                <w:rFonts w:hint="default"/>
                <w:color w:val="auto"/>
              </w:rPr>
              <w:t>吸入：</w:t>
            </w:r>
          </w:p>
        </w:tc>
        <w:tc>
          <w:tcPr>
            <w:tcW w:w="7070" w:type="dxa"/>
            <w:noWrap w:val="0"/>
            <w:vAlign w:val="center"/>
          </w:tcPr>
          <w:p w14:paraId="02FA745F">
            <w:pPr>
              <w:pStyle w:val="19"/>
              <w:bidi w:val="0"/>
              <w:jc w:val="left"/>
              <w:rPr>
                <w:rFonts w:hint="default"/>
                <w:color w:val="auto"/>
              </w:rPr>
            </w:pPr>
            <w:r>
              <w:rPr>
                <w:rFonts w:hint="default"/>
                <w:color w:val="auto"/>
              </w:rPr>
              <w:t>迅速脱离现场至空气新鲜处。保持呼吸道通畅。如呼吸困难，给输氧。如呼吸停止，立即进行人工呼吸。就医。</w:t>
            </w:r>
          </w:p>
        </w:tc>
      </w:tr>
      <w:tr w14:paraId="3D7AE5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403" w:type="dxa"/>
            <w:gridSpan w:val="2"/>
            <w:noWrap w:val="0"/>
            <w:vAlign w:val="center"/>
          </w:tcPr>
          <w:p w14:paraId="671F3DF5">
            <w:pPr>
              <w:pStyle w:val="19"/>
              <w:bidi w:val="0"/>
              <w:jc w:val="center"/>
              <w:rPr>
                <w:rFonts w:hint="default"/>
                <w:color w:val="auto"/>
              </w:rPr>
            </w:pPr>
            <w:r>
              <w:rPr>
                <w:rFonts w:hint="default"/>
                <w:color w:val="auto"/>
              </w:rPr>
              <w:t>理化特性</w:t>
            </w:r>
          </w:p>
        </w:tc>
      </w:tr>
      <w:tr w14:paraId="02B22E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2DCAA893">
            <w:pPr>
              <w:pStyle w:val="19"/>
              <w:bidi w:val="0"/>
              <w:rPr>
                <w:rFonts w:hint="default"/>
                <w:color w:val="auto"/>
              </w:rPr>
            </w:pPr>
            <w:r>
              <w:rPr>
                <w:rFonts w:hint="default"/>
                <w:color w:val="auto"/>
              </w:rPr>
              <w:t>燃烧性：</w:t>
            </w:r>
          </w:p>
        </w:tc>
        <w:tc>
          <w:tcPr>
            <w:tcW w:w="7070" w:type="dxa"/>
            <w:noWrap w:val="0"/>
            <w:vAlign w:val="center"/>
          </w:tcPr>
          <w:p w14:paraId="31293229">
            <w:pPr>
              <w:pStyle w:val="19"/>
              <w:bidi w:val="0"/>
              <w:jc w:val="left"/>
              <w:rPr>
                <w:rFonts w:hint="default"/>
                <w:color w:val="auto"/>
              </w:rPr>
            </w:pPr>
            <w:r>
              <w:rPr>
                <w:rFonts w:hint="default"/>
                <w:color w:val="auto"/>
              </w:rPr>
              <w:t>本品易燃，具窒息性。</w:t>
            </w:r>
          </w:p>
        </w:tc>
      </w:tr>
      <w:tr w14:paraId="1A0564F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4A1CB0AF">
            <w:pPr>
              <w:pStyle w:val="19"/>
              <w:bidi w:val="0"/>
              <w:rPr>
                <w:rFonts w:hint="default"/>
                <w:color w:val="auto"/>
              </w:rPr>
            </w:pPr>
            <w:r>
              <w:rPr>
                <w:rFonts w:hint="default"/>
                <w:color w:val="auto"/>
              </w:rPr>
              <w:t>闪点：</w:t>
            </w:r>
          </w:p>
        </w:tc>
        <w:tc>
          <w:tcPr>
            <w:tcW w:w="7070" w:type="dxa"/>
            <w:noWrap w:val="0"/>
            <w:vAlign w:val="center"/>
          </w:tcPr>
          <w:p w14:paraId="0B4DD601">
            <w:pPr>
              <w:pStyle w:val="19"/>
              <w:bidi w:val="0"/>
              <w:jc w:val="left"/>
              <w:rPr>
                <w:rFonts w:hint="default"/>
                <w:color w:val="auto"/>
              </w:rPr>
            </w:pPr>
            <w:r>
              <w:rPr>
                <w:rFonts w:hint="default"/>
                <w:color w:val="auto"/>
                <w:lang w:eastAsia="zh-CN"/>
              </w:rPr>
              <w:t>（</w:t>
            </w:r>
            <w:r>
              <w:rPr>
                <w:rFonts w:hint="default"/>
                <w:color w:val="auto"/>
              </w:rPr>
              <w:t>℃</w:t>
            </w:r>
            <w:r>
              <w:rPr>
                <w:rFonts w:hint="eastAsia"/>
                <w:color w:val="auto"/>
                <w:lang w:eastAsia="zh-CN"/>
              </w:rPr>
              <w:t>）</w:t>
            </w:r>
            <w:r>
              <w:rPr>
                <w:rFonts w:hint="default"/>
                <w:color w:val="auto"/>
              </w:rPr>
              <w:t xml:space="preserve"> 无意义</w:t>
            </w:r>
          </w:p>
        </w:tc>
      </w:tr>
      <w:tr w14:paraId="226289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71676886">
            <w:pPr>
              <w:pStyle w:val="19"/>
              <w:bidi w:val="0"/>
              <w:rPr>
                <w:rFonts w:hint="default"/>
                <w:color w:val="auto"/>
              </w:rPr>
            </w:pPr>
            <w:r>
              <w:rPr>
                <w:rFonts w:hint="default"/>
                <w:color w:val="auto"/>
              </w:rPr>
              <w:t>爆炸下限：</w:t>
            </w:r>
          </w:p>
        </w:tc>
        <w:tc>
          <w:tcPr>
            <w:tcW w:w="7070" w:type="dxa"/>
            <w:noWrap w:val="0"/>
            <w:vAlign w:val="center"/>
          </w:tcPr>
          <w:p w14:paraId="7C3121D3">
            <w:pPr>
              <w:pStyle w:val="19"/>
              <w:bidi w:val="0"/>
              <w:jc w:val="left"/>
              <w:rPr>
                <w:rFonts w:hint="default"/>
                <w:color w:val="auto"/>
              </w:rPr>
            </w:pPr>
            <w:r>
              <w:rPr>
                <w:rFonts w:hint="default"/>
                <w:color w:val="auto"/>
                <w:lang w:eastAsia="zh-CN"/>
              </w:rPr>
              <w:t>（</w:t>
            </w:r>
            <w:r>
              <w:rPr>
                <w:rFonts w:hint="default"/>
                <w:color w:val="auto"/>
              </w:rPr>
              <w:t>％</w:t>
            </w:r>
            <w:r>
              <w:rPr>
                <w:rFonts w:hint="eastAsia"/>
                <w:color w:val="auto"/>
                <w:lang w:eastAsia="zh-CN"/>
              </w:rPr>
              <w:t>）</w:t>
            </w:r>
            <w:r>
              <w:rPr>
                <w:rFonts w:hint="default"/>
                <w:color w:val="auto"/>
              </w:rPr>
              <w:t xml:space="preserve"> 2.1</w:t>
            </w:r>
          </w:p>
        </w:tc>
      </w:tr>
      <w:tr w14:paraId="0946022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7458A2B8">
            <w:pPr>
              <w:pStyle w:val="19"/>
              <w:bidi w:val="0"/>
              <w:rPr>
                <w:rFonts w:hint="default"/>
                <w:color w:val="auto"/>
              </w:rPr>
            </w:pPr>
            <w:r>
              <w:rPr>
                <w:rFonts w:hint="default"/>
                <w:color w:val="auto"/>
              </w:rPr>
              <w:t>引燃温度：</w:t>
            </w:r>
          </w:p>
        </w:tc>
        <w:tc>
          <w:tcPr>
            <w:tcW w:w="7070" w:type="dxa"/>
            <w:noWrap w:val="0"/>
            <w:vAlign w:val="center"/>
          </w:tcPr>
          <w:p w14:paraId="33194942">
            <w:pPr>
              <w:pStyle w:val="19"/>
              <w:bidi w:val="0"/>
              <w:jc w:val="left"/>
              <w:rPr>
                <w:rFonts w:hint="default"/>
                <w:color w:val="auto"/>
              </w:rPr>
            </w:pPr>
            <w:r>
              <w:rPr>
                <w:rFonts w:hint="default"/>
                <w:color w:val="auto"/>
                <w:lang w:eastAsia="zh-CN"/>
              </w:rPr>
              <w:t>（</w:t>
            </w:r>
            <w:r>
              <w:rPr>
                <w:rFonts w:hint="default"/>
                <w:color w:val="auto"/>
              </w:rPr>
              <w:t>℃</w:t>
            </w:r>
            <w:r>
              <w:rPr>
                <w:rFonts w:hint="eastAsia"/>
                <w:color w:val="auto"/>
                <w:lang w:eastAsia="zh-CN"/>
              </w:rPr>
              <w:t>）</w:t>
            </w:r>
            <w:r>
              <w:rPr>
                <w:rFonts w:hint="default"/>
                <w:color w:val="auto"/>
              </w:rPr>
              <w:t xml:space="preserve"> 305</w:t>
            </w:r>
          </w:p>
        </w:tc>
      </w:tr>
      <w:tr w14:paraId="17D0FC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47FFCF4C">
            <w:pPr>
              <w:pStyle w:val="19"/>
              <w:bidi w:val="0"/>
              <w:rPr>
                <w:rFonts w:hint="default"/>
                <w:color w:val="auto"/>
              </w:rPr>
            </w:pPr>
            <w:r>
              <w:rPr>
                <w:rFonts w:hint="default"/>
                <w:color w:val="auto"/>
              </w:rPr>
              <w:t>爆炸上限：</w:t>
            </w:r>
          </w:p>
        </w:tc>
        <w:tc>
          <w:tcPr>
            <w:tcW w:w="7070" w:type="dxa"/>
            <w:noWrap w:val="0"/>
            <w:vAlign w:val="center"/>
          </w:tcPr>
          <w:p w14:paraId="5C015D10">
            <w:pPr>
              <w:pStyle w:val="19"/>
              <w:bidi w:val="0"/>
              <w:jc w:val="left"/>
              <w:rPr>
                <w:rFonts w:hint="default"/>
                <w:color w:val="auto"/>
              </w:rPr>
            </w:pPr>
            <w:r>
              <w:rPr>
                <w:rFonts w:hint="default"/>
                <w:color w:val="auto"/>
                <w:lang w:eastAsia="zh-CN"/>
              </w:rPr>
              <w:t>（</w:t>
            </w:r>
            <w:r>
              <w:rPr>
                <w:rFonts w:hint="default"/>
                <w:color w:val="auto"/>
              </w:rPr>
              <w:t>％</w:t>
            </w:r>
            <w:r>
              <w:rPr>
                <w:rFonts w:hint="eastAsia"/>
                <w:color w:val="auto"/>
                <w:lang w:eastAsia="zh-CN"/>
              </w:rPr>
              <w:t>）</w:t>
            </w:r>
            <w:r>
              <w:rPr>
                <w:rFonts w:hint="default"/>
                <w:color w:val="auto"/>
              </w:rPr>
              <w:t xml:space="preserve"> 80.0</w:t>
            </w:r>
          </w:p>
        </w:tc>
      </w:tr>
      <w:tr w14:paraId="4A01243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0B304062">
            <w:pPr>
              <w:pStyle w:val="19"/>
              <w:bidi w:val="0"/>
              <w:rPr>
                <w:rFonts w:hint="default"/>
                <w:color w:val="auto"/>
              </w:rPr>
            </w:pPr>
            <w:r>
              <w:rPr>
                <w:rFonts w:hint="default"/>
                <w:color w:val="auto"/>
              </w:rPr>
              <w:t>危险特性：</w:t>
            </w:r>
          </w:p>
        </w:tc>
        <w:tc>
          <w:tcPr>
            <w:tcW w:w="7070" w:type="dxa"/>
            <w:noWrap w:val="0"/>
            <w:vAlign w:val="center"/>
          </w:tcPr>
          <w:p w14:paraId="3E601FEC">
            <w:pPr>
              <w:pStyle w:val="19"/>
              <w:bidi w:val="0"/>
              <w:jc w:val="left"/>
              <w:rPr>
                <w:rFonts w:hint="default"/>
                <w:color w:val="auto"/>
              </w:rPr>
            </w:pPr>
            <w:r>
              <w:rPr>
                <w:rFonts w:hint="default"/>
                <w:color w:val="auto"/>
              </w:rPr>
              <w:t>极易燃烧爆炸。与空气混合能形成爆炸性混合物，遇明火、高热能引起燃烧爆炸。与氧化剂接触猛烈反应。与氟、氯等接触会发生剧烈的化学反应。能与铜、银、汞等的化合物生成爆炸性物质。</w:t>
            </w:r>
          </w:p>
        </w:tc>
      </w:tr>
      <w:tr w14:paraId="28373F0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57CE583C">
            <w:pPr>
              <w:pStyle w:val="19"/>
              <w:bidi w:val="0"/>
              <w:rPr>
                <w:rFonts w:hint="default"/>
                <w:color w:val="auto"/>
              </w:rPr>
            </w:pPr>
            <w:r>
              <w:rPr>
                <w:rFonts w:hint="default"/>
                <w:color w:val="auto"/>
              </w:rPr>
              <w:t>有害燃烧产物：</w:t>
            </w:r>
          </w:p>
        </w:tc>
        <w:tc>
          <w:tcPr>
            <w:tcW w:w="7070" w:type="dxa"/>
            <w:noWrap w:val="0"/>
            <w:vAlign w:val="center"/>
          </w:tcPr>
          <w:p w14:paraId="4B6A868A">
            <w:pPr>
              <w:pStyle w:val="19"/>
              <w:bidi w:val="0"/>
              <w:jc w:val="left"/>
              <w:rPr>
                <w:rFonts w:hint="default"/>
                <w:color w:val="auto"/>
              </w:rPr>
            </w:pPr>
            <w:r>
              <w:rPr>
                <w:rFonts w:hint="default"/>
                <w:color w:val="auto"/>
              </w:rPr>
              <w:t>一氧化碳、二氧化碳。</w:t>
            </w:r>
          </w:p>
        </w:tc>
      </w:tr>
      <w:tr w14:paraId="4677E3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01334E60">
            <w:pPr>
              <w:pStyle w:val="19"/>
              <w:bidi w:val="0"/>
              <w:rPr>
                <w:rFonts w:hint="default"/>
                <w:color w:val="auto"/>
              </w:rPr>
            </w:pPr>
            <w:r>
              <w:rPr>
                <w:rFonts w:hint="default"/>
                <w:color w:val="auto"/>
              </w:rPr>
              <w:t>灭火方法：</w:t>
            </w:r>
          </w:p>
        </w:tc>
        <w:tc>
          <w:tcPr>
            <w:tcW w:w="7070" w:type="dxa"/>
            <w:noWrap w:val="0"/>
            <w:vAlign w:val="center"/>
          </w:tcPr>
          <w:p w14:paraId="0D2A8ED9">
            <w:pPr>
              <w:pStyle w:val="19"/>
              <w:bidi w:val="0"/>
              <w:jc w:val="left"/>
              <w:rPr>
                <w:rFonts w:hint="default"/>
                <w:color w:val="auto"/>
              </w:rPr>
            </w:pPr>
            <w:r>
              <w:rPr>
                <w:rFonts w:hint="default"/>
                <w:color w:val="auto"/>
              </w:rPr>
              <w:t>切断气源。若不能切断气源，则不允许熄灭泄漏处的火焰。喷水冷却容器，可能的话将容器从火场移至空旷处。灭火剂：雾状水、泡沫、二氧化碳、干粉。</w:t>
            </w:r>
          </w:p>
        </w:tc>
      </w:tr>
      <w:tr w14:paraId="191887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08297FF4">
            <w:pPr>
              <w:pStyle w:val="19"/>
              <w:bidi w:val="0"/>
              <w:rPr>
                <w:rFonts w:hint="default"/>
                <w:color w:val="auto"/>
              </w:rPr>
            </w:pPr>
            <w:r>
              <w:rPr>
                <w:rFonts w:hint="default"/>
                <w:color w:val="auto"/>
              </w:rPr>
              <w:t>泄漏应急处理：</w:t>
            </w:r>
          </w:p>
        </w:tc>
        <w:tc>
          <w:tcPr>
            <w:tcW w:w="7070" w:type="dxa"/>
            <w:noWrap w:val="0"/>
            <w:vAlign w:val="center"/>
          </w:tcPr>
          <w:p w14:paraId="2954CEEE">
            <w:pPr>
              <w:pStyle w:val="19"/>
              <w:bidi w:val="0"/>
              <w:jc w:val="left"/>
              <w:rPr>
                <w:rFonts w:hint="default"/>
                <w:color w:val="auto"/>
              </w:rPr>
            </w:pPr>
            <w:r>
              <w:rPr>
                <w:rFonts w:hint="default"/>
                <w:color w:val="auto"/>
              </w:rPr>
              <w:t>迅速撤离泄漏污染区人员至上风处，并进行隔离，严格限制出入。切断火源。建议应急处理人员戴自给正压式呼吸器，穿防静电工作服。尽可能切断泄漏源。合理通风，加速扩散。喷雾状水稀释、溶解。构筑围堤或挖坑收容产生的大量废水。如有可能，将漏出气用排风机送至空旷地方或装设适当喷头烧掉。漏气容器要妥善处理，修复、检验后再用。</w:t>
            </w:r>
          </w:p>
        </w:tc>
      </w:tr>
      <w:tr w14:paraId="2CDAE5E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6325D8A2">
            <w:pPr>
              <w:pStyle w:val="19"/>
              <w:bidi w:val="0"/>
              <w:rPr>
                <w:rFonts w:hint="default"/>
                <w:color w:val="auto"/>
              </w:rPr>
            </w:pPr>
            <w:r>
              <w:rPr>
                <w:rFonts w:hint="default"/>
                <w:color w:val="auto"/>
              </w:rPr>
              <w:t>操作注意事项：</w:t>
            </w:r>
          </w:p>
        </w:tc>
        <w:tc>
          <w:tcPr>
            <w:tcW w:w="7070" w:type="dxa"/>
            <w:noWrap w:val="0"/>
            <w:vAlign w:val="center"/>
          </w:tcPr>
          <w:p w14:paraId="36D18F1C">
            <w:pPr>
              <w:pStyle w:val="19"/>
              <w:bidi w:val="0"/>
              <w:jc w:val="left"/>
              <w:rPr>
                <w:rFonts w:hint="default"/>
                <w:color w:val="auto"/>
              </w:rPr>
            </w:pPr>
            <w:r>
              <w:rPr>
                <w:rFonts w:hint="default"/>
                <w:color w:val="auto"/>
              </w:rPr>
              <w:t>密闭操作，全面通风。操作人员必须经过专门培训，严格遵守操作规程。建议操作人员穿防静电工作服。远离火种、热源，工作场所严禁吸烟。使用防爆型的通风系统和设备。防止气体泄漏到工作场所空气中。避免与氧化剂、酸类、卤素接触。在传送过程中，钢瓶和容器必须接地和跨接，防止产生静电。搬运时轻装轻卸，防止钢瓶及附件破损。配备相应品种和数量的消防器材及泄漏应急处理设备。</w:t>
            </w:r>
          </w:p>
        </w:tc>
      </w:tr>
      <w:tr w14:paraId="2063E13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2E824C9E">
            <w:pPr>
              <w:pStyle w:val="19"/>
              <w:bidi w:val="0"/>
              <w:rPr>
                <w:rFonts w:hint="default"/>
                <w:color w:val="auto"/>
              </w:rPr>
            </w:pPr>
            <w:r>
              <w:rPr>
                <w:rFonts w:hint="default"/>
                <w:color w:val="auto"/>
              </w:rPr>
              <w:t>贮运注意事项：</w:t>
            </w:r>
          </w:p>
        </w:tc>
        <w:tc>
          <w:tcPr>
            <w:tcW w:w="7070" w:type="dxa"/>
            <w:noWrap w:val="0"/>
            <w:vAlign w:val="center"/>
          </w:tcPr>
          <w:p w14:paraId="16F4E014">
            <w:pPr>
              <w:pStyle w:val="19"/>
              <w:bidi w:val="0"/>
              <w:jc w:val="left"/>
              <w:rPr>
                <w:rFonts w:hint="default"/>
                <w:color w:val="auto"/>
              </w:rPr>
            </w:pPr>
            <w:r>
              <w:rPr>
                <w:rFonts w:hint="default"/>
                <w:color w:val="auto"/>
              </w:rPr>
              <w:t>乙炔的包装法通常是溶解在溶剂及多孔物中</w:t>
            </w:r>
            <w:r>
              <w:rPr>
                <w:rFonts w:hint="eastAsia"/>
                <w:color w:val="auto"/>
                <w:lang w:eastAsia="zh-CN"/>
              </w:rPr>
              <w:t>，</w:t>
            </w:r>
            <w:r>
              <w:rPr>
                <w:rFonts w:hint="default"/>
                <w:color w:val="auto"/>
              </w:rPr>
              <w:t xml:space="preserve"> 装入钢瓶内。储存于阴凉、通风的库房。远离火种、热源。库温不宜超过30℃。应与氧化剂、酸类、卤素分开存放，切忌混储。采用防爆型照明、通风设施。禁止使用易产生火花的机械设备和工具。储区应备有泄漏应急处理设备。采用刚瓶运输时必须戴好钢瓶上的安全帽。钢瓶一般平放，并应将瓶口朝同一方向，不可交叉；高度不得超过车辆的防护栏板，并用三角木垫卡牢，防止滚动。运输时运输车辆应配备相应品种和数量的消防器材。装运该物品的车辆排气管必须配备阻火装置，禁止使用易产生火花的机械设备和工具装卸。严禁与氧化剂、酸类、卤素等混装混运。夏季应早晚运输，防止日光曝晒。中途停留时应远离火种、热源。公路运输时要按规定路线行驶，勿在居民区和人口稠密区停留。铁路运输时要禁止溜放。</w:t>
            </w:r>
          </w:p>
        </w:tc>
      </w:tr>
      <w:tr w14:paraId="104E843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5D3E8255">
            <w:pPr>
              <w:pStyle w:val="19"/>
              <w:bidi w:val="0"/>
              <w:rPr>
                <w:rFonts w:hint="default"/>
                <w:color w:val="auto"/>
              </w:rPr>
            </w:pPr>
            <w:r>
              <w:rPr>
                <w:rFonts w:hint="default"/>
                <w:color w:val="auto"/>
              </w:rPr>
              <w:t>防护措施：</w:t>
            </w:r>
          </w:p>
        </w:tc>
        <w:tc>
          <w:tcPr>
            <w:tcW w:w="7070" w:type="dxa"/>
            <w:noWrap w:val="0"/>
            <w:vAlign w:val="center"/>
          </w:tcPr>
          <w:p w14:paraId="5C93B112">
            <w:pPr>
              <w:pStyle w:val="19"/>
              <w:bidi w:val="0"/>
              <w:jc w:val="left"/>
              <w:rPr>
                <w:rFonts w:hint="default"/>
                <w:color w:val="auto"/>
              </w:rPr>
            </w:pPr>
            <w:r>
              <w:rPr>
                <w:rFonts w:hint="default"/>
                <w:color w:val="auto"/>
              </w:rPr>
              <w:t>职业接触限值</w:t>
            </w:r>
          </w:p>
          <w:p w14:paraId="66809F1B">
            <w:pPr>
              <w:pStyle w:val="19"/>
              <w:bidi w:val="0"/>
              <w:jc w:val="left"/>
              <w:rPr>
                <w:rFonts w:hint="default"/>
                <w:color w:val="auto"/>
              </w:rPr>
            </w:pPr>
            <w:r>
              <w:rPr>
                <w:rFonts w:hint="default"/>
                <w:color w:val="auto"/>
              </w:rPr>
              <w:t>中国MAC</w:t>
            </w:r>
            <w:r>
              <w:rPr>
                <w:rFonts w:hint="eastAsia"/>
                <w:color w:val="auto"/>
                <w:lang w:eastAsia="zh-CN"/>
              </w:rPr>
              <w:t>（</w:t>
            </w:r>
            <w:r>
              <w:rPr>
                <w:rFonts w:hint="default"/>
                <w:color w:val="auto"/>
              </w:rPr>
              <w:t>mg/m</w:t>
            </w:r>
            <w:r>
              <w:rPr>
                <w:rFonts w:hint="default"/>
                <w:color w:val="auto"/>
                <w:vertAlign w:val="superscript"/>
              </w:rPr>
              <w:t>3</w:t>
            </w:r>
            <w:r>
              <w:rPr>
                <w:rFonts w:hint="eastAsia"/>
                <w:color w:val="auto"/>
                <w:lang w:eastAsia="zh-CN"/>
              </w:rPr>
              <w:t>）</w:t>
            </w:r>
            <w:r>
              <w:rPr>
                <w:rFonts w:hint="default"/>
                <w:color w:val="auto"/>
              </w:rPr>
              <w:t>：未制定标准</w:t>
            </w:r>
          </w:p>
          <w:p w14:paraId="7DE32734">
            <w:pPr>
              <w:pStyle w:val="19"/>
              <w:bidi w:val="0"/>
              <w:jc w:val="left"/>
              <w:rPr>
                <w:rFonts w:hint="default"/>
                <w:color w:val="auto"/>
              </w:rPr>
            </w:pPr>
            <w:r>
              <w:rPr>
                <w:rFonts w:hint="default"/>
                <w:color w:val="auto"/>
              </w:rPr>
              <w:t>前苏联MAC</w:t>
            </w:r>
            <w:r>
              <w:rPr>
                <w:rFonts w:hint="eastAsia"/>
                <w:color w:val="auto"/>
                <w:lang w:eastAsia="zh-CN"/>
              </w:rPr>
              <w:t>（</w:t>
            </w:r>
            <w:r>
              <w:rPr>
                <w:rFonts w:hint="default"/>
                <w:color w:val="auto"/>
              </w:rPr>
              <w:t>mg/m</w:t>
            </w:r>
            <w:r>
              <w:rPr>
                <w:rFonts w:hint="default"/>
                <w:color w:val="auto"/>
                <w:vertAlign w:val="superscript"/>
              </w:rPr>
              <w:t>3</w:t>
            </w:r>
            <w:r>
              <w:rPr>
                <w:rFonts w:hint="eastAsia"/>
                <w:color w:val="auto"/>
                <w:lang w:eastAsia="zh-CN"/>
              </w:rPr>
              <w:t>）</w:t>
            </w:r>
            <w:r>
              <w:rPr>
                <w:rFonts w:hint="default"/>
                <w:color w:val="auto"/>
              </w:rPr>
              <w:t>：未制定标准</w:t>
            </w:r>
          </w:p>
          <w:p w14:paraId="10E56B0B">
            <w:pPr>
              <w:pStyle w:val="19"/>
              <w:bidi w:val="0"/>
              <w:jc w:val="left"/>
              <w:rPr>
                <w:rFonts w:hint="default"/>
                <w:color w:val="auto"/>
              </w:rPr>
            </w:pPr>
            <w:r>
              <w:rPr>
                <w:rFonts w:hint="default"/>
                <w:color w:val="auto"/>
              </w:rPr>
              <w:t>TLVTN：ACGIH 窒息性气体</w:t>
            </w:r>
          </w:p>
          <w:p w14:paraId="6055AF3A">
            <w:pPr>
              <w:pStyle w:val="19"/>
              <w:bidi w:val="0"/>
              <w:jc w:val="left"/>
              <w:rPr>
                <w:rFonts w:hint="default"/>
                <w:color w:val="auto"/>
              </w:rPr>
            </w:pPr>
            <w:r>
              <w:rPr>
                <w:rFonts w:hint="default"/>
                <w:color w:val="auto"/>
              </w:rPr>
              <w:t>TLVWN：未制定标准</w:t>
            </w:r>
          </w:p>
          <w:p w14:paraId="5409E01A">
            <w:pPr>
              <w:pStyle w:val="19"/>
              <w:bidi w:val="0"/>
              <w:jc w:val="left"/>
              <w:rPr>
                <w:rFonts w:hint="default"/>
                <w:color w:val="auto"/>
              </w:rPr>
            </w:pPr>
            <w:r>
              <w:rPr>
                <w:rFonts w:hint="default"/>
                <w:color w:val="auto"/>
              </w:rPr>
              <w:t>工程控制：生产过程密闭，全面通风。</w:t>
            </w:r>
          </w:p>
          <w:p w14:paraId="771D2448">
            <w:pPr>
              <w:pStyle w:val="19"/>
              <w:bidi w:val="0"/>
              <w:jc w:val="left"/>
              <w:rPr>
                <w:rFonts w:hint="default"/>
                <w:color w:val="auto"/>
              </w:rPr>
            </w:pPr>
            <w:r>
              <w:rPr>
                <w:rFonts w:hint="default"/>
                <w:color w:val="auto"/>
              </w:rPr>
              <w:t>呼吸系统防护：一般不需要特殊防护，但建议特殊情况下，佩戴自吸过滤式防毒面具</w:t>
            </w:r>
            <w:r>
              <w:rPr>
                <w:rFonts w:hint="default"/>
                <w:color w:val="auto"/>
                <w:lang w:eastAsia="zh-CN"/>
              </w:rPr>
              <w:t>（</w:t>
            </w:r>
            <w:r>
              <w:rPr>
                <w:rFonts w:hint="default"/>
                <w:color w:val="auto"/>
              </w:rPr>
              <w:t>半面罩</w:t>
            </w:r>
            <w:r>
              <w:rPr>
                <w:rFonts w:hint="eastAsia"/>
                <w:color w:val="auto"/>
                <w:lang w:eastAsia="zh-CN"/>
              </w:rPr>
              <w:t>）</w:t>
            </w:r>
            <w:r>
              <w:rPr>
                <w:rFonts w:hint="default"/>
                <w:color w:val="auto"/>
              </w:rPr>
              <w:t>。</w:t>
            </w:r>
          </w:p>
          <w:p w14:paraId="67B3DAD6">
            <w:pPr>
              <w:pStyle w:val="19"/>
              <w:bidi w:val="0"/>
              <w:jc w:val="left"/>
              <w:rPr>
                <w:rFonts w:hint="default"/>
                <w:color w:val="auto"/>
              </w:rPr>
            </w:pPr>
            <w:r>
              <w:rPr>
                <w:rFonts w:hint="default"/>
                <w:color w:val="auto"/>
              </w:rPr>
              <w:t>眼睛防护：一般不需特殊防护。</w:t>
            </w:r>
          </w:p>
          <w:p w14:paraId="6EF5DD6D">
            <w:pPr>
              <w:pStyle w:val="19"/>
              <w:bidi w:val="0"/>
              <w:jc w:val="left"/>
              <w:rPr>
                <w:rFonts w:hint="default"/>
                <w:color w:val="auto"/>
              </w:rPr>
            </w:pPr>
            <w:r>
              <w:rPr>
                <w:rFonts w:hint="default"/>
                <w:color w:val="auto"/>
              </w:rPr>
              <w:t>身体防护：穿防静电工作服。</w:t>
            </w:r>
          </w:p>
          <w:p w14:paraId="635DF87C">
            <w:pPr>
              <w:pStyle w:val="19"/>
              <w:bidi w:val="0"/>
              <w:jc w:val="left"/>
              <w:rPr>
                <w:rFonts w:hint="default"/>
                <w:color w:val="auto"/>
              </w:rPr>
            </w:pPr>
            <w:r>
              <w:rPr>
                <w:rFonts w:hint="default"/>
                <w:color w:val="auto"/>
              </w:rPr>
              <w:t>手防护：戴一般作业防护手套。</w:t>
            </w:r>
          </w:p>
          <w:p w14:paraId="576F3184">
            <w:pPr>
              <w:pStyle w:val="19"/>
              <w:bidi w:val="0"/>
              <w:jc w:val="left"/>
              <w:rPr>
                <w:rFonts w:hint="default"/>
                <w:color w:val="auto"/>
              </w:rPr>
            </w:pPr>
            <w:r>
              <w:rPr>
                <w:rFonts w:hint="default"/>
                <w:color w:val="auto"/>
              </w:rPr>
              <w:t>其他防护：工作现场严禁吸烟。避免长期反复接触。进入罐、限制性空间或其它高浓度区作业，须有人监护。 </w:t>
            </w:r>
          </w:p>
        </w:tc>
      </w:tr>
      <w:tr w14:paraId="3A0FBFC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5B9362CB">
            <w:pPr>
              <w:pStyle w:val="19"/>
              <w:bidi w:val="0"/>
              <w:rPr>
                <w:rFonts w:hint="default"/>
                <w:color w:val="auto"/>
              </w:rPr>
            </w:pPr>
            <w:r>
              <w:rPr>
                <w:rFonts w:hint="default"/>
                <w:color w:val="auto"/>
              </w:rPr>
              <w:t>理化性质：</w:t>
            </w:r>
          </w:p>
        </w:tc>
        <w:tc>
          <w:tcPr>
            <w:tcW w:w="7070" w:type="dxa"/>
            <w:noWrap w:val="0"/>
            <w:vAlign w:val="center"/>
          </w:tcPr>
          <w:p w14:paraId="769FCE7C">
            <w:pPr>
              <w:pStyle w:val="19"/>
              <w:bidi w:val="0"/>
              <w:jc w:val="left"/>
              <w:rPr>
                <w:rFonts w:hint="default"/>
                <w:color w:val="auto"/>
              </w:rPr>
            </w:pPr>
            <w:r>
              <w:rPr>
                <w:rFonts w:hint="default"/>
                <w:color w:val="auto"/>
              </w:rPr>
              <w:t>熔点</w:t>
            </w:r>
            <w:r>
              <w:rPr>
                <w:rFonts w:hint="eastAsia"/>
                <w:color w:val="auto"/>
                <w:lang w:eastAsia="zh-CN"/>
              </w:rPr>
              <w:t>（</w:t>
            </w:r>
            <w:r>
              <w:rPr>
                <w:rFonts w:hint="default"/>
                <w:color w:val="auto"/>
              </w:rPr>
              <w:t>℃</w:t>
            </w:r>
            <w:r>
              <w:rPr>
                <w:rFonts w:hint="eastAsia"/>
                <w:color w:val="auto"/>
                <w:lang w:eastAsia="zh-CN"/>
              </w:rPr>
              <w:t>）</w:t>
            </w:r>
            <w:r>
              <w:rPr>
                <w:rFonts w:hint="default"/>
                <w:color w:val="auto"/>
              </w:rPr>
              <w:t>：-81.8</w:t>
            </w:r>
            <w:r>
              <w:rPr>
                <w:rFonts w:hint="eastAsia"/>
                <w:color w:val="auto"/>
                <w:lang w:eastAsia="zh-CN"/>
              </w:rPr>
              <w:t>（</w:t>
            </w:r>
            <w:r>
              <w:rPr>
                <w:rFonts w:hint="default"/>
                <w:color w:val="auto"/>
              </w:rPr>
              <w:t>119kPa</w:t>
            </w:r>
            <w:r>
              <w:rPr>
                <w:rFonts w:hint="eastAsia"/>
                <w:color w:val="auto"/>
                <w:lang w:eastAsia="zh-CN"/>
              </w:rPr>
              <w:t>）</w:t>
            </w:r>
            <w:r>
              <w:rPr>
                <w:rFonts w:hint="default"/>
                <w:color w:val="auto"/>
              </w:rPr>
              <w:t>；沸点</w:t>
            </w:r>
            <w:r>
              <w:rPr>
                <w:rFonts w:hint="eastAsia"/>
                <w:color w:val="auto"/>
                <w:lang w:eastAsia="zh-CN"/>
              </w:rPr>
              <w:t>（</w:t>
            </w:r>
            <w:r>
              <w:rPr>
                <w:rFonts w:hint="default"/>
                <w:color w:val="auto"/>
              </w:rPr>
              <w:t>℃</w:t>
            </w:r>
            <w:r>
              <w:rPr>
                <w:rFonts w:hint="eastAsia"/>
                <w:color w:val="auto"/>
                <w:lang w:eastAsia="zh-CN"/>
              </w:rPr>
              <w:t>）</w:t>
            </w:r>
            <w:r>
              <w:rPr>
                <w:rFonts w:hint="default"/>
                <w:color w:val="auto"/>
              </w:rPr>
              <w:t>：-83.8；相对密度</w:t>
            </w:r>
            <w:r>
              <w:rPr>
                <w:rFonts w:hint="eastAsia"/>
                <w:color w:val="auto"/>
                <w:lang w:eastAsia="zh-CN"/>
              </w:rPr>
              <w:t>（</w:t>
            </w:r>
            <w:r>
              <w:rPr>
                <w:rFonts w:hint="default"/>
                <w:color w:val="auto"/>
              </w:rPr>
              <w:t>水=1</w:t>
            </w:r>
            <w:r>
              <w:rPr>
                <w:rFonts w:hint="eastAsia"/>
                <w:color w:val="auto"/>
                <w:lang w:eastAsia="zh-CN"/>
              </w:rPr>
              <w:t>）</w:t>
            </w:r>
            <w:r>
              <w:rPr>
                <w:rFonts w:hint="default"/>
                <w:color w:val="auto"/>
              </w:rPr>
              <w:t>：0.62；相对蒸气密度</w:t>
            </w:r>
            <w:r>
              <w:rPr>
                <w:rFonts w:hint="eastAsia"/>
                <w:color w:val="auto"/>
                <w:lang w:eastAsia="zh-CN"/>
              </w:rPr>
              <w:t>（</w:t>
            </w:r>
            <w:r>
              <w:rPr>
                <w:rFonts w:hint="default"/>
                <w:color w:val="auto"/>
              </w:rPr>
              <w:t>空气=1</w:t>
            </w:r>
            <w:r>
              <w:rPr>
                <w:rFonts w:hint="eastAsia"/>
                <w:color w:val="auto"/>
                <w:lang w:eastAsia="zh-CN"/>
              </w:rPr>
              <w:t>）</w:t>
            </w:r>
            <w:r>
              <w:rPr>
                <w:rFonts w:hint="default"/>
                <w:color w:val="auto"/>
              </w:rPr>
              <w:t>：0.91；饱和蒸气压</w:t>
            </w:r>
            <w:r>
              <w:rPr>
                <w:rFonts w:hint="eastAsia"/>
                <w:color w:val="auto"/>
                <w:lang w:eastAsia="zh-CN"/>
              </w:rPr>
              <w:t>（</w:t>
            </w:r>
            <w:r>
              <w:rPr>
                <w:rFonts w:hint="default"/>
                <w:color w:val="auto"/>
              </w:rPr>
              <w:t>kPa</w:t>
            </w:r>
            <w:r>
              <w:rPr>
                <w:rFonts w:hint="eastAsia"/>
                <w:color w:val="auto"/>
                <w:lang w:eastAsia="zh-CN"/>
              </w:rPr>
              <w:t>）</w:t>
            </w:r>
            <w:r>
              <w:rPr>
                <w:rFonts w:hint="default"/>
                <w:color w:val="auto"/>
              </w:rPr>
              <w:t>：4053</w:t>
            </w:r>
            <w:r>
              <w:rPr>
                <w:rFonts w:hint="eastAsia"/>
                <w:color w:val="auto"/>
                <w:lang w:eastAsia="zh-CN"/>
              </w:rPr>
              <w:t>（</w:t>
            </w:r>
            <w:r>
              <w:rPr>
                <w:rFonts w:hint="default"/>
                <w:color w:val="auto"/>
              </w:rPr>
              <w:t>16.8℃</w:t>
            </w:r>
            <w:r>
              <w:rPr>
                <w:rFonts w:hint="eastAsia"/>
                <w:color w:val="auto"/>
                <w:lang w:eastAsia="zh-CN"/>
              </w:rPr>
              <w:t>）</w:t>
            </w:r>
            <w:r>
              <w:rPr>
                <w:rFonts w:hint="default"/>
                <w:color w:val="auto"/>
              </w:rPr>
              <w:t>；燃烧热</w:t>
            </w:r>
            <w:r>
              <w:rPr>
                <w:rFonts w:hint="eastAsia"/>
                <w:color w:val="auto"/>
                <w:lang w:eastAsia="zh-CN"/>
              </w:rPr>
              <w:t>（</w:t>
            </w:r>
            <w:r>
              <w:rPr>
                <w:rFonts w:hint="default"/>
                <w:color w:val="auto"/>
              </w:rPr>
              <w:t>kJ/mol</w:t>
            </w:r>
            <w:r>
              <w:rPr>
                <w:rFonts w:hint="eastAsia"/>
                <w:color w:val="auto"/>
                <w:lang w:eastAsia="zh-CN"/>
              </w:rPr>
              <w:t>）</w:t>
            </w:r>
            <w:r>
              <w:rPr>
                <w:rFonts w:hint="default"/>
                <w:color w:val="auto"/>
              </w:rPr>
              <w:t>：1298.4；临界温度</w:t>
            </w:r>
            <w:r>
              <w:rPr>
                <w:rFonts w:hint="eastAsia"/>
                <w:color w:val="auto"/>
                <w:lang w:eastAsia="zh-CN"/>
              </w:rPr>
              <w:t>（</w:t>
            </w:r>
            <w:r>
              <w:rPr>
                <w:rFonts w:hint="default"/>
                <w:color w:val="auto"/>
              </w:rPr>
              <w:t>℃</w:t>
            </w:r>
            <w:r>
              <w:rPr>
                <w:rFonts w:hint="eastAsia"/>
                <w:color w:val="auto"/>
                <w:lang w:eastAsia="zh-CN"/>
              </w:rPr>
              <w:t>）</w:t>
            </w:r>
            <w:r>
              <w:rPr>
                <w:rFonts w:hint="default"/>
                <w:color w:val="auto"/>
              </w:rPr>
              <w:t>：35.2；临界压力</w:t>
            </w:r>
            <w:r>
              <w:rPr>
                <w:rFonts w:hint="eastAsia"/>
                <w:color w:val="auto"/>
                <w:lang w:eastAsia="zh-CN"/>
              </w:rPr>
              <w:t>（</w:t>
            </w:r>
            <w:r>
              <w:rPr>
                <w:rFonts w:hint="default"/>
                <w:color w:val="auto"/>
              </w:rPr>
              <w:t>MPa</w:t>
            </w:r>
            <w:r>
              <w:rPr>
                <w:rFonts w:hint="eastAsia"/>
                <w:color w:val="auto"/>
                <w:lang w:eastAsia="zh-CN"/>
              </w:rPr>
              <w:t>）</w:t>
            </w:r>
            <w:r>
              <w:rPr>
                <w:rFonts w:hint="default"/>
                <w:color w:val="auto"/>
              </w:rPr>
              <w:t>：6.14；辛醇/水分配系数的对数值：无资料；溶解性：微溶于水、乙醇，溶于丙酮、氯仿、苯。</w:t>
            </w:r>
          </w:p>
        </w:tc>
      </w:tr>
      <w:tr w14:paraId="254528C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43E1EBEF">
            <w:pPr>
              <w:pStyle w:val="19"/>
              <w:bidi w:val="0"/>
              <w:rPr>
                <w:rFonts w:hint="default"/>
                <w:color w:val="auto"/>
              </w:rPr>
            </w:pPr>
            <w:r>
              <w:rPr>
                <w:rFonts w:hint="default"/>
                <w:color w:val="auto"/>
              </w:rPr>
              <w:t>稳定性和反应活性：</w:t>
            </w:r>
          </w:p>
        </w:tc>
        <w:tc>
          <w:tcPr>
            <w:tcW w:w="7070" w:type="dxa"/>
            <w:noWrap w:val="0"/>
            <w:vAlign w:val="center"/>
          </w:tcPr>
          <w:p w14:paraId="3F53BC90">
            <w:pPr>
              <w:pStyle w:val="19"/>
              <w:bidi w:val="0"/>
              <w:jc w:val="left"/>
              <w:rPr>
                <w:rFonts w:hint="default"/>
                <w:color w:val="auto"/>
              </w:rPr>
            </w:pPr>
            <w:r>
              <w:rPr>
                <w:rFonts w:hint="default"/>
                <w:color w:val="auto"/>
              </w:rPr>
              <w:t>禁忌物：强氧化剂、强酸、卤素。</w:t>
            </w:r>
          </w:p>
          <w:p w14:paraId="02B861B5">
            <w:pPr>
              <w:pStyle w:val="19"/>
              <w:bidi w:val="0"/>
              <w:jc w:val="left"/>
              <w:rPr>
                <w:rFonts w:hint="default"/>
                <w:color w:val="auto"/>
              </w:rPr>
            </w:pPr>
            <w:r>
              <w:rPr>
                <w:rFonts w:hint="default"/>
                <w:color w:val="auto"/>
              </w:rPr>
              <w:t>避免接触的条件：受热。</w:t>
            </w:r>
          </w:p>
        </w:tc>
      </w:tr>
      <w:tr w14:paraId="00B200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1CB88191">
            <w:pPr>
              <w:pStyle w:val="19"/>
              <w:bidi w:val="0"/>
              <w:rPr>
                <w:rFonts w:hint="default"/>
                <w:color w:val="auto"/>
              </w:rPr>
            </w:pPr>
            <w:r>
              <w:rPr>
                <w:rFonts w:hint="default"/>
                <w:color w:val="auto"/>
              </w:rPr>
              <w:t>毒理学资料：</w:t>
            </w:r>
          </w:p>
        </w:tc>
        <w:tc>
          <w:tcPr>
            <w:tcW w:w="7070" w:type="dxa"/>
            <w:noWrap w:val="0"/>
            <w:vAlign w:val="center"/>
          </w:tcPr>
          <w:p w14:paraId="70EDFB76">
            <w:pPr>
              <w:pStyle w:val="19"/>
              <w:bidi w:val="0"/>
              <w:jc w:val="left"/>
              <w:rPr>
                <w:rFonts w:hint="default"/>
                <w:color w:val="auto"/>
              </w:rPr>
            </w:pPr>
            <w:r>
              <w:rPr>
                <w:rFonts w:hint="default"/>
                <w:color w:val="auto"/>
              </w:rPr>
              <w:t>急性毒性：LD50：无资料</w:t>
            </w:r>
          </w:p>
          <w:p w14:paraId="317DF695">
            <w:pPr>
              <w:pStyle w:val="19"/>
              <w:bidi w:val="0"/>
              <w:jc w:val="left"/>
              <w:rPr>
                <w:rFonts w:hint="default"/>
                <w:color w:val="auto"/>
              </w:rPr>
            </w:pPr>
            <w:r>
              <w:rPr>
                <w:rFonts w:hint="default"/>
                <w:color w:val="auto"/>
              </w:rPr>
              <w:t>LC50：无资料</w:t>
            </w:r>
          </w:p>
        </w:tc>
      </w:tr>
      <w:tr w14:paraId="4EF855E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7B801883">
            <w:pPr>
              <w:pStyle w:val="19"/>
              <w:bidi w:val="0"/>
              <w:rPr>
                <w:rFonts w:hint="default"/>
                <w:color w:val="auto"/>
              </w:rPr>
            </w:pPr>
            <w:r>
              <w:rPr>
                <w:rFonts w:hint="default"/>
                <w:color w:val="auto"/>
              </w:rPr>
              <w:t>环境影响：</w:t>
            </w:r>
          </w:p>
        </w:tc>
        <w:tc>
          <w:tcPr>
            <w:tcW w:w="7070" w:type="dxa"/>
            <w:noWrap w:val="0"/>
            <w:vAlign w:val="center"/>
          </w:tcPr>
          <w:p w14:paraId="1EB917AB">
            <w:pPr>
              <w:pStyle w:val="19"/>
              <w:bidi w:val="0"/>
              <w:jc w:val="left"/>
              <w:rPr>
                <w:rFonts w:hint="default"/>
                <w:color w:val="auto"/>
              </w:rPr>
            </w:pPr>
            <w:r>
              <w:rPr>
                <w:rFonts w:hint="default"/>
                <w:color w:val="auto"/>
              </w:rPr>
              <w:t>该物质对环境可能有危害，对水体应给予特别注意。</w:t>
            </w:r>
          </w:p>
        </w:tc>
      </w:tr>
      <w:tr w14:paraId="203957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523B3579">
            <w:pPr>
              <w:pStyle w:val="19"/>
              <w:bidi w:val="0"/>
              <w:rPr>
                <w:rFonts w:hint="default"/>
                <w:color w:val="auto"/>
              </w:rPr>
            </w:pPr>
            <w:r>
              <w:rPr>
                <w:rFonts w:hint="default"/>
                <w:color w:val="auto"/>
              </w:rPr>
              <w:t>废弃：</w:t>
            </w:r>
          </w:p>
        </w:tc>
        <w:tc>
          <w:tcPr>
            <w:tcW w:w="7070" w:type="dxa"/>
            <w:noWrap w:val="0"/>
            <w:vAlign w:val="center"/>
          </w:tcPr>
          <w:p w14:paraId="792519C9">
            <w:pPr>
              <w:pStyle w:val="19"/>
              <w:bidi w:val="0"/>
              <w:jc w:val="left"/>
              <w:rPr>
                <w:rFonts w:hint="default"/>
                <w:color w:val="auto"/>
              </w:rPr>
            </w:pPr>
            <w:r>
              <w:rPr>
                <w:rFonts w:hint="default"/>
                <w:color w:val="auto"/>
              </w:rPr>
              <w:t>处置前应参阅国家和地方有关法规。建议用焚烧法处置。</w:t>
            </w:r>
          </w:p>
        </w:tc>
      </w:tr>
      <w:tr w14:paraId="39D701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403" w:type="dxa"/>
            <w:gridSpan w:val="2"/>
            <w:noWrap w:val="0"/>
            <w:vAlign w:val="center"/>
          </w:tcPr>
          <w:p w14:paraId="7555F805">
            <w:pPr>
              <w:pStyle w:val="19"/>
              <w:bidi w:val="0"/>
              <w:jc w:val="center"/>
              <w:rPr>
                <w:rFonts w:hint="default"/>
                <w:color w:val="auto"/>
              </w:rPr>
            </w:pPr>
            <w:r>
              <w:rPr>
                <w:rFonts w:hint="default"/>
                <w:color w:val="auto"/>
              </w:rPr>
              <w:t>其他信息</w:t>
            </w:r>
          </w:p>
        </w:tc>
      </w:tr>
      <w:tr w14:paraId="4ADE50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0C6BCC50">
            <w:pPr>
              <w:pStyle w:val="19"/>
              <w:bidi w:val="0"/>
              <w:rPr>
                <w:rFonts w:hint="default"/>
                <w:color w:val="auto"/>
              </w:rPr>
            </w:pPr>
            <w:r>
              <w:rPr>
                <w:rFonts w:hint="default"/>
                <w:color w:val="auto"/>
              </w:rPr>
              <w:t>包装分类：</w:t>
            </w:r>
          </w:p>
        </w:tc>
        <w:tc>
          <w:tcPr>
            <w:tcW w:w="7070" w:type="dxa"/>
            <w:noWrap w:val="0"/>
            <w:vAlign w:val="center"/>
          </w:tcPr>
          <w:p w14:paraId="7D2DBD5C">
            <w:pPr>
              <w:pStyle w:val="19"/>
              <w:bidi w:val="0"/>
              <w:jc w:val="left"/>
              <w:rPr>
                <w:rFonts w:hint="default"/>
                <w:color w:val="auto"/>
              </w:rPr>
            </w:pPr>
            <w:r>
              <w:rPr>
                <w:rFonts w:hint="default"/>
                <w:color w:val="auto"/>
              </w:rPr>
              <w:t>052</w:t>
            </w:r>
          </w:p>
        </w:tc>
      </w:tr>
      <w:tr w14:paraId="311407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54215E0D">
            <w:pPr>
              <w:pStyle w:val="19"/>
              <w:bidi w:val="0"/>
              <w:rPr>
                <w:rFonts w:hint="default"/>
                <w:color w:val="auto"/>
              </w:rPr>
            </w:pPr>
            <w:r>
              <w:rPr>
                <w:rFonts w:hint="default"/>
                <w:color w:val="auto"/>
              </w:rPr>
              <w:t>包装方法：</w:t>
            </w:r>
          </w:p>
        </w:tc>
        <w:tc>
          <w:tcPr>
            <w:tcW w:w="7070" w:type="dxa"/>
            <w:noWrap w:val="0"/>
            <w:vAlign w:val="center"/>
          </w:tcPr>
          <w:p w14:paraId="0E7F84C8">
            <w:pPr>
              <w:pStyle w:val="19"/>
              <w:bidi w:val="0"/>
              <w:jc w:val="left"/>
              <w:rPr>
                <w:rFonts w:hint="default"/>
                <w:color w:val="auto"/>
              </w:rPr>
            </w:pPr>
            <w:r>
              <w:rPr>
                <w:rFonts w:hint="default"/>
                <w:color w:val="auto"/>
              </w:rPr>
              <w:t>钢质气瓶。</w:t>
            </w:r>
          </w:p>
        </w:tc>
      </w:tr>
    </w:tbl>
    <w:p w14:paraId="284A9470">
      <w:pPr>
        <w:bidi w:val="0"/>
        <w:rPr>
          <w:rFonts w:hint="default"/>
          <w:color w:val="auto"/>
          <w:lang w:val="en-US" w:eastAsia="zh-CN"/>
        </w:rPr>
      </w:pPr>
      <w:r>
        <w:rPr>
          <w:rFonts w:hint="eastAsia"/>
          <w:color w:val="auto"/>
          <w:lang w:val="en-US" w:eastAsia="zh-CN"/>
        </w:rPr>
        <w:t>3</w:t>
      </w:r>
      <w:r>
        <w:rPr>
          <w:rFonts w:hint="default"/>
          <w:color w:val="auto"/>
          <w:lang w:val="en-US" w:eastAsia="zh-CN"/>
        </w:rPr>
        <w:t>、氧气</w:t>
      </w:r>
    </w:p>
    <w:p w14:paraId="245B2A3C">
      <w:pPr>
        <w:pStyle w:val="18"/>
        <w:bidi w:val="0"/>
        <w:rPr>
          <w:rFonts w:hint="default"/>
          <w:color w:val="auto"/>
          <w:lang w:val="en-US" w:eastAsia="zh-CN"/>
        </w:rPr>
      </w:pPr>
      <w:r>
        <w:rPr>
          <w:rFonts w:hint="default"/>
          <w:color w:val="auto"/>
          <w:lang w:val="en-US" w:eastAsia="zh-CN"/>
        </w:rPr>
        <w:t>表3.</w:t>
      </w:r>
      <w:r>
        <w:rPr>
          <w:rFonts w:hint="eastAsia"/>
          <w:color w:val="auto"/>
          <w:lang w:val="en-US" w:eastAsia="zh-CN"/>
        </w:rPr>
        <w:t>2</w:t>
      </w:r>
      <w:r>
        <w:rPr>
          <w:rFonts w:hint="default"/>
          <w:color w:val="auto"/>
          <w:lang w:val="en-US" w:eastAsia="zh-CN"/>
        </w:rPr>
        <w:t>-</w:t>
      </w:r>
      <w:r>
        <w:rPr>
          <w:rFonts w:hint="eastAsia"/>
          <w:color w:val="auto"/>
          <w:lang w:val="en-US" w:eastAsia="zh-CN"/>
        </w:rPr>
        <w:t>3</w:t>
      </w:r>
      <w:r>
        <w:rPr>
          <w:rFonts w:hint="default"/>
          <w:color w:val="auto"/>
          <w:lang w:val="en-US" w:eastAsia="zh-CN"/>
        </w:rPr>
        <w:t xml:space="preserve">  氧气理化特性表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5"/>
        <w:gridCol w:w="7468"/>
      </w:tblGrid>
      <w:tr w14:paraId="2F21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61B02E14">
            <w:pPr>
              <w:pStyle w:val="19"/>
              <w:bidi w:val="0"/>
              <w:rPr>
                <w:rFonts w:hint="default"/>
                <w:color w:val="auto"/>
              </w:rPr>
            </w:pPr>
            <w:r>
              <w:rPr>
                <w:rFonts w:hint="default"/>
                <w:color w:val="auto"/>
              </w:rPr>
              <w:t>中文名称：</w:t>
            </w:r>
          </w:p>
        </w:tc>
        <w:tc>
          <w:tcPr>
            <w:tcW w:w="7468" w:type="dxa"/>
            <w:noWrap w:val="0"/>
            <w:vAlign w:val="center"/>
          </w:tcPr>
          <w:p w14:paraId="4803ECCE">
            <w:pPr>
              <w:pStyle w:val="19"/>
              <w:bidi w:val="0"/>
              <w:jc w:val="left"/>
              <w:rPr>
                <w:rFonts w:hint="default"/>
                <w:color w:val="auto"/>
              </w:rPr>
            </w:pPr>
            <w:r>
              <w:rPr>
                <w:rFonts w:hint="default"/>
                <w:color w:val="auto"/>
              </w:rPr>
              <w:t>氧；氧气</w:t>
            </w:r>
          </w:p>
        </w:tc>
      </w:tr>
      <w:tr w14:paraId="64436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0971C81F">
            <w:pPr>
              <w:pStyle w:val="19"/>
              <w:bidi w:val="0"/>
              <w:rPr>
                <w:rFonts w:hint="default"/>
                <w:color w:val="auto"/>
              </w:rPr>
            </w:pPr>
            <w:r>
              <w:rPr>
                <w:rFonts w:hint="default"/>
                <w:color w:val="auto"/>
              </w:rPr>
              <w:t>英文名称：</w:t>
            </w:r>
          </w:p>
        </w:tc>
        <w:tc>
          <w:tcPr>
            <w:tcW w:w="7468" w:type="dxa"/>
            <w:noWrap w:val="0"/>
            <w:vAlign w:val="center"/>
          </w:tcPr>
          <w:p w14:paraId="782AFE90">
            <w:pPr>
              <w:pStyle w:val="19"/>
              <w:bidi w:val="0"/>
              <w:jc w:val="left"/>
              <w:rPr>
                <w:rFonts w:hint="default"/>
                <w:color w:val="auto"/>
              </w:rPr>
            </w:pPr>
            <w:r>
              <w:rPr>
                <w:rFonts w:hint="default"/>
                <w:color w:val="auto"/>
              </w:rPr>
              <w:t>oxygen</w:t>
            </w:r>
          </w:p>
        </w:tc>
      </w:tr>
      <w:tr w14:paraId="3AD72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67D9B90D">
            <w:pPr>
              <w:pStyle w:val="19"/>
              <w:bidi w:val="0"/>
              <w:rPr>
                <w:rFonts w:hint="default"/>
                <w:color w:val="auto"/>
              </w:rPr>
            </w:pPr>
            <w:r>
              <w:rPr>
                <w:rFonts w:hint="default"/>
                <w:color w:val="auto"/>
              </w:rPr>
              <w:t>分子式：</w:t>
            </w:r>
          </w:p>
        </w:tc>
        <w:tc>
          <w:tcPr>
            <w:tcW w:w="7468" w:type="dxa"/>
            <w:noWrap w:val="0"/>
            <w:vAlign w:val="center"/>
          </w:tcPr>
          <w:p w14:paraId="51D3E8CD">
            <w:pPr>
              <w:pStyle w:val="19"/>
              <w:bidi w:val="0"/>
              <w:jc w:val="left"/>
              <w:rPr>
                <w:rFonts w:hint="default"/>
                <w:color w:val="auto"/>
              </w:rPr>
            </w:pPr>
            <w:r>
              <w:rPr>
                <w:rFonts w:hint="default"/>
                <w:color w:val="auto"/>
              </w:rPr>
              <w:t>O</w:t>
            </w:r>
            <w:r>
              <w:rPr>
                <w:rFonts w:hint="default"/>
                <w:color w:val="auto"/>
                <w:vertAlign w:val="subscript"/>
              </w:rPr>
              <w:t>2</w:t>
            </w:r>
          </w:p>
        </w:tc>
      </w:tr>
      <w:tr w14:paraId="1445A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3E76999F">
            <w:pPr>
              <w:pStyle w:val="19"/>
              <w:bidi w:val="0"/>
              <w:rPr>
                <w:rFonts w:hint="default"/>
                <w:color w:val="auto"/>
              </w:rPr>
            </w:pPr>
            <w:r>
              <w:rPr>
                <w:rFonts w:hint="default"/>
                <w:color w:val="auto"/>
              </w:rPr>
              <w:t>相对分子质量：</w:t>
            </w:r>
          </w:p>
        </w:tc>
        <w:tc>
          <w:tcPr>
            <w:tcW w:w="7468" w:type="dxa"/>
            <w:noWrap w:val="0"/>
            <w:vAlign w:val="center"/>
          </w:tcPr>
          <w:p w14:paraId="1CA3BE24">
            <w:pPr>
              <w:pStyle w:val="19"/>
              <w:bidi w:val="0"/>
              <w:jc w:val="left"/>
              <w:rPr>
                <w:rFonts w:hint="default"/>
                <w:color w:val="auto"/>
              </w:rPr>
            </w:pPr>
            <w:r>
              <w:rPr>
                <w:rFonts w:hint="default"/>
                <w:color w:val="auto"/>
              </w:rPr>
              <w:t>32.00</w:t>
            </w:r>
          </w:p>
        </w:tc>
      </w:tr>
      <w:tr w14:paraId="7991A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935" w:type="dxa"/>
            <w:noWrap w:val="0"/>
            <w:vAlign w:val="center"/>
          </w:tcPr>
          <w:p w14:paraId="70DCE01E">
            <w:pPr>
              <w:pStyle w:val="19"/>
              <w:bidi w:val="0"/>
              <w:rPr>
                <w:rFonts w:hint="default"/>
                <w:color w:val="auto"/>
              </w:rPr>
            </w:pPr>
            <w:r>
              <w:rPr>
                <w:rFonts w:hint="default"/>
                <w:color w:val="auto"/>
              </w:rPr>
              <w:t>CAS号：</w:t>
            </w:r>
          </w:p>
        </w:tc>
        <w:tc>
          <w:tcPr>
            <w:tcW w:w="7468" w:type="dxa"/>
            <w:noWrap w:val="0"/>
            <w:vAlign w:val="center"/>
          </w:tcPr>
          <w:p w14:paraId="3E92B194">
            <w:pPr>
              <w:pStyle w:val="19"/>
              <w:bidi w:val="0"/>
              <w:jc w:val="left"/>
              <w:rPr>
                <w:rFonts w:hint="default"/>
                <w:color w:val="auto"/>
              </w:rPr>
            </w:pPr>
            <w:r>
              <w:rPr>
                <w:rFonts w:hint="default"/>
                <w:color w:val="auto"/>
              </w:rPr>
              <w:t>7782-44-7</w:t>
            </w:r>
          </w:p>
        </w:tc>
      </w:tr>
      <w:tr w14:paraId="265DF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6C2B302D">
            <w:pPr>
              <w:pStyle w:val="19"/>
              <w:bidi w:val="0"/>
              <w:rPr>
                <w:rFonts w:hint="default"/>
                <w:color w:val="auto"/>
              </w:rPr>
            </w:pPr>
            <w:r>
              <w:rPr>
                <w:rFonts w:hint="default"/>
                <w:color w:val="auto"/>
              </w:rPr>
              <w:t>危规号：</w:t>
            </w:r>
          </w:p>
        </w:tc>
        <w:tc>
          <w:tcPr>
            <w:tcW w:w="7468" w:type="dxa"/>
            <w:noWrap w:val="0"/>
            <w:vAlign w:val="center"/>
          </w:tcPr>
          <w:p w14:paraId="36C59157">
            <w:pPr>
              <w:pStyle w:val="19"/>
              <w:bidi w:val="0"/>
              <w:jc w:val="left"/>
              <w:rPr>
                <w:rFonts w:hint="default"/>
                <w:color w:val="auto"/>
              </w:rPr>
            </w:pPr>
            <w:r>
              <w:rPr>
                <w:rFonts w:hint="default"/>
                <w:color w:val="auto"/>
              </w:rPr>
              <w:t>22001</w:t>
            </w:r>
          </w:p>
        </w:tc>
      </w:tr>
      <w:tr w14:paraId="60C69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5FD23F22">
            <w:pPr>
              <w:pStyle w:val="19"/>
              <w:bidi w:val="0"/>
              <w:rPr>
                <w:rFonts w:hint="default"/>
                <w:color w:val="auto"/>
              </w:rPr>
            </w:pPr>
            <w:r>
              <w:rPr>
                <w:rFonts w:hint="default"/>
                <w:color w:val="auto"/>
              </w:rPr>
              <w:t>UN编号：</w:t>
            </w:r>
          </w:p>
        </w:tc>
        <w:tc>
          <w:tcPr>
            <w:tcW w:w="7468" w:type="dxa"/>
            <w:noWrap w:val="0"/>
            <w:vAlign w:val="center"/>
          </w:tcPr>
          <w:p w14:paraId="3441DEA6">
            <w:pPr>
              <w:pStyle w:val="19"/>
              <w:bidi w:val="0"/>
              <w:jc w:val="left"/>
              <w:rPr>
                <w:rFonts w:hint="default"/>
                <w:color w:val="auto"/>
              </w:rPr>
            </w:pPr>
            <w:r>
              <w:rPr>
                <w:rFonts w:hint="default"/>
                <w:color w:val="auto"/>
              </w:rPr>
              <w:t>1072</w:t>
            </w:r>
          </w:p>
        </w:tc>
      </w:tr>
      <w:tr w14:paraId="6C4B1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7C2B540C">
            <w:pPr>
              <w:pStyle w:val="19"/>
              <w:bidi w:val="0"/>
              <w:rPr>
                <w:rFonts w:hint="default"/>
                <w:color w:val="auto"/>
              </w:rPr>
            </w:pPr>
            <w:r>
              <w:rPr>
                <w:rFonts w:hint="default"/>
                <w:color w:val="auto"/>
              </w:rPr>
              <w:t>主要成分：</w:t>
            </w:r>
          </w:p>
        </w:tc>
        <w:tc>
          <w:tcPr>
            <w:tcW w:w="7468" w:type="dxa"/>
            <w:noWrap w:val="0"/>
            <w:vAlign w:val="center"/>
          </w:tcPr>
          <w:p w14:paraId="29C0E9C8">
            <w:pPr>
              <w:pStyle w:val="19"/>
              <w:bidi w:val="0"/>
              <w:jc w:val="left"/>
              <w:rPr>
                <w:rFonts w:hint="default"/>
                <w:color w:val="auto"/>
              </w:rPr>
            </w:pPr>
            <w:r>
              <w:rPr>
                <w:rFonts w:hint="default"/>
                <w:color w:val="auto"/>
              </w:rPr>
              <w:t>含量：高纯氧</w:t>
            </w:r>
            <w:r>
              <w:rPr>
                <w:rFonts w:hint="eastAsia"/>
                <w:color w:val="auto"/>
                <w:lang w:eastAsia="zh-CN"/>
              </w:rPr>
              <w:t>（</w:t>
            </w:r>
            <w:r>
              <w:rPr>
                <w:rFonts w:hint="default"/>
                <w:color w:val="auto"/>
              </w:rPr>
              <w:t>体积</w:t>
            </w:r>
            <w:r>
              <w:rPr>
                <w:rFonts w:hint="eastAsia"/>
                <w:color w:val="auto"/>
                <w:lang w:eastAsia="zh-CN"/>
              </w:rPr>
              <w:t>）</w:t>
            </w:r>
            <w:r>
              <w:rPr>
                <w:rFonts w:hint="default"/>
                <w:color w:val="auto"/>
              </w:rPr>
              <w:t>≥99.99％。</w:t>
            </w:r>
          </w:p>
        </w:tc>
      </w:tr>
      <w:tr w14:paraId="098A1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4FC1BB4D">
            <w:pPr>
              <w:pStyle w:val="19"/>
              <w:bidi w:val="0"/>
              <w:rPr>
                <w:rFonts w:hint="default"/>
                <w:color w:val="auto"/>
              </w:rPr>
            </w:pPr>
            <w:r>
              <w:rPr>
                <w:rFonts w:hint="default"/>
                <w:color w:val="auto"/>
              </w:rPr>
              <w:t>外观与性状：</w:t>
            </w:r>
          </w:p>
        </w:tc>
        <w:tc>
          <w:tcPr>
            <w:tcW w:w="7468" w:type="dxa"/>
            <w:noWrap w:val="0"/>
            <w:vAlign w:val="center"/>
          </w:tcPr>
          <w:p w14:paraId="210F6BC5">
            <w:pPr>
              <w:pStyle w:val="19"/>
              <w:bidi w:val="0"/>
              <w:jc w:val="left"/>
              <w:rPr>
                <w:rFonts w:hint="default"/>
                <w:color w:val="auto"/>
              </w:rPr>
            </w:pPr>
            <w:r>
              <w:rPr>
                <w:rFonts w:hint="default"/>
                <w:color w:val="auto"/>
              </w:rPr>
              <w:t>无色无臭气体。</w:t>
            </w:r>
          </w:p>
        </w:tc>
      </w:tr>
      <w:tr w14:paraId="31E49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3854C6EC">
            <w:pPr>
              <w:pStyle w:val="19"/>
              <w:bidi w:val="0"/>
              <w:rPr>
                <w:rFonts w:hint="default"/>
                <w:color w:val="auto"/>
              </w:rPr>
            </w:pPr>
            <w:r>
              <w:rPr>
                <w:rFonts w:hint="default"/>
                <w:color w:val="auto"/>
              </w:rPr>
              <w:t>主要用途：</w:t>
            </w:r>
          </w:p>
        </w:tc>
        <w:tc>
          <w:tcPr>
            <w:tcW w:w="7468" w:type="dxa"/>
            <w:noWrap w:val="0"/>
            <w:vAlign w:val="center"/>
          </w:tcPr>
          <w:p w14:paraId="3840979C">
            <w:pPr>
              <w:pStyle w:val="19"/>
              <w:bidi w:val="0"/>
              <w:jc w:val="left"/>
              <w:rPr>
                <w:rFonts w:hint="default"/>
                <w:color w:val="auto"/>
              </w:rPr>
            </w:pPr>
            <w:r>
              <w:rPr>
                <w:rFonts w:hint="default"/>
                <w:color w:val="auto"/>
              </w:rPr>
              <w:t>用于切割、焊接金属，制造医药、染料、炸药等。</w:t>
            </w:r>
          </w:p>
        </w:tc>
      </w:tr>
      <w:tr w14:paraId="676AE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9403" w:type="dxa"/>
            <w:gridSpan w:val="2"/>
            <w:noWrap w:val="0"/>
            <w:vAlign w:val="center"/>
          </w:tcPr>
          <w:p w14:paraId="3E6CDA79">
            <w:pPr>
              <w:pStyle w:val="19"/>
              <w:bidi w:val="0"/>
              <w:jc w:val="center"/>
              <w:rPr>
                <w:rFonts w:hint="default"/>
                <w:color w:val="auto"/>
              </w:rPr>
            </w:pPr>
            <w:r>
              <w:rPr>
                <w:rFonts w:hint="default"/>
                <w:color w:val="auto"/>
              </w:rPr>
              <w:t>健康危害</w:t>
            </w:r>
          </w:p>
        </w:tc>
      </w:tr>
      <w:tr w14:paraId="64A4B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59A0F5D7">
            <w:pPr>
              <w:pStyle w:val="19"/>
              <w:bidi w:val="0"/>
              <w:rPr>
                <w:rFonts w:hint="default"/>
                <w:color w:val="auto"/>
              </w:rPr>
            </w:pPr>
            <w:r>
              <w:rPr>
                <w:rFonts w:hint="default"/>
                <w:color w:val="auto"/>
              </w:rPr>
              <w:t>侵入途径：</w:t>
            </w:r>
          </w:p>
        </w:tc>
        <w:tc>
          <w:tcPr>
            <w:tcW w:w="7468" w:type="dxa"/>
            <w:noWrap w:val="0"/>
            <w:vAlign w:val="center"/>
          </w:tcPr>
          <w:p w14:paraId="4EFA9300">
            <w:pPr>
              <w:pStyle w:val="19"/>
              <w:bidi w:val="0"/>
              <w:jc w:val="left"/>
              <w:rPr>
                <w:rFonts w:hint="default"/>
                <w:color w:val="auto"/>
              </w:rPr>
            </w:pPr>
            <w:r>
              <w:rPr>
                <w:rFonts w:hint="default"/>
                <w:color w:val="auto"/>
              </w:rPr>
              <w:t>吸入。</w:t>
            </w:r>
          </w:p>
        </w:tc>
      </w:tr>
      <w:tr w14:paraId="41054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2E11AD9C">
            <w:pPr>
              <w:pStyle w:val="19"/>
              <w:bidi w:val="0"/>
              <w:rPr>
                <w:rFonts w:hint="default"/>
                <w:color w:val="auto"/>
              </w:rPr>
            </w:pPr>
            <w:r>
              <w:rPr>
                <w:rFonts w:hint="default"/>
                <w:color w:val="auto"/>
              </w:rPr>
              <w:t>健康危害：</w:t>
            </w:r>
          </w:p>
        </w:tc>
        <w:tc>
          <w:tcPr>
            <w:tcW w:w="7468" w:type="dxa"/>
            <w:noWrap w:val="0"/>
            <w:vAlign w:val="center"/>
          </w:tcPr>
          <w:p w14:paraId="511996D7">
            <w:pPr>
              <w:pStyle w:val="19"/>
              <w:bidi w:val="0"/>
              <w:jc w:val="left"/>
              <w:rPr>
                <w:rFonts w:hint="default"/>
                <w:color w:val="auto"/>
              </w:rPr>
            </w:pPr>
            <w:r>
              <w:rPr>
                <w:rFonts w:hint="default"/>
                <w:color w:val="auto"/>
              </w:rPr>
              <w:t>常压下，当氧的浓度超过40％时，有可能发生氧中毒。吸入40％～60％的氧时，出现胸骨后不适感、轻咳，进而胸闷、胸骨后烧灼感和呼吸困难，咳嗽加剧；严重时可发生肺水肿，甚至出现呼吸窘迫综合征。吸入氧浓度在80％以上时，出现面部肌肉抽动、面色苍白、眩晕、心动过速、虚脱，继而全身强直性抽搐、昏迷、呼吸衰竭而死亡。长期处于氧分压为60～100kPa</w:t>
            </w:r>
            <w:r>
              <w:rPr>
                <w:rFonts w:hint="eastAsia"/>
                <w:color w:val="auto"/>
                <w:lang w:eastAsia="zh-CN"/>
              </w:rPr>
              <w:t>（</w:t>
            </w:r>
            <w:r>
              <w:rPr>
                <w:rFonts w:hint="default"/>
                <w:color w:val="auto"/>
              </w:rPr>
              <w:t>相当于吸入氧浓度40％左右</w:t>
            </w:r>
            <w:r>
              <w:rPr>
                <w:rFonts w:hint="eastAsia"/>
                <w:color w:val="auto"/>
                <w:lang w:eastAsia="zh-CN"/>
              </w:rPr>
              <w:t>）</w:t>
            </w:r>
            <w:r>
              <w:rPr>
                <w:rFonts w:hint="default"/>
                <w:color w:val="auto"/>
              </w:rPr>
              <w:t>的条件下可发生眼损害，严重者可失明。</w:t>
            </w:r>
          </w:p>
        </w:tc>
      </w:tr>
      <w:tr w14:paraId="2BF1E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4BE929C3">
            <w:pPr>
              <w:pStyle w:val="19"/>
              <w:bidi w:val="0"/>
              <w:rPr>
                <w:rFonts w:hint="default"/>
                <w:color w:val="auto"/>
              </w:rPr>
            </w:pPr>
            <w:r>
              <w:rPr>
                <w:rFonts w:hint="default"/>
                <w:color w:val="auto"/>
              </w:rPr>
              <w:t>吸入：</w:t>
            </w:r>
          </w:p>
        </w:tc>
        <w:tc>
          <w:tcPr>
            <w:tcW w:w="7468" w:type="dxa"/>
            <w:noWrap w:val="0"/>
            <w:vAlign w:val="center"/>
          </w:tcPr>
          <w:p w14:paraId="6EEBAD04">
            <w:pPr>
              <w:pStyle w:val="19"/>
              <w:bidi w:val="0"/>
              <w:jc w:val="left"/>
              <w:rPr>
                <w:rFonts w:hint="default"/>
                <w:color w:val="auto"/>
              </w:rPr>
            </w:pPr>
            <w:r>
              <w:rPr>
                <w:rFonts w:hint="default"/>
                <w:color w:val="auto"/>
              </w:rPr>
              <w:t>迅速脱离现场至空气新鲜处。保持呼吸道通畅。如呼吸停止，立即进行人工呼吸。就医。</w:t>
            </w:r>
          </w:p>
        </w:tc>
      </w:tr>
      <w:tr w14:paraId="2DDAE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9403" w:type="dxa"/>
            <w:gridSpan w:val="2"/>
            <w:noWrap w:val="0"/>
            <w:vAlign w:val="center"/>
          </w:tcPr>
          <w:p w14:paraId="4FCBED77">
            <w:pPr>
              <w:pStyle w:val="19"/>
              <w:bidi w:val="0"/>
              <w:jc w:val="center"/>
              <w:rPr>
                <w:rFonts w:hint="default"/>
                <w:color w:val="auto"/>
              </w:rPr>
            </w:pPr>
            <w:r>
              <w:rPr>
                <w:rFonts w:hint="default"/>
                <w:color w:val="auto"/>
              </w:rPr>
              <w:t>理化特性</w:t>
            </w:r>
          </w:p>
        </w:tc>
      </w:tr>
      <w:tr w14:paraId="36CCF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7DBCF07F">
            <w:pPr>
              <w:pStyle w:val="19"/>
              <w:bidi w:val="0"/>
              <w:rPr>
                <w:rFonts w:hint="default"/>
                <w:color w:val="auto"/>
              </w:rPr>
            </w:pPr>
            <w:r>
              <w:rPr>
                <w:rFonts w:hint="default"/>
                <w:color w:val="auto"/>
              </w:rPr>
              <w:t>燃烧性：</w:t>
            </w:r>
          </w:p>
        </w:tc>
        <w:tc>
          <w:tcPr>
            <w:tcW w:w="7468" w:type="dxa"/>
            <w:noWrap w:val="0"/>
            <w:vAlign w:val="center"/>
          </w:tcPr>
          <w:p w14:paraId="73563B6A">
            <w:pPr>
              <w:pStyle w:val="19"/>
              <w:bidi w:val="0"/>
              <w:jc w:val="left"/>
              <w:rPr>
                <w:rFonts w:hint="default"/>
                <w:color w:val="auto"/>
              </w:rPr>
            </w:pPr>
            <w:r>
              <w:rPr>
                <w:rFonts w:hint="default"/>
                <w:color w:val="auto"/>
              </w:rPr>
              <w:t>本品助燃。</w:t>
            </w:r>
          </w:p>
        </w:tc>
      </w:tr>
      <w:tr w14:paraId="29288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553D88A2">
            <w:pPr>
              <w:pStyle w:val="19"/>
              <w:bidi w:val="0"/>
              <w:rPr>
                <w:rFonts w:hint="default"/>
                <w:color w:val="auto"/>
              </w:rPr>
            </w:pPr>
            <w:r>
              <w:rPr>
                <w:rFonts w:hint="default"/>
                <w:color w:val="auto"/>
              </w:rPr>
              <w:t>闪点：</w:t>
            </w:r>
          </w:p>
        </w:tc>
        <w:tc>
          <w:tcPr>
            <w:tcW w:w="7468" w:type="dxa"/>
            <w:noWrap w:val="0"/>
            <w:vAlign w:val="center"/>
          </w:tcPr>
          <w:p w14:paraId="7EC3DB33">
            <w:pPr>
              <w:pStyle w:val="19"/>
              <w:bidi w:val="0"/>
              <w:jc w:val="left"/>
              <w:rPr>
                <w:rFonts w:hint="default"/>
                <w:color w:val="auto"/>
              </w:rPr>
            </w:pPr>
            <w:r>
              <w:rPr>
                <w:rFonts w:hint="default"/>
                <w:color w:val="auto"/>
                <w:lang w:eastAsia="zh-CN"/>
              </w:rPr>
              <w:t>（</w:t>
            </w:r>
            <w:r>
              <w:rPr>
                <w:rFonts w:hint="default"/>
                <w:color w:val="auto"/>
              </w:rPr>
              <w:t>℃</w:t>
            </w:r>
            <w:r>
              <w:rPr>
                <w:rFonts w:hint="eastAsia"/>
                <w:color w:val="auto"/>
                <w:lang w:eastAsia="zh-CN"/>
              </w:rPr>
              <w:t>）</w:t>
            </w:r>
            <w:r>
              <w:rPr>
                <w:rFonts w:hint="default"/>
                <w:color w:val="auto"/>
              </w:rPr>
              <w:t>无意义</w:t>
            </w:r>
          </w:p>
        </w:tc>
      </w:tr>
      <w:tr w14:paraId="6D6A8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6F0CCEEC">
            <w:pPr>
              <w:pStyle w:val="19"/>
              <w:bidi w:val="0"/>
              <w:rPr>
                <w:rFonts w:hint="default"/>
                <w:color w:val="auto"/>
              </w:rPr>
            </w:pPr>
            <w:r>
              <w:rPr>
                <w:rFonts w:hint="default"/>
                <w:color w:val="auto"/>
              </w:rPr>
              <w:t>爆炸下限：</w:t>
            </w:r>
          </w:p>
        </w:tc>
        <w:tc>
          <w:tcPr>
            <w:tcW w:w="7468" w:type="dxa"/>
            <w:noWrap w:val="0"/>
            <w:vAlign w:val="center"/>
          </w:tcPr>
          <w:p w14:paraId="4AD93C07">
            <w:pPr>
              <w:pStyle w:val="19"/>
              <w:bidi w:val="0"/>
              <w:jc w:val="left"/>
              <w:rPr>
                <w:rFonts w:hint="default"/>
                <w:color w:val="auto"/>
              </w:rPr>
            </w:pPr>
            <w:r>
              <w:rPr>
                <w:rFonts w:hint="default"/>
                <w:color w:val="auto"/>
                <w:lang w:eastAsia="zh-CN"/>
              </w:rPr>
              <w:t>（</w:t>
            </w:r>
            <w:r>
              <w:rPr>
                <w:rFonts w:hint="default"/>
                <w:color w:val="auto"/>
              </w:rPr>
              <w:t>％</w:t>
            </w:r>
            <w:r>
              <w:rPr>
                <w:rFonts w:hint="eastAsia"/>
                <w:color w:val="auto"/>
                <w:lang w:eastAsia="zh-CN"/>
              </w:rPr>
              <w:t>）</w:t>
            </w:r>
            <w:r>
              <w:rPr>
                <w:rFonts w:hint="default"/>
                <w:color w:val="auto"/>
              </w:rPr>
              <w:t>无意义</w:t>
            </w:r>
          </w:p>
        </w:tc>
      </w:tr>
      <w:tr w14:paraId="30B89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73F479A9">
            <w:pPr>
              <w:pStyle w:val="19"/>
              <w:bidi w:val="0"/>
              <w:rPr>
                <w:rFonts w:hint="default"/>
                <w:color w:val="auto"/>
              </w:rPr>
            </w:pPr>
            <w:r>
              <w:rPr>
                <w:rFonts w:hint="default"/>
                <w:color w:val="auto"/>
              </w:rPr>
              <w:t>引燃温度：</w:t>
            </w:r>
          </w:p>
        </w:tc>
        <w:tc>
          <w:tcPr>
            <w:tcW w:w="7468" w:type="dxa"/>
            <w:noWrap w:val="0"/>
            <w:vAlign w:val="center"/>
          </w:tcPr>
          <w:p w14:paraId="6DE17EC9">
            <w:pPr>
              <w:pStyle w:val="19"/>
              <w:bidi w:val="0"/>
              <w:jc w:val="left"/>
              <w:rPr>
                <w:rFonts w:hint="default"/>
                <w:color w:val="auto"/>
              </w:rPr>
            </w:pPr>
            <w:r>
              <w:rPr>
                <w:rFonts w:hint="default"/>
                <w:color w:val="auto"/>
                <w:lang w:eastAsia="zh-CN"/>
              </w:rPr>
              <w:t>（</w:t>
            </w:r>
            <w:r>
              <w:rPr>
                <w:rFonts w:hint="default"/>
                <w:color w:val="auto"/>
              </w:rPr>
              <w:t>℃</w:t>
            </w:r>
            <w:r>
              <w:rPr>
                <w:rFonts w:hint="eastAsia"/>
                <w:color w:val="auto"/>
                <w:lang w:eastAsia="zh-CN"/>
              </w:rPr>
              <w:t>）</w:t>
            </w:r>
            <w:r>
              <w:rPr>
                <w:rFonts w:hint="default"/>
                <w:color w:val="auto"/>
              </w:rPr>
              <w:t>无意义</w:t>
            </w:r>
          </w:p>
        </w:tc>
      </w:tr>
      <w:tr w14:paraId="0542F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626B0A2C">
            <w:pPr>
              <w:pStyle w:val="19"/>
              <w:bidi w:val="0"/>
              <w:rPr>
                <w:rFonts w:hint="default"/>
                <w:color w:val="auto"/>
              </w:rPr>
            </w:pPr>
            <w:r>
              <w:rPr>
                <w:rFonts w:hint="default"/>
                <w:color w:val="auto"/>
              </w:rPr>
              <w:t>爆炸上限：</w:t>
            </w:r>
          </w:p>
        </w:tc>
        <w:tc>
          <w:tcPr>
            <w:tcW w:w="7468" w:type="dxa"/>
            <w:noWrap w:val="0"/>
            <w:vAlign w:val="center"/>
          </w:tcPr>
          <w:p w14:paraId="27B3F9A9">
            <w:pPr>
              <w:pStyle w:val="19"/>
              <w:bidi w:val="0"/>
              <w:jc w:val="left"/>
              <w:rPr>
                <w:rFonts w:hint="default"/>
                <w:color w:val="auto"/>
              </w:rPr>
            </w:pPr>
            <w:r>
              <w:rPr>
                <w:rFonts w:hint="default"/>
                <w:color w:val="auto"/>
                <w:lang w:eastAsia="zh-CN"/>
              </w:rPr>
              <w:t>（</w:t>
            </w:r>
            <w:r>
              <w:rPr>
                <w:rFonts w:hint="default"/>
                <w:color w:val="auto"/>
              </w:rPr>
              <w:t>％</w:t>
            </w:r>
            <w:r>
              <w:rPr>
                <w:rFonts w:hint="eastAsia"/>
                <w:color w:val="auto"/>
                <w:lang w:eastAsia="zh-CN"/>
              </w:rPr>
              <w:t>）</w:t>
            </w:r>
            <w:r>
              <w:rPr>
                <w:rFonts w:hint="default"/>
                <w:color w:val="auto"/>
              </w:rPr>
              <w:t>无意义</w:t>
            </w:r>
          </w:p>
        </w:tc>
      </w:tr>
      <w:tr w14:paraId="0F46F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61A0088B">
            <w:pPr>
              <w:pStyle w:val="19"/>
              <w:bidi w:val="0"/>
              <w:rPr>
                <w:rFonts w:hint="default"/>
                <w:color w:val="auto"/>
              </w:rPr>
            </w:pPr>
            <w:r>
              <w:rPr>
                <w:rFonts w:hint="default"/>
                <w:color w:val="auto"/>
              </w:rPr>
              <w:t>危险特性：</w:t>
            </w:r>
          </w:p>
        </w:tc>
        <w:tc>
          <w:tcPr>
            <w:tcW w:w="7468" w:type="dxa"/>
            <w:noWrap w:val="0"/>
            <w:vAlign w:val="center"/>
          </w:tcPr>
          <w:p w14:paraId="3DD1E4C5">
            <w:pPr>
              <w:pStyle w:val="19"/>
              <w:bidi w:val="0"/>
              <w:jc w:val="left"/>
              <w:rPr>
                <w:rFonts w:hint="default"/>
                <w:color w:val="auto"/>
              </w:rPr>
            </w:pPr>
            <w:r>
              <w:rPr>
                <w:rFonts w:hint="default"/>
                <w:color w:val="auto"/>
              </w:rPr>
              <w:t>是易燃物、可燃物燃烧爆炸的基本要素之一</w:t>
            </w:r>
            <w:r>
              <w:rPr>
                <w:rFonts w:hint="eastAsia"/>
                <w:color w:val="auto"/>
                <w:lang w:eastAsia="zh-CN"/>
              </w:rPr>
              <w:t>，</w:t>
            </w:r>
            <w:r>
              <w:rPr>
                <w:rFonts w:hint="default"/>
                <w:color w:val="auto"/>
              </w:rPr>
              <w:t>能氧化大多数活性物质。与易燃物</w:t>
            </w:r>
            <w:r>
              <w:rPr>
                <w:rFonts w:hint="default"/>
                <w:color w:val="auto"/>
                <w:lang w:eastAsia="zh-CN"/>
              </w:rPr>
              <w:t>（</w:t>
            </w:r>
            <w:r>
              <w:rPr>
                <w:rFonts w:hint="default"/>
                <w:color w:val="auto"/>
              </w:rPr>
              <w:t>如乙炔、甲烷等</w:t>
            </w:r>
            <w:r>
              <w:rPr>
                <w:rFonts w:hint="eastAsia"/>
                <w:color w:val="auto"/>
                <w:lang w:eastAsia="zh-CN"/>
              </w:rPr>
              <w:t>）</w:t>
            </w:r>
            <w:r>
              <w:rPr>
                <w:rFonts w:hint="default"/>
                <w:color w:val="auto"/>
              </w:rPr>
              <w:t>形成有爆炸性的混合物。</w:t>
            </w:r>
          </w:p>
        </w:tc>
      </w:tr>
      <w:tr w14:paraId="04FA2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04D8B458">
            <w:pPr>
              <w:pStyle w:val="19"/>
              <w:bidi w:val="0"/>
              <w:rPr>
                <w:rFonts w:hint="default"/>
                <w:color w:val="auto"/>
              </w:rPr>
            </w:pPr>
            <w:r>
              <w:rPr>
                <w:rFonts w:hint="default"/>
                <w:color w:val="auto"/>
              </w:rPr>
              <w:t>灭火方法：</w:t>
            </w:r>
          </w:p>
        </w:tc>
        <w:tc>
          <w:tcPr>
            <w:tcW w:w="7468" w:type="dxa"/>
            <w:noWrap w:val="0"/>
            <w:vAlign w:val="center"/>
          </w:tcPr>
          <w:p w14:paraId="1E1FF944">
            <w:pPr>
              <w:pStyle w:val="19"/>
              <w:bidi w:val="0"/>
              <w:jc w:val="left"/>
              <w:rPr>
                <w:rFonts w:hint="default"/>
                <w:color w:val="auto"/>
              </w:rPr>
            </w:pPr>
            <w:r>
              <w:rPr>
                <w:rFonts w:hint="default"/>
                <w:color w:val="auto"/>
              </w:rPr>
              <w:t>用水保持容器冷却，以防受热爆炸，急剧助长火势。迅速切断气源，用水喷淋保护切断气源的人员，然后根据着火原因选择适当灭火剂灭火。</w:t>
            </w:r>
          </w:p>
        </w:tc>
      </w:tr>
      <w:tr w14:paraId="230CE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6E02F6D0">
            <w:pPr>
              <w:pStyle w:val="19"/>
              <w:bidi w:val="0"/>
              <w:rPr>
                <w:rFonts w:hint="default"/>
                <w:color w:val="auto"/>
              </w:rPr>
            </w:pPr>
            <w:r>
              <w:rPr>
                <w:rFonts w:hint="default"/>
                <w:color w:val="auto"/>
              </w:rPr>
              <w:t>泄漏应急处理：</w:t>
            </w:r>
          </w:p>
        </w:tc>
        <w:tc>
          <w:tcPr>
            <w:tcW w:w="7468" w:type="dxa"/>
            <w:noWrap w:val="0"/>
            <w:vAlign w:val="center"/>
          </w:tcPr>
          <w:p w14:paraId="42E4E7C9">
            <w:pPr>
              <w:pStyle w:val="19"/>
              <w:bidi w:val="0"/>
              <w:jc w:val="left"/>
              <w:rPr>
                <w:rFonts w:hint="default"/>
                <w:color w:val="auto"/>
              </w:rPr>
            </w:pPr>
            <w:r>
              <w:rPr>
                <w:rFonts w:hint="default"/>
                <w:color w:val="auto"/>
              </w:rPr>
              <w:t>迅速撤离泄漏污染区人员至上风处，并进行隔离，严格限制出入。切断火源。建议应急处理人员戴自给正压式呼吸器，穿一般作业工作服。避免与可燃物或易燃物接触。尽可能切断泄漏源。合理通风，加速扩散。漏气容器要妥善处理，修复、检验后再用。</w:t>
            </w:r>
          </w:p>
        </w:tc>
      </w:tr>
      <w:tr w14:paraId="48E27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7C32A54F">
            <w:pPr>
              <w:pStyle w:val="19"/>
              <w:bidi w:val="0"/>
              <w:rPr>
                <w:rFonts w:hint="default"/>
                <w:color w:val="auto"/>
              </w:rPr>
            </w:pPr>
            <w:r>
              <w:rPr>
                <w:rFonts w:hint="default"/>
                <w:color w:val="auto"/>
              </w:rPr>
              <w:t>操作注意事项：</w:t>
            </w:r>
          </w:p>
        </w:tc>
        <w:tc>
          <w:tcPr>
            <w:tcW w:w="7468" w:type="dxa"/>
            <w:noWrap w:val="0"/>
            <w:vAlign w:val="center"/>
          </w:tcPr>
          <w:p w14:paraId="707110F1">
            <w:pPr>
              <w:pStyle w:val="19"/>
              <w:bidi w:val="0"/>
              <w:jc w:val="left"/>
              <w:rPr>
                <w:rFonts w:hint="default"/>
                <w:color w:val="auto"/>
              </w:rPr>
            </w:pPr>
            <w:r>
              <w:rPr>
                <w:rFonts w:hint="default"/>
                <w:color w:val="auto"/>
              </w:rPr>
              <w:t>密闭操作。密闭操作，提供良好的自然通风条件。操作人员必须经过专门培训，严格遵守操作规程。远离火种、热源，工作场所严禁吸烟。远离易燃、可燃物。防止气体泄漏到工作场所空气中。避免与活性金属粉末接触。搬运时轻装轻卸，防止钢瓶及附件破损。配备相应品种和数量的消防器材及泄漏应急处理设备。</w:t>
            </w:r>
          </w:p>
        </w:tc>
      </w:tr>
      <w:tr w14:paraId="28CBD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4B87790F">
            <w:pPr>
              <w:pStyle w:val="19"/>
              <w:bidi w:val="0"/>
              <w:rPr>
                <w:rFonts w:hint="default"/>
                <w:color w:val="auto"/>
              </w:rPr>
            </w:pPr>
            <w:r>
              <w:rPr>
                <w:rFonts w:hint="default"/>
                <w:color w:val="auto"/>
              </w:rPr>
              <w:t>贮运注意事项：</w:t>
            </w:r>
          </w:p>
        </w:tc>
        <w:tc>
          <w:tcPr>
            <w:tcW w:w="7468" w:type="dxa"/>
            <w:noWrap w:val="0"/>
            <w:vAlign w:val="center"/>
          </w:tcPr>
          <w:p w14:paraId="507823AA">
            <w:pPr>
              <w:pStyle w:val="19"/>
              <w:bidi w:val="0"/>
              <w:jc w:val="left"/>
              <w:rPr>
                <w:rFonts w:hint="default"/>
                <w:color w:val="auto"/>
              </w:rPr>
            </w:pPr>
            <w:r>
              <w:rPr>
                <w:rFonts w:hint="default"/>
                <w:color w:val="auto"/>
              </w:rPr>
              <w:t>储存于阴凉、通风的库房。远离火种、热源。库温不宜超过30℃。应与易</w:t>
            </w:r>
            <w:r>
              <w:rPr>
                <w:rFonts w:hint="default"/>
                <w:color w:val="auto"/>
                <w:lang w:eastAsia="zh-CN"/>
              </w:rPr>
              <w:t>（</w:t>
            </w:r>
            <w:r>
              <w:rPr>
                <w:rFonts w:hint="default"/>
                <w:color w:val="auto"/>
              </w:rPr>
              <w:t>可</w:t>
            </w:r>
            <w:r>
              <w:rPr>
                <w:rFonts w:hint="eastAsia"/>
                <w:color w:val="auto"/>
                <w:lang w:eastAsia="zh-CN"/>
              </w:rPr>
              <w:t>）</w:t>
            </w:r>
            <w:r>
              <w:rPr>
                <w:rFonts w:hint="default"/>
                <w:color w:val="auto"/>
              </w:rPr>
              <w:t>燃物、活性金属粉末等分开存放，切忌混储。储区应备有泄漏应急处理设备。氧气钢瓶不得沾污油脂。采用钢瓶运输时必须戴好钢瓶上的安全帽。钢瓶一般平放，并应将瓶口朝同一方向，不可交叉；高度不得超过车辆的防护栏板，并用三角木垫卡牢，防止滚动。严禁与易燃物或可燃物、活性金属粉末等混装混运。夏季应早晚运输，防止日光曝晒。铁路运输时要禁止溜放。</w:t>
            </w:r>
          </w:p>
        </w:tc>
      </w:tr>
      <w:tr w14:paraId="1254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5" w:hRule="atLeast"/>
          <w:jc w:val="center"/>
        </w:trPr>
        <w:tc>
          <w:tcPr>
            <w:tcW w:w="1935" w:type="dxa"/>
            <w:noWrap w:val="0"/>
            <w:vAlign w:val="center"/>
          </w:tcPr>
          <w:p w14:paraId="6566630E">
            <w:pPr>
              <w:pStyle w:val="19"/>
              <w:bidi w:val="0"/>
              <w:rPr>
                <w:rFonts w:hint="default"/>
                <w:color w:val="auto"/>
              </w:rPr>
            </w:pPr>
            <w:r>
              <w:rPr>
                <w:rFonts w:hint="default"/>
                <w:color w:val="auto"/>
              </w:rPr>
              <w:t>防护措施：</w:t>
            </w:r>
          </w:p>
        </w:tc>
        <w:tc>
          <w:tcPr>
            <w:tcW w:w="7468" w:type="dxa"/>
            <w:noWrap w:val="0"/>
            <w:vAlign w:val="center"/>
          </w:tcPr>
          <w:p w14:paraId="48863F90">
            <w:pPr>
              <w:pStyle w:val="19"/>
              <w:bidi w:val="0"/>
              <w:jc w:val="left"/>
              <w:rPr>
                <w:rFonts w:hint="default"/>
                <w:color w:val="auto"/>
              </w:rPr>
            </w:pPr>
            <w:r>
              <w:rPr>
                <w:rFonts w:hint="default"/>
                <w:color w:val="auto"/>
              </w:rPr>
              <w:t>职业接触限值</w:t>
            </w:r>
          </w:p>
          <w:p w14:paraId="42D433EF">
            <w:pPr>
              <w:pStyle w:val="19"/>
              <w:bidi w:val="0"/>
              <w:jc w:val="left"/>
              <w:rPr>
                <w:rFonts w:hint="default"/>
                <w:color w:val="auto"/>
              </w:rPr>
            </w:pPr>
            <w:r>
              <w:rPr>
                <w:rFonts w:hint="default"/>
                <w:color w:val="auto"/>
              </w:rPr>
              <w:t>中国MAC</w:t>
            </w:r>
            <w:r>
              <w:rPr>
                <w:rFonts w:hint="eastAsia"/>
                <w:color w:val="auto"/>
                <w:lang w:eastAsia="zh-CN"/>
              </w:rPr>
              <w:t>（</w:t>
            </w:r>
            <w:r>
              <w:rPr>
                <w:rFonts w:hint="default"/>
                <w:color w:val="auto"/>
              </w:rPr>
              <w:t>mg/m</w:t>
            </w:r>
            <w:r>
              <w:rPr>
                <w:rFonts w:hint="default"/>
                <w:color w:val="auto"/>
                <w:vertAlign w:val="superscript"/>
              </w:rPr>
              <w:t>3</w:t>
            </w:r>
            <w:r>
              <w:rPr>
                <w:rFonts w:hint="eastAsia"/>
                <w:color w:val="auto"/>
                <w:lang w:eastAsia="zh-CN"/>
              </w:rPr>
              <w:t>）</w:t>
            </w:r>
            <w:r>
              <w:rPr>
                <w:rFonts w:hint="default"/>
                <w:color w:val="auto"/>
              </w:rPr>
              <w:t>：未制定标准</w:t>
            </w:r>
          </w:p>
          <w:p w14:paraId="31062DC1">
            <w:pPr>
              <w:pStyle w:val="19"/>
              <w:bidi w:val="0"/>
              <w:jc w:val="left"/>
              <w:rPr>
                <w:rFonts w:hint="default"/>
                <w:color w:val="auto"/>
              </w:rPr>
            </w:pPr>
            <w:r>
              <w:rPr>
                <w:rFonts w:hint="default"/>
                <w:color w:val="auto"/>
              </w:rPr>
              <w:t>前苏联MAC</w:t>
            </w:r>
            <w:r>
              <w:rPr>
                <w:rFonts w:hint="eastAsia"/>
                <w:color w:val="auto"/>
                <w:lang w:eastAsia="zh-CN"/>
              </w:rPr>
              <w:t>（</w:t>
            </w:r>
            <w:r>
              <w:rPr>
                <w:rFonts w:hint="default"/>
                <w:color w:val="auto"/>
              </w:rPr>
              <w:t>mg/m</w:t>
            </w:r>
            <w:r>
              <w:rPr>
                <w:rFonts w:hint="default"/>
                <w:color w:val="auto"/>
                <w:vertAlign w:val="superscript"/>
              </w:rPr>
              <w:t>3</w:t>
            </w:r>
            <w:r>
              <w:rPr>
                <w:rFonts w:hint="eastAsia"/>
                <w:color w:val="auto"/>
                <w:lang w:eastAsia="zh-CN"/>
              </w:rPr>
              <w:t>）</w:t>
            </w:r>
            <w:r>
              <w:rPr>
                <w:rFonts w:hint="default"/>
                <w:color w:val="auto"/>
              </w:rPr>
              <w:t>：未制定标准</w:t>
            </w:r>
          </w:p>
          <w:p w14:paraId="74BD6381">
            <w:pPr>
              <w:pStyle w:val="19"/>
              <w:bidi w:val="0"/>
              <w:jc w:val="left"/>
              <w:rPr>
                <w:rFonts w:hint="default"/>
                <w:color w:val="auto"/>
              </w:rPr>
            </w:pPr>
            <w:r>
              <w:rPr>
                <w:rFonts w:hint="default"/>
                <w:color w:val="auto"/>
              </w:rPr>
              <w:t>TLVTN：未制定标准</w:t>
            </w:r>
          </w:p>
          <w:p w14:paraId="78B0EEED">
            <w:pPr>
              <w:pStyle w:val="19"/>
              <w:bidi w:val="0"/>
              <w:jc w:val="left"/>
              <w:rPr>
                <w:rFonts w:hint="default"/>
                <w:color w:val="auto"/>
              </w:rPr>
            </w:pPr>
            <w:r>
              <w:rPr>
                <w:rFonts w:hint="default"/>
                <w:color w:val="auto"/>
              </w:rPr>
              <w:t>TLVWN：未制定标准</w:t>
            </w:r>
          </w:p>
          <w:p w14:paraId="52858AC0">
            <w:pPr>
              <w:pStyle w:val="19"/>
              <w:bidi w:val="0"/>
              <w:jc w:val="left"/>
              <w:rPr>
                <w:rFonts w:hint="default"/>
                <w:color w:val="auto"/>
              </w:rPr>
            </w:pPr>
            <w:r>
              <w:rPr>
                <w:rFonts w:hint="default"/>
                <w:color w:val="auto"/>
              </w:rPr>
              <w:t>工程控制：密闭操作。提供良好的自然通风条件。</w:t>
            </w:r>
          </w:p>
          <w:p w14:paraId="15AE78D1">
            <w:pPr>
              <w:pStyle w:val="19"/>
              <w:bidi w:val="0"/>
              <w:jc w:val="left"/>
              <w:rPr>
                <w:rFonts w:hint="default"/>
                <w:color w:val="auto"/>
              </w:rPr>
            </w:pPr>
            <w:r>
              <w:rPr>
                <w:rFonts w:hint="default"/>
                <w:color w:val="auto"/>
              </w:rPr>
              <w:t>呼吸系统防护：一般不需特殊防护。</w:t>
            </w:r>
          </w:p>
          <w:p w14:paraId="0555D837">
            <w:pPr>
              <w:pStyle w:val="19"/>
              <w:bidi w:val="0"/>
              <w:jc w:val="left"/>
              <w:rPr>
                <w:rFonts w:hint="default"/>
                <w:color w:val="auto"/>
              </w:rPr>
            </w:pPr>
            <w:r>
              <w:rPr>
                <w:rFonts w:hint="default"/>
                <w:color w:val="auto"/>
              </w:rPr>
              <w:t>眼睛防护：一般不需特殊防护。</w:t>
            </w:r>
          </w:p>
          <w:p w14:paraId="6B46BFE6">
            <w:pPr>
              <w:pStyle w:val="19"/>
              <w:bidi w:val="0"/>
              <w:jc w:val="left"/>
              <w:rPr>
                <w:rFonts w:hint="default"/>
                <w:color w:val="auto"/>
              </w:rPr>
            </w:pPr>
            <w:r>
              <w:rPr>
                <w:rFonts w:hint="default"/>
                <w:color w:val="auto"/>
              </w:rPr>
              <w:t>身体防护：穿一般作业工作服。</w:t>
            </w:r>
          </w:p>
          <w:p w14:paraId="5C2334AC">
            <w:pPr>
              <w:pStyle w:val="19"/>
              <w:bidi w:val="0"/>
              <w:jc w:val="left"/>
              <w:rPr>
                <w:rFonts w:hint="default"/>
                <w:color w:val="auto"/>
              </w:rPr>
            </w:pPr>
            <w:r>
              <w:rPr>
                <w:rFonts w:hint="default"/>
                <w:color w:val="auto"/>
              </w:rPr>
              <w:t>手防护：戴一般作业防护手套。</w:t>
            </w:r>
          </w:p>
          <w:p w14:paraId="4C487E3D">
            <w:pPr>
              <w:pStyle w:val="19"/>
              <w:bidi w:val="0"/>
              <w:jc w:val="left"/>
              <w:rPr>
                <w:rFonts w:hint="default"/>
                <w:color w:val="auto"/>
              </w:rPr>
            </w:pPr>
            <w:r>
              <w:rPr>
                <w:rFonts w:hint="default"/>
                <w:color w:val="auto"/>
              </w:rPr>
              <w:t>其他防护：避免高浓度吸入。</w:t>
            </w:r>
          </w:p>
        </w:tc>
      </w:tr>
      <w:tr w14:paraId="4B8F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7" w:hRule="atLeast"/>
          <w:jc w:val="center"/>
        </w:trPr>
        <w:tc>
          <w:tcPr>
            <w:tcW w:w="1935" w:type="dxa"/>
            <w:noWrap w:val="0"/>
            <w:vAlign w:val="center"/>
          </w:tcPr>
          <w:p w14:paraId="17D8251E">
            <w:pPr>
              <w:pStyle w:val="19"/>
              <w:bidi w:val="0"/>
              <w:rPr>
                <w:rFonts w:hint="default"/>
                <w:color w:val="auto"/>
              </w:rPr>
            </w:pPr>
            <w:r>
              <w:rPr>
                <w:rFonts w:hint="default"/>
                <w:color w:val="auto"/>
              </w:rPr>
              <w:t>理化性质：</w:t>
            </w:r>
          </w:p>
        </w:tc>
        <w:tc>
          <w:tcPr>
            <w:tcW w:w="7468" w:type="dxa"/>
            <w:noWrap w:val="0"/>
            <w:vAlign w:val="center"/>
          </w:tcPr>
          <w:p w14:paraId="3E18D4CB">
            <w:pPr>
              <w:pStyle w:val="19"/>
              <w:bidi w:val="0"/>
              <w:jc w:val="left"/>
              <w:rPr>
                <w:rFonts w:hint="default"/>
                <w:color w:val="auto"/>
              </w:rPr>
            </w:pPr>
            <w:r>
              <w:rPr>
                <w:rFonts w:hint="default"/>
                <w:color w:val="auto"/>
              </w:rPr>
              <w:t>熔点</w:t>
            </w:r>
            <w:r>
              <w:rPr>
                <w:rFonts w:hint="eastAsia"/>
                <w:color w:val="auto"/>
                <w:lang w:eastAsia="zh-CN"/>
              </w:rPr>
              <w:t>（</w:t>
            </w:r>
            <w:r>
              <w:rPr>
                <w:rFonts w:hint="default"/>
                <w:color w:val="auto"/>
              </w:rPr>
              <w:t>℃</w:t>
            </w:r>
            <w:r>
              <w:rPr>
                <w:rFonts w:hint="eastAsia"/>
                <w:color w:val="auto"/>
                <w:lang w:eastAsia="zh-CN"/>
              </w:rPr>
              <w:t>）</w:t>
            </w:r>
            <w:r>
              <w:rPr>
                <w:rFonts w:hint="default"/>
                <w:color w:val="auto"/>
              </w:rPr>
              <w:t>：-218.8</w:t>
            </w:r>
          </w:p>
          <w:p w14:paraId="36185997">
            <w:pPr>
              <w:pStyle w:val="19"/>
              <w:bidi w:val="0"/>
              <w:jc w:val="left"/>
              <w:rPr>
                <w:rFonts w:hint="default"/>
                <w:color w:val="auto"/>
              </w:rPr>
            </w:pPr>
            <w:r>
              <w:rPr>
                <w:rFonts w:hint="default"/>
                <w:color w:val="auto"/>
              </w:rPr>
              <w:t>沸点</w:t>
            </w:r>
            <w:r>
              <w:rPr>
                <w:rFonts w:hint="eastAsia"/>
                <w:color w:val="auto"/>
                <w:lang w:eastAsia="zh-CN"/>
              </w:rPr>
              <w:t>（</w:t>
            </w:r>
            <w:r>
              <w:rPr>
                <w:rFonts w:hint="default"/>
                <w:color w:val="auto"/>
              </w:rPr>
              <w:t>℃</w:t>
            </w:r>
            <w:r>
              <w:rPr>
                <w:rFonts w:hint="eastAsia"/>
                <w:color w:val="auto"/>
                <w:lang w:eastAsia="zh-CN"/>
              </w:rPr>
              <w:t>）</w:t>
            </w:r>
            <w:r>
              <w:rPr>
                <w:rFonts w:hint="default"/>
                <w:color w:val="auto"/>
              </w:rPr>
              <w:t>：-183.1</w:t>
            </w:r>
          </w:p>
          <w:p w14:paraId="65AD9F88">
            <w:pPr>
              <w:pStyle w:val="19"/>
              <w:bidi w:val="0"/>
              <w:jc w:val="left"/>
              <w:rPr>
                <w:rFonts w:hint="default"/>
                <w:color w:val="auto"/>
                <w:lang w:eastAsia="zh-CN"/>
              </w:rPr>
            </w:pPr>
            <w:r>
              <w:rPr>
                <w:rFonts w:hint="default"/>
                <w:color w:val="auto"/>
              </w:rPr>
              <w:t>相对密度</w:t>
            </w:r>
            <w:r>
              <w:rPr>
                <w:rFonts w:hint="eastAsia"/>
                <w:color w:val="auto"/>
                <w:lang w:eastAsia="zh-CN"/>
              </w:rPr>
              <w:t>（</w:t>
            </w:r>
            <w:r>
              <w:rPr>
                <w:rFonts w:hint="default"/>
                <w:color w:val="auto"/>
              </w:rPr>
              <w:t>水=1</w:t>
            </w:r>
            <w:r>
              <w:rPr>
                <w:rFonts w:hint="eastAsia"/>
                <w:color w:val="auto"/>
                <w:lang w:eastAsia="zh-CN"/>
              </w:rPr>
              <w:t>）</w:t>
            </w:r>
            <w:r>
              <w:rPr>
                <w:rFonts w:hint="default"/>
                <w:color w:val="auto"/>
              </w:rPr>
              <w:t>：1.14</w:t>
            </w:r>
            <w:r>
              <w:rPr>
                <w:rFonts w:hint="eastAsia"/>
                <w:color w:val="auto"/>
                <w:lang w:eastAsia="zh-CN"/>
              </w:rPr>
              <w:t>（</w:t>
            </w:r>
            <w:r>
              <w:rPr>
                <w:rFonts w:hint="default"/>
                <w:color w:val="auto"/>
              </w:rPr>
              <w:t>-183℃</w:t>
            </w:r>
            <w:r>
              <w:rPr>
                <w:rFonts w:hint="eastAsia"/>
                <w:color w:val="auto"/>
                <w:lang w:eastAsia="zh-CN"/>
              </w:rPr>
              <w:t>）</w:t>
            </w:r>
          </w:p>
          <w:p w14:paraId="7DA4D2FA">
            <w:pPr>
              <w:pStyle w:val="19"/>
              <w:bidi w:val="0"/>
              <w:jc w:val="left"/>
              <w:rPr>
                <w:rFonts w:hint="default"/>
                <w:color w:val="auto"/>
              </w:rPr>
            </w:pPr>
            <w:r>
              <w:rPr>
                <w:rFonts w:hint="default"/>
                <w:color w:val="auto"/>
              </w:rPr>
              <w:t>相对蒸气密度</w:t>
            </w:r>
            <w:r>
              <w:rPr>
                <w:rFonts w:hint="eastAsia"/>
                <w:color w:val="auto"/>
                <w:lang w:eastAsia="zh-CN"/>
              </w:rPr>
              <w:t>（</w:t>
            </w:r>
            <w:r>
              <w:rPr>
                <w:rFonts w:hint="default"/>
                <w:color w:val="auto"/>
              </w:rPr>
              <w:t>空气=1</w:t>
            </w:r>
            <w:r>
              <w:rPr>
                <w:rFonts w:hint="eastAsia"/>
                <w:color w:val="auto"/>
                <w:lang w:eastAsia="zh-CN"/>
              </w:rPr>
              <w:t>）</w:t>
            </w:r>
            <w:r>
              <w:rPr>
                <w:rFonts w:hint="default"/>
                <w:color w:val="auto"/>
              </w:rPr>
              <w:t>：1.43</w:t>
            </w:r>
          </w:p>
          <w:p w14:paraId="7567E72D">
            <w:pPr>
              <w:pStyle w:val="19"/>
              <w:bidi w:val="0"/>
              <w:jc w:val="left"/>
              <w:rPr>
                <w:rFonts w:hint="default"/>
                <w:color w:val="auto"/>
                <w:lang w:eastAsia="zh-CN"/>
              </w:rPr>
            </w:pPr>
            <w:r>
              <w:rPr>
                <w:rFonts w:hint="default"/>
                <w:color w:val="auto"/>
              </w:rPr>
              <w:t>饱和蒸气压</w:t>
            </w:r>
            <w:r>
              <w:rPr>
                <w:rFonts w:hint="eastAsia"/>
                <w:color w:val="auto"/>
                <w:lang w:eastAsia="zh-CN"/>
              </w:rPr>
              <w:t>（</w:t>
            </w:r>
            <w:r>
              <w:rPr>
                <w:rFonts w:hint="default"/>
                <w:color w:val="auto"/>
              </w:rPr>
              <w:t>kPa</w:t>
            </w:r>
            <w:r>
              <w:rPr>
                <w:rFonts w:hint="eastAsia"/>
                <w:color w:val="auto"/>
                <w:lang w:eastAsia="zh-CN"/>
              </w:rPr>
              <w:t>）</w:t>
            </w:r>
            <w:r>
              <w:rPr>
                <w:rFonts w:hint="default"/>
                <w:color w:val="auto"/>
              </w:rPr>
              <w:t>：506.62</w:t>
            </w:r>
            <w:r>
              <w:rPr>
                <w:rFonts w:hint="eastAsia"/>
                <w:color w:val="auto"/>
                <w:lang w:eastAsia="zh-CN"/>
              </w:rPr>
              <w:t>（</w:t>
            </w:r>
            <w:r>
              <w:rPr>
                <w:rFonts w:hint="default"/>
                <w:color w:val="auto"/>
              </w:rPr>
              <w:t>-164℃</w:t>
            </w:r>
            <w:r>
              <w:rPr>
                <w:rFonts w:hint="eastAsia"/>
                <w:color w:val="auto"/>
                <w:lang w:eastAsia="zh-CN"/>
              </w:rPr>
              <w:t>）</w:t>
            </w:r>
          </w:p>
          <w:p w14:paraId="0CB70545">
            <w:pPr>
              <w:pStyle w:val="19"/>
              <w:bidi w:val="0"/>
              <w:jc w:val="left"/>
              <w:rPr>
                <w:rFonts w:hint="default"/>
                <w:color w:val="auto"/>
              </w:rPr>
            </w:pPr>
            <w:r>
              <w:rPr>
                <w:rFonts w:hint="default"/>
                <w:color w:val="auto"/>
              </w:rPr>
              <w:t>燃烧热</w:t>
            </w:r>
            <w:r>
              <w:rPr>
                <w:rFonts w:hint="eastAsia"/>
                <w:color w:val="auto"/>
                <w:lang w:eastAsia="zh-CN"/>
              </w:rPr>
              <w:t>（</w:t>
            </w:r>
            <w:r>
              <w:rPr>
                <w:rFonts w:hint="default"/>
                <w:color w:val="auto"/>
              </w:rPr>
              <w:t>kJ/mol</w:t>
            </w:r>
            <w:r>
              <w:rPr>
                <w:rFonts w:hint="eastAsia"/>
                <w:color w:val="auto"/>
                <w:lang w:eastAsia="zh-CN"/>
              </w:rPr>
              <w:t>）</w:t>
            </w:r>
            <w:r>
              <w:rPr>
                <w:rFonts w:hint="default"/>
                <w:color w:val="auto"/>
              </w:rPr>
              <w:t>：无意义</w:t>
            </w:r>
          </w:p>
          <w:p w14:paraId="73888C3D">
            <w:pPr>
              <w:pStyle w:val="19"/>
              <w:bidi w:val="0"/>
              <w:jc w:val="left"/>
              <w:rPr>
                <w:rFonts w:hint="default"/>
                <w:color w:val="auto"/>
              </w:rPr>
            </w:pPr>
            <w:r>
              <w:rPr>
                <w:rFonts w:hint="default"/>
                <w:color w:val="auto"/>
              </w:rPr>
              <w:t>临界温度</w:t>
            </w:r>
            <w:r>
              <w:rPr>
                <w:rFonts w:hint="eastAsia"/>
                <w:color w:val="auto"/>
                <w:lang w:eastAsia="zh-CN"/>
              </w:rPr>
              <w:t>（</w:t>
            </w:r>
            <w:r>
              <w:rPr>
                <w:rFonts w:hint="default"/>
                <w:color w:val="auto"/>
              </w:rPr>
              <w:t>℃</w:t>
            </w:r>
            <w:r>
              <w:rPr>
                <w:rFonts w:hint="eastAsia"/>
                <w:color w:val="auto"/>
                <w:lang w:eastAsia="zh-CN"/>
              </w:rPr>
              <w:t>）</w:t>
            </w:r>
            <w:r>
              <w:rPr>
                <w:rFonts w:hint="default"/>
                <w:color w:val="auto"/>
              </w:rPr>
              <w:t>：-118.4</w:t>
            </w:r>
          </w:p>
          <w:p w14:paraId="3ED9EAB4">
            <w:pPr>
              <w:pStyle w:val="19"/>
              <w:bidi w:val="0"/>
              <w:jc w:val="left"/>
              <w:rPr>
                <w:rFonts w:hint="default"/>
                <w:color w:val="auto"/>
              </w:rPr>
            </w:pPr>
            <w:r>
              <w:rPr>
                <w:rFonts w:hint="default"/>
                <w:color w:val="auto"/>
              </w:rPr>
              <w:t>临界压力</w:t>
            </w:r>
            <w:r>
              <w:rPr>
                <w:rFonts w:hint="eastAsia"/>
                <w:color w:val="auto"/>
                <w:lang w:eastAsia="zh-CN"/>
              </w:rPr>
              <w:t>（</w:t>
            </w:r>
            <w:r>
              <w:rPr>
                <w:rFonts w:hint="default"/>
                <w:color w:val="auto"/>
              </w:rPr>
              <w:t>MPa</w:t>
            </w:r>
            <w:r>
              <w:rPr>
                <w:rFonts w:hint="eastAsia"/>
                <w:color w:val="auto"/>
                <w:lang w:eastAsia="zh-CN"/>
              </w:rPr>
              <w:t>）</w:t>
            </w:r>
            <w:r>
              <w:rPr>
                <w:rFonts w:hint="default"/>
                <w:color w:val="auto"/>
              </w:rPr>
              <w:t>：5.08</w:t>
            </w:r>
          </w:p>
          <w:p w14:paraId="670A99B0">
            <w:pPr>
              <w:pStyle w:val="19"/>
              <w:bidi w:val="0"/>
              <w:jc w:val="left"/>
              <w:rPr>
                <w:rFonts w:hint="default"/>
                <w:color w:val="auto"/>
              </w:rPr>
            </w:pPr>
            <w:r>
              <w:rPr>
                <w:rFonts w:hint="default"/>
                <w:color w:val="auto"/>
              </w:rPr>
              <w:t>辛醇/水分配系数的对数值：无资料</w:t>
            </w:r>
          </w:p>
          <w:p w14:paraId="7A318A53">
            <w:pPr>
              <w:pStyle w:val="19"/>
              <w:bidi w:val="0"/>
              <w:jc w:val="left"/>
              <w:rPr>
                <w:rFonts w:hint="default"/>
                <w:color w:val="auto"/>
              </w:rPr>
            </w:pPr>
            <w:r>
              <w:rPr>
                <w:rFonts w:hint="default"/>
                <w:color w:val="auto"/>
              </w:rPr>
              <w:t>溶解性：溶于水、乙醇。</w:t>
            </w:r>
          </w:p>
        </w:tc>
      </w:tr>
      <w:tr w14:paraId="1195D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935" w:type="dxa"/>
            <w:noWrap w:val="0"/>
            <w:vAlign w:val="center"/>
          </w:tcPr>
          <w:p w14:paraId="56D9CE6F">
            <w:pPr>
              <w:pStyle w:val="19"/>
              <w:bidi w:val="0"/>
              <w:rPr>
                <w:rFonts w:hint="default"/>
                <w:color w:val="auto"/>
              </w:rPr>
            </w:pPr>
            <w:r>
              <w:rPr>
                <w:rFonts w:hint="default"/>
                <w:color w:val="auto"/>
              </w:rPr>
              <w:t>稳定性和反应活性：</w:t>
            </w:r>
          </w:p>
        </w:tc>
        <w:tc>
          <w:tcPr>
            <w:tcW w:w="7468" w:type="dxa"/>
            <w:noWrap w:val="0"/>
            <w:vAlign w:val="center"/>
          </w:tcPr>
          <w:p w14:paraId="5B8A4008">
            <w:pPr>
              <w:pStyle w:val="19"/>
              <w:bidi w:val="0"/>
              <w:jc w:val="left"/>
              <w:rPr>
                <w:rFonts w:hint="default"/>
                <w:color w:val="auto"/>
              </w:rPr>
            </w:pPr>
            <w:r>
              <w:rPr>
                <w:rFonts w:hint="default"/>
                <w:color w:val="auto"/>
              </w:rPr>
              <w:t>禁忌物：易燃或可燃物、活性金属粉末、乙炔。</w:t>
            </w:r>
          </w:p>
        </w:tc>
      </w:tr>
      <w:tr w14:paraId="4C27B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1935" w:type="dxa"/>
            <w:noWrap w:val="0"/>
            <w:vAlign w:val="center"/>
          </w:tcPr>
          <w:p w14:paraId="48316236">
            <w:pPr>
              <w:pStyle w:val="19"/>
              <w:bidi w:val="0"/>
              <w:rPr>
                <w:rFonts w:hint="default"/>
                <w:color w:val="auto"/>
              </w:rPr>
            </w:pPr>
            <w:r>
              <w:rPr>
                <w:rFonts w:hint="default"/>
                <w:color w:val="auto"/>
              </w:rPr>
              <w:t>毒理学资料：</w:t>
            </w:r>
          </w:p>
        </w:tc>
        <w:tc>
          <w:tcPr>
            <w:tcW w:w="7468" w:type="dxa"/>
            <w:noWrap w:val="0"/>
            <w:vAlign w:val="center"/>
          </w:tcPr>
          <w:p w14:paraId="442340A3">
            <w:pPr>
              <w:pStyle w:val="19"/>
              <w:bidi w:val="0"/>
              <w:jc w:val="left"/>
              <w:rPr>
                <w:rFonts w:hint="default"/>
                <w:color w:val="auto"/>
              </w:rPr>
            </w:pPr>
            <w:r>
              <w:rPr>
                <w:rFonts w:hint="default"/>
                <w:color w:val="auto"/>
              </w:rPr>
              <w:t>急性毒性</w:t>
            </w:r>
          </w:p>
          <w:p w14:paraId="2452A48D">
            <w:pPr>
              <w:pStyle w:val="19"/>
              <w:bidi w:val="0"/>
              <w:jc w:val="left"/>
              <w:rPr>
                <w:rFonts w:hint="default"/>
                <w:color w:val="auto"/>
              </w:rPr>
            </w:pPr>
            <w:r>
              <w:rPr>
                <w:rFonts w:hint="default"/>
                <w:color w:val="auto"/>
              </w:rPr>
              <w:t>LD50：无资料</w:t>
            </w:r>
          </w:p>
          <w:p w14:paraId="3293475C">
            <w:pPr>
              <w:pStyle w:val="19"/>
              <w:bidi w:val="0"/>
              <w:jc w:val="left"/>
              <w:rPr>
                <w:rFonts w:hint="default"/>
                <w:color w:val="auto"/>
              </w:rPr>
            </w:pPr>
            <w:r>
              <w:rPr>
                <w:rFonts w:hint="default"/>
                <w:color w:val="auto"/>
              </w:rPr>
              <w:t>LC50：无资料</w:t>
            </w:r>
          </w:p>
        </w:tc>
      </w:tr>
      <w:tr w14:paraId="4378D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35" w:type="dxa"/>
            <w:noWrap w:val="0"/>
            <w:vAlign w:val="center"/>
          </w:tcPr>
          <w:p w14:paraId="3F7A20C3">
            <w:pPr>
              <w:pStyle w:val="19"/>
              <w:bidi w:val="0"/>
              <w:rPr>
                <w:rFonts w:hint="default"/>
                <w:color w:val="auto"/>
              </w:rPr>
            </w:pPr>
            <w:r>
              <w:rPr>
                <w:rFonts w:hint="default"/>
                <w:color w:val="auto"/>
              </w:rPr>
              <w:t>环境影响：</w:t>
            </w:r>
          </w:p>
        </w:tc>
        <w:tc>
          <w:tcPr>
            <w:tcW w:w="7468" w:type="dxa"/>
            <w:noWrap w:val="0"/>
            <w:vAlign w:val="center"/>
          </w:tcPr>
          <w:p w14:paraId="6575BDAF">
            <w:pPr>
              <w:pStyle w:val="19"/>
              <w:bidi w:val="0"/>
              <w:jc w:val="left"/>
              <w:rPr>
                <w:rFonts w:hint="default"/>
                <w:color w:val="auto"/>
              </w:rPr>
            </w:pPr>
            <w:r>
              <w:rPr>
                <w:rFonts w:hint="default"/>
                <w:color w:val="auto"/>
              </w:rPr>
              <w:t>对环境无害。</w:t>
            </w:r>
          </w:p>
        </w:tc>
      </w:tr>
      <w:tr w14:paraId="62A0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935" w:type="dxa"/>
            <w:noWrap w:val="0"/>
            <w:vAlign w:val="center"/>
          </w:tcPr>
          <w:p w14:paraId="2F858429">
            <w:pPr>
              <w:pStyle w:val="19"/>
              <w:bidi w:val="0"/>
              <w:rPr>
                <w:rFonts w:hint="default"/>
                <w:color w:val="auto"/>
              </w:rPr>
            </w:pPr>
            <w:r>
              <w:rPr>
                <w:rFonts w:hint="default"/>
                <w:color w:val="auto"/>
              </w:rPr>
              <w:t>废弃：</w:t>
            </w:r>
          </w:p>
        </w:tc>
        <w:tc>
          <w:tcPr>
            <w:tcW w:w="7468" w:type="dxa"/>
            <w:noWrap w:val="0"/>
            <w:vAlign w:val="center"/>
          </w:tcPr>
          <w:p w14:paraId="3046A727">
            <w:pPr>
              <w:pStyle w:val="19"/>
              <w:bidi w:val="0"/>
              <w:jc w:val="left"/>
              <w:rPr>
                <w:rFonts w:hint="default"/>
                <w:color w:val="auto"/>
              </w:rPr>
            </w:pPr>
            <w:r>
              <w:rPr>
                <w:rFonts w:hint="default"/>
                <w:color w:val="auto"/>
              </w:rPr>
              <w:t>处置前应参阅国家和地方有关法规。废气直接排入大气。</w:t>
            </w:r>
          </w:p>
        </w:tc>
      </w:tr>
      <w:tr w14:paraId="2CF88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9403" w:type="dxa"/>
            <w:gridSpan w:val="2"/>
            <w:noWrap w:val="0"/>
            <w:vAlign w:val="center"/>
          </w:tcPr>
          <w:p w14:paraId="49015DB5">
            <w:pPr>
              <w:pStyle w:val="19"/>
              <w:bidi w:val="0"/>
              <w:jc w:val="center"/>
              <w:rPr>
                <w:rFonts w:hint="default"/>
                <w:color w:val="auto"/>
              </w:rPr>
            </w:pPr>
            <w:r>
              <w:rPr>
                <w:rFonts w:hint="default"/>
                <w:color w:val="auto"/>
              </w:rPr>
              <w:t>其他信息</w:t>
            </w:r>
          </w:p>
        </w:tc>
      </w:tr>
      <w:tr w14:paraId="01EC8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935" w:type="dxa"/>
            <w:noWrap w:val="0"/>
            <w:vAlign w:val="center"/>
          </w:tcPr>
          <w:p w14:paraId="1D9BB17C">
            <w:pPr>
              <w:pStyle w:val="19"/>
              <w:bidi w:val="0"/>
              <w:rPr>
                <w:rFonts w:hint="default"/>
                <w:color w:val="auto"/>
              </w:rPr>
            </w:pPr>
            <w:r>
              <w:rPr>
                <w:rFonts w:hint="default"/>
                <w:color w:val="auto"/>
              </w:rPr>
              <w:t>包装分类：</w:t>
            </w:r>
          </w:p>
        </w:tc>
        <w:tc>
          <w:tcPr>
            <w:tcW w:w="7468" w:type="dxa"/>
            <w:noWrap w:val="0"/>
            <w:vAlign w:val="center"/>
          </w:tcPr>
          <w:p w14:paraId="5B09BC2D">
            <w:pPr>
              <w:pStyle w:val="19"/>
              <w:bidi w:val="0"/>
              <w:jc w:val="left"/>
              <w:rPr>
                <w:rFonts w:hint="default"/>
                <w:color w:val="auto"/>
              </w:rPr>
            </w:pPr>
            <w:r>
              <w:rPr>
                <w:rFonts w:hint="default"/>
                <w:color w:val="auto"/>
              </w:rPr>
              <w:t>053</w:t>
            </w:r>
          </w:p>
        </w:tc>
      </w:tr>
      <w:tr w14:paraId="50B47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935" w:type="dxa"/>
            <w:noWrap w:val="0"/>
            <w:vAlign w:val="center"/>
          </w:tcPr>
          <w:p w14:paraId="711B6FFB">
            <w:pPr>
              <w:pStyle w:val="19"/>
              <w:bidi w:val="0"/>
              <w:rPr>
                <w:rFonts w:hint="default"/>
                <w:color w:val="auto"/>
              </w:rPr>
            </w:pPr>
            <w:r>
              <w:rPr>
                <w:rFonts w:hint="default"/>
                <w:color w:val="auto"/>
              </w:rPr>
              <w:t>包装方法：</w:t>
            </w:r>
          </w:p>
        </w:tc>
        <w:tc>
          <w:tcPr>
            <w:tcW w:w="7468" w:type="dxa"/>
            <w:noWrap w:val="0"/>
            <w:vAlign w:val="center"/>
          </w:tcPr>
          <w:p w14:paraId="6865F72E">
            <w:pPr>
              <w:pStyle w:val="19"/>
              <w:bidi w:val="0"/>
              <w:jc w:val="left"/>
              <w:rPr>
                <w:rFonts w:hint="default"/>
                <w:color w:val="auto"/>
              </w:rPr>
            </w:pPr>
            <w:r>
              <w:rPr>
                <w:rFonts w:hint="default"/>
                <w:color w:val="auto"/>
              </w:rPr>
              <w:t>钢质气瓶。</w:t>
            </w:r>
          </w:p>
        </w:tc>
      </w:tr>
    </w:tbl>
    <w:p w14:paraId="4AC8EAC7">
      <w:pPr>
        <w:pStyle w:val="3"/>
        <w:bidi w:val="0"/>
        <w:rPr>
          <w:rFonts w:hint="eastAsia"/>
          <w:color w:val="auto"/>
        </w:rPr>
      </w:pPr>
      <w:bookmarkStart w:id="132" w:name="_Toc27908"/>
      <w:r>
        <w:rPr>
          <w:rFonts w:hint="eastAsia"/>
          <w:color w:val="auto"/>
        </w:rPr>
        <w:t>3.3 厂址选择及总平面布置危险和有害因素辨识与分析</w:t>
      </w:r>
      <w:bookmarkEnd w:id="132"/>
    </w:p>
    <w:p w14:paraId="7D69944C">
      <w:pPr>
        <w:bidi w:val="0"/>
        <w:rPr>
          <w:rFonts w:hint="eastAsia"/>
          <w:color w:val="auto"/>
        </w:rPr>
      </w:pPr>
      <w:r>
        <w:rPr>
          <w:rFonts w:hint="eastAsia"/>
          <w:color w:val="auto"/>
        </w:rPr>
        <w:t>厂址选择及总平面布置是选厂建设的重要步骤，对于选厂的长久、安全、可靠运行起着非常重要的作用。厂址选择前的各项准备工作和条件、方案的比选工作应特别认真、仔细、慎重，反复推敲比选，择优选用，只要稍微疏忽，将造成难以纠正的失误。</w:t>
      </w:r>
    </w:p>
    <w:p w14:paraId="4A9AAD30">
      <w:pPr>
        <w:bidi w:val="0"/>
        <w:rPr>
          <w:rFonts w:hint="eastAsia"/>
          <w:color w:val="auto"/>
        </w:rPr>
      </w:pPr>
      <w:r>
        <w:rPr>
          <w:rFonts w:hint="eastAsia"/>
          <w:color w:val="auto"/>
        </w:rPr>
        <w:t>该项目选址可能存在的危险有害因素主要是由于工程地质、地形地貌、水文、气象条件、周围环境、交通运输条件、自然灾害等引起。</w:t>
      </w:r>
    </w:p>
    <w:p w14:paraId="32AF0A4A">
      <w:pPr>
        <w:bidi w:val="0"/>
        <w:rPr>
          <w:rFonts w:hint="eastAsia"/>
          <w:color w:val="auto"/>
        </w:rPr>
      </w:pPr>
      <w:r>
        <w:rPr>
          <w:rFonts w:hint="eastAsia"/>
          <w:color w:val="auto"/>
        </w:rPr>
        <w:t>在总平面布置方面，由于功能区划分、防火间距、危险物质设施、场内道路等方面设计不合理，也可能对项目带来不利影响。</w:t>
      </w:r>
    </w:p>
    <w:p w14:paraId="5A09CFD5">
      <w:pPr>
        <w:bidi w:val="0"/>
        <w:rPr>
          <w:rFonts w:hint="eastAsia"/>
          <w:color w:val="auto"/>
        </w:rPr>
      </w:pPr>
      <w:r>
        <w:rPr>
          <w:rFonts w:hint="eastAsia"/>
          <w:color w:val="auto"/>
        </w:rPr>
        <w:t>经分析，项目选址和总平面布置方面可能发生火灾、坍塌、车辆伤害、中毒与窒息、淹溺、滑坡等生产安全事故。</w:t>
      </w:r>
    </w:p>
    <w:p w14:paraId="7D643022">
      <w:pPr>
        <w:pStyle w:val="4"/>
        <w:bidi w:val="0"/>
        <w:rPr>
          <w:rFonts w:hint="eastAsia"/>
          <w:color w:val="auto"/>
        </w:rPr>
      </w:pPr>
      <w:bookmarkStart w:id="133" w:name="_Toc13979"/>
      <w:r>
        <w:rPr>
          <w:rFonts w:hint="eastAsia"/>
          <w:color w:val="auto"/>
        </w:rPr>
        <w:t>3.3.1 车辆伤害</w:t>
      </w:r>
      <w:bookmarkEnd w:id="133"/>
    </w:p>
    <w:p w14:paraId="4C22FD9A">
      <w:pPr>
        <w:bidi w:val="0"/>
        <w:rPr>
          <w:rFonts w:hint="eastAsia"/>
          <w:color w:val="auto"/>
        </w:rPr>
      </w:pPr>
      <w:r>
        <w:rPr>
          <w:rFonts w:hint="eastAsia"/>
          <w:color w:val="auto"/>
        </w:rPr>
        <w:t>选厂位于云南省楚雄彝族自治州武定县狮山镇白邑花果箐。由于项目生产过程中矿石运输量较大，车辆在厂区出入频繁，如果道路施工不规范、无交通标志、车辆驾驶人违规驾驶车辆、违章指挥等均可能发生车辆伤害事故。</w:t>
      </w:r>
    </w:p>
    <w:p w14:paraId="371F5BE0">
      <w:pPr>
        <w:pStyle w:val="4"/>
        <w:bidi w:val="0"/>
        <w:rPr>
          <w:rFonts w:hint="eastAsia"/>
          <w:color w:val="auto"/>
        </w:rPr>
      </w:pPr>
      <w:bookmarkStart w:id="134" w:name="_Toc25363"/>
      <w:r>
        <w:rPr>
          <w:rFonts w:hint="eastAsia"/>
          <w:color w:val="auto"/>
        </w:rPr>
        <w:t>3.3.2 坍塌</w:t>
      </w:r>
      <w:bookmarkEnd w:id="134"/>
    </w:p>
    <w:p w14:paraId="7322376C">
      <w:pPr>
        <w:bidi w:val="0"/>
        <w:rPr>
          <w:rFonts w:hint="eastAsia"/>
          <w:color w:val="auto"/>
        </w:rPr>
      </w:pPr>
      <w:r>
        <w:rPr>
          <w:rFonts w:hint="eastAsia"/>
          <w:color w:val="auto"/>
        </w:rPr>
        <w:t>1、根据《建筑抗震设计</w:t>
      </w:r>
      <w:r>
        <w:rPr>
          <w:rFonts w:hint="eastAsia"/>
          <w:color w:val="auto"/>
          <w:lang w:val="en-US" w:eastAsia="zh-CN"/>
        </w:rPr>
        <w:t>标准</w:t>
      </w:r>
      <w:r>
        <w:rPr>
          <w:rFonts w:hint="eastAsia"/>
          <w:color w:val="auto"/>
        </w:rPr>
        <w:t>》（GB50011-2010 2024年版）武定县抗震设防烈度为7度，设计基本地震加速度值为0.15g，第三组。如果建设项目建构筑物的设计、施工不符合防震要求，在地震时可能造成建构筑物坍塌、人员伤亡。</w:t>
      </w:r>
    </w:p>
    <w:p w14:paraId="4C354CB7">
      <w:pPr>
        <w:bidi w:val="0"/>
        <w:rPr>
          <w:rFonts w:hint="eastAsia"/>
          <w:color w:val="auto"/>
        </w:rPr>
      </w:pPr>
      <w:r>
        <w:rPr>
          <w:rFonts w:hint="eastAsia"/>
          <w:color w:val="auto"/>
        </w:rPr>
        <w:t>2、若整平、挖填及建、构筑物基础型式的选用不当或建构筑物强度不满足要求，施工组织不合理，会导致建构筑物变形甚至发生坍塌事故。</w:t>
      </w:r>
    </w:p>
    <w:p w14:paraId="00EE984A">
      <w:pPr>
        <w:bidi w:val="0"/>
        <w:rPr>
          <w:rFonts w:hint="eastAsia"/>
          <w:color w:val="auto"/>
        </w:rPr>
      </w:pPr>
      <w:r>
        <w:rPr>
          <w:rFonts w:hint="eastAsia"/>
          <w:color w:val="auto"/>
        </w:rPr>
        <w:t>3、拟建场位于楚雄彝族自治州武定县狮山镇白邑花果箐钛选厂内，拟建场地为厂区，场地属山麓斜坡堆积成因地貌的山前斜坡地段。场地整体呈南东高北西低，局部地形起伏较大。在施工过程中，如果边坡参数设计不当、支护方式不合理可能会出现坍塌事故。</w:t>
      </w:r>
    </w:p>
    <w:p w14:paraId="72E98940">
      <w:pPr>
        <w:bidi w:val="0"/>
        <w:rPr>
          <w:rFonts w:hint="eastAsia"/>
          <w:color w:val="auto"/>
        </w:rPr>
      </w:pPr>
      <w:r>
        <w:rPr>
          <w:rFonts w:hint="eastAsia"/>
          <w:color w:val="auto"/>
        </w:rPr>
        <w:t>4、拟建场地土对砼结构中钢结构具微腐蚀性，如基础未采取相应的防腐措施，可能导致坍塌。</w:t>
      </w:r>
    </w:p>
    <w:p w14:paraId="20CF57D8">
      <w:pPr>
        <w:pStyle w:val="4"/>
        <w:bidi w:val="0"/>
        <w:rPr>
          <w:rFonts w:hint="eastAsia"/>
          <w:color w:val="auto"/>
        </w:rPr>
      </w:pPr>
      <w:bookmarkStart w:id="135" w:name="_Toc26851"/>
      <w:r>
        <w:rPr>
          <w:rFonts w:hint="eastAsia"/>
          <w:color w:val="auto"/>
        </w:rPr>
        <w:t>3.3.3 火灾、爆炸</w:t>
      </w:r>
      <w:bookmarkEnd w:id="135"/>
    </w:p>
    <w:p w14:paraId="39282495">
      <w:pPr>
        <w:bidi w:val="0"/>
        <w:rPr>
          <w:rFonts w:hint="eastAsia"/>
          <w:color w:val="auto"/>
        </w:rPr>
      </w:pPr>
      <w:r>
        <w:rPr>
          <w:rFonts w:hint="eastAsia"/>
          <w:color w:val="auto"/>
        </w:rPr>
        <w:t>项目部分建筑物为钢结构建筑，钢结构耐火等级较低，若发生火灾，危害较大。生产过程中可能因为电路故障发生火灾事故，如果建构筑物防火间距、耐火等级不足，消防通道及消防设施不完善，安全出口等设置不合理，在发生事故后，逃生通道不畅通，容易导致事故后果扩大。发生火灾时，遇到油品（如：柴油等）往往会引发二次事故（爆炸）。</w:t>
      </w:r>
    </w:p>
    <w:p w14:paraId="7BC330C3">
      <w:pPr>
        <w:pStyle w:val="4"/>
        <w:bidi w:val="0"/>
        <w:rPr>
          <w:rFonts w:hint="eastAsia"/>
          <w:color w:val="auto"/>
        </w:rPr>
      </w:pPr>
      <w:bookmarkStart w:id="136" w:name="_Toc249"/>
      <w:r>
        <w:rPr>
          <w:rFonts w:hint="eastAsia"/>
          <w:color w:val="auto"/>
        </w:rPr>
        <w:t>3.3.4 中毒与窒息</w:t>
      </w:r>
      <w:bookmarkEnd w:id="136"/>
    </w:p>
    <w:p w14:paraId="3C3BE6BE">
      <w:pPr>
        <w:bidi w:val="0"/>
        <w:rPr>
          <w:rFonts w:hint="eastAsia"/>
          <w:color w:val="auto"/>
        </w:rPr>
      </w:pPr>
      <w:r>
        <w:rPr>
          <w:rFonts w:hint="eastAsia"/>
          <w:color w:val="auto"/>
        </w:rPr>
        <w:t>厂区内涉及料仓、</w:t>
      </w:r>
      <w:r>
        <w:rPr>
          <w:rFonts w:hint="eastAsia"/>
          <w:color w:val="auto"/>
          <w:lang w:val="en-US" w:eastAsia="zh-CN"/>
        </w:rPr>
        <w:t>高位</w:t>
      </w:r>
      <w:r>
        <w:rPr>
          <w:rFonts w:hint="eastAsia"/>
          <w:color w:val="auto"/>
        </w:rPr>
        <w:t>水池、球磨机等有限空间，在检维修作业时若未严格按照有限空间制度操作，会造成作业人员中毒、窒息。</w:t>
      </w:r>
    </w:p>
    <w:p w14:paraId="62451EFF">
      <w:pPr>
        <w:pStyle w:val="4"/>
        <w:bidi w:val="0"/>
        <w:rPr>
          <w:rFonts w:hint="eastAsia"/>
          <w:color w:val="auto"/>
        </w:rPr>
      </w:pPr>
      <w:bookmarkStart w:id="137" w:name="_Toc6808"/>
      <w:r>
        <w:rPr>
          <w:rFonts w:hint="eastAsia"/>
          <w:color w:val="auto"/>
        </w:rPr>
        <w:t>3.3.5 淹溺</w:t>
      </w:r>
      <w:bookmarkEnd w:id="137"/>
    </w:p>
    <w:p w14:paraId="6C4A17F8">
      <w:pPr>
        <w:bidi w:val="0"/>
        <w:rPr>
          <w:rFonts w:hint="eastAsia"/>
          <w:color w:val="auto"/>
        </w:rPr>
      </w:pPr>
      <w:r>
        <w:rPr>
          <w:rFonts w:hint="eastAsia"/>
          <w:color w:val="auto"/>
        </w:rPr>
        <w:t>该厂设有</w:t>
      </w:r>
      <w:r>
        <w:rPr>
          <w:rFonts w:hint="eastAsia"/>
          <w:color w:val="auto"/>
          <w:lang w:val="en-US" w:eastAsia="zh-CN"/>
        </w:rPr>
        <w:t>高位</w:t>
      </w:r>
      <w:r>
        <w:rPr>
          <w:rFonts w:hint="eastAsia"/>
          <w:color w:val="auto"/>
        </w:rPr>
        <w:t>水池，由于常有蓄水，蓄水能力较大，其四周缺少安全警示标志、护栏或照明不足，人员可能不慎坠入，可能造成淹溺事故。</w:t>
      </w:r>
    </w:p>
    <w:p w14:paraId="19603429">
      <w:pPr>
        <w:pStyle w:val="4"/>
        <w:bidi w:val="0"/>
        <w:rPr>
          <w:rFonts w:hint="eastAsia"/>
          <w:color w:val="auto"/>
        </w:rPr>
      </w:pPr>
      <w:bookmarkStart w:id="138" w:name="_Toc19656"/>
      <w:r>
        <w:rPr>
          <w:rFonts w:hint="eastAsia"/>
          <w:color w:val="auto"/>
        </w:rPr>
        <w:t>3.3.6 滑坡</w:t>
      </w:r>
      <w:bookmarkEnd w:id="138"/>
    </w:p>
    <w:p w14:paraId="0E6FE33F">
      <w:pPr>
        <w:bidi w:val="0"/>
        <w:rPr>
          <w:rFonts w:hint="eastAsia"/>
          <w:color w:val="auto"/>
        </w:rPr>
      </w:pPr>
      <w:r>
        <w:rPr>
          <w:rFonts w:hint="eastAsia"/>
          <w:color w:val="auto"/>
        </w:rPr>
        <w:t>厂址存在相对高差，雨季可能发生滑坡事故。原矿堆场的原矿堆高过高、尾矿堆场尾矿堆积过高，会造成滑坡事故。</w:t>
      </w:r>
    </w:p>
    <w:p w14:paraId="4C39062B">
      <w:pPr>
        <w:pStyle w:val="3"/>
        <w:bidi w:val="0"/>
        <w:rPr>
          <w:rFonts w:hint="eastAsia"/>
          <w:color w:val="auto"/>
        </w:rPr>
      </w:pPr>
      <w:bookmarkStart w:id="139" w:name="_Toc2820"/>
      <w:r>
        <w:rPr>
          <w:rFonts w:hint="eastAsia"/>
          <w:color w:val="auto"/>
        </w:rPr>
        <w:t>3.4 基础设施施工建设期主要危险和有害因素辨识与分析</w:t>
      </w:r>
      <w:bookmarkEnd w:id="139"/>
    </w:p>
    <w:p w14:paraId="4A838A56">
      <w:pPr>
        <w:bidi w:val="0"/>
        <w:rPr>
          <w:rFonts w:hint="eastAsia"/>
          <w:color w:val="auto"/>
        </w:rPr>
      </w:pPr>
      <w:r>
        <w:rPr>
          <w:rFonts w:hint="eastAsia"/>
          <w:color w:val="auto"/>
        </w:rPr>
        <w:t>建设项目施工期多属室外、临边、露天和高空作业等，因为设备缺陷、作业人员未经培训不具备安全知识、现场监管不到位等均易发生事故，如坍塌、高处坠落、物体打击、火灾、爆炸、触电、车辆伤害、机械伤害、容器爆炸、起重伤害。</w:t>
      </w:r>
    </w:p>
    <w:p w14:paraId="7427553C">
      <w:pPr>
        <w:pStyle w:val="4"/>
        <w:bidi w:val="0"/>
        <w:rPr>
          <w:rFonts w:hint="eastAsia"/>
          <w:color w:val="auto"/>
        </w:rPr>
      </w:pPr>
      <w:bookmarkStart w:id="140" w:name="_Toc7194"/>
      <w:r>
        <w:rPr>
          <w:rFonts w:hint="eastAsia"/>
          <w:color w:val="auto"/>
        </w:rPr>
        <w:t>3.4.1 坍塌</w:t>
      </w:r>
      <w:bookmarkEnd w:id="140"/>
    </w:p>
    <w:p w14:paraId="4417EEE3">
      <w:pPr>
        <w:bidi w:val="0"/>
        <w:rPr>
          <w:rFonts w:hint="eastAsia"/>
          <w:color w:val="auto"/>
        </w:rPr>
      </w:pPr>
      <w:r>
        <w:rPr>
          <w:rFonts w:hint="eastAsia"/>
          <w:color w:val="auto"/>
        </w:rPr>
        <w:t>如果项目在施工建设过程中基础开挖、边坡支护、脚手架搭建、拆除不规范等，可能会造成支护、支撑或在建构筑物等失稳坍塌。</w:t>
      </w:r>
    </w:p>
    <w:p w14:paraId="4BD2D324">
      <w:pPr>
        <w:pStyle w:val="4"/>
        <w:bidi w:val="0"/>
        <w:rPr>
          <w:rFonts w:hint="eastAsia"/>
          <w:color w:val="auto"/>
        </w:rPr>
      </w:pPr>
      <w:bookmarkStart w:id="141" w:name="_Toc26346"/>
      <w:r>
        <w:rPr>
          <w:rFonts w:hint="eastAsia"/>
          <w:color w:val="auto"/>
        </w:rPr>
        <w:t>3.4.2 高处坠落</w:t>
      </w:r>
      <w:bookmarkEnd w:id="141"/>
    </w:p>
    <w:p w14:paraId="003B2A4B">
      <w:pPr>
        <w:bidi w:val="0"/>
        <w:rPr>
          <w:rFonts w:hint="eastAsia"/>
          <w:color w:val="auto"/>
        </w:rPr>
      </w:pPr>
      <w:r>
        <w:rPr>
          <w:rFonts w:hint="eastAsia"/>
          <w:color w:val="auto"/>
        </w:rPr>
        <w:t>在施工过程中，如作业人员违章作业、未系安全带、突发疾病、安全设施不完善、无安全警示标志等或恶劣气候环境下进行高处作业易发生高处坠落。</w:t>
      </w:r>
    </w:p>
    <w:p w14:paraId="53D5DB24">
      <w:pPr>
        <w:pStyle w:val="4"/>
        <w:bidi w:val="0"/>
        <w:rPr>
          <w:rFonts w:hint="eastAsia"/>
          <w:color w:val="auto"/>
        </w:rPr>
      </w:pPr>
      <w:bookmarkStart w:id="142" w:name="_Toc10223"/>
      <w:r>
        <w:rPr>
          <w:rFonts w:hint="eastAsia"/>
          <w:color w:val="auto"/>
        </w:rPr>
        <w:t>3.4.3 物体打击</w:t>
      </w:r>
      <w:bookmarkEnd w:id="142"/>
    </w:p>
    <w:p w14:paraId="04DA223A">
      <w:pPr>
        <w:bidi w:val="0"/>
        <w:rPr>
          <w:rFonts w:hint="eastAsia"/>
          <w:color w:val="auto"/>
        </w:rPr>
      </w:pPr>
      <w:r>
        <w:rPr>
          <w:rFonts w:hint="eastAsia"/>
          <w:color w:val="auto"/>
        </w:rPr>
        <w:t>人员进入施工现场未佩戴安全帽、高处作业工器具无防坠措施或放置不当、违章作业等易造成物体打击。</w:t>
      </w:r>
    </w:p>
    <w:p w14:paraId="0CA206AA">
      <w:pPr>
        <w:pStyle w:val="4"/>
        <w:bidi w:val="0"/>
        <w:rPr>
          <w:rFonts w:hint="eastAsia"/>
          <w:color w:val="auto"/>
        </w:rPr>
      </w:pPr>
      <w:bookmarkStart w:id="143" w:name="_Toc28014"/>
      <w:r>
        <w:rPr>
          <w:rFonts w:hint="eastAsia"/>
          <w:color w:val="auto"/>
        </w:rPr>
        <w:t>3.4.4 触电</w:t>
      </w:r>
      <w:bookmarkEnd w:id="143"/>
    </w:p>
    <w:p w14:paraId="7E74A759">
      <w:pPr>
        <w:bidi w:val="0"/>
        <w:rPr>
          <w:rFonts w:hint="eastAsia"/>
          <w:color w:val="auto"/>
        </w:rPr>
      </w:pPr>
      <w:r>
        <w:rPr>
          <w:rFonts w:hint="eastAsia"/>
          <w:color w:val="auto"/>
        </w:rPr>
        <w:t>施工过程中电工无证上岗、检修作业无漏电保护器、电动工具不满足要求、带电设备无防护或者防护距离不足易发生触电。</w:t>
      </w:r>
    </w:p>
    <w:p w14:paraId="43BC897F">
      <w:pPr>
        <w:pStyle w:val="4"/>
        <w:bidi w:val="0"/>
        <w:rPr>
          <w:rFonts w:hint="eastAsia"/>
          <w:color w:val="auto"/>
        </w:rPr>
      </w:pPr>
      <w:bookmarkStart w:id="144" w:name="_Toc31869"/>
      <w:r>
        <w:rPr>
          <w:rFonts w:hint="eastAsia"/>
          <w:color w:val="auto"/>
        </w:rPr>
        <w:t>3.4.5 机械伤害</w:t>
      </w:r>
      <w:bookmarkEnd w:id="144"/>
    </w:p>
    <w:p w14:paraId="2CB8896E">
      <w:pPr>
        <w:bidi w:val="0"/>
        <w:rPr>
          <w:rFonts w:hint="eastAsia"/>
          <w:color w:val="auto"/>
        </w:rPr>
      </w:pPr>
      <w:r>
        <w:rPr>
          <w:rFonts w:hint="eastAsia"/>
          <w:color w:val="auto"/>
        </w:rPr>
        <w:t>在施工过程中要大量使用工器具及施工机械，若防护不当、安全作业距离不足或违章作业等易发生机械伤害。</w:t>
      </w:r>
    </w:p>
    <w:p w14:paraId="75036250">
      <w:pPr>
        <w:pStyle w:val="4"/>
        <w:bidi w:val="0"/>
        <w:rPr>
          <w:rFonts w:hint="eastAsia"/>
          <w:color w:val="auto"/>
        </w:rPr>
      </w:pPr>
      <w:bookmarkStart w:id="145" w:name="_Toc1311"/>
      <w:r>
        <w:rPr>
          <w:rFonts w:hint="eastAsia"/>
          <w:color w:val="auto"/>
        </w:rPr>
        <w:t>3.4.6</w:t>
      </w:r>
      <w:r>
        <w:rPr>
          <w:rFonts w:hint="eastAsia"/>
          <w:color w:val="auto"/>
          <w:lang w:val="en-US" w:eastAsia="zh-CN"/>
        </w:rPr>
        <w:t xml:space="preserve"> </w:t>
      </w:r>
      <w:r>
        <w:rPr>
          <w:rFonts w:hint="eastAsia"/>
          <w:color w:val="auto"/>
        </w:rPr>
        <w:t>火灾、爆炸</w:t>
      </w:r>
      <w:bookmarkEnd w:id="145"/>
    </w:p>
    <w:p w14:paraId="1A8CA282">
      <w:pPr>
        <w:bidi w:val="0"/>
        <w:rPr>
          <w:rFonts w:hint="eastAsia"/>
          <w:color w:val="auto"/>
        </w:rPr>
      </w:pPr>
      <w:r>
        <w:rPr>
          <w:rFonts w:hint="eastAsia"/>
          <w:color w:val="auto"/>
        </w:rPr>
        <w:t>作业人员违反安全操作规程，施工过程中私自动火、未清除可燃物等易发生火灾及爆炸。在施工过程中使用的物料及生产、贮存、输送的物料，有可燃物质，在静电、明火、雷击、电气火花以及爆炸事故等诱发下，均有发生火灾的可能。</w:t>
      </w:r>
    </w:p>
    <w:p w14:paraId="428B5A1A">
      <w:pPr>
        <w:pStyle w:val="4"/>
        <w:bidi w:val="0"/>
        <w:rPr>
          <w:rFonts w:hint="eastAsia"/>
          <w:color w:val="auto"/>
        </w:rPr>
      </w:pPr>
      <w:bookmarkStart w:id="146" w:name="_Toc3190"/>
      <w:r>
        <w:rPr>
          <w:rFonts w:hint="eastAsia"/>
          <w:color w:val="auto"/>
        </w:rPr>
        <w:t>3.4.7</w:t>
      </w:r>
      <w:r>
        <w:rPr>
          <w:rFonts w:hint="eastAsia"/>
          <w:color w:val="auto"/>
          <w:lang w:val="en-US" w:eastAsia="zh-CN"/>
        </w:rPr>
        <w:t xml:space="preserve"> </w:t>
      </w:r>
      <w:r>
        <w:rPr>
          <w:rFonts w:hint="eastAsia"/>
          <w:color w:val="auto"/>
        </w:rPr>
        <w:t>容器爆炸</w:t>
      </w:r>
      <w:bookmarkEnd w:id="146"/>
    </w:p>
    <w:p w14:paraId="6F11F967">
      <w:pPr>
        <w:bidi w:val="0"/>
        <w:rPr>
          <w:rFonts w:hint="eastAsia"/>
          <w:color w:val="auto"/>
        </w:rPr>
      </w:pPr>
      <w:r>
        <w:rPr>
          <w:rFonts w:hint="eastAsia"/>
          <w:color w:val="auto"/>
        </w:rPr>
        <w:t>该企业检维修使用的氧气瓶、乙炔瓶等在外界温度环境变化较大情况下（高温），气瓶内气压变大，会发生物理爆炸，若使用不当时存在压力容器爆炸的可能，尤其是乙炔气瓶，若无防回火装置、软管皴裂等可能造成乙炔泄漏，引起爆炸。</w:t>
      </w:r>
    </w:p>
    <w:p w14:paraId="41547063">
      <w:pPr>
        <w:pStyle w:val="4"/>
        <w:bidi w:val="0"/>
        <w:rPr>
          <w:rFonts w:hint="eastAsia"/>
          <w:color w:val="auto"/>
        </w:rPr>
      </w:pPr>
      <w:bookmarkStart w:id="147" w:name="_Toc2731"/>
      <w:r>
        <w:rPr>
          <w:rFonts w:hint="eastAsia"/>
          <w:color w:val="auto"/>
        </w:rPr>
        <w:t>3.4.8</w:t>
      </w:r>
      <w:r>
        <w:rPr>
          <w:rFonts w:hint="eastAsia"/>
          <w:color w:val="auto"/>
          <w:lang w:val="en-US" w:eastAsia="zh-CN"/>
        </w:rPr>
        <w:t xml:space="preserve"> </w:t>
      </w:r>
      <w:r>
        <w:rPr>
          <w:rFonts w:hint="eastAsia"/>
          <w:color w:val="auto"/>
        </w:rPr>
        <w:t>车辆伤害</w:t>
      </w:r>
      <w:bookmarkEnd w:id="147"/>
    </w:p>
    <w:p w14:paraId="6C5043E7">
      <w:pPr>
        <w:bidi w:val="0"/>
        <w:rPr>
          <w:rFonts w:hint="eastAsia"/>
          <w:color w:val="auto"/>
        </w:rPr>
      </w:pPr>
      <w:r>
        <w:rPr>
          <w:rFonts w:hint="eastAsia"/>
          <w:color w:val="auto"/>
        </w:rPr>
        <w:t>由于项目施工过程中车辆在厂区出入频繁，如果道路施工不规范、无交通标志、车辆驾驶人违规驾驶车辆、违章指挥等均可能发生车辆伤害事故。</w:t>
      </w:r>
    </w:p>
    <w:p w14:paraId="50807174">
      <w:pPr>
        <w:pStyle w:val="4"/>
        <w:bidi w:val="0"/>
        <w:rPr>
          <w:rFonts w:hint="eastAsia"/>
          <w:color w:val="auto"/>
        </w:rPr>
      </w:pPr>
      <w:bookmarkStart w:id="148" w:name="_Toc11153"/>
      <w:r>
        <w:rPr>
          <w:rFonts w:hint="eastAsia"/>
          <w:color w:val="auto"/>
        </w:rPr>
        <w:t>3.4.9</w:t>
      </w:r>
      <w:r>
        <w:rPr>
          <w:rFonts w:hint="eastAsia"/>
          <w:color w:val="auto"/>
          <w:lang w:val="en-US" w:eastAsia="zh-CN"/>
        </w:rPr>
        <w:t xml:space="preserve"> </w:t>
      </w:r>
      <w:r>
        <w:rPr>
          <w:rFonts w:hint="eastAsia"/>
          <w:color w:val="auto"/>
        </w:rPr>
        <w:t>起重伤害</w:t>
      </w:r>
      <w:bookmarkEnd w:id="148"/>
    </w:p>
    <w:p w14:paraId="57A353B4">
      <w:pPr>
        <w:bidi w:val="0"/>
        <w:rPr>
          <w:rFonts w:hint="eastAsia"/>
          <w:color w:val="auto"/>
        </w:rPr>
      </w:pPr>
      <w:r>
        <w:rPr>
          <w:rFonts w:hint="eastAsia"/>
          <w:color w:val="auto"/>
        </w:rPr>
        <w:t>由于项目施工过程中使用起重设备进行设备安装，如果起重设备使用不规范、违规吊运、违章指挥等均可能发生起重伤害事故。</w:t>
      </w:r>
    </w:p>
    <w:p w14:paraId="2647D322">
      <w:pPr>
        <w:pStyle w:val="3"/>
        <w:bidi w:val="0"/>
        <w:rPr>
          <w:rFonts w:hint="eastAsia"/>
          <w:color w:val="auto"/>
        </w:rPr>
      </w:pPr>
      <w:bookmarkStart w:id="149" w:name="_Toc11705"/>
      <w:r>
        <w:rPr>
          <w:rFonts w:hint="eastAsia"/>
          <w:color w:val="auto"/>
        </w:rPr>
        <w:t>3.5 生产过程中的主要危险和有害因素辨识与分析</w:t>
      </w:r>
      <w:bookmarkEnd w:id="149"/>
    </w:p>
    <w:p w14:paraId="23212A7B">
      <w:pPr>
        <w:pStyle w:val="4"/>
        <w:bidi w:val="0"/>
        <w:rPr>
          <w:rFonts w:hint="eastAsia"/>
          <w:color w:val="auto"/>
        </w:rPr>
      </w:pPr>
      <w:bookmarkStart w:id="150" w:name="_Toc4706"/>
      <w:r>
        <w:rPr>
          <w:rFonts w:hint="eastAsia"/>
          <w:color w:val="auto"/>
        </w:rPr>
        <w:t>3.5.1 坍塌、滑坡</w:t>
      </w:r>
      <w:bookmarkEnd w:id="150"/>
    </w:p>
    <w:p w14:paraId="3D0073AF">
      <w:pPr>
        <w:bidi w:val="0"/>
        <w:rPr>
          <w:rFonts w:hint="eastAsia"/>
          <w:color w:val="auto"/>
        </w:rPr>
      </w:pPr>
      <w:r>
        <w:rPr>
          <w:rFonts w:hint="eastAsia"/>
          <w:color w:val="auto"/>
        </w:rPr>
        <w:t>坍塌是指物体在外力或重力作用下，超过自身的强度极限或因结构稳定性破坏而造成的事故。滑坡是指斜坡上的土体或者岩体，受河流冲刷、地下水活动、雨水浸泡、地震及人工切坡等因素影响，在重力作用下，沿着一定的软弱面或者软弱带，整体地或者分散地顺坡向下滑动的自然现象。拟建场地位于次不稳定区，为不均匀地基，建筑物易产生不均匀沉降变形，建、构筑物基础型式的选用不当或建构筑物强度不满足要求，会导致建构筑物变形甚至发生坍塌事故。拟建场地土对砼结构具微腐蚀性，对砼结构中钢结构具微腐蚀性，对钢结构具微腐蚀性，如基础未采取相应的防腐措施，可能导致坍塌。振动筛、球磨机械振动较大，若不采取适当措施，亦会引起坍塌。</w:t>
      </w:r>
      <w:r>
        <w:rPr>
          <w:rFonts w:hint="eastAsia"/>
          <w:color w:val="auto"/>
          <w:lang w:val="en-US" w:eastAsia="zh-CN"/>
        </w:rPr>
        <w:t>厂区存在边坡，</w:t>
      </w:r>
      <w:r>
        <w:rPr>
          <w:rFonts w:hint="eastAsia"/>
          <w:color w:val="auto"/>
        </w:rPr>
        <w:t>原矿堆场的原矿堆高过高、尾矿堆场尾矿堆积过高，雨季来临，会造成坍塌、滑坡。</w:t>
      </w:r>
    </w:p>
    <w:p w14:paraId="55F657F1">
      <w:pPr>
        <w:bidi w:val="0"/>
        <w:rPr>
          <w:rFonts w:hint="eastAsia"/>
          <w:color w:val="auto"/>
        </w:rPr>
      </w:pPr>
      <w:r>
        <w:rPr>
          <w:rFonts w:hint="eastAsia"/>
          <w:color w:val="auto"/>
        </w:rPr>
        <w:t>可能存在的部位：办公室、配电室、厂房等建筑物，原矿堆场、厂区周边。</w:t>
      </w:r>
    </w:p>
    <w:p w14:paraId="5F1A46C6">
      <w:pPr>
        <w:pStyle w:val="4"/>
        <w:bidi w:val="0"/>
        <w:rPr>
          <w:rFonts w:hint="eastAsia"/>
          <w:color w:val="auto"/>
        </w:rPr>
      </w:pPr>
      <w:bookmarkStart w:id="151" w:name="_Toc5625"/>
      <w:r>
        <w:rPr>
          <w:rFonts w:hint="eastAsia"/>
          <w:color w:val="auto"/>
        </w:rPr>
        <w:t>3.5.2 机械伤害</w:t>
      </w:r>
      <w:bookmarkEnd w:id="151"/>
    </w:p>
    <w:p w14:paraId="1CB0D214">
      <w:pPr>
        <w:bidi w:val="0"/>
        <w:rPr>
          <w:rFonts w:hint="eastAsia"/>
          <w:color w:val="auto"/>
        </w:rPr>
      </w:pPr>
      <w:r>
        <w:rPr>
          <w:rFonts w:hint="eastAsia"/>
          <w:color w:val="auto"/>
        </w:rPr>
        <w:t>机械伤害的伤害实质是机械能（动能和势能）的非正常做功、流动或转化，导致对人员的接触性伤害，易造成作业人员夹挤、碾压、剪切、切割、缠绕或卷入、戳扎或刺伤、摩擦等。造成机械伤害的主要因素有：</w:t>
      </w:r>
    </w:p>
    <w:p w14:paraId="2B434DE4">
      <w:pPr>
        <w:bidi w:val="0"/>
        <w:rPr>
          <w:rFonts w:hint="eastAsia"/>
          <w:color w:val="auto"/>
        </w:rPr>
      </w:pPr>
      <w:r>
        <w:rPr>
          <w:rFonts w:hint="eastAsia"/>
          <w:color w:val="auto"/>
        </w:rPr>
        <w:t>1、违章作业或操作不当，不停电对机械设备进行检维修；</w:t>
      </w:r>
    </w:p>
    <w:p w14:paraId="3FD901E8">
      <w:pPr>
        <w:bidi w:val="0"/>
        <w:rPr>
          <w:rFonts w:hint="eastAsia"/>
          <w:color w:val="auto"/>
        </w:rPr>
      </w:pPr>
      <w:r>
        <w:rPr>
          <w:rFonts w:hint="eastAsia"/>
          <w:color w:val="auto"/>
        </w:rPr>
        <w:t>2、选用的设备在设计上存在先天不足（如强度不够、刚度不够、稳定性差、操纵器缺陷、制动器缺陷等）；</w:t>
      </w:r>
    </w:p>
    <w:p w14:paraId="2A5D6964">
      <w:pPr>
        <w:bidi w:val="0"/>
        <w:rPr>
          <w:rFonts w:hint="eastAsia"/>
          <w:color w:val="auto"/>
        </w:rPr>
      </w:pPr>
      <w:r>
        <w:rPr>
          <w:rFonts w:hint="eastAsia"/>
          <w:color w:val="auto"/>
        </w:rPr>
        <w:t>3、各车间设备平面布置安全间距不足；</w:t>
      </w:r>
    </w:p>
    <w:p w14:paraId="661AAC86">
      <w:pPr>
        <w:bidi w:val="0"/>
        <w:rPr>
          <w:rFonts w:hint="eastAsia"/>
          <w:color w:val="auto"/>
        </w:rPr>
      </w:pPr>
      <w:r>
        <w:rPr>
          <w:rFonts w:hint="eastAsia"/>
          <w:color w:val="auto"/>
        </w:rPr>
        <w:t>4、机械设备安全防护缺陷（无防护、防护装置和设施缺陷、防护不当等）或损坏或被拆除等，导致事故发生；</w:t>
      </w:r>
    </w:p>
    <w:p w14:paraId="3BE55E3D">
      <w:pPr>
        <w:bidi w:val="0"/>
        <w:rPr>
          <w:rFonts w:hint="eastAsia"/>
          <w:color w:val="auto"/>
        </w:rPr>
      </w:pPr>
      <w:r>
        <w:rPr>
          <w:rFonts w:hint="eastAsia"/>
          <w:color w:val="auto"/>
        </w:rPr>
        <w:t>5、在设备的检修时，机器突然意外启动，导致事故发生；</w:t>
      </w:r>
    </w:p>
    <w:p w14:paraId="17BAB957">
      <w:pPr>
        <w:bidi w:val="0"/>
        <w:rPr>
          <w:rFonts w:hint="eastAsia"/>
          <w:color w:val="auto"/>
        </w:rPr>
      </w:pPr>
      <w:r>
        <w:rPr>
          <w:rFonts w:hint="eastAsia"/>
          <w:color w:val="auto"/>
        </w:rPr>
        <w:t>6、联锁局部操作的胶带输送机长度超过40m时，未设置启动预示信号（信号灯或电铃）；</w:t>
      </w:r>
    </w:p>
    <w:p w14:paraId="5D12D96C">
      <w:pPr>
        <w:bidi w:val="0"/>
        <w:rPr>
          <w:rFonts w:hint="eastAsia"/>
          <w:color w:val="auto"/>
        </w:rPr>
      </w:pPr>
      <w:r>
        <w:rPr>
          <w:rFonts w:hint="eastAsia"/>
          <w:color w:val="auto"/>
        </w:rPr>
        <w:t>7、操作人员疏忽大意，身体进入机械危险部位；</w:t>
      </w:r>
    </w:p>
    <w:p w14:paraId="33762FB0">
      <w:pPr>
        <w:bidi w:val="0"/>
        <w:rPr>
          <w:rFonts w:hint="eastAsia"/>
          <w:color w:val="auto"/>
        </w:rPr>
      </w:pPr>
      <w:r>
        <w:rPr>
          <w:rFonts w:hint="eastAsia"/>
          <w:color w:val="auto"/>
        </w:rPr>
        <w:t>8、在不安全的机械上停留、休息，导致事故发生；</w:t>
      </w:r>
    </w:p>
    <w:p w14:paraId="164B251C">
      <w:pPr>
        <w:bidi w:val="0"/>
        <w:rPr>
          <w:rFonts w:hint="eastAsia"/>
          <w:color w:val="auto"/>
        </w:rPr>
      </w:pPr>
      <w:r>
        <w:rPr>
          <w:rFonts w:hint="eastAsia"/>
          <w:color w:val="auto"/>
        </w:rPr>
        <w:t>9、作业人员违章操作，穿戴不符合安全规定的劳动防护用品进行操作；</w:t>
      </w:r>
    </w:p>
    <w:p w14:paraId="49AE39B9">
      <w:pPr>
        <w:bidi w:val="0"/>
        <w:rPr>
          <w:rFonts w:hint="eastAsia"/>
          <w:color w:val="auto"/>
        </w:rPr>
      </w:pPr>
      <w:r>
        <w:rPr>
          <w:rFonts w:hint="eastAsia"/>
          <w:color w:val="auto"/>
        </w:rPr>
        <w:t>10、安全管理存在疏漏（如：信号缺陷、标志缺陷、安全操作规程不规范等）。</w:t>
      </w:r>
    </w:p>
    <w:p w14:paraId="09F703F9">
      <w:pPr>
        <w:bidi w:val="0"/>
        <w:rPr>
          <w:rFonts w:hint="eastAsia"/>
          <w:color w:val="auto"/>
        </w:rPr>
      </w:pPr>
      <w:r>
        <w:rPr>
          <w:rFonts w:hint="eastAsia"/>
          <w:color w:val="auto"/>
        </w:rPr>
        <w:t>可能存在的部位：该项目在生产及检维修过程中，</w:t>
      </w:r>
      <w:r>
        <w:rPr>
          <w:rFonts w:hint="eastAsia"/>
          <w:color w:val="auto"/>
          <w:lang w:val="en-US" w:eastAsia="zh-CN"/>
        </w:rPr>
        <w:t>振动筛</w:t>
      </w:r>
      <w:r>
        <w:rPr>
          <w:rFonts w:hint="eastAsia"/>
          <w:color w:val="auto"/>
        </w:rPr>
        <w:t>、球磨机等设备机械伤害最容易发生，设备电动机的连轴器、传动部位和皮带轮等旋转运动等处。</w:t>
      </w:r>
    </w:p>
    <w:p w14:paraId="7DDC2791">
      <w:pPr>
        <w:pStyle w:val="4"/>
        <w:bidi w:val="0"/>
        <w:rPr>
          <w:rFonts w:hint="eastAsia"/>
          <w:color w:val="auto"/>
        </w:rPr>
      </w:pPr>
      <w:bookmarkStart w:id="152" w:name="_Toc23986"/>
      <w:r>
        <w:rPr>
          <w:rFonts w:hint="eastAsia"/>
          <w:color w:val="auto"/>
        </w:rPr>
        <w:t>3.5.3 车辆伤害</w:t>
      </w:r>
      <w:bookmarkEnd w:id="152"/>
    </w:p>
    <w:p w14:paraId="402F7367">
      <w:pPr>
        <w:bidi w:val="0"/>
        <w:rPr>
          <w:rFonts w:hint="eastAsia"/>
          <w:color w:val="auto"/>
        </w:rPr>
      </w:pPr>
      <w:r>
        <w:rPr>
          <w:rFonts w:hint="eastAsia"/>
          <w:color w:val="auto"/>
        </w:rPr>
        <w:t>厂内原矿、精矿等进出场均需采用汽车运输，原矿、精矿需要装载机转运、装车，车辆出入频繁，可能发生撞车、翻车、碾压等车辆伤害事故。引发车辆伤害事故的原因有以下几方面：</w:t>
      </w:r>
    </w:p>
    <w:p w14:paraId="5BC7A13B">
      <w:pPr>
        <w:bidi w:val="0"/>
        <w:rPr>
          <w:rFonts w:hint="eastAsia"/>
          <w:color w:val="auto"/>
        </w:rPr>
      </w:pPr>
      <w:r>
        <w:rPr>
          <w:rFonts w:hint="eastAsia"/>
          <w:color w:val="auto"/>
        </w:rPr>
        <w:t>1、违章驾车：车辆驾驶人不按有关规定行驶，违章驾车，如酒后驾车、疲劳驾车、无证驾车、超速行驶、争道抢行、违章超车、违章装载等；</w:t>
      </w:r>
    </w:p>
    <w:p w14:paraId="7CE4B5B5">
      <w:pPr>
        <w:bidi w:val="0"/>
        <w:rPr>
          <w:rFonts w:hint="eastAsia"/>
          <w:color w:val="auto"/>
        </w:rPr>
      </w:pPr>
      <w:r>
        <w:rPr>
          <w:rFonts w:hint="eastAsia"/>
          <w:color w:val="auto"/>
        </w:rPr>
        <w:t>2、疏忽大意：指当事人由于心理或生理方面的原因，情绪急躁、精神分散、心理烦乱、身体不适等造成注意力下降，反应迟钝，没有及时、正确的观察和判断道路情况，遇到情况采取措施不及时或不当，过高估计自己的经验技术，引起操作失误导致事故；</w:t>
      </w:r>
    </w:p>
    <w:p w14:paraId="6030959D">
      <w:pPr>
        <w:bidi w:val="0"/>
        <w:rPr>
          <w:rFonts w:hint="eastAsia"/>
          <w:color w:val="auto"/>
        </w:rPr>
      </w:pPr>
      <w:r>
        <w:rPr>
          <w:rFonts w:hint="eastAsia"/>
          <w:color w:val="auto"/>
        </w:rPr>
        <w:t>3、车况不良：安全装置不齐全、工作装置不可靠、安全防护装置不可靠、车辆维护修理不及时，带</w:t>
      </w:r>
      <w:r>
        <w:rPr>
          <w:rFonts w:hint="eastAsia"/>
          <w:color w:val="auto"/>
          <w:lang w:eastAsia="zh-CN"/>
        </w:rPr>
        <w:t>“</w:t>
      </w:r>
      <w:r>
        <w:rPr>
          <w:rFonts w:hint="eastAsia"/>
          <w:color w:val="auto"/>
        </w:rPr>
        <w:t>病</w:t>
      </w:r>
      <w:r>
        <w:rPr>
          <w:rFonts w:hint="eastAsia"/>
          <w:color w:val="auto"/>
          <w:lang w:eastAsia="zh-CN"/>
        </w:rPr>
        <w:t>”</w:t>
      </w:r>
      <w:r>
        <w:rPr>
          <w:rFonts w:hint="eastAsia"/>
          <w:color w:val="auto"/>
        </w:rPr>
        <w:t>行驶；</w:t>
      </w:r>
    </w:p>
    <w:p w14:paraId="1C30CF4B">
      <w:pPr>
        <w:bidi w:val="0"/>
        <w:rPr>
          <w:rFonts w:hint="eastAsia"/>
          <w:color w:val="auto"/>
        </w:rPr>
      </w:pPr>
      <w:r>
        <w:rPr>
          <w:rFonts w:hint="eastAsia"/>
          <w:color w:val="auto"/>
        </w:rPr>
        <w:t>4、道路环境：气候条件恶劣，厂区道路狭窄，交叉和弯道较多，坡度大，驾驶员视距、视野受限，盲区较多，不便及时观察掌握来车动态，易发生车辆伤害；</w:t>
      </w:r>
    </w:p>
    <w:p w14:paraId="2BCE37E6">
      <w:pPr>
        <w:bidi w:val="0"/>
        <w:rPr>
          <w:rFonts w:hint="eastAsia"/>
          <w:color w:val="auto"/>
        </w:rPr>
      </w:pPr>
      <w:r>
        <w:rPr>
          <w:rFonts w:hint="eastAsia"/>
          <w:color w:val="auto"/>
        </w:rPr>
        <w:t>5、管理因素：车辆安全驾驶制度不落实，管理规章制度或操作规程不健全等。</w:t>
      </w:r>
    </w:p>
    <w:p w14:paraId="7435D5F2">
      <w:pPr>
        <w:bidi w:val="0"/>
        <w:rPr>
          <w:rFonts w:hint="eastAsia"/>
          <w:color w:val="auto"/>
        </w:rPr>
      </w:pPr>
      <w:r>
        <w:rPr>
          <w:rFonts w:hint="eastAsia"/>
          <w:color w:val="auto"/>
        </w:rPr>
        <w:t>可能存在的部位：本项目可能发生车辆伤害的设施、环节（区域）主要是：原矿堆场、产品堆场、厂区道路、物料运输过程等。</w:t>
      </w:r>
    </w:p>
    <w:p w14:paraId="706E4D60">
      <w:pPr>
        <w:pStyle w:val="4"/>
        <w:bidi w:val="0"/>
        <w:rPr>
          <w:rFonts w:hint="eastAsia"/>
          <w:color w:val="auto"/>
        </w:rPr>
      </w:pPr>
      <w:bookmarkStart w:id="153" w:name="_Toc6519"/>
      <w:r>
        <w:rPr>
          <w:rFonts w:hint="eastAsia"/>
          <w:color w:val="auto"/>
        </w:rPr>
        <w:t>3.5.4 触电</w:t>
      </w:r>
      <w:bookmarkEnd w:id="153"/>
    </w:p>
    <w:p w14:paraId="2C0E6952">
      <w:pPr>
        <w:bidi w:val="0"/>
        <w:rPr>
          <w:rFonts w:hint="eastAsia"/>
          <w:color w:val="auto"/>
        </w:rPr>
      </w:pPr>
      <w:r>
        <w:rPr>
          <w:rFonts w:hint="eastAsia"/>
          <w:color w:val="auto"/>
        </w:rPr>
        <w:t>触电伤害是电能作用于人体造成的伤害，电气伤害事故以触电伤害最为常见。本项目的生产装置配套的配电柜、电气设备、电器开关、电缆及其敷设，可能因接零、接地及屏护措施不完善、耐腐蚀性能差、耐压强度低等原因造成漏电而发生触电事故。</w:t>
      </w:r>
    </w:p>
    <w:p w14:paraId="6DF207C2">
      <w:pPr>
        <w:bidi w:val="0"/>
        <w:rPr>
          <w:rFonts w:hint="eastAsia"/>
          <w:color w:val="auto"/>
        </w:rPr>
      </w:pPr>
      <w:r>
        <w:rPr>
          <w:rFonts w:hint="eastAsia"/>
          <w:color w:val="auto"/>
        </w:rPr>
        <w:t>造成人员触电原因有：</w:t>
      </w:r>
    </w:p>
    <w:p w14:paraId="56B902E7">
      <w:pPr>
        <w:bidi w:val="0"/>
        <w:rPr>
          <w:rFonts w:hint="eastAsia"/>
          <w:color w:val="auto"/>
        </w:rPr>
      </w:pPr>
      <w:r>
        <w:rPr>
          <w:rFonts w:hint="eastAsia"/>
          <w:color w:val="auto"/>
        </w:rPr>
        <w:t>1、未填写操作票或未执行监护制度，线路或电气设备工作完毕，未办理工作票终结手续，就对停电设备恢复送电，工作人员擅自扩大工作范围；</w:t>
      </w:r>
    </w:p>
    <w:p w14:paraId="472DB36B">
      <w:pPr>
        <w:bidi w:val="0"/>
        <w:rPr>
          <w:rFonts w:hint="eastAsia"/>
          <w:color w:val="auto"/>
        </w:rPr>
      </w:pPr>
      <w:r>
        <w:rPr>
          <w:rFonts w:hint="eastAsia"/>
          <w:color w:val="auto"/>
        </w:rPr>
        <w:t>2、违章带电作业，直接触及带电体，导致触电；</w:t>
      </w:r>
    </w:p>
    <w:p w14:paraId="50DBFA0A">
      <w:pPr>
        <w:bidi w:val="0"/>
        <w:rPr>
          <w:rFonts w:hint="eastAsia"/>
          <w:color w:val="auto"/>
        </w:rPr>
      </w:pPr>
      <w:r>
        <w:rPr>
          <w:rFonts w:hint="eastAsia"/>
          <w:color w:val="auto"/>
        </w:rPr>
        <w:t>3、未使用安全防护用品或使用的绝缘工具和电气工具不合格；</w:t>
      </w:r>
    </w:p>
    <w:p w14:paraId="2851E1F7">
      <w:pPr>
        <w:bidi w:val="0"/>
        <w:rPr>
          <w:rFonts w:hint="eastAsia"/>
          <w:color w:val="auto"/>
        </w:rPr>
      </w:pPr>
      <w:r>
        <w:rPr>
          <w:rFonts w:hint="eastAsia"/>
          <w:color w:val="auto"/>
        </w:rPr>
        <w:t>4、因管理不当、设备老化、绝缘降低而漏电，致使触电；</w:t>
      </w:r>
    </w:p>
    <w:p w14:paraId="06ADC716">
      <w:pPr>
        <w:bidi w:val="0"/>
        <w:rPr>
          <w:rFonts w:hint="eastAsia"/>
          <w:color w:val="auto"/>
        </w:rPr>
      </w:pPr>
      <w:r>
        <w:rPr>
          <w:rFonts w:hint="eastAsia"/>
          <w:color w:val="auto"/>
        </w:rPr>
        <w:t>5、人员不按电气安全工作规定对停电后可能产生感应电压的设备不挂临时地线，对高压电缆、电力变压器、电容开关柜及大电动机等电气设备停电检修前未进行充分放电而造成感电压、剩余电压触电；</w:t>
      </w:r>
    </w:p>
    <w:p w14:paraId="016C4F42">
      <w:pPr>
        <w:bidi w:val="0"/>
        <w:rPr>
          <w:rFonts w:hint="eastAsia"/>
          <w:color w:val="auto"/>
        </w:rPr>
      </w:pPr>
      <w:r>
        <w:rPr>
          <w:rFonts w:hint="eastAsia"/>
          <w:color w:val="auto"/>
        </w:rPr>
        <w:t>6、临时用电管理不规范，乱搭乱接，造成触电；</w:t>
      </w:r>
    </w:p>
    <w:p w14:paraId="3143BE27">
      <w:pPr>
        <w:bidi w:val="0"/>
        <w:rPr>
          <w:rFonts w:hint="eastAsia"/>
          <w:color w:val="auto"/>
        </w:rPr>
      </w:pPr>
      <w:r>
        <w:rPr>
          <w:rFonts w:hint="eastAsia"/>
          <w:color w:val="auto"/>
        </w:rPr>
        <w:t>7、在带电设备附近进行作业，安全距离不符合要求或无监护；</w:t>
      </w:r>
    </w:p>
    <w:p w14:paraId="4AA86D82">
      <w:pPr>
        <w:bidi w:val="0"/>
        <w:rPr>
          <w:rFonts w:hint="eastAsia"/>
          <w:color w:val="auto"/>
        </w:rPr>
      </w:pPr>
      <w:r>
        <w:rPr>
          <w:rFonts w:hint="eastAsia"/>
          <w:color w:val="auto"/>
        </w:rPr>
        <w:t>8、跨越安全围栏或超越安全警戒线，工作人员走错间隔误碰带电设备，以及在带电设备附近使用钢卷尺等进行测量或携带金属在带电设备下行走；</w:t>
      </w:r>
    </w:p>
    <w:p w14:paraId="64324F8A">
      <w:pPr>
        <w:bidi w:val="0"/>
        <w:rPr>
          <w:rFonts w:hint="eastAsia"/>
          <w:color w:val="auto"/>
        </w:rPr>
      </w:pPr>
      <w:r>
        <w:rPr>
          <w:rFonts w:hint="eastAsia"/>
          <w:color w:val="auto"/>
        </w:rPr>
        <w:t>9、线路磨损、绝缘层损坏使外壳带电，设备缺少漏电保护等防护装置；</w:t>
      </w:r>
    </w:p>
    <w:p w14:paraId="6C5A0DBA">
      <w:pPr>
        <w:bidi w:val="0"/>
        <w:rPr>
          <w:rFonts w:hint="eastAsia"/>
          <w:color w:val="auto"/>
        </w:rPr>
      </w:pPr>
      <w:r>
        <w:rPr>
          <w:rFonts w:hint="eastAsia"/>
          <w:color w:val="auto"/>
        </w:rPr>
        <w:t>10、作业人员无证上岗；</w:t>
      </w:r>
    </w:p>
    <w:p w14:paraId="636118BE">
      <w:pPr>
        <w:bidi w:val="0"/>
        <w:rPr>
          <w:rFonts w:hint="eastAsia"/>
          <w:color w:val="auto"/>
        </w:rPr>
      </w:pPr>
      <w:r>
        <w:rPr>
          <w:rFonts w:hint="eastAsia"/>
          <w:color w:val="auto"/>
        </w:rPr>
        <w:t>11、缺少标志或标志不明显；</w:t>
      </w:r>
    </w:p>
    <w:p w14:paraId="2FA728E5">
      <w:pPr>
        <w:bidi w:val="0"/>
        <w:rPr>
          <w:rFonts w:hint="eastAsia"/>
          <w:color w:val="auto"/>
        </w:rPr>
      </w:pPr>
      <w:r>
        <w:rPr>
          <w:rFonts w:hint="eastAsia"/>
          <w:color w:val="auto"/>
        </w:rPr>
        <w:t>12、使用电动工具金属外壳不接地，不戴绝缘手套；</w:t>
      </w:r>
    </w:p>
    <w:p w14:paraId="55F4969F">
      <w:pPr>
        <w:bidi w:val="0"/>
        <w:rPr>
          <w:rFonts w:hint="eastAsia"/>
          <w:color w:val="auto"/>
        </w:rPr>
      </w:pPr>
      <w:r>
        <w:rPr>
          <w:rFonts w:hint="eastAsia"/>
          <w:color w:val="auto"/>
        </w:rPr>
        <w:t>13、在潮湿地区、金属容器内工作不穿绝缘鞋、无绝缘垫、无监护人；</w:t>
      </w:r>
    </w:p>
    <w:p w14:paraId="140045CC">
      <w:pPr>
        <w:bidi w:val="0"/>
        <w:rPr>
          <w:rFonts w:hint="eastAsia"/>
          <w:color w:val="auto"/>
        </w:rPr>
      </w:pPr>
      <w:r>
        <w:rPr>
          <w:rFonts w:hint="eastAsia"/>
          <w:color w:val="auto"/>
        </w:rPr>
        <w:t>14、电气作业的安全管理工作存在漏洞；</w:t>
      </w:r>
    </w:p>
    <w:p w14:paraId="29911E9A">
      <w:pPr>
        <w:bidi w:val="0"/>
        <w:rPr>
          <w:rFonts w:hint="eastAsia"/>
          <w:color w:val="auto"/>
        </w:rPr>
      </w:pPr>
      <w:r>
        <w:rPr>
          <w:rFonts w:hint="eastAsia"/>
          <w:color w:val="auto"/>
        </w:rPr>
        <w:t>15、未按规范装设接地线或地线失效。</w:t>
      </w:r>
    </w:p>
    <w:p w14:paraId="452C14BE">
      <w:pPr>
        <w:bidi w:val="0"/>
        <w:rPr>
          <w:rFonts w:hint="eastAsia"/>
          <w:color w:val="auto"/>
        </w:rPr>
      </w:pPr>
      <w:r>
        <w:rPr>
          <w:rFonts w:hint="eastAsia"/>
          <w:color w:val="auto"/>
        </w:rPr>
        <w:t>可能存在的部位：工艺过程中的各用电设备、配电室、控制柜。</w:t>
      </w:r>
    </w:p>
    <w:p w14:paraId="4B81CC02">
      <w:pPr>
        <w:pStyle w:val="4"/>
        <w:bidi w:val="0"/>
        <w:rPr>
          <w:rFonts w:hint="eastAsia"/>
          <w:color w:val="auto"/>
        </w:rPr>
      </w:pPr>
      <w:bookmarkStart w:id="154" w:name="_Toc19976"/>
      <w:r>
        <w:rPr>
          <w:rFonts w:hint="eastAsia"/>
          <w:color w:val="auto"/>
        </w:rPr>
        <w:t>3.5.5 物体打击</w:t>
      </w:r>
      <w:bookmarkEnd w:id="154"/>
    </w:p>
    <w:p w14:paraId="1E6FC072">
      <w:pPr>
        <w:bidi w:val="0"/>
        <w:rPr>
          <w:rFonts w:hint="eastAsia"/>
          <w:color w:val="auto"/>
        </w:rPr>
      </w:pPr>
      <w:r>
        <w:rPr>
          <w:rFonts w:hint="eastAsia"/>
          <w:color w:val="auto"/>
        </w:rPr>
        <w:t>物体打击是指物体在重力或其他外力的作用下产生运动，打击人体造成人身伤亡事故。造成物体打击的可能原因有：</w:t>
      </w:r>
    </w:p>
    <w:p w14:paraId="74492FE3">
      <w:pPr>
        <w:bidi w:val="0"/>
        <w:rPr>
          <w:rFonts w:hint="eastAsia"/>
          <w:color w:val="auto"/>
        </w:rPr>
      </w:pPr>
      <w:r>
        <w:rPr>
          <w:rFonts w:hint="eastAsia"/>
          <w:color w:val="auto"/>
        </w:rPr>
        <w:t>1、检维修设备时工器具、物件无防坠措施或摆放不稳；</w:t>
      </w:r>
    </w:p>
    <w:p w14:paraId="7D0F4866">
      <w:pPr>
        <w:bidi w:val="0"/>
        <w:rPr>
          <w:rFonts w:hint="eastAsia"/>
          <w:color w:val="auto"/>
        </w:rPr>
      </w:pPr>
      <w:r>
        <w:rPr>
          <w:rFonts w:hint="eastAsia"/>
          <w:color w:val="auto"/>
        </w:rPr>
        <w:t>2、平台、临边安全防护设施不完善；</w:t>
      </w:r>
    </w:p>
    <w:p w14:paraId="47913CD3">
      <w:pPr>
        <w:bidi w:val="0"/>
        <w:rPr>
          <w:rFonts w:hint="eastAsia"/>
          <w:color w:val="auto"/>
        </w:rPr>
      </w:pPr>
      <w:r>
        <w:rPr>
          <w:rFonts w:hint="eastAsia"/>
          <w:color w:val="auto"/>
        </w:rPr>
        <w:t>3、进入作业现场没有按要求安全帽；</w:t>
      </w:r>
    </w:p>
    <w:p w14:paraId="67D2DAB2">
      <w:pPr>
        <w:bidi w:val="0"/>
        <w:rPr>
          <w:rFonts w:hint="eastAsia"/>
          <w:color w:val="auto"/>
        </w:rPr>
      </w:pPr>
      <w:r>
        <w:rPr>
          <w:rFonts w:hint="eastAsia"/>
          <w:color w:val="auto"/>
        </w:rPr>
        <w:t>可能存在的部位：</w:t>
      </w:r>
      <w:r>
        <w:rPr>
          <w:rFonts w:hint="eastAsia"/>
          <w:color w:val="auto"/>
          <w:lang w:val="en-US" w:eastAsia="zh-CN"/>
        </w:rPr>
        <w:t>选矿</w:t>
      </w:r>
      <w:r>
        <w:rPr>
          <w:rFonts w:hint="eastAsia"/>
          <w:color w:val="auto"/>
        </w:rPr>
        <w:t>车间平台、脱水车间平台及检修现场等。</w:t>
      </w:r>
    </w:p>
    <w:p w14:paraId="53380E6F">
      <w:pPr>
        <w:pStyle w:val="4"/>
        <w:bidi w:val="0"/>
        <w:rPr>
          <w:rFonts w:hint="eastAsia"/>
          <w:color w:val="auto"/>
        </w:rPr>
      </w:pPr>
      <w:bookmarkStart w:id="155" w:name="_Toc22185"/>
      <w:r>
        <w:rPr>
          <w:rFonts w:hint="eastAsia"/>
          <w:color w:val="auto"/>
        </w:rPr>
        <w:t>3.5.6 高处坠落</w:t>
      </w:r>
      <w:bookmarkEnd w:id="155"/>
    </w:p>
    <w:p w14:paraId="7AC08B17">
      <w:pPr>
        <w:bidi w:val="0"/>
        <w:rPr>
          <w:rFonts w:hint="eastAsia"/>
          <w:color w:val="auto"/>
        </w:rPr>
      </w:pPr>
      <w:r>
        <w:rPr>
          <w:rFonts w:hint="eastAsia"/>
          <w:color w:val="auto"/>
        </w:rPr>
        <w:t>根据坠落高度基准面，最低坠落的着落点水平面高度在2m以上的高度时，就需要有防止人员坠落的措施。该项目在生产过程中对生产车间内的设备、设施的维护和检修及其它临时性作业过程中存在高处作业，因此可能发生高处坠落事故。造成高处坠落事故的主要原因有：</w:t>
      </w:r>
    </w:p>
    <w:p w14:paraId="4B8CD41A">
      <w:pPr>
        <w:bidi w:val="0"/>
        <w:rPr>
          <w:rFonts w:hint="eastAsia"/>
          <w:color w:val="auto"/>
        </w:rPr>
      </w:pPr>
      <w:r>
        <w:rPr>
          <w:rFonts w:hint="eastAsia"/>
          <w:color w:val="auto"/>
        </w:rPr>
        <w:t>1、高处作业的平台、梯子等不符合规定或有缺陷造成高处坠落；</w:t>
      </w:r>
    </w:p>
    <w:p w14:paraId="058F7ADE">
      <w:pPr>
        <w:bidi w:val="0"/>
        <w:rPr>
          <w:rFonts w:hint="eastAsia"/>
          <w:color w:val="auto"/>
        </w:rPr>
      </w:pPr>
      <w:r>
        <w:rPr>
          <w:rFonts w:hint="eastAsia"/>
          <w:color w:val="auto"/>
        </w:rPr>
        <w:t>2、孔洞未封闭，导致高处跌落；</w:t>
      </w:r>
    </w:p>
    <w:p w14:paraId="0F0E04F8">
      <w:pPr>
        <w:bidi w:val="0"/>
        <w:rPr>
          <w:rFonts w:hint="eastAsia"/>
          <w:color w:val="auto"/>
        </w:rPr>
      </w:pPr>
      <w:r>
        <w:rPr>
          <w:rFonts w:hint="eastAsia"/>
          <w:color w:val="auto"/>
        </w:rPr>
        <w:t>3、未设防护装置（安全网、栏杆）或防护装置不符合安全要求，未佩戴个人防护用品（安全带）；</w:t>
      </w:r>
    </w:p>
    <w:p w14:paraId="57660A88">
      <w:pPr>
        <w:bidi w:val="0"/>
        <w:rPr>
          <w:rFonts w:hint="eastAsia"/>
          <w:color w:val="auto"/>
        </w:rPr>
      </w:pPr>
      <w:r>
        <w:rPr>
          <w:rFonts w:hint="eastAsia"/>
          <w:color w:val="auto"/>
        </w:rPr>
        <w:t>4、作业人员疲劳、心理异常、健康状况异常等；</w:t>
      </w:r>
    </w:p>
    <w:p w14:paraId="6C04F632">
      <w:pPr>
        <w:bidi w:val="0"/>
        <w:rPr>
          <w:rFonts w:hint="eastAsia"/>
          <w:color w:val="auto"/>
        </w:rPr>
      </w:pPr>
      <w:r>
        <w:rPr>
          <w:rFonts w:hint="eastAsia"/>
          <w:color w:val="auto"/>
        </w:rPr>
        <w:t>5、未办理高处作业手续；</w:t>
      </w:r>
    </w:p>
    <w:p w14:paraId="3F4CDEFC">
      <w:pPr>
        <w:bidi w:val="0"/>
        <w:rPr>
          <w:rFonts w:hint="eastAsia"/>
          <w:color w:val="auto"/>
        </w:rPr>
      </w:pPr>
      <w:r>
        <w:rPr>
          <w:rFonts w:hint="eastAsia"/>
          <w:color w:val="auto"/>
        </w:rPr>
        <w:t>6、在恶劣的天气（在6级以上的大风、暴雨、大雾等恶劣天气）进行露天高处作业等；</w:t>
      </w:r>
    </w:p>
    <w:p w14:paraId="2A393508">
      <w:pPr>
        <w:bidi w:val="0"/>
        <w:rPr>
          <w:rFonts w:hint="eastAsia"/>
          <w:color w:val="auto"/>
        </w:rPr>
      </w:pPr>
      <w:r>
        <w:rPr>
          <w:rFonts w:hint="eastAsia"/>
          <w:color w:val="auto"/>
        </w:rPr>
        <w:t>7、生产工艺有缺陷，高处作业安全管理不到位。</w:t>
      </w:r>
    </w:p>
    <w:p w14:paraId="073C9D48">
      <w:pPr>
        <w:bidi w:val="0"/>
        <w:rPr>
          <w:rFonts w:hint="eastAsia"/>
          <w:color w:val="auto"/>
        </w:rPr>
      </w:pPr>
      <w:r>
        <w:rPr>
          <w:rFonts w:hint="eastAsia"/>
          <w:color w:val="auto"/>
        </w:rPr>
        <w:t>可能存在的部位：原料堆场平台、磨矿平台、重选车间平台等高于2m的作业平台。</w:t>
      </w:r>
    </w:p>
    <w:p w14:paraId="5C4181F5">
      <w:pPr>
        <w:pStyle w:val="4"/>
        <w:bidi w:val="0"/>
        <w:rPr>
          <w:rFonts w:hint="eastAsia"/>
          <w:color w:val="auto"/>
        </w:rPr>
      </w:pPr>
      <w:bookmarkStart w:id="156" w:name="_Toc28667"/>
      <w:r>
        <w:rPr>
          <w:rFonts w:hint="eastAsia"/>
          <w:color w:val="auto"/>
        </w:rPr>
        <w:t>3.5.7 火灾、爆炸</w:t>
      </w:r>
      <w:bookmarkEnd w:id="156"/>
    </w:p>
    <w:p w14:paraId="221366AD">
      <w:pPr>
        <w:bidi w:val="0"/>
        <w:rPr>
          <w:rFonts w:hint="eastAsia"/>
          <w:color w:val="auto"/>
        </w:rPr>
      </w:pPr>
      <w:r>
        <w:rPr>
          <w:rFonts w:hint="eastAsia"/>
          <w:color w:val="auto"/>
        </w:rPr>
        <w:t>1、变压器火灾</w:t>
      </w:r>
    </w:p>
    <w:p w14:paraId="41813415">
      <w:pPr>
        <w:bidi w:val="0"/>
        <w:rPr>
          <w:rFonts w:hint="eastAsia"/>
          <w:color w:val="auto"/>
        </w:rPr>
      </w:pPr>
      <w:r>
        <w:rPr>
          <w:rFonts w:hint="eastAsia"/>
          <w:color w:val="auto"/>
        </w:rPr>
        <w:t>变压器油是变压器火灾、爆炸事故的主要根源。当变压器内部发生短路产生电弧，在电弧高温作用下，油被分解气化爆燃，使变压器外壳爆裂，大量喷油着火。</w:t>
      </w:r>
    </w:p>
    <w:p w14:paraId="496DDEC4">
      <w:pPr>
        <w:bidi w:val="0"/>
        <w:rPr>
          <w:rFonts w:hint="eastAsia"/>
          <w:color w:val="auto"/>
        </w:rPr>
      </w:pPr>
      <w:r>
        <w:rPr>
          <w:rFonts w:hint="eastAsia"/>
          <w:color w:val="auto"/>
        </w:rPr>
        <w:t>变压器的其它绝缘材料如电缆线、漆布、木材、黄漆布带、棉布、棉纱、浸渍纸等属可燃物质，在变压器长时间过载发热、短路或其它异常情况下，均易着火。</w:t>
      </w:r>
    </w:p>
    <w:p w14:paraId="37A0F9B9">
      <w:pPr>
        <w:bidi w:val="0"/>
        <w:rPr>
          <w:rFonts w:hint="eastAsia"/>
          <w:color w:val="auto"/>
        </w:rPr>
      </w:pPr>
      <w:r>
        <w:rPr>
          <w:rFonts w:hint="eastAsia"/>
          <w:color w:val="auto"/>
        </w:rPr>
        <w:t>造成变压器绝缘损伤短路、产生电弧的主要原因有：</w:t>
      </w:r>
    </w:p>
    <w:p w14:paraId="26347549">
      <w:pPr>
        <w:bidi w:val="0"/>
        <w:rPr>
          <w:rFonts w:hint="eastAsia"/>
          <w:color w:val="auto"/>
        </w:rPr>
      </w:pPr>
      <w:r>
        <w:rPr>
          <w:rFonts w:hint="eastAsia"/>
          <w:color w:val="auto"/>
        </w:rPr>
        <w:t>（1）变压器里的绝缘材料如电缆纸、棉纱、布料、木块等长期在较高温度作用下逐步老化，使绝缘强度降低，引起线圈匝间短路。</w:t>
      </w:r>
    </w:p>
    <w:p w14:paraId="0DE9BB8B">
      <w:pPr>
        <w:bidi w:val="0"/>
        <w:rPr>
          <w:rFonts w:hint="eastAsia"/>
          <w:color w:val="auto"/>
        </w:rPr>
      </w:pPr>
      <w:r>
        <w:rPr>
          <w:rFonts w:hint="eastAsia"/>
          <w:color w:val="auto"/>
        </w:rPr>
        <w:t>（2）在过电压冲击下，变压器发生穿越性故障。</w:t>
      </w:r>
    </w:p>
    <w:p w14:paraId="0536D92C">
      <w:pPr>
        <w:bidi w:val="0"/>
        <w:rPr>
          <w:rFonts w:hint="eastAsia"/>
          <w:color w:val="auto"/>
        </w:rPr>
      </w:pPr>
      <w:r>
        <w:rPr>
          <w:rFonts w:hint="eastAsia"/>
          <w:color w:val="auto"/>
        </w:rPr>
        <w:t>（3）检修质量不良使局部绝缘损伤。</w:t>
      </w:r>
    </w:p>
    <w:p w14:paraId="24A0D65A">
      <w:pPr>
        <w:bidi w:val="0"/>
        <w:rPr>
          <w:rFonts w:hint="eastAsia"/>
          <w:color w:val="auto"/>
        </w:rPr>
      </w:pPr>
      <w:r>
        <w:rPr>
          <w:rFonts w:hint="eastAsia"/>
          <w:color w:val="auto"/>
        </w:rPr>
        <w:t>（4）变压器油质劣化或变压器进水受潮。</w:t>
      </w:r>
    </w:p>
    <w:p w14:paraId="7684CF72">
      <w:pPr>
        <w:bidi w:val="0"/>
        <w:rPr>
          <w:rFonts w:hint="eastAsia"/>
          <w:color w:val="auto"/>
        </w:rPr>
      </w:pPr>
      <w:r>
        <w:rPr>
          <w:rFonts w:hint="eastAsia"/>
          <w:color w:val="auto"/>
        </w:rPr>
        <w:t>（5）变压器长期过载发热。</w:t>
      </w:r>
    </w:p>
    <w:p w14:paraId="0BD7545C">
      <w:pPr>
        <w:bidi w:val="0"/>
        <w:rPr>
          <w:rFonts w:hint="eastAsia"/>
          <w:color w:val="auto"/>
        </w:rPr>
      </w:pPr>
      <w:r>
        <w:rPr>
          <w:rFonts w:hint="eastAsia"/>
          <w:color w:val="auto"/>
        </w:rPr>
        <w:t>2、电缆火灾</w:t>
      </w:r>
    </w:p>
    <w:p w14:paraId="691B283F">
      <w:pPr>
        <w:bidi w:val="0"/>
        <w:rPr>
          <w:rFonts w:hint="eastAsia"/>
          <w:color w:val="auto"/>
        </w:rPr>
      </w:pPr>
      <w:r>
        <w:rPr>
          <w:rFonts w:hint="eastAsia"/>
          <w:color w:val="auto"/>
        </w:rPr>
        <w:t>电缆的绝缘材料、填充物和保护层如浸渍纸、漆布、橡胶、塑料等均属可燃物质，具有火灾危险性。</w:t>
      </w:r>
    </w:p>
    <w:p w14:paraId="31532240">
      <w:pPr>
        <w:bidi w:val="0"/>
        <w:rPr>
          <w:rFonts w:hint="eastAsia"/>
          <w:color w:val="auto"/>
        </w:rPr>
      </w:pPr>
      <w:r>
        <w:rPr>
          <w:rFonts w:hint="eastAsia"/>
          <w:color w:val="auto"/>
        </w:rPr>
        <w:t>引起电缆火灾的原因有外部起火引起的着火和有电缆本身缺陷引起的着火。</w:t>
      </w:r>
    </w:p>
    <w:p w14:paraId="41D75BF1">
      <w:pPr>
        <w:bidi w:val="0"/>
        <w:rPr>
          <w:rFonts w:hint="eastAsia"/>
          <w:color w:val="auto"/>
        </w:rPr>
      </w:pPr>
      <w:r>
        <w:rPr>
          <w:rFonts w:hint="eastAsia"/>
          <w:color w:val="auto"/>
        </w:rPr>
        <w:t>（1）外部起火引起电缆着火的原因主要有：</w:t>
      </w:r>
    </w:p>
    <w:p w14:paraId="0F89C6E1">
      <w:pPr>
        <w:bidi w:val="0"/>
        <w:rPr>
          <w:rFonts w:hint="eastAsia"/>
          <w:color w:val="auto"/>
        </w:rPr>
      </w:pPr>
      <w:r>
        <w:rPr>
          <w:rFonts w:hint="eastAsia"/>
          <w:color w:val="auto"/>
        </w:rPr>
        <w:t>1）变压器、互感器等充油电器设备故障，漏油滴在在电缆上，遇明火引燃电缆。</w:t>
      </w:r>
    </w:p>
    <w:p w14:paraId="6AAD81A4">
      <w:pPr>
        <w:bidi w:val="0"/>
        <w:rPr>
          <w:rFonts w:hint="eastAsia"/>
          <w:color w:val="auto"/>
        </w:rPr>
      </w:pPr>
      <w:r>
        <w:rPr>
          <w:rFonts w:hint="eastAsia"/>
          <w:color w:val="auto"/>
        </w:rPr>
        <w:t>2）开关、其他电气设备短路或接触电阻过大，产生高温起火将附近电缆引燃。</w:t>
      </w:r>
    </w:p>
    <w:p w14:paraId="740B5A71">
      <w:pPr>
        <w:bidi w:val="0"/>
        <w:rPr>
          <w:rFonts w:hint="eastAsia"/>
          <w:color w:val="auto"/>
        </w:rPr>
      </w:pPr>
      <w:r>
        <w:rPr>
          <w:rFonts w:hint="eastAsia"/>
          <w:color w:val="auto"/>
        </w:rPr>
        <w:t>3）安装施工和检修时高温焊渣掉到电缆上引起着火。</w:t>
      </w:r>
    </w:p>
    <w:p w14:paraId="50EA2DFF">
      <w:pPr>
        <w:bidi w:val="0"/>
        <w:rPr>
          <w:rFonts w:hint="eastAsia"/>
          <w:color w:val="auto"/>
        </w:rPr>
      </w:pPr>
      <w:r>
        <w:rPr>
          <w:rFonts w:hint="eastAsia"/>
          <w:color w:val="auto"/>
        </w:rPr>
        <w:t>4）其他可燃、易燃物质着火后将附近电缆引燃。</w:t>
      </w:r>
    </w:p>
    <w:p w14:paraId="69D44C72">
      <w:pPr>
        <w:bidi w:val="0"/>
        <w:rPr>
          <w:rFonts w:hint="eastAsia"/>
          <w:color w:val="auto"/>
        </w:rPr>
      </w:pPr>
      <w:r>
        <w:rPr>
          <w:rFonts w:hint="eastAsia"/>
          <w:color w:val="auto"/>
        </w:rPr>
        <w:t>（2）电缆本身缺陷引起电缆着火的原因：</w:t>
      </w:r>
    </w:p>
    <w:p w14:paraId="50650975">
      <w:pPr>
        <w:bidi w:val="0"/>
        <w:rPr>
          <w:rFonts w:hint="eastAsia"/>
          <w:color w:val="auto"/>
        </w:rPr>
      </w:pPr>
      <w:r>
        <w:rPr>
          <w:rFonts w:hint="eastAsia"/>
          <w:color w:val="auto"/>
        </w:rPr>
        <w:t>1）电缆本身在制造时有缺陷，在敷设时保护铅皮损坏或在运行中电缆绝缘受到机械损伤，引起电缆相间或相与铅皮之间的绝缘击穿而发生电弧。电弧高温能引燃电缆内的绝缘材料和电缆外层的麻布等。</w:t>
      </w:r>
    </w:p>
    <w:p w14:paraId="10E8D1F0">
      <w:pPr>
        <w:bidi w:val="0"/>
        <w:rPr>
          <w:rFonts w:hint="eastAsia"/>
          <w:color w:val="auto"/>
        </w:rPr>
      </w:pPr>
      <w:r>
        <w:rPr>
          <w:rFonts w:hint="eastAsia"/>
          <w:color w:val="auto"/>
        </w:rPr>
        <w:t>2）电缆长期受水、酸、碱和其他腐蚀性气体或液体腐蚀，使保护层破坏，绝缘强度降低，引起电缆短路起火。</w:t>
      </w:r>
    </w:p>
    <w:p w14:paraId="00B77E0B">
      <w:pPr>
        <w:bidi w:val="0"/>
        <w:rPr>
          <w:rFonts w:hint="eastAsia"/>
          <w:color w:val="auto"/>
        </w:rPr>
      </w:pPr>
      <w:r>
        <w:rPr>
          <w:rFonts w:hint="eastAsia"/>
          <w:color w:val="auto"/>
        </w:rPr>
        <w:t>3）在长时间运行中，由于过负荷、过热等原因使电缆绝缘加速老化、干枯，绝缘强度降低，引起电缆相间或对地击穿短路起火。</w:t>
      </w:r>
    </w:p>
    <w:p w14:paraId="66B64526">
      <w:pPr>
        <w:bidi w:val="0"/>
        <w:rPr>
          <w:rFonts w:hint="eastAsia"/>
          <w:color w:val="auto"/>
        </w:rPr>
      </w:pPr>
      <w:r>
        <w:rPr>
          <w:rFonts w:hint="eastAsia"/>
          <w:color w:val="auto"/>
        </w:rPr>
        <w:t>4）电缆外护套破损或密封不良，电缆发生水渗浸受潮，导致绝缘击穿短路。</w:t>
      </w:r>
    </w:p>
    <w:p w14:paraId="376E18BF">
      <w:pPr>
        <w:bidi w:val="0"/>
        <w:rPr>
          <w:rFonts w:hint="eastAsia"/>
          <w:color w:val="auto"/>
        </w:rPr>
      </w:pPr>
      <w:r>
        <w:rPr>
          <w:rFonts w:hint="eastAsia"/>
          <w:color w:val="auto"/>
        </w:rPr>
        <w:t>5）过电压使电缆绝缘击穿发生短路起火。</w:t>
      </w:r>
    </w:p>
    <w:p w14:paraId="173D065C">
      <w:pPr>
        <w:bidi w:val="0"/>
        <w:rPr>
          <w:rFonts w:hint="eastAsia"/>
          <w:color w:val="auto"/>
        </w:rPr>
      </w:pPr>
      <w:r>
        <w:rPr>
          <w:rFonts w:hint="eastAsia"/>
          <w:color w:val="auto"/>
        </w:rPr>
        <w:t>6）安装时电缆的曲率半径过小，致使绝缘折断、受损发生短路。</w:t>
      </w:r>
    </w:p>
    <w:p w14:paraId="170FB2B0">
      <w:pPr>
        <w:bidi w:val="0"/>
        <w:rPr>
          <w:rFonts w:hint="eastAsia"/>
          <w:color w:val="auto"/>
        </w:rPr>
      </w:pPr>
      <w:r>
        <w:rPr>
          <w:rFonts w:hint="eastAsia"/>
          <w:color w:val="auto"/>
        </w:rPr>
        <w:t>7）电缆终端接头和中间接头接触不良发生爆炸短路事故，引起电缆着火。</w:t>
      </w:r>
    </w:p>
    <w:p w14:paraId="52A36C32">
      <w:pPr>
        <w:bidi w:val="0"/>
        <w:rPr>
          <w:rFonts w:hint="eastAsia"/>
          <w:color w:val="auto"/>
        </w:rPr>
      </w:pPr>
      <w:r>
        <w:rPr>
          <w:rFonts w:hint="eastAsia"/>
          <w:color w:val="auto"/>
        </w:rPr>
        <w:t>3、其它火灾</w:t>
      </w:r>
    </w:p>
    <w:p w14:paraId="69E5E780">
      <w:pPr>
        <w:bidi w:val="0"/>
        <w:rPr>
          <w:rFonts w:hint="eastAsia"/>
          <w:color w:val="auto"/>
        </w:rPr>
      </w:pPr>
      <w:r>
        <w:rPr>
          <w:rFonts w:hint="eastAsia"/>
          <w:color w:val="auto"/>
        </w:rPr>
        <w:t>运输车辆、装载机使用的柴油属于可燃液体，可燃液体泄露遇火源会导致火灾发生。</w:t>
      </w:r>
    </w:p>
    <w:p w14:paraId="3220FD83">
      <w:pPr>
        <w:bidi w:val="0"/>
        <w:rPr>
          <w:rFonts w:hint="eastAsia"/>
          <w:color w:val="auto"/>
        </w:rPr>
      </w:pPr>
      <w:r>
        <w:rPr>
          <w:rFonts w:hint="eastAsia"/>
          <w:color w:val="auto"/>
        </w:rPr>
        <w:t>机械设备的传动系统要使用润滑油。润滑油的火灾危险性为丙类。</w:t>
      </w:r>
    </w:p>
    <w:p w14:paraId="1D6445E9">
      <w:pPr>
        <w:bidi w:val="0"/>
        <w:rPr>
          <w:rFonts w:hint="eastAsia"/>
          <w:color w:val="auto"/>
        </w:rPr>
      </w:pPr>
      <w:r>
        <w:rPr>
          <w:rFonts w:hint="eastAsia"/>
          <w:color w:val="auto"/>
        </w:rPr>
        <w:t>电、气焊（割）作业过程中高温焊渣或熔融的金属火星飞溅到可燃物质上，会引起火灾。乙炔属于甲类易燃气体，极易发生燃烧爆炸，与空气混合能形成爆炸性混合物，遇明火、高热能引起燃烧爆炸，能与铜、银、汞等的化合物生成爆炸性物质。设备使用的润滑油具有可燃性，如遇明火或强氧化剂，也有发生火灾、爆炸的可能。</w:t>
      </w:r>
    </w:p>
    <w:p w14:paraId="510DCE5C">
      <w:pPr>
        <w:bidi w:val="0"/>
        <w:rPr>
          <w:rFonts w:hint="default" w:eastAsia="宋体"/>
          <w:color w:val="auto"/>
          <w:lang w:val="en-US" w:eastAsia="zh-CN"/>
        </w:rPr>
      </w:pPr>
      <w:r>
        <w:rPr>
          <w:rFonts w:hint="eastAsia"/>
          <w:color w:val="auto"/>
          <w:lang w:val="en-US" w:eastAsia="zh-CN"/>
        </w:rPr>
        <w:t>回转窑烘干燃料为生物颗粒，属于易燃固体，遇明火会导致火灾发生。</w:t>
      </w:r>
    </w:p>
    <w:p w14:paraId="2D6995D1">
      <w:pPr>
        <w:bidi w:val="0"/>
        <w:rPr>
          <w:rFonts w:hint="eastAsia"/>
          <w:color w:val="auto"/>
        </w:rPr>
      </w:pPr>
      <w:r>
        <w:rPr>
          <w:rFonts w:hint="eastAsia"/>
          <w:color w:val="auto"/>
        </w:rPr>
        <w:t>可能存在的部位：使用乙炔和氧气的区域、变压器、配电室</w:t>
      </w:r>
      <w:r>
        <w:rPr>
          <w:rFonts w:hint="eastAsia"/>
          <w:color w:val="auto"/>
          <w:lang w:eastAsia="zh-CN"/>
        </w:rPr>
        <w:t>、</w:t>
      </w:r>
      <w:r>
        <w:rPr>
          <w:rFonts w:hint="eastAsia"/>
          <w:color w:val="auto"/>
          <w:lang w:val="en-US" w:eastAsia="zh-CN"/>
        </w:rPr>
        <w:t>仓库</w:t>
      </w:r>
      <w:r>
        <w:rPr>
          <w:rFonts w:hint="eastAsia"/>
          <w:color w:val="auto"/>
        </w:rPr>
        <w:t>等。</w:t>
      </w:r>
    </w:p>
    <w:p w14:paraId="688C95FF">
      <w:pPr>
        <w:pStyle w:val="4"/>
        <w:bidi w:val="0"/>
        <w:rPr>
          <w:rFonts w:hint="eastAsia"/>
          <w:color w:val="auto"/>
        </w:rPr>
      </w:pPr>
      <w:bookmarkStart w:id="157" w:name="_Toc22486"/>
      <w:r>
        <w:rPr>
          <w:rFonts w:hint="eastAsia"/>
          <w:color w:val="auto"/>
        </w:rPr>
        <w:t>3.5.8 淹溺</w:t>
      </w:r>
      <w:bookmarkEnd w:id="157"/>
    </w:p>
    <w:p w14:paraId="3B1D36A2">
      <w:pPr>
        <w:bidi w:val="0"/>
        <w:rPr>
          <w:rFonts w:hint="eastAsia"/>
          <w:color w:val="auto"/>
        </w:rPr>
      </w:pPr>
      <w:r>
        <w:rPr>
          <w:rFonts w:hint="eastAsia"/>
          <w:color w:val="auto"/>
        </w:rPr>
        <w:t>淹溺主要是由于人跌入</w:t>
      </w:r>
      <w:r>
        <w:rPr>
          <w:rFonts w:hint="eastAsia"/>
          <w:color w:val="auto"/>
          <w:lang w:val="en-US" w:eastAsia="zh-CN"/>
        </w:rPr>
        <w:t>高位</w:t>
      </w:r>
      <w:r>
        <w:rPr>
          <w:rFonts w:hint="eastAsia"/>
          <w:color w:val="auto"/>
        </w:rPr>
        <w:t>水池中，水进入气道后，由于窒息缺氧昏迷，救治不及时会死亡。该厂设有</w:t>
      </w:r>
      <w:r>
        <w:rPr>
          <w:rFonts w:hint="eastAsia"/>
          <w:color w:val="auto"/>
          <w:lang w:val="en-US" w:eastAsia="zh-CN"/>
        </w:rPr>
        <w:t>高位</w:t>
      </w:r>
      <w:r>
        <w:rPr>
          <w:rFonts w:hint="eastAsia"/>
          <w:color w:val="auto"/>
        </w:rPr>
        <w:t>水池，由于常有蓄水，蓄水能力较大，其四周缺少安全警示标志、护栏或照明不足，人员可能不慎坠入，可能造成淹溺事故。</w:t>
      </w:r>
    </w:p>
    <w:p w14:paraId="3DB3221A">
      <w:pPr>
        <w:bidi w:val="0"/>
        <w:rPr>
          <w:rFonts w:hint="eastAsia"/>
          <w:color w:val="auto"/>
        </w:rPr>
      </w:pPr>
      <w:r>
        <w:rPr>
          <w:rFonts w:hint="eastAsia"/>
          <w:color w:val="auto"/>
        </w:rPr>
        <w:t>可能存在的部位：</w:t>
      </w:r>
      <w:r>
        <w:rPr>
          <w:rFonts w:hint="eastAsia"/>
          <w:color w:val="auto"/>
          <w:lang w:val="en-US" w:eastAsia="zh-CN"/>
        </w:rPr>
        <w:t>高位</w:t>
      </w:r>
      <w:r>
        <w:rPr>
          <w:rFonts w:hint="eastAsia"/>
          <w:color w:val="auto"/>
        </w:rPr>
        <w:t>水池等。</w:t>
      </w:r>
    </w:p>
    <w:p w14:paraId="5880EAE7">
      <w:pPr>
        <w:pStyle w:val="4"/>
        <w:bidi w:val="0"/>
        <w:rPr>
          <w:rFonts w:hint="eastAsia"/>
          <w:color w:val="auto"/>
        </w:rPr>
      </w:pPr>
      <w:bookmarkStart w:id="158" w:name="_Toc23680"/>
      <w:r>
        <w:rPr>
          <w:rFonts w:hint="eastAsia"/>
          <w:color w:val="auto"/>
        </w:rPr>
        <w:t>3.5.9 中毒和窒息</w:t>
      </w:r>
      <w:bookmarkEnd w:id="158"/>
    </w:p>
    <w:p w14:paraId="5E4F7644">
      <w:pPr>
        <w:bidi w:val="0"/>
        <w:rPr>
          <w:rFonts w:hint="eastAsia"/>
          <w:color w:val="auto"/>
        </w:rPr>
      </w:pPr>
      <w:r>
        <w:rPr>
          <w:rFonts w:hint="eastAsia"/>
          <w:color w:val="auto"/>
        </w:rPr>
        <w:t>作业人员进入球磨机等有限空间进行检查、维修作业时，如未严格实行作业审批制度，擅自进入有限空间作业；未严格按照</w:t>
      </w:r>
      <w:r>
        <w:rPr>
          <w:rFonts w:hint="eastAsia"/>
          <w:color w:val="auto"/>
          <w:lang w:eastAsia="zh-CN"/>
        </w:rPr>
        <w:t>“</w:t>
      </w:r>
      <w:r>
        <w:rPr>
          <w:rFonts w:hint="eastAsia"/>
          <w:color w:val="auto"/>
        </w:rPr>
        <w:t>先通风、再检测、后作业</w:t>
      </w:r>
      <w:r>
        <w:rPr>
          <w:rFonts w:hint="eastAsia"/>
          <w:color w:val="auto"/>
          <w:lang w:eastAsia="zh-CN"/>
        </w:rPr>
        <w:t>”</w:t>
      </w:r>
      <w:r>
        <w:rPr>
          <w:rFonts w:hint="eastAsia"/>
          <w:color w:val="auto"/>
        </w:rPr>
        <w:t>的原则，或通风不良；未为作业人员配备个人防中毒窒息等防护装备，设置安全警示标识，无防护监护措施作业；未对作业人员进行安全培训，或教育培训不合格上岗作业；未制定应急措施，现场配备应急装备，盲目施救等可能会导致中毒和窒息事故的发生。</w:t>
      </w:r>
    </w:p>
    <w:p w14:paraId="15BAF968">
      <w:pPr>
        <w:pStyle w:val="4"/>
        <w:bidi w:val="0"/>
        <w:rPr>
          <w:rFonts w:hint="eastAsia"/>
          <w:color w:val="auto"/>
          <w:lang w:val="en-US" w:eastAsia="zh-CN"/>
        </w:rPr>
      </w:pPr>
      <w:bookmarkStart w:id="159" w:name="_Toc21189"/>
      <w:r>
        <w:rPr>
          <w:rFonts w:hint="eastAsia"/>
          <w:color w:val="auto"/>
          <w:lang w:val="en-US" w:eastAsia="zh-CN"/>
        </w:rPr>
        <w:t>3.5.10 灼烫</w:t>
      </w:r>
      <w:bookmarkEnd w:id="159"/>
    </w:p>
    <w:p w14:paraId="6698C485">
      <w:pPr>
        <w:bidi w:val="0"/>
        <w:rPr>
          <w:rFonts w:hint="default"/>
          <w:color w:val="auto"/>
          <w:lang w:val="en-US" w:eastAsia="zh-CN"/>
        </w:rPr>
      </w:pPr>
      <w:r>
        <w:rPr>
          <w:rFonts w:hint="default"/>
          <w:color w:val="auto"/>
          <w:lang w:val="en-US" w:eastAsia="zh-CN"/>
        </w:rPr>
        <w:t>回转窑本体周边温度较高，管道内的气体温度较高，并有一定的压力，如果管道的本体质量差，用材不当，制造质量差，本身存在先天性缺陷，未开展定期检验，年久失修，器壁被腐蚀，强度不够，焊缝破损都会引起管道承受不了内部的压力，致使发生</w:t>
      </w:r>
      <w:r>
        <w:rPr>
          <w:rFonts w:hint="eastAsia"/>
          <w:color w:val="auto"/>
          <w:lang w:val="en-US" w:eastAsia="zh-CN"/>
        </w:rPr>
        <w:t>烟气</w:t>
      </w:r>
      <w:r>
        <w:rPr>
          <w:rFonts w:hint="default"/>
          <w:color w:val="auto"/>
          <w:lang w:val="en-US" w:eastAsia="zh-CN"/>
        </w:rPr>
        <w:t>泄漏，人一旦接触到这些高温物料和设备，就会造成灼烫伤害；另外，当火灾事故发生时也可能造成人员烧伤。造成灼烫伤害的主要原因有：</w:t>
      </w:r>
    </w:p>
    <w:p w14:paraId="2576881E">
      <w:pPr>
        <w:bidi w:val="0"/>
        <w:rPr>
          <w:rFonts w:hint="default"/>
          <w:color w:val="auto"/>
          <w:lang w:val="en-US" w:eastAsia="zh-CN"/>
        </w:rPr>
      </w:pPr>
      <w:r>
        <w:rPr>
          <w:rFonts w:hint="default"/>
          <w:color w:val="auto"/>
          <w:lang w:val="en-US" w:eastAsia="zh-CN"/>
        </w:rPr>
        <w:t>（1）保温破损，高温设备、管道等物体裸露；</w:t>
      </w:r>
    </w:p>
    <w:p w14:paraId="2FA1057B">
      <w:pPr>
        <w:bidi w:val="0"/>
        <w:rPr>
          <w:rFonts w:hint="default"/>
          <w:color w:val="auto"/>
          <w:lang w:val="en-US" w:eastAsia="zh-CN"/>
        </w:rPr>
      </w:pPr>
      <w:r>
        <w:rPr>
          <w:rFonts w:hint="default"/>
          <w:color w:val="auto"/>
          <w:lang w:val="en-US" w:eastAsia="zh-CN"/>
        </w:rPr>
        <w:t>（2）设备、管道、管件损坏，高温物料泄漏；</w:t>
      </w:r>
    </w:p>
    <w:p w14:paraId="29E6438A">
      <w:pPr>
        <w:bidi w:val="0"/>
        <w:rPr>
          <w:rFonts w:hint="default"/>
          <w:color w:val="auto"/>
          <w:lang w:val="en-US" w:eastAsia="zh-CN"/>
        </w:rPr>
      </w:pPr>
      <w:r>
        <w:rPr>
          <w:rFonts w:hint="default"/>
          <w:color w:val="auto"/>
          <w:lang w:val="en-US" w:eastAsia="zh-CN"/>
        </w:rPr>
        <w:t>（3）起火等造成烧伤；</w:t>
      </w:r>
    </w:p>
    <w:p w14:paraId="19907203">
      <w:pPr>
        <w:bidi w:val="0"/>
        <w:rPr>
          <w:rFonts w:hint="default"/>
          <w:color w:val="auto"/>
          <w:lang w:val="en-US" w:eastAsia="zh-CN"/>
        </w:rPr>
      </w:pPr>
      <w:r>
        <w:rPr>
          <w:rFonts w:hint="default"/>
          <w:color w:val="auto"/>
          <w:lang w:val="en-US" w:eastAsia="zh-CN"/>
        </w:rPr>
        <w:t>（4）设备维修时焊接作业，作业人员若防护措施不当易造成灼烫事故。</w:t>
      </w:r>
    </w:p>
    <w:p w14:paraId="7DB24157">
      <w:pPr>
        <w:bidi w:val="0"/>
        <w:rPr>
          <w:rFonts w:hint="default"/>
          <w:color w:val="auto"/>
          <w:lang w:val="en-US" w:eastAsia="zh-CN"/>
        </w:rPr>
      </w:pPr>
      <w:r>
        <w:rPr>
          <w:rFonts w:hint="default"/>
          <w:color w:val="auto"/>
          <w:lang w:val="en-US" w:eastAsia="zh-CN"/>
        </w:rPr>
        <w:t>（5）因其他原因接触高温物体或物料。</w:t>
      </w:r>
    </w:p>
    <w:p w14:paraId="5A4F9688">
      <w:pPr>
        <w:pStyle w:val="4"/>
        <w:bidi w:val="0"/>
        <w:rPr>
          <w:rFonts w:hint="default"/>
          <w:color w:val="auto"/>
          <w:lang w:val="en-US" w:eastAsia="zh-CN"/>
        </w:rPr>
      </w:pPr>
      <w:bookmarkStart w:id="160" w:name="_Toc30812"/>
      <w:r>
        <w:rPr>
          <w:rFonts w:hint="eastAsia"/>
          <w:color w:val="auto"/>
          <w:lang w:val="en-US" w:eastAsia="zh-CN"/>
        </w:rPr>
        <w:t xml:space="preserve">3.5.11 </w:t>
      </w:r>
      <w:r>
        <w:rPr>
          <w:rFonts w:hint="default"/>
          <w:color w:val="auto"/>
          <w:lang w:val="en-US" w:eastAsia="zh-CN"/>
        </w:rPr>
        <w:t>容器爆炸</w:t>
      </w:r>
      <w:bookmarkEnd w:id="160"/>
    </w:p>
    <w:p w14:paraId="6F1817D1">
      <w:pPr>
        <w:bidi w:val="0"/>
        <w:rPr>
          <w:rFonts w:hint="default"/>
          <w:color w:val="auto"/>
          <w:lang w:val="en-US" w:eastAsia="zh-CN"/>
        </w:rPr>
      </w:pPr>
      <w:r>
        <w:rPr>
          <w:rFonts w:hint="default"/>
          <w:color w:val="auto"/>
          <w:lang w:val="en-US" w:eastAsia="zh-CN"/>
        </w:rPr>
        <w:t>在检维修过程中进行氧气、乙炔切割或焊接等动火作业时，若使用的氧气瓶、乙炔气瓶发生泄漏；超装、超压、超温使用；未进行通风置换；未清理作业点附近区域的润滑油等易燃物，作业场所氧气、乙炔瓶的防火距离不符合规范要求，未采取有效的安全措施；或者在作业时违反安全操作规程，存在引发容器爆炸的可能。</w:t>
      </w:r>
    </w:p>
    <w:p w14:paraId="6020E6DB">
      <w:pPr>
        <w:bidi w:val="0"/>
        <w:rPr>
          <w:rFonts w:hint="default"/>
          <w:color w:val="auto"/>
          <w:lang w:val="en-US" w:eastAsia="zh-CN"/>
        </w:rPr>
      </w:pPr>
      <w:r>
        <w:rPr>
          <w:rFonts w:hint="default"/>
          <w:color w:val="auto"/>
          <w:lang w:val="en-US" w:eastAsia="zh-CN"/>
        </w:rPr>
        <w:t>可能存在的部位：气瓶储存和使用区域。</w:t>
      </w:r>
    </w:p>
    <w:p w14:paraId="5CBEAFB3">
      <w:pPr>
        <w:pStyle w:val="4"/>
        <w:bidi w:val="0"/>
        <w:rPr>
          <w:rFonts w:hint="eastAsia"/>
          <w:color w:val="auto"/>
        </w:rPr>
      </w:pPr>
      <w:bookmarkStart w:id="161" w:name="_Toc28374"/>
      <w:r>
        <w:rPr>
          <w:rFonts w:hint="eastAsia"/>
          <w:color w:val="auto"/>
        </w:rPr>
        <w:t>3.5.1</w:t>
      </w:r>
      <w:r>
        <w:rPr>
          <w:rFonts w:hint="eastAsia"/>
          <w:color w:val="auto"/>
          <w:lang w:val="en-US" w:eastAsia="zh-CN"/>
        </w:rPr>
        <w:t>2</w:t>
      </w:r>
      <w:r>
        <w:rPr>
          <w:rFonts w:hint="eastAsia"/>
          <w:color w:val="auto"/>
        </w:rPr>
        <w:t xml:space="preserve"> 粉尘危害</w:t>
      </w:r>
      <w:bookmarkEnd w:id="161"/>
    </w:p>
    <w:p w14:paraId="7FA25348">
      <w:pPr>
        <w:bidi w:val="0"/>
        <w:rPr>
          <w:rFonts w:hint="eastAsia"/>
          <w:color w:val="auto"/>
        </w:rPr>
      </w:pPr>
      <w:r>
        <w:rPr>
          <w:rFonts w:hint="eastAsia"/>
          <w:color w:val="auto"/>
        </w:rPr>
        <w:t>粉尘是指能悬浮于空气中的固体微粒。选矿厂生产过程中会产生大量的生产性粉尘。粉尘对员工的身体健康危害较大，粉尘侵入人体的途径主要有呼吸系统、眼睛、皮肤等，其中以呼吸系统为主要途径。</w:t>
      </w:r>
    </w:p>
    <w:p w14:paraId="15C4B875">
      <w:pPr>
        <w:bidi w:val="0"/>
        <w:rPr>
          <w:rFonts w:hint="eastAsia"/>
          <w:color w:val="auto"/>
        </w:rPr>
      </w:pPr>
      <w:r>
        <w:rPr>
          <w:rFonts w:hint="eastAsia"/>
          <w:color w:val="auto"/>
        </w:rPr>
        <w:t>粉尘对人体各系统的危害表现如下：粉尘侵入呼吸系统后，会引发尘肺、肺粉尘沉着症、有机粉尘所致的肺部病变、呼吸系统肿瘤和局部刺激作用等病症；如果粉尘侵入眼睛，可引起结膜炎、角膜混浊、眼睑水肿和急性角膜炎等症状；粉尘侵入皮肤后，可堵塞皮脂腺、汗腺，造成皮肤干燥，易受感染，引起毛囊炎、粉刺、皮炎等。</w:t>
      </w:r>
    </w:p>
    <w:p w14:paraId="5B73C974">
      <w:pPr>
        <w:bidi w:val="0"/>
        <w:rPr>
          <w:rFonts w:hint="eastAsia"/>
          <w:color w:val="auto"/>
        </w:rPr>
      </w:pPr>
      <w:r>
        <w:rPr>
          <w:rFonts w:hint="eastAsia"/>
          <w:color w:val="auto"/>
        </w:rPr>
        <w:t>该项目易产生粉尘的场所有：</w:t>
      </w:r>
      <w:r>
        <w:rPr>
          <w:rFonts w:hint="eastAsia"/>
          <w:color w:val="auto"/>
          <w:lang w:val="en-US" w:eastAsia="zh-CN"/>
        </w:rPr>
        <w:t>分级车间、</w:t>
      </w:r>
      <w:r>
        <w:rPr>
          <w:rFonts w:hint="eastAsia"/>
          <w:color w:val="auto"/>
        </w:rPr>
        <w:t>重选车间、原料堆场和精矿堆场。各车间在原矿加工和物料运输过程中都会产生粉尘，若降尘措施不够完善或工作人员没有配备劳动防护用品，工作人员可能受到粉尘危害。造成粉尘危害的主要原因分析如下：</w:t>
      </w:r>
    </w:p>
    <w:p w14:paraId="0720CDFE">
      <w:pPr>
        <w:bidi w:val="0"/>
        <w:rPr>
          <w:rFonts w:hint="eastAsia"/>
          <w:color w:val="auto"/>
        </w:rPr>
      </w:pPr>
      <w:r>
        <w:rPr>
          <w:rFonts w:hint="eastAsia"/>
          <w:color w:val="auto"/>
        </w:rPr>
        <w:t>1、未配置除尘设备或除尘设备失效；</w:t>
      </w:r>
    </w:p>
    <w:p w14:paraId="77CE5724">
      <w:pPr>
        <w:bidi w:val="0"/>
        <w:rPr>
          <w:rFonts w:hint="eastAsia"/>
          <w:color w:val="auto"/>
        </w:rPr>
      </w:pPr>
      <w:r>
        <w:rPr>
          <w:rFonts w:hint="eastAsia"/>
          <w:color w:val="auto"/>
        </w:rPr>
        <w:t>2、作业场地粉尘量超标；</w:t>
      </w:r>
    </w:p>
    <w:p w14:paraId="3E4CF739">
      <w:pPr>
        <w:bidi w:val="0"/>
        <w:rPr>
          <w:rFonts w:hint="eastAsia"/>
          <w:color w:val="auto"/>
        </w:rPr>
      </w:pPr>
      <w:r>
        <w:rPr>
          <w:rFonts w:hint="eastAsia"/>
          <w:color w:val="auto"/>
        </w:rPr>
        <w:t>3、作业场地通风不良；</w:t>
      </w:r>
    </w:p>
    <w:p w14:paraId="3528F7F7">
      <w:pPr>
        <w:bidi w:val="0"/>
        <w:rPr>
          <w:rFonts w:hint="eastAsia"/>
          <w:color w:val="auto"/>
        </w:rPr>
      </w:pPr>
      <w:r>
        <w:rPr>
          <w:rFonts w:hint="eastAsia"/>
          <w:color w:val="auto"/>
        </w:rPr>
        <w:t>4、人员未配备劳动保护用品等。</w:t>
      </w:r>
    </w:p>
    <w:p w14:paraId="57BC238A">
      <w:pPr>
        <w:pStyle w:val="4"/>
        <w:bidi w:val="0"/>
        <w:rPr>
          <w:rFonts w:hint="eastAsia"/>
          <w:color w:val="auto"/>
        </w:rPr>
      </w:pPr>
      <w:bookmarkStart w:id="162" w:name="_Toc5207"/>
      <w:r>
        <w:rPr>
          <w:rFonts w:hint="eastAsia"/>
          <w:color w:val="auto"/>
        </w:rPr>
        <w:t>3.5.1</w:t>
      </w:r>
      <w:r>
        <w:rPr>
          <w:rFonts w:hint="eastAsia"/>
          <w:color w:val="auto"/>
          <w:lang w:val="en-US" w:eastAsia="zh-CN"/>
        </w:rPr>
        <w:t>3</w:t>
      </w:r>
      <w:r>
        <w:rPr>
          <w:rFonts w:hint="eastAsia"/>
          <w:color w:val="auto"/>
        </w:rPr>
        <w:t xml:space="preserve"> 噪声</w:t>
      </w:r>
      <w:bookmarkEnd w:id="162"/>
    </w:p>
    <w:p w14:paraId="1046355A">
      <w:pPr>
        <w:bidi w:val="0"/>
        <w:rPr>
          <w:rFonts w:hint="eastAsia"/>
          <w:color w:val="auto"/>
        </w:rPr>
      </w:pPr>
      <w:r>
        <w:rPr>
          <w:rFonts w:hint="eastAsia"/>
          <w:color w:val="auto"/>
        </w:rPr>
        <w:t>噪声主要来源于各种</w:t>
      </w:r>
      <w:r>
        <w:rPr>
          <w:rFonts w:hint="eastAsia"/>
          <w:color w:val="auto"/>
          <w:lang w:val="en-US" w:eastAsia="zh-CN"/>
        </w:rPr>
        <w:t>振动</w:t>
      </w:r>
      <w:r>
        <w:rPr>
          <w:rFonts w:hint="eastAsia"/>
          <w:color w:val="auto"/>
        </w:rPr>
        <w:t>筛分、球磨机、选矿设备、浓缩脱水设备、起重机械及运输车辆等设备在运转过程中振动、摩擦、碰撞产生的机械动力噪声。</w:t>
      </w:r>
    </w:p>
    <w:p w14:paraId="44CBD8E3">
      <w:pPr>
        <w:bidi w:val="0"/>
        <w:rPr>
          <w:rFonts w:hint="eastAsia"/>
          <w:color w:val="auto"/>
        </w:rPr>
      </w:pPr>
      <w:r>
        <w:rPr>
          <w:rFonts w:hint="eastAsia"/>
          <w:color w:val="auto"/>
        </w:rPr>
        <w:t>当噪音超过85分贝时，对人的听觉、神经系统、心血管系统、消化系统、内分泌系统、视觉、感知觉水平、反应时间、情绪等都有很大的影响。它可损伤人的听力，使人患心脏病，同时对人的情绪影响也特别大，如使人烦躁不安、注意力分散等。噪声越大，引起烦恼的可能性越大，进而使作业人员产生侵犯性、多疑性、易怒性和厌倦。</w:t>
      </w:r>
    </w:p>
    <w:p w14:paraId="5BAF2B87">
      <w:pPr>
        <w:bidi w:val="0"/>
        <w:rPr>
          <w:rFonts w:hint="eastAsia"/>
          <w:color w:val="auto"/>
        </w:rPr>
      </w:pPr>
      <w:r>
        <w:rPr>
          <w:rFonts w:hint="eastAsia"/>
          <w:color w:val="auto"/>
        </w:rPr>
        <w:t>长期接触工业噪声会对操作工人身体造成多方面健康损害及职业病，能引起内耳听觉神经细胞的功能异常、器质性损伤而出现暂时性听阈位移、永久性听阈位移、高频听力损失、语频听力损伤直至噪声性耳聋，引起神经系统、心血管系统、消化系统、内分泌系统出现非特异不良改变，引起工人操作时注意力下降，身体灵敏性和协调性下降、工作效率和质量降低，误操作发生率上升，将导致事故的可能性增加。</w:t>
      </w:r>
    </w:p>
    <w:p w14:paraId="2DF7F1DF">
      <w:pPr>
        <w:bidi w:val="0"/>
        <w:rPr>
          <w:rFonts w:hint="eastAsia"/>
          <w:color w:val="auto"/>
        </w:rPr>
      </w:pPr>
      <w:r>
        <w:rPr>
          <w:rFonts w:hint="eastAsia"/>
          <w:color w:val="auto"/>
        </w:rPr>
        <w:t>产生噪声的主要原因有：</w:t>
      </w:r>
    </w:p>
    <w:p w14:paraId="69A1D326">
      <w:pPr>
        <w:bidi w:val="0"/>
        <w:rPr>
          <w:rFonts w:hint="eastAsia"/>
          <w:color w:val="auto"/>
        </w:rPr>
      </w:pPr>
      <w:r>
        <w:rPr>
          <w:rFonts w:hint="eastAsia"/>
          <w:color w:val="auto"/>
        </w:rPr>
        <w:t>1、设备设计选型不合理；</w:t>
      </w:r>
    </w:p>
    <w:p w14:paraId="66B49459">
      <w:pPr>
        <w:bidi w:val="0"/>
        <w:rPr>
          <w:rFonts w:hint="eastAsia"/>
          <w:color w:val="auto"/>
        </w:rPr>
      </w:pPr>
      <w:r>
        <w:rPr>
          <w:rFonts w:hint="eastAsia"/>
          <w:color w:val="auto"/>
        </w:rPr>
        <w:t>2、设备安装未达到质量标准要求；</w:t>
      </w:r>
    </w:p>
    <w:p w14:paraId="393447F5">
      <w:pPr>
        <w:bidi w:val="0"/>
        <w:rPr>
          <w:rFonts w:hint="eastAsia"/>
          <w:color w:val="auto"/>
        </w:rPr>
      </w:pPr>
      <w:r>
        <w:rPr>
          <w:rFonts w:hint="eastAsia"/>
          <w:color w:val="auto"/>
        </w:rPr>
        <w:t>3、运行中未及时检查维修，连接松动，设备的精度降低；</w:t>
      </w:r>
    </w:p>
    <w:p w14:paraId="1BEAA92B">
      <w:pPr>
        <w:bidi w:val="0"/>
        <w:rPr>
          <w:rFonts w:hint="eastAsia"/>
          <w:color w:val="auto"/>
        </w:rPr>
      </w:pPr>
      <w:r>
        <w:rPr>
          <w:rFonts w:hint="eastAsia"/>
          <w:color w:val="auto"/>
        </w:rPr>
        <w:t>4、防噪声设备设施未能正常使用或失效；</w:t>
      </w:r>
    </w:p>
    <w:p w14:paraId="77619737">
      <w:pPr>
        <w:bidi w:val="0"/>
        <w:rPr>
          <w:rFonts w:hint="eastAsia"/>
          <w:color w:val="auto"/>
        </w:rPr>
      </w:pPr>
      <w:r>
        <w:rPr>
          <w:rFonts w:hint="eastAsia"/>
          <w:color w:val="auto"/>
        </w:rPr>
        <w:t>5、作业人员违章操作等。</w:t>
      </w:r>
    </w:p>
    <w:p w14:paraId="2CEC65D2">
      <w:pPr>
        <w:pStyle w:val="4"/>
        <w:bidi w:val="0"/>
        <w:rPr>
          <w:rFonts w:hint="eastAsia"/>
          <w:color w:val="auto"/>
        </w:rPr>
      </w:pPr>
      <w:bookmarkStart w:id="163" w:name="_Toc3317"/>
      <w:r>
        <w:rPr>
          <w:rFonts w:hint="eastAsia"/>
          <w:color w:val="auto"/>
        </w:rPr>
        <w:t>3.5.1</w:t>
      </w:r>
      <w:r>
        <w:rPr>
          <w:rFonts w:hint="eastAsia"/>
          <w:color w:val="auto"/>
          <w:lang w:val="en-US" w:eastAsia="zh-CN"/>
        </w:rPr>
        <w:t>4</w:t>
      </w:r>
      <w:r>
        <w:rPr>
          <w:rFonts w:hint="eastAsia"/>
          <w:color w:val="auto"/>
        </w:rPr>
        <w:t xml:space="preserve"> 振动</w:t>
      </w:r>
      <w:bookmarkEnd w:id="163"/>
    </w:p>
    <w:p w14:paraId="4F9FD1B3">
      <w:pPr>
        <w:bidi w:val="0"/>
        <w:rPr>
          <w:rFonts w:hint="eastAsia"/>
          <w:color w:val="auto"/>
        </w:rPr>
      </w:pPr>
      <w:r>
        <w:rPr>
          <w:rFonts w:hint="eastAsia"/>
          <w:color w:val="auto"/>
        </w:rPr>
        <w:t>项目使用的</w:t>
      </w:r>
      <w:r>
        <w:rPr>
          <w:rFonts w:hint="eastAsia"/>
          <w:color w:val="auto"/>
          <w:lang w:val="en-US" w:eastAsia="zh-CN"/>
        </w:rPr>
        <w:t>振动</w:t>
      </w:r>
      <w:r>
        <w:rPr>
          <w:rFonts w:hint="eastAsia"/>
          <w:color w:val="auto"/>
        </w:rPr>
        <w:t>筛分、球磨机、选矿设备等能造成设备或地基的振动，对人体造成危害。振动产生的原因有：</w:t>
      </w:r>
    </w:p>
    <w:p w14:paraId="6FD2BA6E">
      <w:pPr>
        <w:bidi w:val="0"/>
        <w:rPr>
          <w:rFonts w:hint="eastAsia"/>
          <w:color w:val="auto"/>
        </w:rPr>
      </w:pPr>
      <w:r>
        <w:rPr>
          <w:rFonts w:hint="eastAsia"/>
          <w:color w:val="auto"/>
        </w:rPr>
        <w:t>1、设备本身设计的原因；</w:t>
      </w:r>
    </w:p>
    <w:p w14:paraId="31F27E64">
      <w:pPr>
        <w:bidi w:val="0"/>
        <w:rPr>
          <w:rFonts w:hint="eastAsia"/>
          <w:color w:val="auto"/>
        </w:rPr>
      </w:pPr>
      <w:r>
        <w:rPr>
          <w:rFonts w:hint="eastAsia"/>
          <w:color w:val="auto"/>
        </w:rPr>
        <w:t>2、设备安装未达到质量标准要求；</w:t>
      </w:r>
    </w:p>
    <w:p w14:paraId="3FA0A5A1">
      <w:pPr>
        <w:bidi w:val="0"/>
        <w:rPr>
          <w:rFonts w:hint="eastAsia"/>
          <w:color w:val="auto"/>
        </w:rPr>
      </w:pPr>
      <w:r>
        <w:rPr>
          <w:rFonts w:hint="eastAsia"/>
          <w:color w:val="auto"/>
        </w:rPr>
        <w:t>3、运行中未及时检查维修、连接松动、设备的精度降低；</w:t>
      </w:r>
    </w:p>
    <w:p w14:paraId="18DEE226">
      <w:pPr>
        <w:bidi w:val="0"/>
        <w:rPr>
          <w:rFonts w:hint="eastAsia"/>
          <w:color w:val="auto"/>
        </w:rPr>
      </w:pPr>
      <w:r>
        <w:rPr>
          <w:rFonts w:hint="eastAsia"/>
          <w:color w:val="auto"/>
        </w:rPr>
        <w:t>4、防噪声、防震动装置未能正常使用或失效；</w:t>
      </w:r>
    </w:p>
    <w:p w14:paraId="63F18B9E">
      <w:pPr>
        <w:bidi w:val="0"/>
        <w:rPr>
          <w:rFonts w:hint="eastAsia"/>
          <w:color w:val="auto"/>
        </w:rPr>
      </w:pPr>
      <w:r>
        <w:rPr>
          <w:rFonts w:hint="eastAsia"/>
          <w:color w:val="auto"/>
        </w:rPr>
        <w:t>5、作业人员违章操作等。</w:t>
      </w:r>
    </w:p>
    <w:p w14:paraId="2DCC8BCA">
      <w:pPr>
        <w:pStyle w:val="4"/>
        <w:bidi w:val="0"/>
        <w:rPr>
          <w:rFonts w:hint="eastAsia"/>
          <w:color w:val="auto"/>
        </w:rPr>
      </w:pPr>
      <w:bookmarkStart w:id="164" w:name="_Toc7148"/>
      <w:r>
        <w:rPr>
          <w:rFonts w:hint="eastAsia"/>
          <w:color w:val="auto"/>
        </w:rPr>
        <w:t>3.5.1</w:t>
      </w:r>
      <w:r>
        <w:rPr>
          <w:rFonts w:hint="eastAsia"/>
          <w:color w:val="auto"/>
          <w:lang w:val="en-US" w:eastAsia="zh-CN"/>
        </w:rPr>
        <w:t>5</w:t>
      </w:r>
      <w:r>
        <w:rPr>
          <w:rFonts w:hint="eastAsia"/>
          <w:color w:val="auto"/>
        </w:rPr>
        <w:t xml:space="preserve"> 其它伤害</w:t>
      </w:r>
      <w:bookmarkEnd w:id="164"/>
    </w:p>
    <w:p w14:paraId="48E7260E">
      <w:pPr>
        <w:bidi w:val="0"/>
        <w:rPr>
          <w:rFonts w:hint="eastAsia"/>
          <w:color w:val="auto"/>
        </w:rPr>
      </w:pPr>
      <w:r>
        <w:rPr>
          <w:rFonts w:hint="eastAsia"/>
          <w:color w:val="auto"/>
        </w:rPr>
        <w:t>一、雷电危害</w:t>
      </w:r>
    </w:p>
    <w:p w14:paraId="0F1C2792">
      <w:pPr>
        <w:bidi w:val="0"/>
        <w:rPr>
          <w:rFonts w:hint="eastAsia"/>
          <w:color w:val="auto"/>
        </w:rPr>
      </w:pPr>
      <w:r>
        <w:rPr>
          <w:rFonts w:hint="eastAsia"/>
          <w:color w:val="auto"/>
        </w:rPr>
        <w:t>选矿厂建筑物有可能遭受雷击，应采取合理措施避免雷电伤害。</w:t>
      </w:r>
    </w:p>
    <w:p w14:paraId="0198202F">
      <w:pPr>
        <w:bidi w:val="0"/>
        <w:rPr>
          <w:rFonts w:hint="eastAsia"/>
          <w:color w:val="auto"/>
        </w:rPr>
      </w:pPr>
      <w:r>
        <w:rPr>
          <w:rFonts w:hint="eastAsia"/>
          <w:color w:val="auto"/>
        </w:rPr>
        <w:t>1、雷电伤害方式和途径分析</w:t>
      </w:r>
    </w:p>
    <w:p w14:paraId="5E2AEB48">
      <w:pPr>
        <w:bidi w:val="0"/>
        <w:rPr>
          <w:rFonts w:hint="eastAsia"/>
          <w:color w:val="auto"/>
        </w:rPr>
      </w:pPr>
      <w:r>
        <w:rPr>
          <w:rFonts w:hint="eastAsia"/>
          <w:color w:val="auto"/>
        </w:rPr>
        <w:t>（1）伤害方式：爆炸、火灾、电击、毁坏设备、设施、事故停电等。</w:t>
      </w:r>
    </w:p>
    <w:p w14:paraId="3D664040">
      <w:pPr>
        <w:bidi w:val="0"/>
        <w:rPr>
          <w:rFonts w:hint="eastAsia"/>
          <w:color w:val="auto"/>
        </w:rPr>
      </w:pPr>
      <w:r>
        <w:rPr>
          <w:rFonts w:hint="eastAsia"/>
          <w:color w:val="auto"/>
        </w:rPr>
        <w:t>（2）伤害途径：直接雷击、雷电感应、雷电波的电性质、热性质、机械性质的破坏作用引起。</w:t>
      </w:r>
    </w:p>
    <w:p w14:paraId="41F0684A">
      <w:pPr>
        <w:bidi w:val="0"/>
        <w:rPr>
          <w:rFonts w:hint="eastAsia"/>
          <w:color w:val="auto"/>
        </w:rPr>
      </w:pPr>
      <w:r>
        <w:rPr>
          <w:rFonts w:hint="eastAsia"/>
          <w:color w:val="auto"/>
        </w:rPr>
        <w:t>2、产生雷电伤害的原因分析</w:t>
      </w:r>
    </w:p>
    <w:p w14:paraId="503C9EDC">
      <w:pPr>
        <w:bidi w:val="0"/>
        <w:rPr>
          <w:rFonts w:hint="eastAsia"/>
          <w:color w:val="auto"/>
        </w:rPr>
      </w:pPr>
      <w:r>
        <w:rPr>
          <w:rFonts w:hint="eastAsia"/>
          <w:color w:val="auto"/>
        </w:rPr>
        <w:t>（1）防雷接地装置设计不合理；</w:t>
      </w:r>
    </w:p>
    <w:p w14:paraId="258FAC60">
      <w:pPr>
        <w:bidi w:val="0"/>
        <w:rPr>
          <w:rFonts w:hint="eastAsia"/>
          <w:color w:val="auto"/>
        </w:rPr>
      </w:pPr>
      <w:r>
        <w:rPr>
          <w:rFonts w:hint="eastAsia"/>
          <w:color w:val="auto"/>
        </w:rPr>
        <w:t>（2）防雷接地装置使用不当，存在缺陷；</w:t>
      </w:r>
    </w:p>
    <w:p w14:paraId="0593D92A">
      <w:pPr>
        <w:bidi w:val="0"/>
        <w:rPr>
          <w:rFonts w:hint="eastAsia"/>
          <w:color w:val="auto"/>
        </w:rPr>
      </w:pPr>
      <w:r>
        <w:rPr>
          <w:rFonts w:hint="eastAsia"/>
          <w:color w:val="auto"/>
        </w:rPr>
        <w:t>（3）防雷接地装置失效，接地电阻不符合要求；</w:t>
      </w:r>
    </w:p>
    <w:p w14:paraId="06E066EB">
      <w:pPr>
        <w:bidi w:val="0"/>
        <w:rPr>
          <w:rFonts w:hint="eastAsia"/>
          <w:color w:val="auto"/>
        </w:rPr>
      </w:pPr>
      <w:r>
        <w:rPr>
          <w:rFonts w:hint="eastAsia"/>
          <w:color w:val="auto"/>
        </w:rPr>
        <w:t>（4）缺乏必要的人身防雷安全知识；</w:t>
      </w:r>
    </w:p>
    <w:p w14:paraId="72C02B46">
      <w:pPr>
        <w:bidi w:val="0"/>
        <w:rPr>
          <w:rFonts w:hint="eastAsia"/>
          <w:color w:val="auto"/>
        </w:rPr>
      </w:pPr>
      <w:r>
        <w:rPr>
          <w:rFonts w:hint="eastAsia"/>
          <w:color w:val="auto"/>
        </w:rPr>
        <w:t>（5）雷雨天气进行露天作业。</w:t>
      </w:r>
    </w:p>
    <w:p w14:paraId="63642F10">
      <w:pPr>
        <w:bidi w:val="0"/>
        <w:rPr>
          <w:rFonts w:hint="eastAsia"/>
          <w:color w:val="auto"/>
        </w:rPr>
      </w:pPr>
      <w:r>
        <w:rPr>
          <w:rFonts w:hint="eastAsia"/>
          <w:color w:val="auto"/>
        </w:rPr>
        <w:t>二、电磁辐射</w:t>
      </w:r>
    </w:p>
    <w:p w14:paraId="63BE4AA0">
      <w:pPr>
        <w:bidi w:val="0"/>
        <w:rPr>
          <w:rFonts w:hint="eastAsia"/>
          <w:color w:val="auto"/>
        </w:rPr>
      </w:pPr>
      <w:r>
        <w:rPr>
          <w:rFonts w:hint="eastAsia"/>
          <w:color w:val="auto"/>
        </w:rPr>
        <w:t>电磁辐射：对人体的危害主要表现在对神经系统、血液循环系统、生殖系统、血液微量元素及生化代谢等功能的影响；对环境则造成电磁污染和电磁干扰作用，在一定的时空范围内人体受到非正常和超值照射时，可使人产生失眠、头痛、心悸、脱发、记忆力减退等症状。</w:t>
      </w:r>
    </w:p>
    <w:p w14:paraId="126E8B5B">
      <w:pPr>
        <w:bidi w:val="0"/>
        <w:rPr>
          <w:rFonts w:hint="eastAsia"/>
          <w:color w:val="auto"/>
        </w:rPr>
      </w:pPr>
      <w:r>
        <w:rPr>
          <w:rFonts w:hint="eastAsia"/>
          <w:color w:val="auto"/>
        </w:rPr>
        <w:t>变配电站运行人员在控制室、变压器旁和开关站进行值守和必要的巡视时，均有可能受到电磁辐射的影响。强电磁场还会对通讯设备和中控室设备产生干扰，影响设备正常工作。</w:t>
      </w:r>
    </w:p>
    <w:p w14:paraId="09C0A06D">
      <w:pPr>
        <w:bidi w:val="0"/>
        <w:rPr>
          <w:rFonts w:hint="eastAsia"/>
          <w:color w:val="auto"/>
        </w:rPr>
      </w:pPr>
      <w:r>
        <w:rPr>
          <w:rFonts w:hint="eastAsia"/>
          <w:color w:val="auto"/>
        </w:rPr>
        <w:t>三、作业环境不良</w:t>
      </w:r>
    </w:p>
    <w:p w14:paraId="555B5BF0">
      <w:pPr>
        <w:bidi w:val="0"/>
        <w:rPr>
          <w:rFonts w:hint="eastAsia"/>
          <w:color w:val="auto"/>
        </w:rPr>
      </w:pPr>
      <w:r>
        <w:rPr>
          <w:rFonts w:hint="eastAsia"/>
          <w:color w:val="auto"/>
        </w:rPr>
        <w:t>过大的湿度会引起运行检修人员易患风湿性关节炎、神经衰弱等病症，应注意厂房内的通风，保持干燥。</w:t>
      </w:r>
    </w:p>
    <w:p w14:paraId="3722DAD1">
      <w:pPr>
        <w:bidi w:val="0"/>
        <w:rPr>
          <w:rFonts w:hint="eastAsia"/>
          <w:color w:val="auto"/>
        </w:rPr>
      </w:pPr>
      <w:r>
        <w:rPr>
          <w:rFonts w:hint="eastAsia"/>
          <w:color w:val="auto"/>
        </w:rPr>
        <w:t>光照的亮度和照度不足，会使操作人员作业困难，视觉分辨力下降，危险的地段会因照明不足引起意外事故。</w:t>
      </w:r>
    </w:p>
    <w:p w14:paraId="5E699E42">
      <w:pPr>
        <w:bidi w:val="0"/>
        <w:rPr>
          <w:rFonts w:hint="eastAsia"/>
          <w:color w:val="auto"/>
        </w:rPr>
      </w:pPr>
      <w:r>
        <w:rPr>
          <w:rFonts w:hint="eastAsia"/>
          <w:color w:val="auto"/>
        </w:rPr>
        <w:t>作业场地因设备漏油或加油的过程中将油洒落在地上，作业人员踩地面油污上会跌倒。</w:t>
      </w:r>
    </w:p>
    <w:p w14:paraId="0AE02BFF">
      <w:pPr>
        <w:bidi w:val="0"/>
        <w:rPr>
          <w:rFonts w:hint="eastAsia"/>
          <w:color w:val="auto"/>
        </w:rPr>
      </w:pPr>
      <w:r>
        <w:rPr>
          <w:rFonts w:hint="eastAsia"/>
          <w:color w:val="auto"/>
        </w:rPr>
        <w:t>四、雨天作业道路潮湿、冬季作业路面结冰等可能引起人员滑倒、摔伤、扭伤、坠落与滚落等。</w:t>
      </w:r>
    </w:p>
    <w:p w14:paraId="0C02E6F2">
      <w:pPr>
        <w:bidi w:val="0"/>
        <w:rPr>
          <w:rFonts w:hint="eastAsia"/>
          <w:color w:val="auto"/>
        </w:rPr>
      </w:pPr>
      <w:r>
        <w:rPr>
          <w:rFonts w:hint="eastAsia"/>
          <w:color w:val="auto"/>
        </w:rPr>
        <w:t>五、盛夏季炎热季节，由于天气炎热，作业环境温度较高，加上劳动强度大，作业人员易发生眩晕、中暑等病症。</w:t>
      </w:r>
    </w:p>
    <w:p w14:paraId="0AAA3F5B">
      <w:pPr>
        <w:pStyle w:val="3"/>
        <w:bidi w:val="0"/>
        <w:rPr>
          <w:rFonts w:hint="eastAsia"/>
          <w:color w:val="auto"/>
        </w:rPr>
      </w:pPr>
      <w:bookmarkStart w:id="165" w:name="_Toc10241"/>
      <w:r>
        <w:rPr>
          <w:rFonts w:hint="eastAsia"/>
          <w:color w:val="auto"/>
        </w:rPr>
        <w:t>3.6 有限空间作业危险有害因素辨识与分析</w:t>
      </w:r>
      <w:bookmarkEnd w:id="165"/>
    </w:p>
    <w:p w14:paraId="1BEEBAB8">
      <w:pPr>
        <w:bidi w:val="0"/>
        <w:rPr>
          <w:rFonts w:hint="eastAsia"/>
          <w:color w:val="auto"/>
        </w:rPr>
      </w:pPr>
      <w:r>
        <w:rPr>
          <w:rFonts w:hint="eastAsia"/>
          <w:color w:val="auto"/>
        </w:rPr>
        <w:t>进入有限空间内进行检修、清理和从事其他工作，称为有限空间作业。人在氧含量为19％～21％的空气中，表现正常；假如氧含量降到13％～16％，人会突然晕倒；降到13％以下，会死亡。有限空间不能用纯氧换气，因为氧是助燃物质，作业时有火星，会着火，引发事故伤人，有限空间内作业，与电气设施接触频繁，如果照明灯具、电动工具漏电，有可能导致人员触电事故。</w:t>
      </w:r>
    </w:p>
    <w:p w14:paraId="1A419E13">
      <w:pPr>
        <w:bidi w:val="0"/>
        <w:rPr>
          <w:rFonts w:hint="eastAsia"/>
          <w:color w:val="auto"/>
        </w:rPr>
      </w:pPr>
      <w:r>
        <w:rPr>
          <w:rFonts w:hint="eastAsia"/>
          <w:color w:val="auto"/>
        </w:rPr>
        <w:t>另外，由于在有限空间内部作业，人员活动不便，在作业时遇到安全隐患，身体移动受到一定的限制，不能及时脱离现场，大大增加了人员伤亡的比率。</w:t>
      </w:r>
    </w:p>
    <w:p w14:paraId="1B1D341E">
      <w:pPr>
        <w:bidi w:val="0"/>
        <w:rPr>
          <w:rFonts w:hint="eastAsia"/>
          <w:color w:val="auto"/>
        </w:rPr>
      </w:pPr>
      <w:r>
        <w:rPr>
          <w:rFonts w:hint="eastAsia"/>
          <w:color w:val="auto"/>
        </w:rPr>
        <w:t>本项目涉及的有限空间作业包括：</w:t>
      </w:r>
      <w:r>
        <w:rPr>
          <w:rFonts w:hint="eastAsia"/>
          <w:color w:val="auto"/>
          <w:lang w:val="en-US" w:eastAsia="zh-CN"/>
        </w:rPr>
        <w:t>烘干的回转窑、</w:t>
      </w:r>
      <w:r>
        <w:rPr>
          <w:rFonts w:hint="eastAsia"/>
          <w:color w:val="auto"/>
        </w:rPr>
        <w:t>球磨机、水池。作业人员进入有限空间内作业可能发生中毒、窒息、触电、高处坠落等事故。</w:t>
      </w:r>
    </w:p>
    <w:p w14:paraId="426616DB">
      <w:pPr>
        <w:bidi w:val="0"/>
        <w:rPr>
          <w:rFonts w:hint="eastAsia"/>
          <w:color w:val="auto"/>
        </w:rPr>
      </w:pPr>
      <w:r>
        <w:rPr>
          <w:rFonts w:hint="eastAsia"/>
          <w:color w:val="auto"/>
        </w:rPr>
        <w:t>进入有限空间作业，可能由以下原因导致有限空间内人员发生中毒、窒息、触电、高处坠落等事故：</w:t>
      </w:r>
    </w:p>
    <w:p w14:paraId="1219F657">
      <w:pPr>
        <w:bidi w:val="0"/>
        <w:rPr>
          <w:rFonts w:hint="eastAsia"/>
          <w:color w:val="auto"/>
        </w:rPr>
      </w:pPr>
      <w:r>
        <w:rPr>
          <w:rFonts w:hint="eastAsia"/>
          <w:color w:val="auto"/>
        </w:rPr>
        <w:t>1、企业未制定有限空间作业的管理制度、建立有限空间作业责任制、明确有限空间作业操作规程、应急预案等；</w:t>
      </w:r>
    </w:p>
    <w:p w14:paraId="6318BB70">
      <w:pPr>
        <w:bidi w:val="0"/>
        <w:rPr>
          <w:rFonts w:hint="eastAsia"/>
          <w:color w:val="auto"/>
        </w:rPr>
      </w:pPr>
      <w:r>
        <w:rPr>
          <w:rFonts w:hint="eastAsia"/>
          <w:color w:val="auto"/>
        </w:rPr>
        <w:t>2、作业人员未办理相关作业许可，未落实相关的安全防护措施；</w:t>
      </w:r>
    </w:p>
    <w:p w14:paraId="611FCE1D">
      <w:pPr>
        <w:bidi w:val="0"/>
        <w:rPr>
          <w:rFonts w:hint="eastAsia"/>
          <w:color w:val="auto"/>
        </w:rPr>
      </w:pPr>
      <w:r>
        <w:rPr>
          <w:rFonts w:hint="eastAsia"/>
          <w:color w:val="auto"/>
        </w:rPr>
        <w:t>3、进入有限空间前未进行通风，或通风时间不足；</w:t>
      </w:r>
    </w:p>
    <w:p w14:paraId="52C83946">
      <w:pPr>
        <w:bidi w:val="0"/>
        <w:rPr>
          <w:rFonts w:hint="eastAsia"/>
          <w:color w:val="auto"/>
        </w:rPr>
      </w:pPr>
      <w:r>
        <w:rPr>
          <w:rFonts w:hint="eastAsia"/>
          <w:color w:val="auto"/>
        </w:rPr>
        <w:t>4、未对有限空间内气体采样分析、分析时间超过规定分析间隔时间或采样位置不合理；</w:t>
      </w:r>
    </w:p>
    <w:p w14:paraId="15C5E0AD">
      <w:pPr>
        <w:bidi w:val="0"/>
        <w:rPr>
          <w:rFonts w:hint="eastAsia"/>
          <w:color w:val="auto"/>
        </w:rPr>
      </w:pPr>
      <w:r>
        <w:rPr>
          <w:rFonts w:hint="eastAsia"/>
          <w:color w:val="auto"/>
        </w:rPr>
        <w:t>5、有限空间照明电压过高，未使用安全电压，引起人员触电；</w:t>
      </w:r>
    </w:p>
    <w:p w14:paraId="348C7365">
      <w:pPr>
        <w:bidi w:val="0"/>
        <w:rPr>
          <w:rFonts w:hint="eastAsia"/>
          <w:color w:val="auto"/>
        </w:rPr>
      </w:pPr>
      <w:r>
        <w:rPr>
          <w:rFonts w:hint="eastAsia"/>
          <w:color w:val="auto"/>
        </w:rPr>
        <w:t>6、使用手持电动工具或进行电焊作业时，未设漏电保护装置；</w:t>
      </w:r>
    </w:p>
    <w:p w14:paraId="64BEDA7D">
      <w:pPr>
        <w:bidi w:val="0"/>
        <w:rPr>
          <w:rFonts w:hint="eastAsia"/>
          <w:color w:val="auto"/>
        </w:rPr>
      </w:pPr>
      <w:r>
        <w:rPr>
          <w:rFonts w:hint="eastAsia"/>
          <w:color w:val="auto"/>
        </w:rPr>
        <w:t>7、作业人员未佩戴劳动防护用品（防毒面具），人员进入受到有害物质危害；</w:t>
      </w:r>
    </w:p>
    <w:p w14:paraId="543740A1">
      <w:pPr>
        <w:bidi w:val="0"/>
        <w:rPr>
          <w:rFonts w:hint="eastAsia"/>
          <w:color w:val="auto"/>
        </w:rPr>
      </w:pPr>
      <w:r>
        <w:rPr>
          <w:rFonts w:hint="eastAsia"/>
          <w:color w:val="auto"/>
        </w:rPr>
        <w:t>8、有限空间作业时，未设置作业监护人，作业人与监护人未保持联系，发生意外，作业人员未及时得到救护；</w:t>
      </w:r>
    </w:p>
    <w:p w14:paraId="05B7D4F5">
      <w:pPr>
        <w:bidi w:val="0"/>
        <w:rPr>
          <w:rFonts w:hint="eastAsia"/>
          <w:color w:val="auto"/>
        </w:rPr>
      </w:pPr>
      <w:r>
        <w:rPr>
          <w:rFonts w:hint="eastAsia"/>
          <w:color w:val="auto"/>
        </w:rPr>
        <w:t>9、有限空间内部物料未清理干净，人员进入后发生淹没人员发生窒息；</w:t>
      </w:r>
    </w:p>
    <w:p w14:paraId="4D8D648D">
      <w:pPr>
        <w:bidi w:val="0"/>
        <w:rPr>
          <w:rFonts w:hint="eastAsia"/>
          <w:color w:val="auto"/>
        </w:rPr>
      </w:pPr>
      <w:r>
        <w:rPr>
          <w:rFonts w:hint="eastAsia"/>
          <w:color w:val="auto"/>
        </w:rPr>
        <w:t>10、人员违章作业。</w:t>
      </w:r>
    </w:p>
    <w:p w14:paraId="1618A1B9">
      <w:pPr>
        <w:pStyle w:val="3"/>
        <w:bidi w:val="0"/>
        <w:rPr>
          <w:rFonts w:hint="eastAsia"/>
          <w:color w:val="auto"/>
        </w:rPr>
      </w:pPr>
      <w:bookmarkStart w:id="166" w:name="_Toc11908"/>
      <w:r>
        <w:rPr>
          <w:rFonts w:hint="eastAsia"/>
          <w:color w:val="auto"/>
          <w:lang w:val="en-US" w:eastAsia="zh-CN"/>
        </w:rPr>
        <w:t xml:space="preserve">3.7 </w:t>
      </w:r>
      <w:r>
        <w:rPr>
          <w:rFonts w:hint="eastAsia"/>
          <w:color w:val="auto"/>
        </w:rPr>
        <w:t>选矿厂周边环境危险因素分析</w:t>
      </w:r>
      <w:bookmarkEnd w:id="166"/>
    </w:p>
    <w:p w14:paraId="55F89F57">
      <w:pPr>
        <w:bidi w:val="0"/>
        <w:rPr>
          <w:rFonts w:hint="eastAsia"/>
          <w:color w:val="auto"/>
        </w:rPr>
      </w:pPr>
      <w:r>
        <w:rPr>
          <w:rFonts w:hint="eastAsia"/>
          <w:color w:val="auto"/>
        </w:rPr>
        <w:t>由于该项目属于技改扩建项目，选厂建厂已多年，未对周边环境造成影响。且废水不外排，噪声通过采取有效的降噪措施，对周边环境的影响在可接受范围内。</w:t>
      </w:r>
    </w:p>
    <w:p w14:paraId="782A9694">
      <w:pPr>
        <w:pStyle w:val="3"/>
        <w:bidi w:val="0"/>
        <w:rPr>
          <w:rFonts w:hint="eastAsia"/>
          <w:color w:val="auto"/>
        </w:rPr>
      </w:pPr>
      <w:bookmarkStart w:id="167" w:name="_Toc22947"/>
      <w:r>
        <w:rPr>
          <w:rFonts w:hint="eastAsia"/>
          <w:color w:val="auto"/>
        </w:rPr>
        <w:t>3.</w:t>
      </w:r>
      <w:r>
        <w:rPr>
          <w:rFonts w:hint="eastAsia"/>
          <w:color w:val="auto"/>
          <w:lang w:val="en-US" w:eastAsia="zh-CN"/>
        </w:rPr>
        <w:t>8</w:t>
      </w:r>
      <w:r>
        <w:rPr>
          <w:rFonts w:hint="eastAsia"/>
          <w:color w:val="auto"/>
        </w:rPr>
        <w:t xml:space="preserve"> 安全管理危险和有害因素辨识与分析</w:t>
      </w:r>
      <w:bookmarkEnd w:id="167"/>
    </w:p>
    <w:p w14:paraId="7F51884B">
      <w:pPr>
        <w:bidi w:val="0"/>
        <w:rPr>
          <w:rFonts w:hint="eastAsia"/>
          <w:color w:val="auto"/>
        </w:rPr>
      </w:pPr>
      <w:r>
        <w:rPr>
          <w:rFonts w:hint="eastAsia"/>
          <w:color w:val="auto"/>
        </w:rPr>
        <w:t>安全管理危险有害因素主要围绕选厂生产过程中建立各级安全生产责任制、规章制度的贯彻和落实情况和设备、工艺、岗位（工种）、安全操作规程展开辨识和分析，主要辨识与分析结果如下：</w:t>
      </w:r>
    </w:p>
    <w:p w14:paraId="2AD2FE83">
      <w:pPr>
        <w:bidi w:val="0"/>
        <w:rPr>
          <w:rFonts w:hint="eastAsia"/>
          <w:color w:val="auto"/>
        </w:rPr>
      </w:pPr>
      <w:r>
        <w:rPr>
          <w:rFonts w:hint="eastAsia"/>
          <w:color w:val="auto"/>
        </w:rPr>
        <w:t>1、未按法律要求设置安全生产管理机构，或结构、人员组成不当，造成安全管理工作中存在衔接不当、管理空白、专业不全等，从而造成安全管理上的漏洞。</w:t>
      </w:r>
    </w:p>
    <w:p w14:paraId="05FC222A">
      <w:pPr>
        <w:bidi w:val="0"/>
        <w:rPr>
          <w:rFonts w:hint="eastAsia"/>
          <w:color w:val="auto"/>
        </w:rPr>
      </w:pPr>
      <w:r>
        <w:rPr>
          <w:rFonts w:hint="eastAsia"/>
          <w:color w:val="auto"/>
        </w:rPr>
        <w:t>2、未建立、健全本单位安全生产责任制，未健全和落实安全生产责任制、安全生产管理制度，容易造成生产过程中责任落实、任务不明确，造成生产次序混乱，诱发各类安全生产事故。</w:t>
      </w:r>
    </w:p>
    <w:p w14:paraId="7AE65F26">
      <w:pPr>
        <w:bidi w:val="0"/>
        <w:rPr>
          <w:rFonts w:hint="eastAsia"/>
          <w:color w:val="auto"/>
        </w:rPr>
      </w:pPr>
      <w:r>
        <w:rPr>
          <w:rFonts w:hint="eastAsia"/>
          <w:color w:val="auto"/>
        </w:rPr>
        <w:t>3、未建立安全生产记录档案，不利于及时、全面系统的掌握企业安全生产情况，及时反应安全生产动态；不利于分析安全生产中的危险因素和作出安全管理决策。</w:t>
      </w:r>
    </w:p>
    <w:p w14:paraId="3F61B84A">
      <w:pPr>
        <w:bidi w:val="0"/>
        <w:rPr>
          <w:rFonts w:hint="eastAsia"/>
          <w:color w:val="auto"/>
        </w:rPr>
      </w:pPr>
      <w:r>
        <w:rPr>
          <w:rFonts w:hint="eastAsia"/>
          <w:color w:val="auto"/>
        </w:rPr>
        <w:t>4、未制定企业安全生产教育和培训计划，从业人员基本安全生产常识、操作技术知识、事故隐患识别能力缺乏。</w:t>
      </w:r>
    </w:p>
    <w:p w14:paraId="39BB35E5">
      <w:pPr>
        <w:bidi w:val="0"/>
        <w:rPr>
          <w:rFonts w:hint="eastAsia"/>
          <w:color w:val="auto"/>
        </w:rPr>
      </w:pPr>
      <w:r>
        <w:rPr>
          <w:rFonts w:hint="eastAsia"/>
          <w:color w:val="auto"/>
        </w:rPr>
        <w:t>5、未建立安全生产隐患排查制度，安全隐患整改不力。</w:t>
      </w:r>
    </w:p>
    <w:p w14:paraId="61A91D8E">
      <w:pPr>
        <w:bidi w:val="0"/>
        <w:rPr>
          <w:rFonts w:hint="eastAsia"/>
          <w:color w:val="auto"/>
        </w:rPr>
      </w:pPr>
      <w:r>
        <w:rPr>
          <w:rFonts w:hint="eastAsia"/>
          <w:color w:val="auto"/>
        </w:rPr>
        <w:t>6、未编制应急救援预案或者应急救援预案不满求需求，未对应急救援预案进行演练。</w:t>
      </w:r>
    </w:p>
    <w:p w14:paraId="222BAC8D">
      <w:pPr>
        <w:bidi w:val="0"/>
        <w:rPr>
          <w:rFonts w:hint="eastAsia"/>
          <w:color w:val="auto"/>
        </w:rPr>
      </w:pPr>
      <w:r>
        <w:rPr>
          <w:rFonts w:hint="eastAsia"/>
          <w:color w:val="auto"/>
        </w:rPr>
        <w:t>7、未制定本单位安全生产规章制度和操作规程，从业人员工作中无章可循，安全生产技术知识缺乏。</w:t>
      </w:r>
    </w:p>
    <w:p w14:paraId="347A6524">
      <w:pPr>
        <w:pStyle w:val="3"/>
        <w:bidi w:val="0"/>
        <w:rPr>
          <w:rFonts w:hint="eastAsia"/>
          <w:color w:val="auto"/>
        </w:rPr>
      </w:pPr>
      <w:bookmarkStart w:id="168" w:name="_Toc8064"/>
      <w:r>
        <w:rPr>
          <w:rFonts w:hint="eastAsia"/>
          <w:color w:val="auto"/>
        </w:rPr>
        <w:t>3.</w:t>
      </w:r>
      <w:r>
        <w:rPr>
          <w:rFonts w:hint="eastAsia"/>
          <w:color w:val="auto"/>
          <w:lang w:val="en-US" w:eastAsia="zh-CN"/>
        </w:rPr>
        <w:t>9</w:t>
      </w:r>
      <w:r>
        <w:rPr>
          <w:rFonts w:hint="eastAsia"/>
          <w:color w:val="auto"/>
        </w:rPr>
        <w:t xml:space="preserve"> 危险化学品重大危险源辨识</w:t>
      </w:r>
      <w:bookmarkEnd w:id="168"/>
    </w:p>
    <w:p w14:paraId="62AAE1D1">
      <w:pPr>
        <w:bidi w:val="0"/>
        <w:rPr>
          <w:rFonts w:hint="eastAsia"/>
          <w:color w:val="auto"/>
        </w:rPr>
      </w:pPr>
      <w:r>
        <w:rPr>
          <w:rFonts w:hint="eastAsia"/>
          <w:color w:val="auto"/>
        </w:rPr>
        <w:t>长期或临时生产、储存或使用和经营危险化学品，且危险化学品的数量等于或超过临界量的单元。危险化学品应依据其危险特性及其数量进行重大危险源辨识。危险化学品重大危险源可分为生产单元危险化学品重大危险源和储存单元危险化学品重大危险源。</w:t>
      </w:r>
    </w:p>
    <w:p w14:paraId="7A248BE4">
      <w:pPr>
        <w:bidi w:val="0"/>
        <w:rPr>
          <w:rFonts w:hint="eastAsia"/>
          <w:color w:val="auto"/>
        </w:rPr>
      </w:pPr>
      <w:r>
        <w:rPr>
          <w:rFonts w:hint="eastAsia"/>
          <w:color w:val="auto"/>
        </w:rPr>
        <w:t>单元内存在的危险化学品的数量根据危险化学品种类的多少区分为以下两种情况：</w:t>
      </w:r>
    </w:p>
    <w:p w14:paraId="76A9B8B5">
      <w:pPr>
        <w:bidi w:val="0"/>
        <w:rPr>
          <w:rFonts w:hint="eastAsia"/>
          <w:color w:val="auto"/>
        </w:rPr>
      </w:pPr>
      <w:r>
        <w:rPr>
          <w:rFonts w:hint="eastAsia"/>
          <w:color w:val="auto"/>
        </w:rPr>
        <w:t>①生产单元、储存单元内存在的危险化学品为单一品种，该危险化学品的数量即为单元内危险化学品的总量，若等于或超过相应的临界量，则定为重大危险源。</w:t>
      </w:r>
    </w:p>
    <w:p w14:paraId="0E93EE5B">
      <w:pPr>
        <w:bidi w:val="0"/>
        <w:rPr>
          <w:color w:val="auto"/>
        </w:rPr>
      </w:pPr>
      <w:r>
        <w:rPr>
          <w:rFonts w:hint="eastAsia"/>
          <w:color w:val="auto"/>
        </w:rPr>
        <w:t>②生产单元、储存单元存在的危险化学品为多品种时，则按下式计算，若满足下面公式，则定为重大危险源：</w:t>
      </w:r>
    </w:p>
    <w:p w14:paraId="553B97A1">
      <w:pPr>
        <w:bidi w:val="0"/>
        <w:rPr>
          <w:rFonts w:hint="default"/>
          <w:color w:val="auto"/>
          <w:lang w:val="en-US" w:eastAsia="zh-CN"/>
        </w:rPr>
      </w:pPr>
      <w:r>
        <w:rPr>
          <w:rFonts w:hint="default"/>
          <w:color w:val="auto"/>
          <w:lang w:val="en-US" w:eastAsia="zh-CN"/>
        </w:rPr>
        <w:t>q</w:t>
      </w:r>
      <w:r>
        <w:rPr>
          <w:rFonts w:hint="default"/>
          <w:color w:val="auto"/>
          <w:vertAlign w:val="subscript"/>
          <w:lang w:val="en-US" w:eastAsia="zh-CN"/>
        </w:rPr>
        <w:t>1</w:t>
      </w:r>
      <w:r>
        <w:rPr>
          <w:rFonts w:hint="default"/>
          <w:color w:val="auto"/>
          <w:lang w:val="en-US" w:eastAsia="zh-CN"/>
        </w:rPr>
        <w:t>/Q</w:t>
      </w:r>
      <w:r>
        <w:rPr>
          <w:rFonts w:hint="default"/>
          <w:color w:val="auto"/>
          <w:vertAlign w:val="subscript"/>
          <w:lang w:val="en-US" w:eastAsia="zh-CN"/>
        </w:rPr>
        <w:t>1</w:t>
      </w:r>
      <w:r>
        <w:rPr>
          <w:rFonts w:hint="default"/>
          <w:color w:val="auto"/>
          <w:lang w:val="en-US" w:eastAsia="zh-CN"/>
        </w:rPr>
        <w:t>+q</w:t>
      </w:r>
      <w:r>
        <w:rPr>
          <w:rFonts w:hint="default"/>
          <w:color w:val="auto"/>
          <w:vertAlign w:val="subscript"/>
          <w:lang w:val="en-US" w:eastAsia="zh-CN"/>
        </w:rPr>
        <w:t>2</w:t>
      </w:r>
      <w:r>
        <w:rPr>
          <w:rFonts w:hint="default"/>
          <w:color w:val="auto"/>
          <w:lang w:val="en-US" w:eastAsia="zh-CN"/>
        </w:rPr>
        <w:t>/Q</w:t>
      </w:r>
      <w:r>
        <w:rPr>
          <w:rFonts w:hint="default"/>
          <w:color w:val="auto"/>
          <w:vertAlign w:val="subscript"/>
          <w:lang w:val="en-US" w:eastAsia="zh-CN"/>
        </w:rPr>
        <w:t>2</w:t>
      </w:r>
      <w:r>
        <w:rPr>
          <w:rFonts w:hint="default"/>
          <w:color w:val="auto"/>
          <w:lang w:val="en-US" w:eastAsia="zh-CN"/>
        </w:rPr>
        <w:t>+……+q</w:t>
      </w:r>
      <w:r>
        <w:rPr>
          <w:rFonts w:hint="default"/>
          <w:color w:val="auto"/>
          <w:vertAlign w:val="subscript"/>
          <w:lang w:val="en-US" w:eastAsia="zh-CN"/>
        </w:rPr>
        <w:t>n</w:t>
      </w:r>
      <w:r>
        <w:rPr>
          <w:rFonts w:hint="default"/>
          <w:color w:val="auto"/>
          <w:lang w:val="en-US" w:eastAsia="zh-CN"/>
        </w:rPr>
        <w:t>/Q</w:t>
      </w:r>
      <w:r>
        <w:rPr>
          <w:rFonts w:hint="default"/>
          <w:color w:val="auto"/>
          <w:vertAlign w:val="subscript"/>
          <w:lang w:val="en-US" w:eastAsia="zh-CN"/>
        </w:rPr>
        <w:t>n</w:t>
      </w:r>
      <w:r>
        <w:rPr>
          <w:rFonts w:hint="default"/>
          <w:color w:val="auto"/>
          <w:lang w:val="en-US" w:eastAsia="zh-CN"/>
        </w:rPr>
        <w:t>≥1</w:t>
      </w:r>
    </w:p>
    <w:p w14:paraId="6713C6C6">
      <w:pPr>
        <w:bidi w:val="0"/>
        <w:rPr>
          <w:rFonts w:hint="default"/>
          <w:color w:val="auto"/>
          <w:lang w:val="en-US" w:eastAsia="zh-CN"/>
        </w:rPr>
      </w:pPr>
      <w:r>
        <w:rPr>
          <w:rFonts w:hint="default"/>
          <w:color w:val="auto"/>
          <w:lang w:val="en-US" w:eastAsia="zh-CN"/>
        </w:rPr>
        <w:t>式中：q</w:t>
      </w:r>
      <w:r>
        <w:rPr>
          <w:rFonts w:hint="default"/>
          <w:color w:val="auto"/>
          <w:vertAlign w:val="subscript"/>
          <w:lang w:val="en-US" w:eastAsia="zh-CN"/>
        </w:rPr>
        <w:t>1</w:t>
      </w:r>
      <w:r>
        <w:rPr>
          <w:rFonts w:hint="default"/>
          <w:color w:val="auto"/>
          <w:lang w:val="en-US" w:eastAsia="zh-CN"/>
        </w:rPr>
        <w:t>，q</w:t>
      </w:r>
      <w:r>
        <w:rPr>
          <w:rFonts w:hint="default"/>
          <w:color w:val="auto"/>
          <w:vertAlign w:val="subscript"/>
          <w:lang w:val="en-US" w:eastAsia="zh-CN"/>
        </w:rPr>
        <w:t>2</w:t>
      </w:r>
      <w:r>
        <w:rPr>
          <w:rFonts w:hint="default"/>
          <w:color w:val="auto"/>
          <w:lang w:val="en-US" w:eastAsia="zh-CN"/>
        </w:rPr>
        <w:t>，…，q</w:t>
      </w:r>
      <w:r>
        <w:rPr>
          <w:rFonts w:hint="default"/>
          <w:color w:val="auto"/>
          <w:vertAlign w:val="subscript"/>
          <w:lang w:val="en-US" w:eastAsia="zh-CN"/>
        </w:rPr>
        <w:t>n</w:t>
      </w:r>
      <w:r>
        <w:rPr>
          <w:rFonts w:hint="default"/>
          <w:color w:val="auto"/>
          <w:lang w:val="en-US" w:eastAsia="zh-CN"/>
        </w:rPr>
        <w:t>——每种危险化学品实际存在量，t。</w:t>
      </w:r>
    </w:p>
    <w:p w14:paraId="64DDE6C6">
      <w:pPr>
        <w:bidi w:val="0"/>
        <w:rPr>
          <w:rFonts w:hint="default"/>
          <w:color w:val="auto"/>
          <w:lang w:val="en-US" w:eastAsia="zh-CN"/>
        </w:rPr>
      </w:pPr>
      <w:r>
        <w:rPr>
          <w:rFonts w:hint="default"/>
          <w:color w:val="auto"/>
          <w:lang w:val="en-US" w:eastAsia="zh-CN"/>
        </w:rPr>
        <w:t>Q</w:t>
      </w:r>
      <w:r>
        <w:rPr>
          <w:rFonts w:hint="default"/>
          <w:color w:val="auto"/>
          <w:vertAlign w:val="subscript"/>
          <w:lang w:val="en-US" w:eastAsia="zh-CN"/>
        </w:rPr>
        <w:t>1</w:t>
      </w:r>
      <w:r>
        <w:rPr>
          <w:rFonts w:hint="default"/>
          <w:color w:val="auto"/>
          <w:lang w:val="en-US" w:eastAsia="zh-CN"/>
        </w:rPr>
        <w:t>，Q</w:t>
      </w:r>
      <w:r>
        <w:rPr>
          <w:rFonts w:hint="default"/>
          <w:color w:val="auto"/>
          <w:vertAlign w:val="subscript"/>
          <w:lang w:val="en-US" w:eastAsia="zh-CN"/>
        </w:rPr>
        <w:t>2</w:t>
      </w:r>
      <w:r>
        <w:rPr>
          <w:rFonts w:hint="default"/>
          <w:color w:val="auto"/>
          <w:lang w:val="en-US" w:eastAsia="zh-CN"/>
        </w:rPr>
        <w:t>，…，Q</w:t>
      </w:r>
      <w:r>
        <w:rPr>
          <w:rFonts w:hint="default"/>
          <w:color w:val="auto"/>
          <w:vertAlign w:val="subscript"/>
          <w:lang w:val="en-US" w:eastAsia="zh-CN"/>
        </w:rPr>
        <w:t>n</w:t>
      </w:r>
      <w:r>
        <w:rPr>
          <w:rFonts w:hint="default"/>
          <w:color w:val="auto"/>
          <w:lang w:val="en-US" w:eastAsia="zh-CN"/>
        </w:rPr>
        <w:t>——各危险化学品相对应的临界量，t。</w:t>
      </w:r>
    </w:p>
    <w:p w14:paraId="453FC7CF">
      <w:pPr>
        <w:bidi w:val="0"/>
        <w:rPr>
          <w:rFonts w:hint="eastAsia"/>
          <w:color w:val="auto"/>
          <w:lang w:val="en-US" w:eastAsia="zh-CN"/>
        </w:rPr>
      </w:pPr>
      <w:r>
        <w:rPr>
          <w:rFonts w:hint="default"/>
          <w:color w:val="auto"/>
          <w:lang w:val="en-US" w:eastAsia="zh-CN"/>
        </w:rPr>
        <w:t>根据《危险化学品重大危险源辨识》（GB18218-2018）辨识，该项目涉及的危险化学品</w:t>
      </w:r>
      <w:r>
        <w:rPr>
          <w:rFonts w:hint="eastAsia"/>
          <w:color w:val="auto"/>
          <w:lang w:val="en-US" w:eastAsia="zh-CN"/>
        </w:rPr>
        <w:t>有：柴油（油箱中），乙炔，氧气（检维修过程使用场所）。</w:t>
      </w:r>
    </w:p>
    <w:p w14:paraId="7CE01939">
      <w:pPr>
        <w:rPr>
          <w:rFonts w:hint="eastAsia"/>
          <w:color w:val="auto"/>
          <w:highlight w:val="none"/>
        </w:rPr>
      </w:pPr>
      <w:r>
        <w:rPr>
          <w:rFonts w:hint="eastAsia"/>
          <w:color w:val="auto"/>
          <w:highlight w:val="none"/>
        </w:rPr>
        <w:t>氧气：采用40L氧气瓶储存，储存压力为15MPa，每瓶储存量相当于标准大气压下容积为6m</w:t>
      </w:r>
      <w:r>
        <w:rPr>
          <w:rFonts w:hint="eastAsia"/>
          <w:color w:val="auto"/>
          <w:highlight w:val="none"/>
          <w:vertAlign w:val="superscript"/>
        </w:rPr>
        <w:t>3</w:t>
      </w:r>
      <w:r>
        <w:rPr>
          <w:rFonts w:hint="eastAsia"/>
          <w:color w:val="auto"/>
          <w:highlight w:val="none"/>
        </w:rPr>
        <w:t>的氧气储存量，标准状态下氧气密度为1.429kg/m</w:t>
      </w:r>
      <w:r>
        <w:rPr>
          <w:rFonts w:hint="eastAsia"/>
          <w:color w:val="auto"/>
          <w:highlight w:val="none"/>
          <w:vertAlign w:val="superscript"/>
        </w:rPr>
        <w:t>3</w:t>
      </w:r>
      <w:r>
        <w:rPr>
          <w:rFonts w:hint="eastAsia"/>
          <w:color w:val="auto"/>
          <w:highlight w:val="none"/>
        </w:rPr>
        <w:t>。正常使用量为3瓶，最大储存量不超过</w:t>
      </w:r>
      <w:r>
        <w:rPr>
          <w:rFonts w:hint="eastAsia"/>
          <w:color w:val="auto"/>
          <w:highlight w:val="none"/>
          <w:lang w:val="en-US" w:eastAsia="zh-CN"/>
        </w:rPr>
        <w:t>6</w:t>
      </w:r>
      <w:r>
        <w:rPr>
          <w:rFonts w:hint="eastAsia"/>
          <w:color w:val="auto"/>
          <w:highlight w:val="none"/>
        </w:rPr>
        <w:t>瓶，最大存储量：1.429×6×</w:t>
      </w:r>
      <w:r>
        <w:rPr>
          <w:rFonts w:hint="eastAsia"/>
          <w:color w:val="auto"/>
          <w:highlight w:val="none"/>
          <w:lang w:val="en-US" w:eastAsia="zh-CN"/>
        </w:rPr>
        <w:t>6</w:t>
      </w:r>
      <w:r>
        <w:rPr>
          <w:rFonts w:hint="eastAsia"/>
          <w:color w:val="auto"/>
          <w:highlight w:val="none"/>
        </w:rPr>
        <w:t>=</w:t>
      </w:r>
      <w:r>
        <w:rPr>
          <w:rFonts w:hint="eastAsia"/>
          <w:color w:val="auto"/>
          <w:highlight w:val="none"/>
          <w:lang w:val="en-US" w:eastAsia="zh-CN"/>
        </w:rPr>
        <w:t>0.051444</w:t>
      </w:r>
      <w:r>
        <w:rPr>
          <w:rFonts w:hint="eastAsia"/>
          <w:color w:val="auto"/>
          <w:highlight w:val="none"/>
        </w:rPr>
        <w:t>t，临界量为200t。</w:t>
      </w:r>
    </w:p>
    <w:p w14:paraId="7BAED422">
      <w:pPr>
        <w:rPr>
          <w:rFonts w:hint="eastAsia"/>
          <w:color w:val="auto"/>
          <w:highlight w:val="none"/>
        </w:rPr>
      </w:pPr>
      <w:r>
        <w:rPr>
          <w:rFonts w:hint="eastAsia"/>
          <w:color w:val="auto"/>
          <w:highlight w:val="none"/>
        </w:rPr>
        <w:t>乙炔：根据《溶解乙炔》（GB6819-2004），40L乙炔气瓶每瓶最大乙炔的盛装量不超过7kg。正产使用量为3瓶，最大储存量不超过</w:t>
      </w:r>
      <w:r>
        <w:rPr>
          <w:rFonts w:hint="eastAsia"/>
          <w:color w:val="auto"/>
          <w:highlight w:val="none"/>
          <w:lang w:val="en-US" w:eastAsia="zh-CN"/>
        </w:rPr>
        <w:t>6</w:t>
      </w:r>
      <w:r>
        <w:rPr>
          <w:rFonts w:hint="eastAsia"/>
          <w:color w:val="auto"/>
          <w:highlight w:val="none"/>
        </w:rPr>
        <w:t>瓶，最大储量：7×</w:t>
      </w:r>
      <w:r>
        <w:rPr>
          <w:rFonts w:hint="eastAsia"/>
          <w:color w:val="auto"/>
          <w:highlight w:val="none"/>
          <w:lang w:val="en-US" w:eastAsia="zh-CN"/>
        </w:rPr>
        <w:t>6</w:t>
      </w:r>
      <w:r>
        <w:rPr>
          <w:rFonts w:hint="eastAsia"/>
          <w:color w:val="auto"/>
          <w:highlight w:val="none"/>
        </w:rPr>
        <w:t>=0.0</w:t>
      </w:r>
      <w:r>
        <w:rPr>
          <w:rFonts w:hint="eastAsia"/>
          <w:color w:val="auto"/>
          <w:highlight w:val="none"/>
          <w:lang w:val="en-US" w:eastAsia="zh-CN"/>
        </w:rPr>
        <w:t>42</w:t>
      </w:r>
      <w:r>
        <w:rPr>
          <w:rFonts w:hint="eastAsia"/>
          <w:color w:val="auto"/>
          <w:highlight w:val="none"/>
        </w:rPr>
        <w:t>t，临界量为1t。</w:t>
      </w:r>
    </w:p>
    <w:p w14:paraId="4794DF74">
      <w:pPr>
        <w:rPr>
          <w:rFonts w:hint="eastAsia"/>
          <w:color w:val="auto"/>
          <w:highlight w:val="none"/>
        </w:rPr>
      </w:pPr>
      <w:r>
        <w:rPr>
          <w:rFonts w:hint="eastAsia"/>
          <w:color w:val="auto"/>
          <w:highlight w:val="none"/>
        </w:rPr>
        <w:t>柴油：选矿厂铲车会用到柴油，柴油不储存，加油时外购桶装拉入，邮箱最大容量一般为80~120L，以120L计算，柴油的密度范围为0.810～0.855kg/L，最大用量为120×0.855÷1000=0.1026t，临界量为5000t。</w:t>
      </w:r>
    </w:p>
    <w:p w14:paraId="2130C205">
      <w:pPr>
        <w:bidi w:val="0"/>
        <w:rPr>
          <w:rFonts w:hint="eastAsia"/>
          <w:color w:val="auto"/>
          <w:lang w:val="en-US" w:eastAsia="zh-CN"/>
        </w:rPr>
      </w:pPr>
      <w:r>
        <w:rPr>
          <w:rFonts w:hint="eastAsia"/>
          <w:color w:val="auto"/>
          <w:lang w:val="en-US" w:eastAsia="zh-CN"/>
        </w:rPr>
        <w:t>则qn/Qn=0.051444/200+0.042/1++0.1026/5000=0.04227774&lt;1，故该项目危险化学品使用和存储不构成重大危险源。</w:t>
      </w:r>
    </w:p>
    <w:p w14:paraId="6A159FDE">
      <w:pPr>
        <w:bidi w:val="0"/>
        <w:rPr>
          <w:rFonts w:hint="eastAsia"/>
          <w:color w:val="auto"/>
          <w:lang w:val="en-US" w:eastAsia="zh-CN"/>
        </w:rPr>
      </w:pPr>
      <w:r>
        <w:rPr>
          <w:rFonts w:hint="eastAsia"/>
          <w:color w:val="auto"/>
          <w:lang w:val="en-US" w:eastAsia="zh-CN"/>
        </w:rPr>
        <w:t>因此，该项目使用的危险化学品不构成重大危险源。该项目未构成重大危险源。</w:t>
      </w:r>
    </w:p>
    <w:p w14:paraId="05FC359D">
      <w:pPr>
        <w:pStyle w:val="3"/>
        <w:bidi w:val="0"/>
        <w:rPr>
          <w:rFonts w:hint="default"/>
          <w:color w:val="auto"/>
          <w:lang w:val="en-US" w:eastAsia="zh-CN"/>
        </w:rPr>
      </w:pPr>
      <w:bookmarkStart w:id="169" w:name="_Toc11946"/>
      <w:bookmarkStart w:id="170" w:name="_Toc21072"/>
      <w:r>
        <w:rPr>
          <w:rFonts w:hint="default"/>
          <w:color w:val="auto"/>
          <w:lang w:val="en-US" w:eastAsia="zh-CN"/>
        </w:rPr>
        <w:t>3.</w:t>
      </w:r>
      <w:r>
        <w:rPr>
          <w:rFonts w:hint="eastAsia"/>
          <w:color w:val="auto"/>
          <w:lang w:val="en-US" w:eastAsia="zh-CN"/>
        </w:rPr>
        <w:t>10</w:t>
      </w:r>
      <w:r>
        <w:rPr>
          <w:rFonts w:hint="default"/>
          <w:color w:val="auto"/>
          <w:lang w:val="en-US" w:eastAsia="zh-CN"/>
        </w:rPr>
        <w:t xml:space="preserve"> 评价项目主要危险及有害因素总结</w:t>
      </w:r>
      <w:bookmarkEnd w:id="169"/>
      <w:bookmarkEnd w:id="170"/>
    </w:p>
    <w:p w14:paraId="25C9F293">
      <w:pPr>
        <w:bidi w:val="0"/>
        <w:rPr>
          <w:rFonts w:hint="default"/>
          <w:color w:val="auto"/>
          <w:lang w:val="en-US" w:eastAsia="zh-CN"/>
        </w:rPr>
      </w:pPr>
      <w:r>
        <w:rPr>
          <w:rFonts w:hint="default"/>
          <w:color w:val="auto"/>
          <w:lang w:val="en-US" w:eastAsia="zh-CN"/>
        </w:rPr>
        <w:t>针对该项目地质条件、自然条件、生产工艺系统及公用辅助设施等方面的具体特点，综合考虑自然因素、设备因素和人的因素（包括管理因素和设计因素），可辨识出该</w:t>
      </w:r>
      <w:r>
        <w:rPr>
          <w:rFonts w:hint="eastAsia"/>
          <w:color w:val="auto"/>
          <w:lang w:val="en-US" w:eastAsia="zh-CN"/>
        </w:rPr>
        <w:t>项目</w:t>
      </w:r>
      <w:r>
        <w:rPr>
          <w:rFonts w:hint="default"/>
          <w:color w:val="auto"/>
          <w:lang w:val="en-US" w:eastAsia="zh-CN"/>
        </w:rPr>
        <w:t>在今后生产经营活动中主要危险、有害因素，详见危险有害因素小结表3</w:t>
      </w:r>
      <w:r>
        <w:rPr>
          <w:rFonts w:hint="eastAsia"/>
          <w:color w:val="auto"/>
          <w:lang w:val="en-US" w:eastAsia="zh-CN"/>
        </w:rPr>
        <w:t>.10</w:t>
      </w:r>
      <w:r>
        <w:rPr>
          <w:rFonts w:hint="default"/>
          <w:color w:val="auto"/>
          <w:lang w:val="en-US" w:eastAsia="zh-CN"/>
        </w:rPr>
        <w:t>-</w:t>
      </w:r>
      <w:r>
        <w:rPr>
          <w:rFonts w:hint="eastAsia"/>
          <w:color w:val="auto"/>
          <w:lang w:val="en-US" w:eastAsia="zh-CN"/>
        </w:rPr>
        <w:t>1</w:t>
      </w:r>
      <w:r>
        <w:rPr>
          <w:rFonts w:hint="default"/>
          <w:color w:val="auto"/>
          <w:lang w:val="en-US" w:eastAsia="zh-CN"/>
        </w:rPr>
        <w:t>。</w:t>
      </w:r>
    </w:p>
    <w:p w14:paraId="1EB979AC">
      <w:pPr>
        <w:pStyle w:val="18"/>
        <w:bidi w:val="0"/>
        <w:rPr>
          <w:rFonts w:hint="default"/>
          <w:color w:val="auto"/>
          <w:lang w:val="en-US" w:eastAsia="zh-CN"/>
        </w:rPr>
      </w:pPr>
      <w:r>
        <w:rPr>
          <w:rFonts w:hint="default"/>
          <w:color w:val="auto"/>
          <w:lang w:val="en-US" w:eastAsia="zh-CN"/>
        </w:rPr>
        <w:t>表3</w:t>
      </w:r>
      <w:r>
        <w:rPr>
          <w:rFonts w:hint="eastAsia"/>
          <w:color w:val="auto"/>
          <w:lang w:val="en-US" w:eastAsia="zh-CN"/>
        </w:rPr>
        <w:t>.10</w:t>
      </w:r>
      <w:r>
        <w:rPr>
          <w:rFonts w:hint="default"/>
          <w:color w:val="auto"/>
          <w:lang w:val="en-US" w:eastAsia="zh-CN"/>
        </w:rPr>
        <w:t>-</w:t>
      </w:r>
      <w:r>
        <w:rPr>
          <w:rFonts w:hint="eastAsia"/>
          <w:color w:val="auto"/>
          <w:lang w:val="en-US" w:eastAsia="zh-CN"/>
        </w:rPr>
        <w:t>1</w:t>
      </w:r>
      <w:r>
        <w:rPr>
          <w:rFonts w:hint="default"/>
          <w:color w:val="auto"/>
          <w:lang w:val="en-US" w:eastAsia="zh-CN"/>
        </w:rPr>
        <w:t xml:space="preserve"> </w:t>
      </w:r>
      <w:r>
        <w:rPr>
          <w:rFonts w:hint="eastAsia"/>
          <w:color w:val="auto"/>
          <w:lang w:val="en-US" w:eastAsia="zh-CN"/>
        </w:rPr>
        <w:t xml:space="preserve"> </w:t>
      </w:r>
      <w:r>
        <w:rPr>
          <w:rFonts w:hint="default"/>
          <w:color w:val="auto"/>
          <w:lang w:val="en-US" w:eastAsia="zh-CN"/>
        </w:rPr>
        <w:t>主要危险有害因素汇总表</w:t>
      </w:r>
    </w:p>
    <w:tbl>
      <w:tblPr>
        <w:tblStyle w:val="14"/>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9"/>
        <w:gridCol w:w="487"/>
        <w:gridCol w:w="1411"/>
        <w:gridCol w:w="4816"/>
        <w:gridCol w:w="2129"/>
      </w:tblGrid>
      <w:tr w14:paraId="67585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blHeader/>
          <w:jc w:val="center"/>
        </w:trPr>
        <w:tc>
          <w:tcPr>
            <w:tcW w:w="292" w:type="pct"/>
            <w:noWrap w:val="0"/>
            <w:vAlign w:val="center"/>
          </w:tcPr>
          <w:p w14:paraId="3A4433E8">
            <w:pPr>
              <w:pStyle w:val="19"/>
              <w:bidi w:val="0"/>
              <w:rPr>
                <w:b/>
                <w:bCs/>
                <w:color w:val="auto"/>
                <w:lang w:val="sq-AL"/>
              </w:rPr>
            </w:pPr>
            <w:r>
              <w:rPr>
                <w:b/>
                <w:bCs/>
                <w:color w:val="auto"/>
                <w:lang w:val="sq-AL"/>
              </w:rPr>
              <w:t>项目</w:t>
            </w:r>
          </w:p>
        </w:tc>
        <w:tc>
          <w:tcPr>
            <w:tcW w:w="259" w:type="pct"/>
            <w:noWrap w:val="0"/>
            <w:vAlign w:val="center"/>
          </w:tcPr>
          <w:p w14:paraId="7371BDF1">
            <w:pPr>
              <w:pStyle w:val="19"/>
              <w:bidi w:val="0"/>
              <w:rPr>
                <w:b/>
                <w:bCs/>
                <w:color w:val="auto"/>
                <w:lang w:val="sq-AL"/>
              </w:rPr>
            </w:pPr>
            <w:r>
              <w:rPr>
                <w:b/>
                <w:bCs/>
                <w:color w:val="auto"/>
                <w:lang w:val="sq-AL"/>
              </w:rPr>
              <w:t>序号</w:t>
            </w:r>
          </w:p>
        </w:tc>
        <w:tc>
          <w:tcPr>
            <w:tcW w:w="751" w:type="pct"/>
            <w:noWrap w:val="0"/>
            <w:vAlign w:val="center"/>
          </w:tcPr>
          <w:p w14:paraId="0C927E9B">
            <w:pPr>
              <w:pStyle w:val="19"/>
              <w:bidi w:val="0"/>
              <w:rPr>
                <w:b/>
                <w:bCs/>
                <w:color w:val="auto"/>
                <w:lang w:val="sq-AL"/>
              </w:rPr>
            </w:pPr>
            <w:r>
              <w:rPr>
                <w:b/>
                <w:bCs/>
                <w:color w:val="auto"/>
                <w:lang w:val="sq-AL"/>
              </w:rPr>
              <w:t>危险因</w:t>
            </w:r>
          </w:p>
          <w:p w14:paraId="4A7BBB2D">
            <w:pPr>
              <w:pStyle w:val="19"/>
              <w:bidi w:val="0"/>
              <w:rPr>
                <w:b/>
                <w:bCs/>
                <w:color w:val="auto"/>
                <w:lang w:val="sq-AL"/>
              </w:rPr>
            </w:pPr>
            <w:r>
              <w:rPr>
                <w:b/>
                <w:bCs/>
                <w:color w:val="auto"/>
                <w:lang w:val="sq-AL"/>
              </w:rPr>
              <w:t>素分类</w:t>
            </w:r>
          </w:p>
        </w:tc>
        <w:tc>
          <w:tcPr>
            <w:tcW w:w="2563" w:type="pct"/>
            <w:noWrap w:val="0"/>
            <w:vAlign w:val="center"/>
          </w:tcPr>
          <w:p w14:paraId="5C9CBBAC">
            <w:pPr>
              <w:pStyle w:val="19"/>
              <w:bidi w:val="0"/>
              <w:rPr>
                <w:b/>
                <w:bCs/>
                <w:color w:val="auto"/>
                <w:lang w:val="sq-AL"/>
              </w:rPr>
            </w:pPr>
            <w:r>
              <w:rPr>
                <w:b/>
                <w:bCs/>
                <w:color w:val="auto"/>
                <w:lang w:val="sq-AL"/>
              </w:rPr>
              <w:t>可能存在部位</w:t>
            </w:r>
          </w:p>
        </w:tc>
        <w:tc>
          <w:tcPr>
            <w:tcW w:w="1133" w:type="pct"/>
            <w:noWrap w:val="0"/>
            <w:vAlign w:val="center"/>
          </w:tcPr>
          <w:p w14:paraId="18DDA2EE">
            <w:pPr>
              <w:pStyle w:val="19"/>
              <w:bidi w:val="0"/>
              <w:rPr>
                <w:b/>
                <w:bCs/>
                <w:color w:val="auto"/>
                <w:lang w:val="sq-AL"/>
              </w:rPr>
            </w:pPr>
            <w:r>
              <w:rPr>
                <w:b/>
                <w:bCs/>
                <w:color w:val="auto"/>
                <w:lang w:val="sq-AL"/>
              </w:rPr>
              <w:t>可能造成的后果</w:t>
            </w:r>
          </w:p>
        </w:tc>
      </w:tr>
      <w:tr w14:paraId="49D01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92" w:type="pct"/>
            <w:vMerge w:val="restart"/>
            <w:noWrap w:val="0"/>
            <w:vAlign w:val="center"/>
          </w:tcPr>
          <w:p w14:paraId="7FCE5128">
            <w:pPr>
              <w:pStyle w:val="19"/>
              <w:bidi w:val="0"/>
              <w:rPr>
                <w:color w:val="auto"/>
                <w:lang w:val="sq-AL"/>
              </w:rPr>
            </w:pPr>
            <w:r>
              <w:rPr>
                <w:color w:val="auto"/>
                <w:lang w:val="sq-AL"/>
              </w:rPr>
              <w:t>危</w:t>
            </w:r>
          </w:p>
          <w:p w14:paraId="6B2ED385">
            <w:pPr>
              <w:pStyle w:val="19"/>
              <w:bidi w:val="0"/>
              <w:rPr>
                <w:color w:val="auto"/>
                <w:lang w:val="sq-AL"/>
              </w:rPr>
            </w:pPr>
            <w:r>
              <w:rPr>
                <w:color w:val="auto"/>
                <w:lang w:val="sq-AL"/>
              </w:rPr>
              <w:t>险</w:t>
            </w:r>
          </w:p>
          <w:p w14:paraId="2CF40818">
            <w:pPr>
              <w:pStyle w:val="19"/>
              <w:bidi w:val="0"/>
              <w:rPr>
                <w:color w:val="auto"/>
                <w:lang w:val="sq-AL"/>
              </w:rPr>
            </w:pPr>
            <w:r>
              <w:rPr>
                <w:color w:val="auto"/>
                <w:lang w:val="sq-AL"/>
              </w:rPr>
              <w:t>因</w:t>
            </w:r>
          </w:p>
          <w:p w14:paraId="26A627FE">
            <w:pPr>
              <w:pStyle w:val="19"/>
              <w:bidi w:val="0"/>
              <w:rPr>
                <w:color w:val="auto"/>
                <w:lang w:val="sq-AL"/>
              </w:rPr>
            </w:pPr>
            <w:r>
              <w:rPr>
                <w:color w:val="auto"/>
                <w:lang w:val="sq-AL"/>
              </w:rPr>
              <w:t>素</w:t>
            </w:r>
          </w:p>
        </w:tc>
        <w:tc>
          <w:tcPr>
            <w:tcW w:w="259" w:type="pct"/>
            <w:noWrap w:val="0"/>
            <w:vAlign w:val="center"/>
          </w:tcPr>
          <w:p w14:paraId="7038062A">
            <w:pPr>
              <w:pStyle w:val="19"/>
              <w:bidi w:val="0"/>
              <w:rPr>
                <w:color w:val="auto"/>
                <w:lang w:val="sq-AL"/>
              </w:rPr>
            </w:pPr>
            <w:r>
              <w:rPr>
                <w:color w:val="auto"/>
                <w:lang w:val="sq-AL"/>
              </w:rPr>
              <w:t>1</w:t>
            </w:r>
          </w:p>
        </w:tc>
        <w:tc>
          <w:tcPr>
            <w:tcW w:w="751" w:type="pct"/>
            <w:noWrap w:val="0"/>
            <w:vAlign w:val="center"/>
          </w:tcPr>
          <w:p w14:paraId="0AF4F579">
            <w:pPr>
              <w:pStyle w:val="19"/>
              <w:bidi w:val="0"/>
              <w:rPr>
                <w:rFonts w:hint="default"/>
                <w:color w:val="auto"/>
                <w:lang w:val="en-US" w:eastAsia="zh-CN"/>
              </w:rPr>
            </w:pPr>
            <w:r>
              <w:rPr>
                <w:color w:val="auto"/>
                <w:lang w:val="sq-AL"/>
              </w:rPr>
              <w:t>坍塌</w:t>
            </w:r>
          </w:p>
        </w:tc>
        <w:tc>
          <w:tcPr>
            <w:tcW w:w="2563" w:type="pct"/>
            <w:noWrap w:val="0"/>
            <w:vAlign w:val="center"/>
          </w:tcPr>
          <w:p w14:paraId="72902CBE">
            <w:pPr>
              <w:pStyle w:val="19"/>
              <w:bidi w:val="0"/>
              <w:rPr>
                <w:color w:val="auto"/>
                <w:lang w:val="sq-AL"/>
              </w:rPr>
            </w:pPr>
            <w:r>
              <w:rPr>
                <w:color w:val="auto"/>
              </w:rPr>
              <w:t>拟建项目施工过程中台阶开挖、支护、建构筑物施工及项目建成运行过程中均可能发生。</w:t>
            </w:r>
          </w:p>
        </w:tc>
        <w:tc>
          <w:tcPr>
            <w:tcW w:w="1133" w:type="pct"/>
            <w:noWrap w:val="0"/>
            <w:vAlign w:val="center"/>
          </w:tcPr>
          <w:p w14:paraId="7D42D15E">
            <w:pPr>
              <w:pStyle w:val="19"/>
              <w:bidi w:val="0"/>
              <w:rPr>
                <w:color w:val="auto"/>
                <w:lang w:val="sq-AL"/>
              </w:rPr>
            </w:pPr>
            <w:r>
              <w:rPr>
                <w:color w:val="auto"/>
                <w:lang w:val="sq-AL"/>
              </w:rPr>
              <w:t>人员伤亡、财产损失</w:t>
            </w:r>
          </w:p>
        </w:tc>
      </w:tr>
      <w:tr w14:paraId="436B8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92" w:type="pct"/>
            <w:vMerge w:val="continue"/>
            <w:noWrap w:val="0"/>
            <w:vAlign w:val="center"/>
          </w:tcPr>
          <w:p w14:paraId="5284C0E2">
            <w:pPr>
              <w:pStyle w:val="19"/>
              <w:bidi w:val="0"/>
              <w:rPr>
                <w:color w:val="auto"/>
                <w:lang w:val="sq-AL"/>
              </w:rPr>
            </w:pPr>
          </w:p>
        </w:tc>
        <w:tc>
          <w:tcPr>
            <w:tcW w:w="259" w:type="pct"/>
            <w:noWrap w:val="0"/>
            <w:vAlign w:val="center"/>
          </w:tcPr>
          <w:p w14:paraId="01AF32F4">
            <w:pPr>
              <w:pStyle w:val="19"/>
              <w:bidi w:val="0"/>
              <w:rPr>
                <w:rFonts w:hint="eastAsia"/>
                <w:color w:val="auto"/>
                <w:lang w:val="en-US" w:eastAsia="zh-CN"/>
              </w:rPr>
            </w:pPr>
            <w:r>
              <w:rPr>
                <w:rFonts w:hint="eastAsia"/>
                <w:color w:val="auto"/>
                <w:lang w:val="en-US" w:eastAsia="zh-CN"/>
              </w:rPr>
              <w:t>2</w:t>
            </w:r>
          </w:p>
        </w:tc>
        <w:tc>
          <w:tcPr>
            <w:tcW w:w="751" w:type="pct"/>
            <w:noWrap w:val="0"/>
            <w:vAlign w:val="center"/>
          </w:tcPr>
          <w:p w14:paraId="2130B963">
            <w:pPr>
              <w:pStyle w:val="19"/>
              <w:bidi w:val="0"/>
              <w:rPr>
                <w:rFonts w:hint="eastAsia"/>
                <w:color w:val="auto"/>
                <w:lang w:val="en-US" w:eastAsia="zh-CN"/>
              </w:rPr>
            </w:pPr>
            <w:r>
              <w:rPr>
                <w:rFonts w:hint="eastAsia"/>
                <w:color w:val="auto"/>
                <w:lang w:val="en-US" w:eastAsia="zh-CN"/>
              </w:rPr>
              <w:t>滑坡</w:t>
            </w:r>
          </w:p>
        </w:tc>
        <w:tc>
          <w:tcPr>
            <w:tcW w:w="2563" w:type="pct"/>
            <w:noWrap w:val="0"/>
            <w:vAlign w:val="center"/>
          </w:tcPr>
          <w:p w14:paraId="61E62588">
            <w:pPr>
              <w:pStyle w:val="19"/>
              <w:bidi w:val="0"/>
              <w:rPr>
                <w:color w:val="auto"/>
              </w:rPr>
            </w:pPr>
            <w:r>
              <w:rPr>
                <w:rFonts w:hint="eastAsia"/>
                <w:color w:val="auto"/>
              </w:rPr>
              <w:t>雨季来临，会造成坍塌、滑坡。</w:t>
            </w:r>
          </w:p>
        </w:tc>
        <w:tc>
          <w:tcPr>
            <w:tcW w:w="1133" w:type="pct"/>
            <w:noWrap w:val="0"/>
            <w:vAlign w:val="center"/>
          </w:tcPr>
          <w:p w14:paraId="037A256B">
            <w:pPr>
              <w:pStyle w:val="19"/>
              <w:bidi w:val="0"/>
              <w:rPr>
                <w:color w:val="auto"/>
                <w:lang w:val="sq-AL" w:eastAsia="zh-CN"/>
              </w:rPr>
            </w:pPr>
            <w:r>
              <w:rPr>
                <w:color w:val="auto"/>
                <w:lang w:val="sq-AL"/>
              </w:rPr>
              <w:t>人员伤亡、财产损失</w:t>
            </w:r>
          </w:p>
        </w:tc>
      </w:tr>
      <w:tr w14:paraId="1E0A6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292" w:type="pct"/>
            <w:vMerge w:val="continue"/>
            <w:noWrap w:val="0"/>
            <w:vAlign w:val="center"/>
          </w:tcPr>
          <w:p w14:paraId="20CE42CE">
            <w:pPr>
              <w:pStyle w:val="19"/>
              <w:bidi w:val="0"/>
              <w:rPr>
                <w:color w:val="auto"/>
                <w:lang w:val="sq-AL"/>
              </w:rPr>
            </w:pPr>
          </w:p>
        </w:tc>
        <w:tc>
          <w:tcPr>
            <w:tcW w:w="259" w:type="pct"/>
            <w:noWrap w:val="0"/>
            <w:vAlign w:val="center"/>
          </w:tcPr>
          <w:p w14:paraId="30349E87">
            <w:pPr>
              <w:pStyle w:val="19"/>
              <w:bidi w:val="0"/>
              <w:rPr>
                <w:rFonts w:hint="eastAsia"/>
                <w:color w:val="auto"/>
                <w:lang w:val="sq-AL" w:eastAsia="zh-CN"/>
              </w:rPr>
            </w:pPr>
            <w:r>
              <w:rPr>
                <w:rFonts w:hint="eastAsia"/>
                <w:color w:val="auto"/>
                <w:lang w:val="en-US" w:eastAsia="zh-CN"/>
              </w:rPr>
              <w:t>3</w:t>
            </w:r>
          </w:p>
        </w:tc>
        <w:tc>
          <w:tcPr>
            <w:tcW w:w="751" w:type="pct"/>
            <w:noWrap w:val="0"/>
            <w:vAlign w:val="center"/>
          </w:tcPr>
          <w:p w14:paraId="39A23860">
            <w:pPr>
              <w:pStyle w:val="19"/>
              <w:bidi w:val="0"/>
              <w:rPr>
                <w:color w:val="auto"/>
                <w:lang w:val="sq-AL"/>
              </w:rPr>
            </w:pPr>
            <w:r>
              <w:rPr>
                <w:color w:val="auto"/>
                <w:lang w:val="sq-AL"/>
              </w:rPr>
              <w:t>机械伤害</w:t>
            </w:r>
          </w:p>
        </w:tc>
        <w:tc>
          <w:tcPr>
            <w:tcW w:w="2563" w:type="pct"/>
            <w:noWrap w:val="0"/>
            <w:vAlign w:val="center"/>
          </w:tcPr>
          <w:p w14:paraId="321787EB">
            <w:pPr>
              <w:pStyle w:val="19"/>
              <w:bidi w:val="0"/>
              <w:rPr>
                <w:color w:val="auto"/>
                <w:lang w:val="sq-AL"/>
              </w:rPr>
            </w:pPr>
            <w:r>
              <w:rPr>
                <w:color w:val="auto"/>
                <w:lang w:val="sq-AL"/>
              </w:rPr>
              <w:t>设备引起的机械事故</w:t>
            </w:r>
          </w:p>
        </w:tc>
        <w:tc>
          <w:tcPr>
            <w:tcW w:w="1133" w:type="pct"/>
            <w:noWrap w:val="0"/>
            <w:vAlign w:val="center"/>
          </w:tcPr>
          <w:p w14:paraId="6571488D">
            <w:pPr>
              <w:pStyle w:val="19"/>
              <w:bidi w:val="0"/>
              <w:rPr>
                <w:color w:val="auto"/>
                <w:lang w:val="sq-AL"/>
              </w:rPr>
            </w:pPr>
            <w:r>
              <w:rPr>
                <w:color w:val="auto"/>
                <w:lang w:val="sq-AL"/>
              </w:rPr>
              <w:t>人员重伤或死亡</w:t>
            </w:r>
          </w:p>
        </w:tc>
      </w:tr>
      <w:tr w14:paraId="57939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92" w:type="pct"/>
            <w:vMerge w:val="continue"/>
            <w:noWrap w:val="0"/>
            <w:vAlign w:val="center"/>
          </w:tcPr>
          <w:p w14:paraId="3CB9AC6B">
            <w:pPr>
              <w:pStyle w:val="19"/>
              <w:bidi w:val="0"/>
              <w:rPr>
                <w:color w:val="auto"/>
                <w:lang w:val="sq-AL"/>
              </w:rPr>
            </w:pPr>
          </w:p>
        </w:tc>
        <w:tc>
          <w:tcPr>
            <w:tcW w:w="259" w:type="pct"/>
            <w:noWrap w:val="0"/>
            <w:vAlign w:val="center"/>
          </w:tcPr>
          <w:p w14:paraId="728A8912">
            <w:pPr>
              <w:pStyle w:val="19"/>
              <w:bidi w:val="0"/>
              <w:rPr>
                <w:rFonts w:hint="eastAsia"/>
                <w:color w:val="auto"/>
                <w:lang w:val="sq-AL" w:eastAsia="zh-CN"/>
              </w:rPr>
            </w:pPr>
            <w:r>
              <w:rPr>
                <w:rFonts w:hint="eastAsia"/>
                <w:color w:val="auto"/>
                <w:lang w:val="en-US" w:eastAsia="zh-CN"/>
              </w:rPr>
              <w:t>4</w:t>
            </w:r>
          </w:p>
        </w:tc>
        <w:tc>
          <w:tcPr>
            <w:tcW w:w="751" w:type="pct"/>
            <w:noWrap w:val="0"/>
            <w:vAlign w:val="center"/>
          </w:tcPr>
          <w:p w14:paraId="14BA2C8A">
            <w:pPr>
              <w:pStyle w:val="19"/>
              <w:bidi w:val="0"/>
              <w:rPr>
                <w:color w:val="auto"/>
                <w:lang w:val="sq-AL"/>
              </w:rPr>
            </w:pPr>
            <w:r>
              <w:rPr>
                <w:color w:val="auto"/>
                <w:lang w:val="sq-AL"/>
              </w:rPr>
              <w:t>车辆伤害</w:t>
            </w:r>
          </w:p>
        </w:tc>
        <w:tc>
          <w:tcPr>
            <w:tcW w:w="2563" w:type="pct"/>
            <w:noWrap w:val="0"/>
            <w:vAlign w:val="center"/>
          </w:tcPr>
          <w:p w14:paraId="5E14E8CD">
            <w:pPr>
              <w:pStyle w:val="19"/>
              <w:bidi w:val="0"/>
              <w:rPr>
                <w:color w:val="auto"/>
                <w:lang w:val="sq-AL"/>
              </w:rPr>
            </w:pPr>
            <w:r>
              <w:rPr>
                <w:color w:val="auto"/>
                <w:lang w:val="sq-AL"/>
              </w:rPr>
              <w:t>运输过程中的各种车辆设备。</w:t>
            </w:r>
          </w:p>
        </w:tc>
        <w:tc>
          <w:tcPr>
            <w:tcW w:w="1133" w:type="pct"/>
            <w:noWrap w:val="0"/>
            <w:vAlign w:val="center"/>
          </w:tcPr>
          <w:p w14:paraId="6EEE29AA">
            <w:pPr>
              <w:pStyle w:val="19"/>
              <w:bidi w:val="0"/>
              <w:rPr>
                <w:color w:val="auto"/>
                <w:lang w:val="sq-AL"/>
              </w:rPr>
            </w:pPr>
            <w:r>
              <w:rPr>
                <w:color w:val="auto"/>
                <w:lang w:val="sq-AL"/>
              </w:rPr>
              <w:t>人员伤亡</w:t>
            </w:r>
          </w:p>
        </w:tc>
      </w:tr>
      <w:tr w14:paraId="04CA3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92" w:type="pct"/>
            <w:vMerge w:val="continue"/>
            <w:noWrap w:val="0"/>
            <w:vAlign w:val="center"/>
          </w:tcPr>
          <w:p w14:paraId="1CB91C5B">
            <w:pPr>
              <w:pStyle w:val="19"/>
              <w:bidi w:val="0"/>
              <w:rPr>
                <w:color w:val="auto"/>
                <w:lang w:val="sq-AL"/>
              </w:rPr>
            </w:pPr>
          </w:p>
        </w:tc>
        <w:tc>
          <w:tcPr>
            <w:tcW w:w="259" w:type="pct"/>
            <w:noWrap w:val="0"/>
            <w:vAlign w:val="center"/>
          </w:tcPr>
          <w:p w14:paraId="0336E046">
            <w:pPr>
              <w:pStyle w:val="19"/>
              <w:bidi w:val="0"/>
              <w:rPr>
                <w:rFonts w:hint="eastAsia"/>
                <w:color w:val="auto"/>
                <w:lang w:val="sq-AL" w:eastAsia="zh-CN"/>
              </w:rPr>
            </w:pPr>
            <w:r>
              <w:rPr>
                <w:rFonts w:hint="eastAsia"/>
                <w:color w:val="auto"/>
                <w:lang w:val="en-US" w:eastAsia="zh-CN"/>
              </w:rPr>
              <w:t>5</w:t>
            </w:r>
          </w:p>
        </w:tc>
        <w:tc>
          <w:tcPr>
            <w:tcW w:w="751" w:type="pct"/>
            <w:noWrap w:val="0"/>
            <w:vAlign w:val="center"/>
          </w:tcPr>
          <w:p w14:paraId="539B86EA">
            <w:pPr>
              <w:pStyle w:val="19"/>
              <w:bidi w:val="0"/>
              <w:rPr>
                <w:color w:val="auto"/>
                <w:lang w:val="sq-AL"/>
              </w:rPr>
            </w:pPr>
            <w:r>
              <w:rPr>
                <w:color w:val="auto"/>
                <w:lang w:val="sq-AL"/>
              </w:rPr>
              <w:t>触电</w:t>
            </w:r>
          </w:p>
        </w:tc>
        <w:tc>
          <w:tcPr>
            <w:tcW w:w="2563" w:type="pct"/>
            <w:noWrap w:val="0"/>
            <w:vAlign w:val="center"/>
          </w:tcPr>
          <w:p w14:paraId="384DE918">
            <w:pPr>
              <w:pStyle w:val="19"/>
              <w:bidi w:val="0"/>
              <w:rPr>
                <w:color w:val="auto"/>
                <w:lang w:val="sq-AL"/>
              </w:rPr>
            </w:pPr>
            <w:r>
              <w:rPr>
                <w:color w:val="auto"/>
                <w:lang w:val="sq-AL"/>
              </w:rPr>
              <w:t>车间、供电线路及各种用电设备</w:t>
            </w:r>
          </w:p>
        </w:tc>
        <w:tc>
          <w:tcPr>
            <w:tcW w:w="1133" w:type="pct"/>
            <w:noWrap w:val="0"/>
            <w:vAlign w:val="center"/>
          </w:tcPr>
          <w:p w14:paraId="30F10159">
            <w:pPr>
              <w:pStyle w:val="19"/>
              <w:bidi w:val="0"/>
              <w:rPr>
                <w:color w:val="auto"/>
                <w:lang w:val="sq-AL"/>
              </w:rPr>
            </w:pPr>
            <w:r>
              <w:rPr>
                <w:color w:val="auto"/>
                <w:lang w:val="sq-AL"/>
              </w:rPr>
              <w:t>人员伤亡</w:t>
            </w:r>
          </w:p>
        </w:tc>
      </w:tr>
      <w:tr w14:paraId="404C3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 w:type="pct"/>
            <w:vMerge w:val="continue"/>
            <w:noWrap w:val="0"/>
            <w:vAlign w:val="center"/>
          </w:tcPr>
          <w:p w14:paraId="69BDD974">
            <w:pPr>
              <w:pStyle w:val="19"/>
              <w:bidi w:val="0"/>
              <w:rPr>
                <w:color w:val="auto"/>
                <w:lang w:val="sq-AL"/>
              </w:rPr>
            </w:pPr>
          </w:p>
        </w:tc>
        <w:tc>
          <w:tcPr>
            <w:tcW w:w="259" w:type="pct"/>
            <w:noWrap w:val="0"/>
            <w:vAlign w:val="center"/>
          </w:tcPr>
          <w:p w14:paraId="30AC4FA3">
            <w:pPr>
              <w:pStyle w:val="19"/>
              <w:bidi w:val="0"/>
              <w:rPr>
                <w:rFonts w:hint="eastAsia"/>
                <w:color w:val="auto"/>
                <w:lang w:val="sq-AL" w:eastAsia="zh-CN"/>
              </w:rPr>
            </w:pPr>
            <w:r>
              <w:rPr>
                <w:rFonts w:hint="eastAsia"/>
                <w:color w:val="auto"/>
                <w:lang w:val="en-US" w:eastAsia="zh-CN"/>
              </w:rPr>
              <w:t>6</w:t>
            </w:r>
          </w:p>
        </w:tc>
        <w:tc>
          <w:tcPr>
            <w:tcW w:w="751" w:type="pct"/>
            <w:noWrap w:val="0"/>
            <w:vAlign w:val="center"/>
          </w:tcPr>
          <w:p w14:paraId="4006655A">
            <w:pPr>
              <w:pStyle w:val="19"/>
              <w:bidi w:val="0"/>
              <w:rPr>
                <w:color w:val="auto"/>
                <w:lang w:val="sq-AL"/>
              </w:rPr>
            </w:pPr>
            <w:r>
              <w:rPr>
                <w:color w:val="auto"/>
                <w:lang w:val="sq-AL"/>
              </w:rPr>
              <w:t>物体打击</w:t>
            </w:r>
          </w:p>
        </w:tc>
        <w:tc>
          <w:tcPr>
            <w:tcW w:w="2563" w:type="pct"/>
            <w:noWrap w:val="0"/>
            <w:vAlign w:val="center"/>
          </w:tcPr>
          <w:p w14:paraId="5FBCCA9D">
            <w:pPr>
              <w:pStyle w:val="19"/>
              <w:bidi w:val="0"/>
              <w:rPr>
                <w:color w:val="auto"/>
                <w:lang w:val="sq-AL"/>
              </w:rPr>
            </w:pPr>
            <w:r>
              <w:rPr>
                <w:color w:val="auto"/>
                <w:lang w:val="sq-AL"/>
              </w:rPr>
              <w:t>厂区周围山坡，公路，运输物件装卸、材料搬运、各设备的检修等过程中。</w:t>
            </w:r>
          </w:p>
        </w:tc>
        <w:tc>
          <w:tcPr>
            <w:tcW w:w="1133" w:type="pct"/>
            <w:noWrap w:val="0"/>
            <w:vAlign w:val="center"/>
          </w:tcPr>
          <w:p w14:paraId="42D87FED">
            <w:pPr>
              <w:pStyle w:val="19"/>
              <w:bidi w:val="0"/>
              <w:rPr>
                <w:color w:val="auto"/>
                <w:lang w:val="sq-AL"/>
              </w:rPr>
            </w:pPr>
            <w:r>
              <w:rPr>
                <w:color w:val="auto"/>
                <w:lang w:val="sq-AL"/>
              </w:rPr>
              <w:t>人员伤亡、财产损失</w:t>
            </w:r>
          </w:p>
        </w:tc>
      </w:tr>
      <w:tr w14:paraId="7BFF8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 w:type="pct"/>
            <w:vMerge w:val="continue"/>
            <w:noWrap w:val="0"/>
            <w:vAlign w:val="center"/>
          </w:tcPr>
          <w:p w14:paraId="520FCFE6">
            <w:pPr>
              <w:pStyle w:val="19"/>
              <w:bidi w:val="0"/>
              <w:rPr>
                <w:color w:val="auto"/>
                <w:lang w:val="sq-AL"/>
              </w:rPr>
            </w:pPr>
          </w:p>
        </w:tc>
        <w:tc>
          <w:tcPr>
            <w:tcW w:w="259" w:type="pct"/>
            <w:noWrap w:val="0"/>
            <w:vAlign w:val="center"/>
          </w:tcPr>
          <w:p w14:paraId="10576D26">
            <w:pPr>
              <w:pStyle w:val="19"/>
              <w:bidi w:val="0"/>
              <w:rPr>
                <w:rFonts w:hint="eastAsia"/>
                <w:color w:val="auto"/>
                <w:lang w:val="sq-AL" w:eastAsia="zh-CN"/>
              </w:rPr>
            </w:pPr>
            <w:r>
              <w:rPr>
                <w:rFonts w:hint="eastAsia"/>
                <w:color w:val="auto"/>
                <w:lang w:val="en-US" w:eastAsia="zh-CN"/>
              </w:rPr>
              <w:t>7</w:t>
            </w:r>
          </w:p>
        </w:tc>
        <w:tc>
          <w:tcPr>
            <w:tcW w:w="751" w:type="pct"/>
            <w:noWrap w:val="0"/>
            <w:vAlign w:val="center"/>
          </w:tcPr>
          <w:p w14:paraId="7CCB846B">
            <w:pPr>
              <w:pStyle w:val="19"/>
              <w:bidi w:val="0"/>
              <w:rPr>
                <w:color w:val="auto"/>
                <w:lang w:val="sq-AL"/>
              </w:rPr>
            </w:pPr>
            <w:r>
              <w:rPr>
                <w:color w:val="auto"/>
                <w:lang w:val="sq-AL"/>
              </w:rPr>
              <w:t>高处坠落</w:t>
            </w:r>
          </w:p>
        </w:tc>
        <w:tc>
          <w:tcPr>
            <w:tcW w:w="2563" w:type="pct"/>
            <w:noWrap w:val="0"/>
            <w:vAlign w:val="center"/>
          </w:tcPr>
          <w:p w14:paraId="6E6AF744">
            <w:pPr>
              <w:pStyle w:val="19"/>
              <w:bidi w:val="0"/>
              <w:rPr>
                <w:color w:val="auto"/>
                <w:lang w:val="sq-AL"/>
              </w:rPr>
            </w:pPr>
            <w:r>
              <w:rPr>
                <w:color w:val="auto"/>
                <w:lang w:val="sq-AL"/>
              </w:rPr>
              <w:t>高度基准面2m以上作业，或在设施的维护和检修及其它临时性作业过程中的高处作业。</w:t>
            </w:r>
          </w:p>
        </w:tc>
        <w:tc>
          <w:tcPr>
            <w:tcW w:w="1133" w:type="pct"/>
            <w:noWrap w:val="0"/>
            <w:vAlign w:val="center"/>
          </w:tcPr>
          <w:p w14:paraId="66AF4FB3">
            <w:pPr>
              <w:pStyle w:val="19"/>
              <w:bidi w:val="0"/>
              <w:rPr>
                <w:color w:val="auto"/>
                <w:lang w:val="sq-AL"/>
              </w:rPr>
            </w:pPr>
            <w:r>
              <w:rPr>
                <w:color w:val="auto"/>
                <w:lang w:val="sq-AL"/>
              </w:rPr>
              <w:t>人员死亡、财产损失</w:t>
            </w:r>
          </w:p>
        </w:tc>
      </w:tr>
      <w:tr w14:paraId="7ED05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92" w:type="pct"/>
            <w:vMerge w:val="continue"/>
            <w:noWrap w:val="0"/>
            <w:vAlign w:val="center"/>
          </w:tcPr>
          <w:p w14:paraId="4E14ECC3">
            <w:pPr>
              <w:pStyle w:val="19"/>
              <w:bidi w:val="0"/>
              <w:rPr>
                <w:color w:val="auto"/>
                <w:lang w:val="sq-AL"/>
              </w:rPr>
            </w:pPr>
          </w:p>
        </w:tc>
        <w:tc>
          <w:tcPr>
            <w:tcW w:w="259" w:type="pct"/>
            <w:noWrap w:val="0"/>
            <w:vAlign w:val="center"/>
          </w:tcPr>
          <w:p w14:paraId="6C064B01">
            <w:pPr>
              <w:pStyle w:val="19"/>
              <w:bidi w:val="0"/>
              <w:rPr>
                <w:rFonts w:hint="default"/>
                <w:color w:val="auto"/>
                <w:lang w:val="en-US" w:eastAsia="zh-CN"/>
              </w:rPr>
            </w:pPr>
            <w:r>
              <w:rPr>
                <w:rFonts w:hint="eastAsia"/>
                <w:color w:val="auto"/>
                <w:lang w:val="en-US" w:eastAsia="zh-CN"/>
              </w:rPr>
              <w:t>8</w:t>
            </w:r>
          </w:p>
        </w:tc>
        <w:tc>
          <w:tcPr>
            <w:tcW w:w="751" w:type="pct"/>
            <w:noWrap w:val="0"/>
            <w:vAlign w:val="center"/>
          </w:tcPr>
          <w:p w14:paraId="53F7AF29">
            <w:pPr>
              <w:pStyle w:val="19"/>
              <w:bidi w:val="0"/>
              <w:rPr>
                <w:color w:val="auto"/>
                <w:lang w:val="sq-AL"/>
              </w:rPr>
            </w:pPr>
            <w:r>
              <w:rPr>
                <w:color w:val="auto"/>
                <w:lang w:val="sq-AL"/>
              </w:rPr>
              <w:t>火灾、爆炸</w:t>
            </w:r>
          </w:p>
        </w:tc>
        <w:tc>
          <w:tcPr>
            <w:tcW w:w="2563" w:type="pct"/>
            <w:noWrap w:val="0"/>
            <w:vAlign w:val="center"/>
          </w:tcPr>
          <w:p w14:paraId="73DC7FDF">
            <w:pPr>
              <w:pStyle w:val="19"/>
              <w:bidi w:val="0"/>
              <w:rPr>
                <w:color w:val="auto"/>
                <w:lang w:val="sq-AL"/>
              </w:rPr>
            </w:pPr>
            <w:r>
              <w:rPr>
                <w:color w:val="auto"/>
                <w:lang w:val="sq-AL"/>
              </w:rPr>
              <w:t>厂区电器线路短路、其它可燃油品、电气设备。</w:t>
            </w:r>
          </w:p>
        </w:tc>
        <w:tc>
          <w:tcPr>
            <w:tcW w:w="1133" w:type="pct"/>
            <w:noWrap w:val="0"/>
            <w:vAlign w:val="center"/>
          </w:tcPr>
          <w:p w14:paraId="3C3C0506">
            <w:pPr>
              <w:pStyle w:val="19"/>
              <w:bidi w:val="0"/>
              <w:rPr>
                <w:color w:val="auto"/>
                <w:lang w:val="sq-AL"/>
              </w:rPr>
            </w:pPr>
            <w:r>
              <w:rPr>
                <w:color w:val="auto"/>
                <w:lang w:val="sq-AL"/>
              </w:rPr>
              <w:t>人员死亡、财产损失</w:t>
            </w:r>
          </w:p>
        </w:tc>
      </w:tr>
      <w:tr w14:paraId="7F746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292" w:type="pct"/>
            <w:vMerge w:val="continue"/>
            <w:noWrap w:val="0"/>
            <w:vAlign w:val="center"/>
          </w:tcPr>
          <w:p w14:paraId="1E88C853">
            <w:pPr>
              <w:pStyle w:val="19"/>
              <w:bidi w:val="0"/>
              <w:rPr>
                <w:color w:val="auto"/>
                <w:lang w:val="sq-AL"/>
              </w:rPr>
            </w:pPr>
          </w:p>
        </w:tc>
        <w:tc>
          <w:tcPr>
            <w:tcW w:w="259" w:type="pct"/>
            <w:noWrap w:val="0"/>
            <w:vAlign w:val="center"/>
          </w:tcPr>
          <w:p w14:paraId="71A599FA">
            <w:pPr>
              <w:pStyle w:val="19"/>
              <w:bidi w:val="0"/>
              <w:rPr>
                <w:rFonts w:hint="default"/>
                <w:color w:val="auto"/>
                <w:lang w:val="en-US" w:eastAsia="zh-CN"/>
              </w:rPr>
            </w:pPr>
            <w:r>
              <w:rPr>
                <w:rFonts w:hint="eastAsia"/>
                <w:color w:val="auto"/>
                <w:lang w:val="en-US" w:eastAsia="zh-CN"/>
              </w:rPr>
              <w:t>9</w:t>
            </w:r>
          </w:p>
        </w:tc>
        <w:tc>
          <w:tcPr>
            <w:tcW w:w="751" w:type="pct"/>
            <w:noWrap w:val="0"/>
            <w:vAlign w:val="center"/>
          </w:tcPr>
          <w:p w14:paraId="42FCF690">
            <w:pPr>
              <w:pStyle w:val="19"/>
              <w:bidi w:val="0"/>
              <w:rPr>
                <w:color w:val="auto"/>
                <w:lang w:val="sq-AL"/>
              </w:rPr>
            </w:pPr>
            <w:r>
              <w:rPr>
                <w:color w:val="auto"/>
                <w:lang w:val="sq-AL"/>
              </w:rPr>
              <w:t>淹溺</w:t>
            </w:r>
          </w:p>
        </w:tc>
        <w:tc>
          <w:tcPr>
            <w:tcW w:w="2563" w:type="pct"/>
            <w:noWrap w:val="0"/>
            <w:vAlign w:val="center"/>
          </w:tcPr>
          <w:p w14:paraId="3CE73DEB">
            <w:pPr>
              <w:pStyle w:val="19"/>
              <w:bidi w:val="0"/>
              <w:rPr>
                <w:rFonts w:hint="default" w:eastAsia="宋体"/>
                <w:color w:val="auto"/>
                <w:lang w:val="en-US" w:eastAsia="zh-CN"/>
              </w:rPr>
            </w:pPr>
            <w:r>
              <w:rPr>
                <w:rFonts w:hint="eastAsia"/>
                <w:color w:val="auto"/>
                <w:lang w:val="en-US" w:eastAsia="zh-CN"/>
              </w:rPr>
              <w:t>高位水池等。</w:t>
            </w:r>
          </w:p>
        </w:tc>
        <w:tc>
          <w:tcPr>
            <w:tcW w:w="1133" w:type="pct"/>
            <w:noWrap w:val="0"/>
            <w:vAlign w:val="center"/>
          </w:tcPr>
          <w:p w14:paraId="7EE948A2">
            <w:pPr>
              <w:pStyle w:val="19"/>
              <w:bidi w:val="0"/>
              <w:rPr>
                <w:color w:val="auto"/>
                <w:lang w:val="sq-AL"/>
              </w:rPr>
            </w:pPr>
            <w:r>
              <w:rPr>
                <w:color w:val="auto"/>
                <w:lang w:val="sq-AL"/>
              </w:rPr>
              <w:t>人员伤亡</w:t>
            </w:r>
          </w:p>
        </w:tc>
      </w:tr>
      <w:tr w14:paraId="3836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92" w:type="pct"/>
            <w:vMerge w:val="continue"/>
            <w:noWrap w:val="0"/>
            <w:vAlign w:val="center"/>
          </w:tcPr>
          <w:p w14:paraId="6BAC6C80">
            <w:pPr>
              <w:pStyle w:val="19"/>
              <w:bidi w:val="0"/>
              <w:rPr>
                <w:color w:val="auto"/>
                <w:lang w:val="sq-AL"/>
              </w:rPr>
            </w:pPr>
          </w:p>
        </w:tc>
        <w:tc>
          <w:tcPr>
            <w:tcW w:w="259" w:type="pct"/>
            <w:noWrap w:val="0"/>
            <w:vAlign w:val="center"/>
          </w:tcPr>
          <w:p w14:paraId="4A8B9F88">
            <w:pPr>
              <w:pStyle w:val="19"/>
              <w:bidi w:val="0"/>
              <w:rPr>
                <w:rFonts w:hint="default"/>
                <w:color w:val="auto"/>
                <w:lang w:val="en-US" w:eastAsia="zh-CN"/>
              </w:rPr>
            </w:pPr>
            <w:r>
              <w:rPr>
                <w:rFonts w:hint="eastAsia"/>
                <w:color w:val="auto"/>
                <w:lang w:val="en-US" w:eastAsia="zh-CN"/>
              </w:rPr>
              <w:t>10</w:t>
            </w:r>
          </w:p>
        </w:tc>
        <w:tc>
          <w:tcPr>
            <w:tcW w:w="751" w:type="pct"/>
            <w:noWrap w:val="0"/>
            <w:vAlign w:val="center"/>
          </w:tcPr>
          <w:p w14:paraId="2ABC5B6D">
            <w:pPr>
              <w:pStyle w:val="19"/>
              <w:bidi w:val="0"/>
              <w:rPr>
                <w:color w:val="auto"/>
                <w:lang w:val="sq-AL"/>
              </w:rPr>
            </w:pPr>
            <w:r>
              <w:rPr>
                <w:rFonts w:hint="eastAsia"/>
                <w:color w:val="auto"/>
                <w:lang w:val="en-US" w:eastAsia="zh-CN"/>
              </w:rPr>
              <w:t>中毒和</w:t>
            </w:r>
            <w:r>
              <w:rPr>
                <w:color w:val="auto"/>
                <w:lang w:val="sq-AL"/>
              </w:rPr>
              <w:t>窒息</w:t>
            </w:r>
          </w:p>
        </w:tc>
        <w:tc>
          <w:tcPr>
            <w:tcW w:w="2563" w:type="pct"/>
            <w:noWrap w:val="0"/>
            <w:vAlign w:val="center"/>
          </w:tcPr>
          <w:p w14:paraId="44C27191">
            <w:pPr>
              <w:pStyle w:val="19"/>
              <w:bidi w:val="0"/>
              <w:rPr>
                <w:rFonts w:hint="eastAsia"/>
                <w:color w:val="auto"/>
                <w:lang w:val="sq-AL" w:eastAsia="zh-CN"/>
              </w:rPr>
            </w:pPr>
            <w:r>
              <w:rPr>
                <w:rFonts w:hint="eastAsia"/>
                <w:color w:val="auto"/>
                <w:lang w:val="en-US" w:eastAsia="zh-CN"/>
              </w:rPr>
              <w:t>回转窑、球磨机、高位水池等。</w:t>
            </w:r>
          </w:p>
        </w:tc>
        <w:tc>
          <w:tcPr>
            <w:tcW w:w="1133" w:type="pct"/>
            <w:noWrap w:val="0"/>
            <w:vAlign w:val="center"/>
          </w:tcPr>
          <w:p w14:paraId="2F775ED0">
            <w:pPr>
              <w:pStyle w:val="19"/>
              <w:bidi w:val="0"/>
              <w:rPr>
                <w:color w:val="auto"/>
                <w:lang w:val="sq-AL"/>
              </w:rPr>
            </w:pPr>
            <w:r>
              <w:rPr>
                <w:color w:val="auto"/>
                <w:lang w:val="sq-AL"/>
              </w:rPr>
              <w:t>人员伤亡</w:t>
            </w:r>
          </w:p>
        </w:tc>
      </w:tr>
      <w:tr w14:paraId="7F777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92" w:type="pct"/>
            <w:vMerge w:val="continue"/>
            <w:noWrap w:val="0"/>
            <w:vAlign w:val="center"/>
          </w:tcPr>
          <w:p w14:paraId="5903642C">
            <w:pPr>
              <w:pStyle w:val="19"/>
              <w:bidi w:val="0"/>
              <w:rPr>
                <w:color w:val="auto"/>
                <w:lang w:val="sq-AL"/>
              </w:rPr>
            </w:pPr>
          </w:p>
        </w:tc>
        <w:tc>
          <w:tcPr>
            <w:tcW w:w="259" w:type="pct"/>
            <w:noWrap w:val="0"/>
            <w:vAlign w:val="center"/>
          </w:tcPr>
          <w:p w14:paraId="0B06D9FB">
            <w:pPr>
              <w:pStyle w:val="19"/>
              <w:bidi w:val="0"/>
              <w:rPr>
                <w:rFonts w:hint="default"/>
                <w:color w:val="auto"/>
                <w:lang w:val="en-US" w:eastAsia="zh-CN"/>
              </w:rPr>
            </w:pPr>
            <w:r>
              <w:rPr>
                <w:rFonts w:hint="eastAsia"/>
                <w:color w:val="auto"/>
                <w:lang w:val="en-US" w:eastAsia="zh-CN"/>
              </w:rPr>
              <w:t>11</w:t>
            </w:r>
          </w:p>
        </w:tc>
        <w:tc>
          <w:tcPr>
            <w:tcW w:w="751" w:type="pct"/>
            <w:noWrap w:val="0"/>
            <w:vAlign w:val="center"/>
          </w:tcPr>
          <w:p w14:paraId="1C85BD6F">
            <w:pPr>
              <w:pStyle w:val="19"/>
              <w:bidi w:val="0"/>
              <w:rPr>
                <w:rFonts w:hint="default"/>
                <w:color w:val="auto"/>
                <w:lang w:val="en-US" w:eastAsia="zh-CN"/>
              </w:rPr>
            </w:pPr>
            <w:r>
              <w:rPr>
                <w:rFonts w:hint="eastAsia"/>
                <w:color w:val="auto"/>
                <w:lang w:val="en-US" w:eastAsia="zh-CN"/>
              </w:rPr>
              <w:t>灼烫</w:t>
            </w:r>
          </w:p>
        </w:tc>
        <w:tc>
          <w:tcPr>
            <w:tcW w:w="2563" w:type="pct"/>
            <w:noWrap w:val="0"/>
            <w:vAlign w:val="center"/>
          </w:tcPr>
          <w:p w14:paraId="6AFA7FA0">
            <w:pPr>
              <w:pStyle w:val="19"/>
              <w:bidi w:val="0"/>
              <w:rPr>
                <w:rFonts w:hint="eastAsia"/>
                <w:color w:val="auto"/>
                <w:lang w:val="en-US" w:eastAsia="zh-CN"/>
              </w:rPr>
            </w:pPr>
            <w:r>
              <w:rPr>
                <w:rFonts w:hint="eastAsia"/>
                <w:color w:val="auto"/>
                <w:lang w:val="en-US" w:eastAsia="zh-CN"/>
              </w:rPr>
              <w:t>回转窑</w:t>
            </w:r>
          </w:p>
        </w:tc>
        <w:tc>
          <w:tcPr>
            <w:tcW w:w="1133" w:type="pct"/>
            <w:noWrap w:val="0"/>
            <w:vAlign w:val="center"/>
          </w:tcPr>
          <w:p w14:paraId="5903E4C8">
            <w:pPr>
              <w:pStyle w:val="19"/>
              <w:bidi w:val="0"/>
              <w:rPr>
                <w:color w:val="auto"/>
                <w:lang w:val="sq-AL"/>
              </w:rPr>
            </w:pPr>
            <w:r>
              <w:rPr>
                <w:color w:val="auto"/>
                <w:lang w:val="sq-AL"/>
              </w:rPr>
              <w:t>人员伤亡</w:t>
            </w:r>
          </w:p>
        </w:tc>
      </w:tr>
      <w:tr w14:paraId="7A53F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92" w:type="pct"/>
            <w:vMerge w:val="continue"/>
            <w:noWrap w:val="0"/>
            <w:vAlign w:val="center"/>
          </w:tcPr>
          <w:p w14:paraId="534BA756">
            <w:pPr>
              <w:pStyle w:val="19"/>
              <w:bidi w:val="0"/>
              <w:rPr>
                <w:color w:val="auto"/>
                <w:lang w:val="sq-AL"/>
              </w:rPr>
            </w:pPr>
          </w:p>
        </w:tc>
        <w:tc>
          <w:tcPr>
            <w:tcW w:w="259" w:type="pct"/>
            <w:noWrap w:val="0"/>
            <w:vAlign w:val="center"/>
          </w:tcPr>
          <w:p w14:paraId="08EF35A3">
            <w:pPr>
              <w:pStyle w:val="19"/>
              <w:bidi w:val="0"/>
              <w:rPr>
                <w:rFonts w:hint="default"/>
                <w:color w:val="auto"/>
                <w:lang w:val="en-US" w:eastAsia="zh-CN"/>
              </w:rPr>
            </w:pPr>
            <w:r>
              <w:rPr>
                <w:rFonts w:hint="eastAsia"/>
                <w:color w:val="auto"/>
                <w:lang w:val="en-US" w:eastAsia="zh-CN"/>
              </w:rPr>
              <w:t>12</w:t>
            </w:r>
          </w:p>
        </w:tc>
        <w:tc>
          <w:tcPr>
            <w:tcW w:w="751" w:type="pct"/>
            <w:noWrap w:val="0"/>
            <w:vAlign w:val="center"/>
          </w:tcPr>
          <w:p w14:paraId="7A0B1482">
            <w:pPr>
              <w:pStyle w:val="19"/>
              <w:bidi w:val="0"/>
              <w:rPr>
                <w:rFonts w:hint="default"/>
                <w:color w:val="auto"/>
                <w:lang w:val="en-US" w:eastAsia="zh-CN"/>
              </w:rPr>
            </w:pPr>
            <w:r>
              <w:rPr>
                <w:rFonts w:hint="eastAsia"/>
                <w:color w:val="auto"/>
                <w:lang w:val="en-US" w:eastAsia="zh-CN"/>
              </w:rPr>
              <w:t>容器爆炸</w:t>
            </w:r>
          </w:p>
        </w:tc>
        <w:tc>
          <w:tcPr>
            <w:tcW w:w="2563" w:type="pct"/>
            <w:noWrap w:val="0"/>
            <w:vAlign w:val="center"/>
          </w:tcPr>
          <w:p w14:paraId="3573C9C9">
            <w:pPr>
              <w:pStyle w:val="19"/>
              <w:bidi w:val="0"/>
              <w:rPr>
                <w:rFonts w:hint="eastAsia"/>
                <w:color w:val="auto"/>
                <w:lang w:val="en-US" w:eastAsia="zh-CN"/>
              </w:rPr>
            </w:pPr>
            <w:r>
              <w:rPr>
                <w:rFonts w:hint="eastAsia"/>
                <w:color w:val="auto"/>
                <w:lang w:val="en-US" w:eastAsia="zh-CN"/>
              </w:rPr>
              <w:t>气瓶储存和使用区域</w:t>
            </w:r>
          </w:p>
        </w:tc>
        <w:tc>
          <w:tcPr>
            <w:tcW w:w="1133" w:type="pct"/>
            <w:noWrap w:val="0"/>
            <w:vAlign w:val="center"/>
          </w:tcPr>
          <w:p w14:paraId="350A6D59">
            <w:pPr>
              <w:pStyle w:val="19"/>
              <w:bidi w:val="0"/>
              <w:rPr>
                <w:color w:val="auto"/>
                <w:lang w:val="sq-AL"/>
              </w:rPr>
            </w:pPr>
            <w:r>
              <w:rPr>
                <w:rFonts w:hint="eastAsia"/>
                <w:color w:val="auto"/>
                <w:lang w:val="sq-AL"/>
              </w:rPr>
              <w:t>人员死亡、财产损失</w:t>
            </w:r>
          </w:p>
        </w:tc>
      </w:tr>
      <w:tr w14:paraId="47E9E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92" w:type="pct"/>
            <w:vMerge w:val="continue"/>
            <w:noWrap w:val="0"/>
            <w:vAlign w:val="center"/>
          </w:tcPr>
          <w:p w14:paraId="1F864732">
            <w:pPr>
              <w:pStyle w:val="19"/>
              <w:bidi w:val="0"/>
              <w:rPr>
                <w:color w:val="auto"/>
                <w:lang w:val="sq-AL"/>
              </w:rPr>
            </w:pPr>
          </w:p>
        </w:tc>
        <w:tc>
          <w:tcPr>
            <w:tcW w:w="259" w:type="pct"/>
            <w:noWrap w:val="0"/>
            <w:vAlign w:val="center"/>
          </w:tcPr>
          <w:p w14:paraId="3CACBC8D">
            <w:pPr>
              <w:pStyle w:val="19"/>
              <w:bidi w:val="0"/>
              <w:rPr>
                <w:rFonts w:hint="default"/>
                <w:color w:val="auto"/>
                <w:lang w:val="en-US" w:eastAsia="zh-CN"/>
              </w:rPr>
            </w:pPr>
            <w:r>
              <w:rPr>
                <w:rFonts w:hint="eastAsia"/>
                <w:color w:val="auto"/>
                <w:lang w:val="en-US" w:eastAsia="zh-CN"/>
              </w:rPr>
              <w:t>13</w:t>
            </w:r>
          </w:p>
        </w:tc>
        <w:tc>
          <w:tcPr>
            <w:tcW w:w="751" w:type="pct"/>
            <w:noWrap w:val="0"/>
            <w:vAlign w:val="center"/>
          </w:tcPr>
          <w:p w14:paraId="3552D0F8">
            <w:pPr>
              <w:pStyle w:val="19"/>
              <w:bidi w:val="0"/>
              <w:rPr>
                <w:rFonts w:hint="default"/>
                <w:color w:val="auto"/>
                <w:lang w:val="en-US" w:eastAsia="zh-CN"/>
              </w:rPr>
            </w:pPr>
            <w:r>
              <w:rPr>
                <w:rFonts w:hint="eastAsia"/>
                <w:color w:val="auto"/>
                <w:lang w:val="en-US" w:eastAsia="zh-CN"/>
              </w:rPr>
              <w:t>起重伤害</w:t>
            </w:r>
          </w:p>
        </w:tc>
        <w:tc>
          <w:tcPr>
            <w:tcW w:w="2563" w:type="pct"/>
            <w:noWrap w:val="0"/>
            <w:vAlign w:val="center"/>
          </w:tcPr>
          <w:p w14:paraId="1D3C2005">
            <w:pPr>
              <w:pStyle w:val="19"/>
              <w:bidi w:val="0"/>
              <w:rPr>
                <w:rFonts w:hint="default"/>
                <w:color w:val="auto"/>
                <w:lang w:val="en-US" w:eastAsia="zh-CN"/>
              </w:rPr>
            </w:pPr>
            <w:r>
              <w:rPr>
                <w:rFonts w:hint="eastAsia"/>
                <w:color w:val="auto"/>
                <w:lang w:val="en-US" w:eastAsia="zh-CN"/>
              </w:rPr>
              <w:t>施工过程</w:t>
            </w:r>
          </w:p>
        </w:tc>
        <w:tc>
          <w:tcPr>
            <w:tcW w:w="1133" w:type="pct"/>
            <w:noWrap w:val="0"/>
            <w:vAlign w:val="center"/>
          </w:tcPr>
          <w:p w14:paraId="212E259A">
            <w:pPr>
              <w:pStyle w:val="19"/>
              <w:bidi w:val="0"/>
              <w:rPr>
                <w:rFonts w:hint="eastAsia"/>
                <w:color w:val="auto"/>
                <w:lang w:val="sq-AL"/>
              </w:rPr>
            </w:pPr>
            <w:r>
              <w:rPr>
                <w:color w:val="auto"/>
                <w:lang w:val="sq-AL"/>
              </w:rPr>
              <w:t>人员伤亡</w:t>
            </w:r>
          </w:p>
        </w:tc>
      </w:tr>
      <w:tr w14:paraId="3356C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92" w:type="pct"/>
            <w:vMerge w:val="restart"/>
            <w:noWrap w:val="0"/>
            <w:vAlign w:val="center"/>
          </w:tcPr>
          <w:p w14:paraId="555C526E">
            <w:pPr>
              <w:pStyle w:val="19"/>
              <w:bidi w:val="0"/>
              <w:rPr>
                <w:rFonts w:hint="default" w:eastAsia="宋体"/>
                <w:color w:val="auto"/>
                <w:lang w:val="en-US" w:eastAsia="zh-CN"/>
              </w:rPr>
            </w:pPr>
            <w:r>
              <w:rPr>
                <w:rFonts w:hint="eastAsia"/>
                <w:color w:val="auto"/>
                <w:lang w:val="en-US" w:eastAsia="zh-CN"/>
              </w:rPr>
              <w:t>有害因素</w:t>
            </w:r>
          </w:p>
        </w:tc>
        <w:tc>
          <w:tcPr>
            <w:tcW w:w="259" w:type="pct"/>
            <w:noWrap w:val="0"/>
            <w:vAlign w:val="center"/>
          </w:tcPr>
          <w:p w14:paraId="7AF14889">
            <w:pPr>
              <w:pStyle w:val="19"/>
              <w:bidi w:val="0"/>
              <w:rPr>
                <w:rFonts w:hint="default"/>
                <w:color w:val="auto"/>
                <w:lang w:val="en-US" w:eastAsia="zh-CN"/>
              </w:rPr>
            </w:pPr>
            <w:r>
              <w:rPr>
                <w:rFonts w:hint="eastAsia"/>
                <w:color w:val="auto"/>
                <w:lang w:val="en-US" w:eastAsia="zh-CN"/>
              </w:rPr>
              <w:t>14</w:t>
            </w:r>
          </w:p>
        </w:tc>
        <w:tc>
          <w:tcPr>
            <w:tcW w:w="751" w:type="pct"/>
            <w:noWrap w:val="0"/>
            <w:vAlign w:val="center"/>
          </w:tcPr>
          <w:p w14:paraId="2F349064">
            <w:pPr>
              <w:pStyle w:val="19"/>
              <w:bidi w:val="0"/>
              <w:rPr>
                <w:color w:val="auto"/>
                <w:lang w:val="sq-AL"/>
              </w:rPr>
            </w:pPr>
            <w:r>
              <w:rPr>
                <w:color w:val="auto"/>
                <w:lang w:val="sq-AL"/>
              </w:rPr>
              <w:t>噪声</w:t>
            </w:r>
          </w:p>
        </w:tc>
        <w:tc>
          <w:tcPr>
            <w:tcW w:w="2563" w:type="pct"/>
            <w:noWrap w:val="0"/>
            <w:vAlign w:val="center"/>
          </w:tcPr>
          <w:p w14:paraId="184199C5">
            <w:pPr>
              <w:pStyle w:val="19"/>
              <w:bidi w:val="0"/>
              <w:rPr>
                <w:rFonts w:hint="eastAsia" w:eastAsia="宋体"/>
                <w:color w:val="auto"/>
                <w:lang w:val="sq-AL" w:eastAsia="zh-CN"/>
              </w:rPr>
            </w:pPr>
            <w:r>
              <w:rPr>
                <w:rFonts w:hint="eastAsia"/>
                <w:color w:val="auto"/>
                <w:lang w:val="en-US" w:eastAsia="zh-CN"/>
              </w:rPr>
              <w:t>振动筛、</w:t>
            </w:r>
            <w:r>
              <w:rPr>
                <w:color w:val="auto"/>
                <w:lang w:val="sq-AL"/>
              </w:rPr>
              <w:t>球磨机、选矿设备及运输车辆等设备</w:t>
            </w:r>
            <w:r>
              <w:rPr>
                <w:rFonts w:hint="eastAsia"/>
                <w:color w:val="auto"/>
                <w:lang w:val="sq-AL" w:eastAsia="zh-CN"/>
              </w:rPr>
              <w:t>。</w:t>
            </w:r>
          </w:p>
        </w:tc>
        <w:tc>
          <w:tcPr>
            <w:tcW w:w="1133" w:type="pct"/>
            <w:noWrap w:val="0"/>
            <w:vAlign w:val="center"/>
          </w:tcPr>
          <w:p w14:paraId="21EFF6FC">
            <w:pPr>
              <w:pStyle w:val="19"/>
              <w:bidi w:val="0"/>
              <w:rPr>
                <w:color w:val="auto"/>
                <w:lang w:val="sq-AL"/>
              </w:rPr>
            </w:pPr>
            <w:r>
              <w:rPr>
                <w:color w:val="auto"/>
                <w:lang w:val="sq-AL"/>
              </w:rPr>
              <w:t>慢性伤害、职业病</w:t>
            </w:r>
          </w:p>
        </w:tc>
      </w:tr>
      <w:tr w14:paraId="733B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292" w:type="pct"/>
            <w:vMerge w:val="continue"/>
            <w:noWrap w:val="0"/>
            <w:vAlign w:val="center"/>
          </w:tcPr>
          <w:p w14:paraId="4882A62C">
            <w:pPr>
              <w:pStyle w:val="19"/>
              <w:bidi w:val="0"/>
              <w:rPr>
                <w:color w:val="auto"/>
                <w:lang w:val="sq-AL"/>
              </w:rPr>
            </w:pPr>
          </w:p>
        </w:tc>
        <w:tc>
          <w:tcPr>
            <w:tcW w:w="259" w:type="pct"/>
            <w:noWrap w:val="0"/>
            <w:vAlign w:val="center"/>
          </w:tcPr>
          <w:p w14:paraId="362B17A1">
            <w:pPr>
              <w:pStyle w:val="19"/>
              <w:bidi w:val="0"/>
              <w:rPr>
                <w:rFonts w:hint="default"/>
                <w:color w:val="auto"/>
                <w:lang w:val="en-US" w:eastAsia="zh-CN"/>
              </w:rPr>
            </w:pPr>
            <w:r>
              <w:rPr>
                <w:rFonts w:hint="eastAsia"/>
                <w:color w:val="auto"/>
                <w:lang w:val="en-US" w:eastAsia="zh-CN"/>
              </w:rPr>
              <w:t>15</w:t>
            </w:r>
          </w:p>
        </w:tc>
        <w:tc>
          <w:tcPr>
            <w:tcW w:w="751" w:type="pct"/>
            <w:noWrap w:val="0"/>
            <w:vAlign w:val="center"/>
          </w:tcPr>
          <w:p w14:paraId="01425F0D">
            <w:pPr>
              <w:pStyle w:val="19"/>
              <w:bidi w:val="0"/>
              <w:rPr>
                <w:color w:val="auto"/>
                <w:lang w:val="sq-AL"/>
              </w:rPr>
            </w:pPr>
            <w:r>
              <w:rPr>
                <w:color w:val="auto"/>
                <w:lang w:val="sq-AL"/>
              </w:rPr>
              <w:t>振动</w:t>
            </w:r>
          </w:p>
        </w:tc>
        <w:tc>
          <w:tcPr>
            <w:tcW w:w="2563" w:type="pct"/>
            <w:noWrap w:val="0"/>
            <w:vAlign w:val="center"/>
          </w:tcPr>
          <w:p w14:paraId="41C4C5E4">
            <w:pPr>
              <w:pStyle w:val="19"/>
              <w:bidi w:val="0"/>
              <w:rPr>
                <w:rFonts w:hint="eastAsia" w:eastAsia="宋体"/>
                <w:color w:val="auto"/>
                <w:lang w:val="sq-AL" w:eastAsia="zh-CN"/>
              </w:rPr>
            </w:pPr>
            <w:r>
              <w:rPr>
                <w:rFonts w:hint="eastAsia"/>
                <w:color w:val="auto"/>
                <w:lang w:val="en-US" w:eastAsia="zh-CN"/>
              </w:rPr>
              <w:t>振动筛、泵</w:t>
            </w:r>
            <w:r>
              <w:rPr>
                <w:color w:val="auto"/>
                <w:lang w:val="sq-AL"/>
              </w:rPr>
              <w:t>等</w:t>
            </w:r>
            <w:r>
              <w:rPr>
                <w:rFonts w:hint="eastAsia"/>
                <w:color w:val="auto"/>
                <w:lang w:val="sq-AL" w:eastAsia="zh-CN"/>
              </w:rPr>
              <w:t>。</w:t>
            </w:r>
          </w:p>
        </w:tc>
        <w:tc>
          <w:tcPr>
            <w:tcW w:w="1133" w:type="pct"/>
            <w:noWrap w:val="0"/>
            <w:vAlign w:val="center"/>
          </w:tcPr>
          <w:p w14:paraId="4FC1CD7B">
            <w:pPr>
              <w:pStyle w:val="19"/>
              <w:bidi w:val="0"/>
              <w:rPr>
                <w:color w:val="auto"/>
                <w:lang w:val="sq-AL"/>
              </w:rPr>
            </w:pPr>
            <w:r>
              <w:rPr>
                <w:color w:val="auto"/>
                <w:lang w:val="sq-AL"/>
              </w:rPr>
              <w:t>慢性伤害、职业病</w:t>
            </w:r>
          </w:p>
        </w:tc>
      </w:tr>
      <w:tr w14:paraId="11E90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292" w:type="pct"/>
            <w:vMerge w:val="continue"/>
            <w:noWrap w:val="0"/>
            <w:vAlign w:val="center"/>
          </w:tcPr>
          <w:p w14:paraId="78BE0C83">
            <w:pPr>
              <w:pStyle w:val="19"/>
              <w:bidi w:val="0"/>
              <w:rPr>
                <w:color w:val="auto"/>
                <w:lang w:val="sq-AL"/>
              </w:rPr>
            </w:pPr>
          </w:p>
        </w:tc>
        <w:tc>
          <w:tcPr>
            <w:tcW w:w="259" w:type="pct"/>
            <w:noWrap w:val="0"/>
            <w:vAlign w:val="center"/>
          </w:tcPr>
          <w:p w14:paraId="6E48DA11">
            <w:pPr>
              <w:pStyle w:val="19"/>
              <w:bidi w:val="0"/>
              <w:rPr>
                <w:rFonts w:hint="default"/>
                <w:color w:val="auto"/>
                <w:lang w:val="en-US" w:eastAsia="zh-CN"/>
              </w:rPr>
            </w:pPr>
            <w:r>
              <w:rPr>
                <w:rFonts w:hint="eastAsia"/>
                <w:color w:val="auto"/>
                <w:lang w:val="en-US" w:eastAsia="zh-CN"/>
              </w:rPr>
              <w:t>16</w:t>
            </w:r>
          </w:p>
        </w:tc>
        <w:tc>
          <w:tcPr>
            <w:tcW w:w="751" w:type="pct"/>
            <w:noWrap w:val="0"/>
            <w:vAlign w:val="center"/>
          </w:tcPr>
          <w:p w14:paraId="7704698C">
            <w:pPr>
              <w:pStyle w:val="19"/>
              <w:bidi w:val="0"/>
              <w:rPr>
                <w:rFonts w:hint="eastAsia" w:eastAsia="宋体"/>
                <w:color w:val="auto"/>
                <w:lang w:val="en-US" w:eastAsia="zh-CN"/>
              </w:rPr>
            </w:pPr>
            <w:r>
              <w:rPr>
                <w:rFonts w:hint="eastAsia"/>
                <w:color w:val="auto"/>
                <w:lang w:val="en-US" w:eastAsia="zh-CN"/>
              </w:rPr>
              <w:t>粉尘</w:t>
            </w:r>
          </w:p>
        </w:tc>
        <w:tc>
          <w:tcPr>
            <w:tcW w:w="2563" w:type="pct"/>
            <w:noWrap w:val="0"/>
            <w:vAlign w:val="center"/>
          </w:tcPr>
          <w:p w14:paraId="48CEC470">
            <w:pPr>
              <w:pStyle w:val="19"/>
              <w:bidi w:val="0"/>
              <w:rPr>
                <w:rFonts w:hint="default"/>
                <w:color w:val="auto"/>
                <w:lang w:val="en-US" w:eastAsia="zh-CN"/>
              </w:rPr>
            </w:pPr>
            <w:r>
              <w:rPr>
                <w:rFonts w:hint="eastAsia"/>
                <w:color w:val="auto"/>
                <w:lang w:val="en-US" w:eastAsia="zh-CN"/>
              </w:rPr>
              <w:t>运输过程、卸料场所</w:t>
            </w:r>
          </w:p>
        </w:tc>
        <w:tc>
          <w:tcPr>
            <w:tcW w:w="1133" w:type="pct"/>
            <w:noWrap w:val="0"/>
            <w:vAlign w:val="center"/>
          </w:tcPr>
          <w:p w14:paraId="721ADBA5">
            <w:pPr>
              <w:pStyle w:val="19"/>
              <w:bidi w:val="0"/>
              <w:rPr>
                <w:color w:val="auto"/>
                <w:lang w:val="sq-AL"/>
              </w:rPr>
            </w:pPr>
            <w:r>
              <w:rPr>
                <w:color w:val="auto"/>
                <w:lang w:val="sq-AL"/>
              </w:rPr>
              <w:t>慢性伤害、职业病</w:t>
            </w:r>
          </w:p>
        </w:tc>
      </w:tr>
      <w:tr w14:paraId="19E58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92" w:type="pct"/>
            <w:vMerge w:val="continue"/>
            <w:noWrap w:val="0"/>
            <w:vAlign w:val="center"/>
          </w:tcPr>
          <w:p w14:paraId="7A47ADA5">
            <w:pPr>
              <w:pStyle w:val="19"/>
              <w:bidi w:val="0"/>
              <w:rPr>
                <w:color w:val="auto"/>
                <w:lang w:val="sq-AL"/>
              </w:rPr>
            </w:pPr>
          </w:p>
        </w:tc>
        <w:tc>
          <w:tcPr>
            <w:tcW w:w="259" w:type="pct"/>
            <w:noWrap w:val="0"/>
            <w:vAlign w:val="center"/>
          </w:tcPr>
          <w:p w14:paraId="41B91906">
            <w:pPr>
              <w:pStyle w:val="19"/>
              <w:bidi w:val="0"/>
              <w:rPr>
                <w:rFonts w:hint="default"/>
                <w:color w:val="auto"/>
                <w:lang w:val="en-US" w:eastAsia="zh-CN"/>
              </w:rPr>
            </w:pPr>
            <w:r>
              <w:rPr>
                <w:rFonts w:hint="eastAsia"/>
                <w:color w:val="auto"/>
                <w:lang w:val="en-US" w:eastAsia="zh-CN"/>
              </w:rPr>
              <w:t>17</w:t>
            </w:r>
          </w:p>
        </w:tc>
        <w:tc>
          <w:tcPr>
            <w:tcW w:w="751" w:type="pct"/>
            <w:noWrap w:val="0"/>
            <w:vAlign w:val="center"/>
          </w:tcPr>
          <w:p w14:paraId="4F037734">
            <w:pPr>
              <w:pStyle w:val="19"/>
              <w:bidi w:val="0"/>
              <w:rPr>
                <w:color w:val="auto"/>
                <w:lang w:val="sq-AL"/>
              </w:rPr>
            </w:pPr>
            <w:r>
              <w:rPr>
                <w:color w:val="auto"/>
                <w:lang w:val="sq-AL"/>
              </w:rPr>
              <w:t>酷暑</w:t>
            </w:r>
          </w:p>
        </w:tc>
        <w:tc>
          <w:tcPr>
            <w:tcW w:w="2563" w:type="pct"/>
            <w:noWrap w:val="0"/>
            <w:vAlign w:val="center"/>
          </w:tcPr>
          <w:p w14:paraId="5C9C9109">
            <w:pPr>
              <w:pStyle w:val="19"/>
              <w:bidi w:val="0"/>
              <w:rPr>
                <w:rFonts w:hint="eastAsia" w:eastAsia="宋体"/>
                <w:color w:val="auto"/>
                <w:lang w:val="sq-AL" w:eastAsia="zh-CN"/>
              </w:rPr>
            </w:pPr>
            <w:r>
              <w:rPr>
                <w:color w:val="auto"/>
                <w:lang w:val="sq-AL"/>
              </w:rPr>
              <w:t>在高温条件下作业</w:t>
            </w:r>
            <w:r>
              <w:rPr>
                <w:rFonts w:hint="eastAsia"/>
                <w:color w:val="auto"/>
                <w:lang w:val="sq-AL" w:eastAsia="zh-CN"/>
              </w:rPr>
              <w:t>。</w:t>
            </w:r>
          </w:p>
        </w:tc>
        <w:tc>
          <w:tcPr>
            <w:tcW w:w="1133" w:type="pct"/>
            <w:noWrap w:val="0"/>
            <w:vAlign w:val="center"/>
          </w:tcPr>
          <w:p w14:paraId="38E0675E">
            <w:pPr>
              <w:pStyle w:val="19"/>
              <w:bidi w:val="0"/>
              <w:rPr>
                <w:color w:val="auto"/>
                <w:lang w:val="sq-AL"/>
              </w:rPr>
            </w:pPr>
            <w:r>
              <w:rPr>
                <w:color w:val="auto"/>
                <w:lang w:val="sq-AL"/>
              </w:rPr>
              <w:t>人员伤亡、职业病</w:t>
            </w:r>
          </w:p>
        </w:tc>
      </w:tr>
    </w:tbl>
    <w:p w14:paraId="639772CF">
      <w:pPr>
        <w:bidi w:val="0"/>
        <w:rPr>
          <w:color w:val="auto"/>
        </w:rPr>
      </w:pPr>
      <w:r>
        <w:rPr>
          <w:color w:val="auto"/>
        </w:rPr>
        <w:br w:type="page"/>
      </w:r>
    </w:p>
    <w:p w14:paraId="51E72465">
      <w:pPr>
        <w:pStyle w:val="2"/>
        <w:bidi w:val="0"/>
        <w:rPr>
          <w:rFonts w:hint="eastAsia"/>
          <w:color w:val="auto"/>
        </w:rPr>
      </w:pPr>
      <w:bookmarkStart w:id="171" w:name="_Toc31645"/>
      <w:r>
        <w:rPr>
          <w:rFonts w:hint="eastAsia"/>
          <w:color w:val="auto"/>
        </w:rPr>
        <w:t>4 评价单元划分及评价方法选择</w:t>
      </w:r>
      <w:bookmarkEnd w:id="171"/>
    </w:p>
    <w:p w14:paraId="02A424F9">
      <w:pPr>
        <w:pStyle w:val="3"/>
        <w:bidi w:val="0"/>
        <w:rPr>
          <w:rFonts w:hint="eastAsia"/>
          <w:color w:val="auto"/>
        </w:rPr>
      </w:pPr>
      <w:bookmarkStart w:id="172" w:name="_Toc3934"/>
      <w:r>
        <w:rPr>
          <w:rFonts w:hint="eastAsia"/>
          <w:color w:val="auto"/>
        </w:rPr>
        <w:t>4.1 评价单元划分</w:t>
      </w:r>
      <w:bookmarkEnd w:id="172"/>
    </w:p>
    <w:p w14:paraId="702ABDB9">
      <w:pPr>
        <w:pStyle w:val="4"/>
        <w:bidi w:val="0"/>
        <w:rPr>
          <w:rFonts w:hint="eastAsia"/>
          <w:color w:val="auto"/>
        </w:rPr>
      </w:pPr>
      <w:bookmarkStart w:id="173" w:name="_Toc26236"/>
      <w:r>
        <w:rPr>
          <w:rFonts w:hint="eastAsia"/>
          <w:color w:val="auto"/>
        </w:rPr>
        <w:t>4.1.1 评价单元划分原则</w:t>
      </w:r>
      <w:bookmarkEnd w:id="173"/>
    </w:p>
    <w:p w14:paraId="1D9847E0">
      <w:pPr>
        <w:bidi w:val="0"/>
        <w:rPr>
          <w:rFonts w:hint="eastAsia"/>
          <w:color w:val="auto"/>
        </w:rPr>
      </w:pPr>
      <w:r>
        <w:rPr>
          <w:rFonts w:hint="eastAsia"/>
          <w:color w:val="auto"/>
        </w:rPr>
        <w:t>划分评价单元是为评价目标和评价方法服务，便于评价工作的进行，利于提高评价工作的准确性。</w:t>
      </w:r>
    </w:p>
    <w:p w14:paraId="760AAC1E">
      <w:pPr>
        <w:bidi w:val="0"/>
        <w:rPr>
          <w:rFonts w:hint="eastAsia"/>
          <w:color w:val="auto"/>
        </w:rPr>
      </w:pPr>
      <w:r>
        <w:rPr>
          <w:rFonts w:hint="eastAsia"/>
          <w:color w:val="auto"/>
        </w:rPr>
        <w:t>评价单元一般以生产工艺、工艺装置、物料的特点和特征与危险、有害因素的类别、分布有机结合进行划分，还可以按评价的需要将一个评价单元再划分为若干子评价单元或更细致的单元。由于至今尚无明确通用的</w:t>
      </w:r>
      <w:r>
        <w:rPr>
          <w:rFonts w:hint="eastAsia"/>
          <w:color w:val="auto"/>
          <w:lang w:eastAsia="zh-CN"/>
        </w:rPr>
        <w:t>“</w:t>
      </w:r>
      <w:r>
        <w:rPr>
          <w:rFonts w:hint="eastAsia"/>
          <w:color w:val="auto"/>
        </w:rPr>
        <w:t>规则</w:t>
      </w:r>
      <w:r>
        <w:rPr>
          <w:rFonts w:hint="eastAsia"/>
          <w:color w:val="auto"/>
          <w:lang w:eastAsia="zh-CN"/>
        </w:rPr>
        <w:t>”</w:t>
      </w:r>
      <w:r>
        <w:rPr>
          <w:rFonts w:hint="eastAsia"/>
          <w:color w:val="auto"/>
        </w:rPr>
        <w:t>来规范单元的划分方法，因此，不同的评价人员对同一个评价对象划分的评价单元也不同。由于评价目标不同，各评价方法均有自身特点，只要达到评价的目的，评价单元划分并不要求绝对一致。</w:t>
      </w:r>
    </w:p>
    <w:p w14:paraId="36771717">
      <w:pPr>
        <w:pStyle w:val="4"/>
        <w:bidi w:val="0"/>
        <w:rPr>
          <w:rFonts w:hint="eastAsia"/>
          <w:color w:val="auto"/>
        </w:rPr>
      </w:pPr>
      <w:bookmarkStart w:id="174" w:name="_Toc25459"/>
      <w:r>
        <w:rPr>
          <w:rFonts w:hint="eastAsia"/>
          <w:color w:val="auto"/>
        </w:rPr>
        <w:t>4.1.2 评价单元划分方法</w:t>
      </w:r>
      <w:bookmarkEnd w:id="174"/>
    </w:p>
    <w:p w14:paraId="51E056E3">
      <w:pPr>
        <w:bidi w:val="0"/>
        <w:rPr>
          <w:rFonts w:hint="eastAsia"/>
          <w:color w:val="auto"/>
        </w:rPr>
      </w:pPr>
      <w:r>
        <w:rPr>
          <w:rFonts w:hint="eastAsia"/>
          <w:color w:val="auto"/>
        </w:rPr>
        <w:t>常用的评价单元划分方法有：</w:t>
      </w:r>
    </w:p>
    <w:p w14:paraId="0E9CA4AE">
      <w:pPr>
        <w:bidi w:val="0"/>
        <w:rPr>
          <w:rFonts w:hint="eastAsia"/>
          <w:color w:val="auto"/>
        </w:rPr>
      </w:pPr>
      <w:r>
        <w:rPr>
          <w:rFonts w:hint="eastAsia"/>
          <w:color w:val="auto"/>
        </w:rPr>
        <w:t>1、以危险、有害因素的类别为主划分评价单元。</w:t>
      </w:r>
    </w:p>
    <w:p w14:paraId="07D46C5F">
      <w:pPr>
        <w:bidi w:val="0"/>
        <w:rPr>
          <w:rFonts w:hint="eastAsia"/>
          <w:color w:val="auto"/>
        </w:rPr>
      </w:pPr>
      <w:r>
        <w:rPr>
          <w:rFonts w:hint="eastAsia"/>
          <w:color w:val="auto"/>
        </w:rPr>
        <w:t>（1）对工艺方案、总体布置及自然条件、环境对系统影响等综合方面的危险、有害因素的分析和评价，可将整个系统作为一个评价单元；</w:t>
      </w:r>
    </w:p>
    <w:p w14:paraId="02D18AD4">
      <w:pPr>
        <w:bidi w:val="0"/>
        <w:rPr>
          <w:rFonts w:hint="eastAsia"/>
          <w:color w:val="auto"/>
        </w:rPr>
      </w:pPr>
      <w:r>
        <w:rPr>
          <w:rFonts w:hint="eastAsia"/>
          <w:color w:val="auto"/>
        </w:rPr>
        <w:t>（2）将具有共性危险因素、有害因素的场所和装置划为一个单元。</w:t>
      </w:r>
    </w:p>
    <w:p w14:paraId="38398467">
      <w:pPr>
        <w:bidi w:val="0"/>
        <w:rPr>
          <w:rFonts w:hint="eastAsia"/>
          <w:color w:val="auto"/>
        </w:rPr>
      </w:pPr>
      <w:r>
        <w:rPr>
          <w:rFonts w:hint="eastAsia"/>
          <w:color w:val="auto"/>
        </w:rPr>
        <w:t>2、以装置和物质特征划分评价单元。</w:t>
      </w:r>
    </w:p>
    <w:p w14:paraId="5C7BCE6F">
      <w:pPr>
        <w:bidi w:val="0"/>
        <w:rPr>
          <w:rFonts w:hint="eastAsia"/>
          <w:color w:val="auto"/>
        </w:rPr>
      </w:pPr>
      <w:r>
        <w:rPr>
          <w:rFonts w:hint="eastAsia"/>
          <w:color w:val="auto"/>
        </w:rPr>
        <w:t>（1）按装置工艺功能划分；</w:t>
      </w:r>
    </w:p>
    <w:p w14:paraId="05454614">
      <w:pPr>
        <w:bidi w:val="0"/>
        <w:rPr>
          <w:rFonts w:hint="eastAsia"/>
          <w:color w:val="auto"/>
        </w:rPr>
      </w:pPr>
      <w:r>
        <w:rPr>
          <w:rFonts w:hint="eastAsia"/>
          <w:color w:val="auto"/>
        </w:rPr>
        <w:t>（2）按布置的相对独立性划分；</w:t>
      </w:r>
    </w:p>
    <w:p w14:paraId="64D48C3A">
      <w:pPr>
        <w:bidi w:val="0"/>
        <w:rPr>
          <w:rFonts w:hint="eastAsia"/>
          <w:color w:val="auto"/>
        </w:rPr>
      </w:pPr>
      <w:r>
        <w:rPr>
          <w:rFonts w:hint="eastAsia"/>
          <w:color w:val="auto"/>
        </w:rPr>
        <w:t>（3）按工艺条件划分评价单元；</w:t>
      </w:r>
    </w:p>
    <w:p w14:paraId="01A93F98">
      <w:pPr>
        <w:bidi w:val="0"/>
        <w:rPr>
          <w:rFonts w:hint="eastAsia"/>
          <w:color w:val="auto"/>
        </w:rPr>
      </w:pPr>
      <w:r>
        <w:rPr>
          <w:rFonts w:hint="eastAsia"/>
          <w:color w:val="auto"/>
        </w:rPr>
        <w:t>（4）按贮存、处理危险物品的潜在化学能、毒性和危险物品的数量划分评价单元；</w:t>
      </w:r>
    </w:p>
    <w:p w14:paraId="05789D3F">
      <w:pPr>
        <w:bidi w:val="0"/>
        <w:rPr>
          <w:rFonts w:hint="eastAsia"/>
          <w:color w:val="auto"/>
        </w:rPr>
      </w:pPr>
      <w:r>
        <w:rPr>
          <w:rFonts w:hint="eastAsia"/>
          <w:color w:val="auto"/>
        </w:rPr>
        <w:t>（5）根据以往事故资料，将发生事故能导致停产、波及范围大、造成巨大损失和伤害的关键设备作为一个单元；</w:t>
      </w:r>
    </w:p>
    <w:p w14:paraId="0F1DFBBC">
      <w:pPr>
        <w:bidi w:val="0"/>
        <w:rPr>
          <w:rFonts w:hint="eastAsia"/>
          <w:color w:val="auto"/>
        </w:rPr>
      </w:pPr>
      <w:r>
        <w:rPr>
          <w:rFonts w:hint="eastAsia"/>
          <w:color w:val="auto"/>
        </w:rPr>
        <w:t>（6）将危险性大且资金密度大的区域作为一个评价单元；</w:t>
      </w:r>
    </w:p>
    <w:p w14:paraId="5B44EC1F">
      <w:pPr>
        <w:bidi w:val="0"/>
        <w:rPr>
          <w:rFonts w:hint="eastAsia"/>
          <w:color w:val="auto"/>
        </w:rPr>
      </w:pPr>
      <w:r>
        <w:rPr>
          <w:rFonts w:hint="eastAsia"/>
          <w:color w:val="auto"/>
        </w:rPr>
        <w:t>（7）将危险性特别大的区域、装置作为一个评价单元；</w:t>
      </w:r>
    </w:p>
    <w:p w14:paraId="576D0D89">
      <w:pPr>
        <w:bidi w:val="0"/>
        <w:rPr>
          <w:rFonts w:hint="eastAsia"/>
          <w:color w:val="auto"/>
        </w:rPr>
      </w:pPr>
      <w:r>
        <w:rPr>
          <w:rFonts w:hint="eastAsia"/>
          <w:color w:val="auto"/>
        </w:rPr>
        <w:t>（8）将具有类似危险性潜能的单元合并为一个大单元。</w:t>
      </w:r>
    </w:p>
    <w:p w14:paraId="41ED1BC0">
      <w:pPr>
        <w:pStyle w:val="4"/>
        <w:bidi w:val="0"/>
        <w:rPr>
          <w:rFonts w:hint="eastAsia"/>
          <w:color w:val="auto"/>
        </w:rPr>
      </w:pPr>
      <w:bookmarkStart w:id="175" w:name="_Toc31051"/>
      <w:r>
        <w:rPr>
          <w:rFonts w:hint="eastAsia"/>
          <w:color w:val="auto"/>
        </w:rPr>
        <w:t>4.1.3 本项目评价单元的划分</w:t>
      </w:r>
      <w:bookmarkEnd w:id="175"/>
    </w:p>
    <w:p w14:paraId="7C1A5EB2">
      <w:pPr>
        <w:bidi w:val="0"/>
        <w:rPr>
          <w:rFonts w:hint="eastAsia"/>
          <w:color w:val="auto"/>
        </w:rPr>
      </w:pPr>
      <w:r>
        <w:rPr>
          <w:rFonts w:hint="eastAsia"/>
          <w:color w:val="auto"/>
        </w:rPr>
        <w:t>根据建设单位提供的有关技术资料和现场调查、类比调查结果，以该项目建设工程设计固有的系统特点，在对该建设项目主要危险因素分析的基础上，遵循突出重点、抓主要环节的原则，按照系统分析中自上而下逐步分解的原理，将整个评价对象首先划分为不同的单元，对复杂的和重要的单元进一步划分为子单元，以此确保评价过程的系统性、完整性和针对性。</w:t>
      </w:r>
    </w:p>
    <w:p w14:paraId="37F414E1">
      <w:pPr>
        <w:bidi w:val="0"/>
        <w:rPr>
          <w:rFonts w:hint="eastAsia"/>
          <w:color w:val="auto"/>
        </w:rPr>
      </w:pPr>
      <w:r>
        <w:rPr>
          <w:rFonts w:hint="eastAsia"/>
          <w:color w:val="auto"/>
        </w:rPr>
        <w:t>评价单元一般以生产工艺、工艺装置、物料的特点和特征与危险、危害因素的类别、分布有机结合进行划分，还可以按评价的需要将一个评价单元再划分为若干子评价单元或更细致的单元。根据该评价项目的总图布置和生产工艺特点，为达到对该项目系统、科学、全面的评价目的，将该项目评价划分为以下几个单元进行评价：</w:t>
      </w:r>
    </w:p>
    <w:p w14:paraId="55F6E8A4">
      <w:pPr>
        <w:bidi w:val="0"/>
        <w:rPr>
          <w:rFonts w:hint="eastAsia"/>
          <w:color w:val="auto"/>
        </w:rPr>
      </w:pPr>
      <w:r>
        <w:rPr>
          <w:rFonts w:hint="eastAsia"/>
          <w:color w:val="auto"/>
        </w:rPr>
        <w:t>1、厂址及总平面布置单元；</w:t>
      </w:r>
    </w:p>
    <w:p w14:paraId="4CCCE61B">
      <w:pPr>
        <w:bidi w:val="0"/>
        <w:rPr>
          <w:rFonts w:hint="eastAsia"/>
          <w:color w:val="auto"/>
        </w:rPr>
      </w:pPr>
      <w:r>
        <w:rPr>
          <w:rFonts w:hint="eastAsia"/>
          <w:color w:val="auto"/>
        </w:rPr>
        <w:t>2、</w:t>
      </w:r>
      <w:r>
        <w:rPr>
          <w:rFonts w:hint="eastAsia"/>
          <w:color w:val="auto"/>
          <w:lang w:val="en-US" w:eastAsia="zh-CN"/>
        </w:rPr>
        <w:t>选矿</w:t>
      </w:r>
      <w:r>
        <w:rPr>
          <w:rFonts w:hint="eastAsia"/>
          <w:color w:val="auto"/>
        </w:rPr>
        <w:t>工艺单元；</w:t>
      </w:r>
    </w:p>
    <w:p w14:paraId="17209D7E">
      <w:pPr>
        <w:bidi w:val="0"/>
        <w:rPr>
          <w:rFonts w:hint="eastAsia"/>
          <w:color w:val="auto"/>
        </w:rPr>
      </w:pPr>
      <w:r>
        <w:rPr>
          <w:rFonts w:hint="eastAsia"/>
          <w:color w:val="auto"/>
        </w:rPr>
        <w:t>3、给排水系统单元；</w:t>
      </w:r>
    </w:p>
    <w:p w14:paraId="46CF5529">
      <w:pPr>
        <w:bidi w:val="0"/>
        <w:rPr>
          <w:rFonts w:hint="eastAsia"/>
          <w:color w:val="auto"/>
        </w:rPr>
      </w:pPr>
      <w:r>
        <w:rPr>
          <w:rFonts w:hint="eastAsia"/>
          <w:color w:val="auto"/>
        </w:rPr>
        <w:t>4、供配电系统单元；</w:t>
      </w:r>
    </w:p>
    <w:p w14:paraId="2AF35B9C">
      <w:pPr>
        <w:bidi w:val="0"/>
        <w:rPr>
          <w:rFonts w:hint="eastAsia"/>
          <w:color w:val="auto"/>
        </w:rPr>
      </w:pPr>
      <w:r>
        <w:rPr>
          <w:rFonts w:hint="eastAsia"/>
          <w:color w:val="auto"/>
        </w:rPr>
        <w:t>5、安全管理单元。</w:t>
      </w:r>
    </w:p>
    <w:p w14:paraId="036A175F">
      <w:pPr>
        <w:pStyle w:val="18"/>
        <w:bidi w:val="0"/>
        <w:rPr>
          <w:color w:val="auto"/>
        </w:rPr>
      </w:pPr>
      <w:r>
        <w:rPr>
          <w:rFonts w:hint="eastAsia"/>
          <w:color w:val="auto"/>
        </w:rPr>
        <w:t>表4.1-1  评价单元与评价方法对照表</w:t>
      </w:r>
    </w:p>
    <w:tbl>
      <w:tblPr>
        <w:tblStyle w:val="15"/>
        <w:tblW w:w="9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3200"/>
        <w:gridCol w:w="5349"/>
      </w:tblGrid>
      <w:tr w14:paraId="20235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53" w:type="dxa"/>
            <w:noWrap w:val="0"/>
            <w:vAlign w:val="center"/>
          </w:tcPr>
          <w:p w14:paraId="29140A6D">
            <w:pPr>
              <w:pStyle w:val="19"/>
              <w:bidi w:val="0"/>
              <w:rPr>
                <w:rFonts w:hint="default"/>
                <w:b/>
                <w:bCs/>
                <w:color w:val="auto"/>
                <w:lang w:val="en-US" w:eastAsia="zh-CN"/>
              </w:rPr>
            </w:pPr>
            <w:r>
              <w:rPr>
                <w:rFonts w:hint="eastAsia"/>
                <w:b/>
                <w:bCs/>
                <w:color w:val="auto"/>
                <w:lang w:val="sq-AL" w:eastAsia="zh-CN"/>
              </w:rPr>
              <w:t>序号</w:t>
            </w:r>
          </w:p>
        </w:tc>
        <w:tc>
          <w:tcPr>
            <w:tcW w:w="3200" w:type="dxa"/>
            <w:noWrap w:val="0"/>
            <w:vAlign w:val="center"/>
          </w:tcPr>
          <w:p w14:paraId="09C2587C">
            <w:pPr>
              <w:pStyle w:val="19"/>
              <w:bidi w:val="0"/>
              <w:rPr>
                <w:rFonts w:hint="default"/>
                <w:b/>
                <w:bCs/>
                <w:color w:val="auto"/>
                <w:lang w:val="en-US" w:eastAsia="zh-CN"/>
              </w:rPr>
            </w:pPr>
            <w:r>
              <w:rPr>
                <w:rFonts w:hint="eastAsia"/>
                <w:b/>
                <w:bCs/>
                <w:color w:val="auto"/>
                <w:lang w:val="sq-AL" w:eastAsia="zh-CN"/>
              </w:rPr>
              <w:t>评价单元</w:t>
            </w:r>
          </w:p>
        </w:tc>
        <w:tc>
          <w:tcPr>
            <w:tcW w:w="5349" w:type="dxa"/>
            <w:noWrap w:val="0"/>
            <w:vAlign w:val="center"/>
          </w:tcPr>
          <w:p w14:paraId="5217FE28">
            <w:pPr>
              <w:pStyle w:val="19"/>
              <w:bidi w:val="0"/>
              <w:rPr>
                <w:rFonts w:hint="default"/>
                <w:b/>
                <w:bCs/>
                <w:color w:val="auto"/>
                <w:lang w:val="en-US" w:eastAsia="zh-CN"/>
              </w:rPr>
            </w:pPr>
            <w:r>
              <w:rPr>
                <w:rFonts w:hint="eastAsia"/>
                <w:b/>
                <w:bCs/>
                <w:color w:val="auto"/>
                <w:lang w:val="sq-AL" w:eastAsia="zh-CN"/>
              </w:rPr>
              <w:t>评价方法选择</w:t>
            </w:r>
          </w:p>
        </w:tc>
      </w:tr>
      <w:tr w14:paraId="36E87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14:paraId="05524333">
            <w:pPr>
              <w:pStyle w:val="19"/>
              <w:bidi w:val="0"/>
              <w:rPr>
                <w:rFonts w:hint="default"/>
                <w:color w:val="auto"/>
                <w:lang w:val="en-US" w:eastAsia="zh-CN"/>
              </w:rPr>
            </w:pPr>
            <w:r>
              <w:rPr>
                <w:rFonts w:hint="eastAsia"/>
                <w:color w:val="auto"/>
                <w:lang w:val="sq-AL" w:eastAsia="zh-CN"/>
              </w:rPr>
              <w:t>1</w:t>
            </w:r>
          </w:p>
        </w:tc>
        <w:tc>
          <w:tcPr>
            <w:tcW w:w="3200" w:type="dxa"/>
            <w:noWrap w:val="0"/>
            <w:vAlign w:val="center"/>
          </w:tcPr>
          <w:p w14:paraId="00C86D83">
            <w:pPr>
              <w:pStyle w:val="19"/>
              <w:bidi w:val="0"/>
              <w:rPr>
                <w:rFonts w:hint="default"/>
                <w:color w:val="auto"/>
                <w:lang w:val="en-US" w:eastAsia="zh-CN"/>
              </w:rPr>
            </w:pPr>
            <w:r>
              <w:rPr>
                <w:rFonts w:hint="eastAsia"/>
                <w:color w:val="auto"/>
                <w:lang w:val="en-US" w:eastAsia="zh-CN"/>
              </w:rPr>
              <w:t>厂址及总平面布置单元</w:t>
            </w:r>
          </w:p>
        </w:tc>
        <w:tc>
          <w:tcPr>
            <w:tcW w:w="5349" w:type="dxa"/>
            <w:noWrap w:val="0"/>
            <w:vAlign w:val="center"/>
          </w:tcPr>
          <w:p w14:paraId="2809B7D0">
            <w:pPr>
              <w:pStyle w:val="19"/>
              <w:bidi w:val="0"/>
              <w:rPr>
                <w:rFonts w:hint="default"/>
                <w:color w:val="auto"/>
                <w:lang w:val="en-US" w:eastAsia="zh-CN"/>
              </w:rPr>
            </w:pPr>
            <w:r>
              <w:rPr>
                <w:rFonts w:hint="eastAsia"/>
                <w:color w:val="auto"/>
                <w:lang w:val="en-US" w:eastAsia="zh-CN"/>
              </w:rPr>
              <w:t>预先危险性分析</w:t>
            </w:r>
            <w:r>
              <w:rPr>
                <w:rFonts w:hint="eastAsia"/>
                <w:color w:val="auto"/>
                <w:lang w:val="sq-AL" w:eastAsia="zh-CN"/>
              </w:rPr>
              <w:t>法、</w:t>
            </w:r>
            <w:r>
              <w:rPr>
                <w:rFonts w:hint="eastAsia"/>
                <w:color w:val="auto"/>
                <w:lang w:val="en-US" w:eastAsia="zh-CN"/>
              </w:rPr>
              <w:t>安全检查表法</w:t>
            </w:r>
          </w:p>
        </w:tc>
      </w:tr>
      <w:tr w14:paraId="01DB8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14:paraId="479D3B30">
            <w:pPr>
              <w:pStyle w:val="19"/>
              <w:bidi w:val="0"/>
              <w:rPr>
                <w:rFonts w:hint="default"/>
                <w:color w:val="auto"/>
                <w:lang w:val="en-US" w:eastAsia="zh-CN"/>
              </w:rPr>
            </w:pPr>
            <w:r>
              <w:rPr>
                <w:rFonts w:hint="eastAsia"/>
                <w:color w:val="auto"/>
                <w:lang w:val="sq-AL" w:eastAsia="zh-CN"/>
              </w:rPr>
              <w:t>2</w:t>
            </w:r>
          </w:p>
        </w:tc>
        <w:tc>
          <w:tcPr>
            <w:tcW w:w="3200" w:type="dxa"/>
            <w:noWrap w:val="0"/>
            <w:vAlign w:val="center"/>
          </w:tcPr>
          <w:p w14:paraId="09C4043A">
            <w:pPr>
              <w:pStyle w:val="19"/>
              <w:bidi w:val="0"/>
              <w:rPr>
                <w:rFonts w:hint="default"/>
                <w:color w:val="auto"/>
                <w:lang w:val="en-US" w:eastAsia="zh-CN"/>
              </w:rPr>
            </w:pPr>
            <w:r>
              <w:rPr>
                <w:rFonts w:hint="eastAsia"/>
                <w:color w:val="auto"/>
                <w:lang w:val="en-US" w:eastAsia="zh-CN"/>
              </w:rPr>
              <w:t>选矿工艺单元</w:t>
            </w:r>
          </w:p>
        </w:tc>
        <w:tc>
          <w:tcPr>
            <w:tcW w:w="5349" w:type="dxa"/>
            <w:noWrap w:val="0"/>
            <w:vAlign w:val="center"/>
          </w:tcPr>
          <w:p w14:paraId="6CAA247A">
            <w:pPr>
              <w:pStyle w:val="19"/>
              <w:bidi w:val="0"/>
              <w:rPr>
                <w:rFonts w:hint="default"/>
                <w:color w:val="auto"/>
                <w:lang w:val="en-US" w:eastAsia="zh-CN"/>
              </w:rPr>
            </w:pPr>
            <w:r>
              <w:rPr>
                <w:rFonts w:hint="eastAsia"/>
                <w:color w:val="auto"/>
                <w:lang w:val="en-US" w:eastAsia="zh-CN"/>
              </w:rPr>
              <w:t>预先危险性分析</w:t>
            </w:r>
            <w:r>
              <w:rPr>
                <w:rFonts w:hint="eastAsia"/>
                <w:color w:val="auto"/>
                <w:lang w:val="sq-AL" w:eastAsia="zh-CN"/>
              </w:rPr>
              <w:t>法、</w:t>
            </w:r>
            <w:r>
              <w:rPr>
                <w:rFonts w:hint="eastAsia"/>
                <w:color w:val="auto"/>
                <w:lang w:val="en-US" w:eastAsia="zh-CN"/>
              </w:rPr>
              <w:t>事故树分析方法</w:t>
            </w:r>
          </w:p>
        </w:tc>
      </w:tr>
      <w:tr w14:paraId="10361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14:paraId="42F0D7F2">
            <w:pPr>
              <w:pStyle w:val="19"/>
              <w:bidi w:val="0"/>
              <w:rPr>
                <w:rFonts w:hint="default"/>
                <w:color w:val="auto"/>
                <w:lang w:val="en-US" w:eastAsia="zh-CN"/>
              </w:rPr>
            </w:pPr>
            <w:r>
              <w:rPr>
                <w:rFonts w:hint="eastAsia"/>
                <w:color w:val="auto"/>
                <w:lang w:val="sq-AL"/>
              </w:rPr>
              <w:t>3</w:t>
            </w:r>
          </w:p>
        </w:tc>
        <w:tc>
          <w:tcPr>
            <w:tcW w:w="3200" w:type="dxa"/>
            <w:noWrap w:val="0"/>
            <w:vAlign w:val="center"/>
          </w:tcPr>
          <w:p w14:paraId="2D39A61F">
            <w:pPr>
              <w:pStyle w:val="19"/>
              <w:bidi w:val="0"/>
              <w:rPr>
                <w:rFonts w:hint="default"/>
                <w:color w:val="auto"/>
                <w:lang w:val="en-US" w:eastAsia="zh-CN"/>
              </w:rPr>
            </w:pPr>
            <w:r>
              <w:rPr>
                <w:rFonts w:hint="default"/>
                <w:color w:val="auto"/>
                <w:lang w:val="en-US" w:eastAsia="zh-CN"/>
              </w:rPr>
              <w:t>给排水系统单元</w:t>
            </w:r>
          </w:p>
        </w:tc>
        <w:tc>
          <w:tcPr>
            <w:tcW w:w="5349" w:type="dxa"/>
            <w:noWrap w:val="0"/>
            <w:vAlign w:val="center"/>
          </w:tcPr>
          <w:p w14:paraId="16B511EA">
            <w:pPr>
              <w:pStyle w:val="19"/>
              <w:bidi w:val="0"/>
              <w:rPr>
                <w:rFonts w:hint="default"/>
                <w:color w:val="auto"/>
                <w:lang w:val="en-US" w:eastAsia="zh-CN"/>
              </w:rPr>
            </w:pPr>
            <w:r>
              <w:rPr>
                <w:rFonts w:hint="eastAsia"/>
                <w:color w:val="auto"/>
                <w:lang w:val="en-US" w:eastAsia="zh-CN"/>
              </w:rPr>
              <w:t>预先危险性分析</w:t>
            </w:r>
            <w:r>
              <w:rPr>
                <w:rFonts w:hint="eastAsia"/>
                <w:color w:val="auto"/>
                <w:lang w:val="sq-AL"/>
              </w:rPr>
              <w:t>法</w:t>
            </w:r>
          </w:p>
        </w:tc>
      </w:tr>
      <w:tr w14:paraId="4259C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14:paraId="4E2E5926">
            <w:pPr>
              <w:pStyle w:val="19"/>
              <w:bidi w:val="0"/>
              <w:rPr>
                <w:rFonts w:hint="default"/>
                <w:color w:val="auto"/>
                <w:lang w:val="en-US" w:eastAsia="zh-CN"/>
              </w:rPr>
            </w:pPr>
            <w:r>
              <w:rPr>
                <w:rFonts w:hint="eastAsia"/>
                <w:color w:val="auto"/>
                <w:lang w:val="sq-AL"/>
              </w:rPr>
              <w:t>4</w:t>
            </w:r>
          </w:p>
        </w:tc>
        <w:tc>
          <w:tcPr>
            <w:tcW w:w="3200" w:type="dxa"/>
            <w:noWrap w:val="0"/>
            <w:vAlign w:val="center"/>
          </w:tcPr>
          <w:p w14:paraId="4676C8D4">
            <w:pPr>
              <w:pStyle w:val="19"/>
              <w:bidi w:val="0"/>
              <w:rPr>
                <w:rFonts w:hint="default"/>
                <w:color w:val="auto"/>
                <w:lang w:val="en-US" w:eastAsia="zh-CN"/>
              </w:rPr>
            </w:pPr>
            <w:r>
              <w:rPr>
                <w:rFonts w:hint="default"/>
                <w:color w:val="auto"/>
                <w:lang w:val="en-US" w:eastAsia="zh-CN"/>
              </w:rPr>
              <w:t>供配电系统单元</w:t>
            </w:r>
          </w:p>
        </w:tc>
        <w:tc>
          <w:tcPr>
            <w:tcW w:w="5349" w:type="dxa"/>
            <w:noWrap w:val="0"/>
            <w:vAlign w:val="center"/>
          </w:tcPr>
          <w:p w14:paraId="00B1054F">
            <w:pPr>
              <w:pStyle w:val="19"/>
              <w:bidi w:val="0"/>
              <w:rPr>
                <w:rFonts w:hint="default"/>
                <w:color w:val="auto"/>
                <w:lang w:val="en-US" w:eastAsia="zh-CN"/>
              </w:rPr>
            </w:pPr>
            <w:r>
              <w:rPr>
                <w:rFonts w:hint="eastAsia"/>
                <w:color w:val="auto"/>
                <w:lang w:val="en-US" w:eastAsia="zh-CN"/>
              </w:rPr>
              <w:t>预先危险性分析</w:t>
            </w:r>
            <w:r>
              <w:rPr>
                <w:rFonts w:hint="eastAsia"/>
                <w:color w:val="auto"/>
                <w:lang w:val="sq-AL"/>
              </w:rPr>
              <w:t>法</w:t>
            </w:r>
            <w:r>
              <w:rPr>
                <w:rFonts w:hint="eastAsia"/>
                <w:color w:val="auto"/>
                <w:lang w:val="sq-AL" w:eastAsia="zh-CN"/>
              </w:rPr>
              <w:t>、</w:t>
            </w:r>
            <w:r>
              <w:rPr>
                <w:rFonts w:hint="eastAsia"/>
                <w:color w:val="auto"/>
                <w:lang w:val="en-US" w:eastAsia="zh-CN"/>
              </w:rPr>
              <w:t>事故树分析方法</w:t>
            </w:r>
          </w:p>
        </w:tc>
      </w:tr>
      <w:tr w14:paraId="204ED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14:paraId="7A966B04">
            <w:pPr>
              <w:pStyle w:val="19"/>
              <w:bidi w:val="0"/>
              <w:rPr>
                <w:rFonts w:hint="eastAsia"/>
                <w:color w:val="auto"/>
                <w:lang w:val="en-US" w:eastAsia="zh-CN"/>
              </w:rPr>
            </w:pPr>
            <w:r>
              <w:rPr>
                <w:rFonts w:hint="eastAsia"/>
                <w:color w:val="auto"/>
                <w:lang w:val="en-US" w:eastAsia="zh-CN"/>
              </w:rPr>
              <w:t>5</w:t>
            </w:r>
          </w:p>
        </w:tc>
        <w:tc>
          <w:tcPr>
            <w:tcW w:w="3200" w:type="dxa"/>
            <w:noWrap w:val="0"/>
            <w:vAlign w:val="center"/>
          </w:tcPr>
          <w:p w14:paraId="3E906CA8">
            <w:pPr>
              <w:pStyle w:val="19"/>
              <w:bidi w:val="0"/>
              <w:rPr>
                <w:rFonts w:hint="default"/>
                <w:color w:val="auto"/>
                <w:lang w:val="en-US" w:eastAsia="zh-CN"/>
              </w:rPr>
            </w:pPr>
            <w:r>
              <w:rPr>
                <w:rFonts w:hint="eastAsia"/>
                <w:color w:val="auto"/>
                <w:lang w:val="en-US" w:eastAsia="zh-CN"/>
              </w:rPr>
              <w:t>安全管理单元</w:t>
            </w:r>
          </w:p>
        </w:tc>
        <w:tc>
          <w:tcPr>
            <w:tcW w:w="5349" w:type="dxa"/>
            <w:noWrap w:val="0"/>
            <w:vAlign w:val="center"/>
          </w:tcPr>
          <w:p w14:paraId="663001E8">
            <w:pPr>
              <w:pStyle w:val="19"/>
              <w:bidi w:val="0"/>
              <w:rPr>
                <w:rFonts w:hint="eastAsia"/>
                <w:color w:val="auto"/>
                <w:lang w:val="en-US" w:eastAsia="zh-CN"/>
              </w:rPr>
            </w:pPr>
            <w:r>
              <w:rPr>
                <w:rFonts w:hint="eastAsia"/>
                <w:color w:val="auto"/>
                <w:lang w:val="en-US" w:eastAsia="zh-CN"/>
              </w:rPr>
              <w:t>预先危险性分析</w:t>
            </w:r>
            <w:r>
              <w:rPr>
                <w:rFonts w:hint="eastAsia"/>
                <w:color w:val="auto"/>
                <w:lang w:val="sq-AL"/>
              </w:rPr>
              <w:t>法</w:t>
            </w:r>
          </w:p>
        </w:tc>
      </w:tr>
    </w:tbl>
    <w:p w14:paraId="68ADD071">
      <w:pPr>
        <w:pStyle w:val="3"/>
        <w:bidi w:val="0"/>
        <w:rPr>
          <w:rFonts w:hint="default"/>
          <w:color w:val="auto"/>
          <w:lang w:val="en-US" w:eastAsia="zh-CN"/>
        </w:rPr>
      </w:pPr>
      <w:bookmarkStart w:id="176" w:name="_Toc5756"/>
      <w:bookmarkStart w:id="177" w:name="_Toc3007"/>
      <w:r>
        <w:rPr>
          <w:rFonts w:hint="default"/>
          <w:color w:val="auto"/>
          <w:lang w:val="en-US" w:eastAsia="zh-CN"/>
        </w:rPr>
        <w:t>4.2 评价方法介绍</w:t>
      </w:r>
      <w:bookmarkEnd w:id="176"/>
      <w:bookmarkEnd w:id="177"/>
    </w:p>
    <w:p w14:paraId="1503CEC2">
      <w:pPr>
        <w:bidi w:val="0"/>
        <w:rPr>
          <w:rFonts w:hint="default"/>
          <w:color w:val="auto"/>
          <w:lang w:val="en-US" w:eastAsia="zh-CN"/>
        </w:rPr>
      </w:pPr>
      <w:r>
        <w:rPr>
          <w:rFonts w:hint="default"/>
          <w:color w:val="auto"/>
          <w:lang w:val="en-US" w:eastAsia="zh-CN"/>
        </w:rPr>
        <w:t>安全评价方法是对系统的危险因素、危害因素及其危险、危害程度进行分析、评价的方法。按照特性可分为定性安全评价和定量安全评价。由于本项目为安全预评价，需对项目进行检查对比和危险分析。针对被评价单元的实际情况和从评价效果出发，采用的评价方法为：①预先危险性分析法（PHA）；②安全检查表法（SCL）；③事故树分析法（FTA）。</w:t>
      </w:r>
    </w:p>
    <w:p w14:paraId="36C2FF00">
      <w:pPr>
        <w:pStyle w:val="4"/>
        <w:bidi w:val="0"/>
        <w:rPr>
          <w:rFonts w:hint="default"/>
          <w:color w:val="auto"/>
          <w:lang w:val="en-US" w:eastAsia="zh-CN"/>
        </w:rPr>
      </w:pPr>
      <w:bookmarkStart w:id="178" w:name="_Toc21481"/>
      <w:r>
        <w:rPr>
          <w:rFonts w:hint="default"/>
          <w:color w:val="auto"/>
          <w:lang w:val="en-US" w:eastAsia="zh-CN"/>
        </w:rPr>
        <w:t>4.2.1 预先危险性分析法（PHA法）</w:t>
      </w:r>
      <w:bookmarkEnd w:id="178"/>
    </w:p>
    <w:p w14:paraId="0E98B03B">
      <w:pPr>
        <w:bidi w:val="0"/>
        <w:rPr>
          <w:rFonts w:hint="default"/>
          <w:color w:val="auto"/>
          <w:lang w:val="en-US" w:eastAsia="zh-CN"/>
        </w:rPr>
      </w:pPr>
      <w:r>
        <w:rPr>
          <w:rFonts w:hint="default"/>
          <w:color w:val="auto"/>
          <w:lang w:val="en-US" w:eastAsia="zh-CN"/>
        </w:rPr>
        <w:t>预先危险性分析（PHA）也可称为危险性预先分析，是一种对系统存在的危险性类别、出现危险状态的条件、导致事故的后果，做一概略的分析而采用的分析方法，其目的是辨识系统中存在的潜在危险，确定其危险等级。</w:t>
      </w:r>
    </w:p>
    <w:p w14:paraId="345F0273">
      <w:pPr>
        <w:bidi w:val="0"/>
        <w:rPr>
          <w:rFonts w:hint="default"/>
          <w:color w:val="auto"/>
          <w:lang w:val="en-US" w:eastAsia="zh-CN"/>
        </w:rPr>
      </w:pPr>
      <w:r>
        <w:rPr>
          <w:rFonts w:hint="default"/>
          <w:color w:val="auto"/>
          <w:lang w:val="en-US" w:eastAsia="zh-CN"/>
        </w:rPr>
        <w:t>1、功能</w:t>
      </w:r>
    </w:p>
    <w:p w14:paraId="66CCEE8B">
      <w:pPr>
        <w:bidi w:val="0"/>
        <w:rPr>
          <w:rFonts w:hint="default"/>
          <w:color w:val="auto"/>
          <w:lang w:val="en-US" w:eastAsia="zh-CN"/>
        </w:rPr>
      </w:pPr>
      <w:r>
        <w:rPr>
          <w:rFonts w:hint="default"/>
          <w:color w:val="auto"/>
          <w:lang w:val="en-US" w:eastAsia="zh-CN"/>
        </w:rPr>
        <w:t>（1）大体识别与系统有关的主要危险；</w:t>
      </w:r>
    </w:p>
    <w:p w14:paraId="407B2181">
      <w:pPr>
        <w:bidi w:val="0"/>
        <w:rPr>
          <w:rFonts w:hint="default"/>
          <w:color w:val="auto"/>
          <w:lang w:val="en-US" w:eastAsia="zh-CN"/>
        </w:rPr>
      </w:pPr>
      <w:r>
        <w:rPr>
          <w:rFonts w:hint="default"/>
          <w:color w:val="auto"/>
          <w:lang w:val="en-US" w:eastAsia="zh-CN"/>
        </w:rPr>
        <w:t>（2）鉴别产生危险的原因；</w:t>
      </w:r>
    </w:p>
    <w:p w14:paraId="703BB1DD">
      <w:pPr>
        <w:bidi w:val="0"/>
        <w:rPr>
          <w:rFonts w:hint="default"/>
          <w:color w:val="auto"/>
          <w:lang w:val="en-US" w:eastAsia="zh-CN"/>
        </w:rPr>
      </w:pPr>
      <w:r>
        <w:rPr>
          <w:rFonts w:hint="default"/>
          <w:color w:val="auto"/>
          <w:lang w:val="en-US" w:eastAsia="zh-CN"/>
        </w:rPr>
        <w:t>（3）预测事故出现对人体及系统的影响；</w:t>
      </w:r>
    </w:p>
    <w:p w14:paraId="566A6852">
      <w:pPr>
        <w:bidi w:val="0"/>
        <w:rPr>
          <w:rFonts w:hint="default"/>
          <w:color w:val="auto"/>
          <w:lang w:val="en-US" w:eastAsia="zh-CN"/>
        </w:rPr>
      </w:pPr>
      <w:r>
        <w:rPr>
          <w:rFonts w:hint="default"/>
          <w:color w:val="auto"/>
          <w:lang w:val="en-US" w:eastAsia="zh-CN"/>
        </w:rPr>
        <w:t>（4）判定已识别的危险性等级，并提出削减或控制危险性的措施。</w:t>
      </w:r>
    </w:p>
    <w:p w14:paraId="76CD91ED">
      <w:pPr>
        <w:bidi w:val="0"/>
        <w:rPr>
          <w:rFonts w:hint="default"/>
          <w:color w:val="auto"/>
          <w:lang w:val="en-US" w:eastAsia="zh-CN"/>
        </w:rPr>
      </w:pPr>
      <w:r>
        <w:rPr>
          <w:rFonts w:hint="default"/>
          <w:color w:val="auto"/>
          <w:lang w:val="en-US" w:eastAsia="zh-CN"/>
        </w:rPr>
        <w:t>2、系统（单元）预先危险性等级划分</w:t>
      </w:r>
    </w:p>
    <w:p w14:paraId="00623277">
      <w:pPr>
        <w:bidi w:val="0"/>
        <w:rPr>
          <w:rFonts w:hint="default"/>
          <w:color w:val="auto"/>
          <w:lang w:val="en-US" w:eastAsia="zh-CN"/>
        </w:rPr>
      </w:pPr>
      <w:r>
        <w:rPr>
          <w:rFonts w:hint="default"/>
          <w:color w:val="auto"/>
          <w:lang w:val="en-US" w:eastAsia="zh-CN"/>
        </w:rPr>
        <w:t>系统（单元）预先危险性等级系数按下式确定：</w:t>
      </w:r>
    </w:p>
    <w:p w14:paraId="5D01875B">
      <w:pPr>
        <w:bidi w:val="0"/>
        <w:rPr>
          <w:rFonts w:hint="default"/>
          <w:color w:val="auto"/>
          <w:lang w:val="en-US" w:eastAsia="zh-CN"/>
        </w:rPr>
      </w:pPr>
      <w:r>
        <w:rPr>
          <w:rFonts w:hint="default"/>
          <w:color w:val="auto"/>
          <w:lang w:val="en-US" w:eastAsia="zh-CN"/>
        </w:rPr>
        <w:t>W=∑（P×K）/∑K</w:t>
      </w:r>
    </w:p>
    <w:p w14:paraId="4DCA450A">
      <w:pPr>
        <w:bidi w:val="0"/>
        <w:rPr>
          <w:rFonts w:hint="default"/>
          <w:color w:val="auto"/>
          <w:lang w:val="en-US" w:eastAsia="zh-CN"/>
        </w:rPr>
      </w:pPr>
      <w:r>
        <w:rPr>
          <w:rFonts w:hint="default"/>
          <w:color w:val="auto"/>
          <w:lang w:val="en-US" w:eastAsia="zh-CN"/>
        </w:rPr>
        <w:t>式中：W—系统（单元）预先危险性等级系数，划分标准见表4-1；</w:t>
      </w:r>
    </w:p>
    <w:p w14:paraId="372530F1">
      <w:pPr>
        <w:bidi w:val="0"/>
        <w:rPr>
          <w:rFonts w:hint="default"/>
          <w:color w:val="auto"/>
          <w:lang w:val="en-US" w:eastAsia="zh-CN"/>
        </w:rPr>
      </w:pPr>
      <w:r>
        <w:rPr>
          <w:rFonts w:hint="default"/>
          <w:color w:val="auto"/>
          <w:lang w:val="en-US" w:eastAsia="zh-CN"/>
        </w:rPr>
        <w:t>P—分析项目的危险性等级系数，划分标准见表4-2；</w:t>
      </w:r>
    </w:p>
    <w:p w14:paraId="4FB1DA82">
      <w:pPr>
        <w:bidi w:val="0"/>
        <w:rPr>
          <w:rFonts w:hint="default"/>
          <w:color w:val="auto"/>
          <w:lang w:val="en-US" w:eastAsia="zh-CN"/>
        </w:rPr>
      </w:pPr>
      <w:r>
        <w:rPr>
          <w:rFonts w:hint="default"/>
          <w:color w:val="auto"/>
          <w:lang w:val="en-US" w:eastAsia="zh-CN"/>
        </w:rPr>
        <w:t>K—分析项目发生事故的概率系数，划分标准见表4-3。</w:t>
      </w:r>
    </w:p>
    <w:p w14:paraId="7E34760F">
      <w:pPr>
        <w:pStyle w:val="18"/>
        <w:bidi w:val="0"/>
        <w:rPr>
          <w:rFonts w:hint="default"/>
          <w:color w:val="auto"/>
          <w:lang w:val="en-US" w:eastAsia="zh-CN"/>
        </w:rPr>
      </w:pPr>
      <w:r>
        <w:rPr>
          <w:rFonts w:hint="default"/>
          <w:color w:val="auto"/>
          <w:lang w:val="en-US" w:eastAsia="zh-CN"/>
        </w:rPr>
        <w:t>表4</w:t>
      </w:r>
      <w:r>
        <w:rPr>
          <w:rFonts w:hint="eastAsia"/>
          <w:color w:val="auto"/>
          <w:lang w:val="en-US" w:eastAsia="zh-CN"/>
        </w:rPr>
        <w:t>.2</w:t>
      </w:r>
      <w:r>
        <w:rPr>
          <w:rFonts w:hint="default"/>
          <w:color w:val="auto"/>
          <w:lang w:val="en-US" w:eastAsia="zh-CN"/>
        </w:rPr>
        <w:t>-</w:t>
      </w:r>
      <w:r>
        <w:rPr>
          <w:rFonts w:hint="eastAsia"/>
          <w:color w:val="auto"/>
          <w:lang w:val="en-US" w:eastAsia="zh-CN"/>
        </w:rPr>
        <w:t>1</w:t>
      </w:r>
      <w:r>
        <w:rPr>
          <w:rFonts w:hint="default"/>
          <w:color w:val="auto"/>
          <w:lang w:val="en-US" w:eastAsia="zh-CN"/>
        </w:rPr>
        <w:t xml:space="preserve">  系统（单元）预先危险性等级系数（W）划分表</w:t>
      </w:r>
    </w:p>
    <w:tbl>
      <w:tblPr>
        <w:tblStyle w:val="1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43"/>
        <w:gridCol w:w="1425"/>
        <w:gridCol w:w="1425"/>
        <w:gridCol w:w="1247"/>
        <w:gridCol w:w="1957"/>
      </w:tblGrid>
      <w:tr w14:paraId="216D1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778" w:type="pct"/>
            <w:noWrap w:val="0"/>
            <w:vAlign w:val="center"/>
          </w:tcPr>
          <w:p w14:paraId="6523346C">
            <w:pPr>
              <w:pStyle w:val="19"/>
              <w:bidi w:val="0"/>
              <w:rPr>
                <w:color w:val="auto"/>
              </w:rPr>
            </w:pPr>
            <w:r>
              <w:rPr>
                <w:color w:val="auto"/>
              </w:rPr>
              <w:t>系统危险程度级别</w:t>
            </w:r>
          </w:p>
        </w:tc>
        <w:tc>
          <w:tcPr>
            <w:tcW w:w="758" w:type="pct"/>
            <w:noWrap w:val="0"/>
            <w:vAlign w:val="center"/>
          </w:tcPr>
          <w:p w14:paraId="41958E51">
            <w:pPr>
              <w:pStyle w:val="19"/>
              <w:bidi w:val="0"/>
              <w:rPr>
                <w:color w:val="auto"/>
              </w:rPr>
            </w:pPr>
            <w:r>
              <w:rPr>
                <w:color w:val="auto"/>
              </w:rPr>
              <w:t>I级</w:t>
            </w:r>
          </w:p>
        </w:tc>
        <w:tc>
          <w:tcPr>
            <w:tcW w:w="758" w:type="pct"/>
            <w:noWrap w:val="0"/>
            <w:vAlign w:val="center"/>
          </w:tcPr>
          <w:p w14:paraId="1EC108B6">
            <w:pPr>
              <w:pStyle w:val="19"/>
              <w:bidi w:val="0"/>
              <w:rPr>
                <w:color w:val="auto"/>
              </w:rPr>
            </w:pPr>
            <w:r>
              <w:rPr>
                <w:color w:val="auto"/>
              </w:rPr>
              <w:t>II级</w:t>
            </w:r>
          </w:p>
        </w:tc>
        <w:tc>
          <w:tcPr>
            <w:tcW w:w="663" w:type="pct"/>
            <w:noWrap w:val="0"/>
            <w:vAlign w:val="center"/>
          </w:tcPr>
          <w:p w14:paraId="41087125">
            <w:pPr>
              <w:pStyle w:val="19"/>
              <w:bidi w:val="0"/>
              <w:rPr>
                <w:color w:val="auto"/>
              </w:rPr>
            </w:pPr>
            <w:r>
              <w:rPr>
                <w:rFonts w:hint="eastAsia"/>
                <w:color w:val="auto"/>
              </w:rPr>
              <w:t>Ⅲ</w:t>
            </w:r>
            <w:r>
              <w:rPr>
                <w:color w:val="auto"/>
              </w:rPr>
              <w:t>级</w:t>
            </w:r>
          </w:p>
        </w:tc>
        <w:tc>
          <w:tcPr>
            <w:tcW w:w="1041" w:type="pct"/>
            <w:noWrap w:val="0"/>
            <w:vAlign w:val="center"/>
          </w:tcPr>
          <w:p w14:paraId="133B3D2E">
            <w:pPr>
              <w:pStyle w:val="19"/>
              <w:bidi w:val="0"/>
              <w:rPr>
                <w:color w:val="auto"/>
              </w:rPr>
            </w:pPr>
            <w:r>
              <w:rPr>
                <w:rFonts w:hint="eastAsia"/>
                <w:color w:val="auto"/>
              </w:rPr>
              <w:t>Ⅳ</w:t>
            </w:r>
            <w:r>
              <w:rPr>
                <w:color w:val="auto"/>
              </w:rPr>
              <w:t>级</w:t>
            </w:r>
          </w:p>
        </w:tc>
      </w:tr>
      <w:tr w14:paraId="41177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jc w:val="center"/>
        </w:trPr>
        <w:tc>
          <w:tcPr>
            <w:tcW w:w="1778" w:type="pct"/>
            <w:noWrap w:val="0"/>
            <w:vAlign w:val="center"/>
          </w:tcPr>
          <w:p w14:paraId="47F9ADA2">
            <w:pPr>
              <w:pStyle w:val="19"/>
              <w:bidi w:val="0"/>
              <w:rPr>
                <w:color w:val="auto"/>
              </w:rPr>
            </w:pPr>
            <w:r>
              <w:rPr>
                <w:color w:val="auto"/>
              </w:rPr>
              <w:t>系统危险程度</w:t>
            </w:r>
          </w:p>
        </w:tc>
        <w:tc>
          <w:tcPr>
            <w:tcW w:w="758" w:type="pct"/>
            <w:noWrap w:val="0"/>
            <w:vAlign w:val="center"/>
          </w:tcPr>
          <w:p w14:paraId="24E63AC0">
            <w:pPr>
              <w:pStyle w:val="19"/>
              <w:bidi w:val="0"/>
              <w:rPr>
                <w:color w:val="auto"/>
              </w:rPr>
            </w:pPr>
            <w:r>
              <w:rPr>
                <w:color w:val="auto"/>
              </w:rPr>
              <w:t>稍有危险</w:t>
            </w:r>
          </w:p>
        </w:tc>
        <w:tc>
          <w:tcPr>
            <w:tcW w:w="758" w:type="pct"/>
            <w:noWrap w:val="0"/>
            <w:vAlign w:val="center"/>
          </w:tcPr>
          <w:p w14:paraId="381DF0DE">
            <w:pPr>
              <w:pStyle w:val="19"/>
              <w:bidi w:val="0"/>
              <w:rPr>
                <w:color w:val="auto"/>
              </w:rPr>
            </w:pPr>
            <w:r>
              <w:rPr>
                <w:color w:val="auto"/>
              </w:rPr>
              <w:t>比较危险</w:t>
            </w:r>
          </w:p>
        </w:tc>
        <w:tc>
          <w:tcPr>
            <w:tcW w:w="663" w:type="pct"/>
            <w:noWrap w:val="0"/>
            <w:vAlign w:val="center"/>
          </w:tcPr>
          <w:p w14:paraId="549AB0AA">
            <w:pPr>
              <w:pStyle w:val="19"/>
              <w:bidi w:val="0"/>
              <w:rPr>
                <w:color w:val="auto"/>
              </w:rPr>
            </w:pPr>
            <w:r>
              <w:rPr>
                <w:color w:val="auto"/>
              </w:rPr>
              <w:t>很危险</w:t>
            </w:r>
          </w:p>
        </w:tc>
        <w:tc>
          <w:tcPr>
            <w:tcW w:w="1041" w:type="pct"/>
            <w:noWrap w:val="0"/>
            <w:vAlign w:val="center"/>
          </w:tcPr>
          <w:p w14:paraId="594DC04A">
            <w:pPr>
              <w:pStyle w:val="19"/>
              <w:bidi w:val="0"/>
              <w:rPr>
                <w:color w:val="auto"/>
              </w:rPr>
            </w:pPr>
            <w:r>
              <w:rPr>
                <w:color w:val="auto"/>
              </w:rPr>
              <w:t>极危险</w:t>
            </w:r>
          </w:p>
        </w:tc>
      </w:tr>
      <w:tr w14:paraId="62505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1778" w:type="pct"/>
            <w:noWrap w:val="0"/>
            <w:vAlign w:val="center"/>
          </w:tcPr>
          <w:p w14:paraId="7B4D2BF9">
            <w:pPr>
              <w:pStyle w:val="19"/>
              <w:bidi w:val="0"/>
              <w:rPr>
                <w:color w:val="auto"/>
              </w:rPr>
            </w:pPr>
            <w:r>
              <w:rPr>
                <w:color w:val="auto"/>
              </w:rPr>
              <w:t>系统预先危险性等级系数</w:t>
            </w:r>
          </w:p>
        </w:tc>
        <w:tc>
          <w:tcPr>
            <w:tcW w:w="758" w:type="pct"/>
            <w:noWrap w:val="0"/>
            <w:vAlign w:val="center"/>
          </w:tcPr>
          <w:p w14:paraId="53A8C7D4">
            <w:pPr>
              <w:pStyle w:val="19"/>
              <w:bidi w:val="0"/>
              <w:rPr>
                <w:color w:val="auto"/>
              </w:rPr>
            </w:pPr>
            <w:r>
              <w:rPr>
                <w:color w:val="auto"/>
              </w:rPr>
              <w:t>1≤W&lt;1.5</w:t>
            </w:r>
          </w:p>
        </w:tc>
        <w:tc>
          <w:tcPr>
            <w:tcW w:w="758" w:type="pct"/>
            <w:noWrap w:val="0"/>
            <w:vAlign w:val="center"/>
          </w:tcPr>
          <w:p w14:paraId="5F6B4F76">
            <w:pPr>
              <w:pStyle w:val="19"/>
              <w:bidi w:val="0"/>
              <w:rPr>
                <w:color w:val="auto"/>
              </w:rPr>
            </w:pPr>
            <w:r>
              <w:rPr>
                <w:color w:val="auto"/>
              </w:rPr>
              <w:t>1.5≤W&lt;3</w:t>
            </w:r>
          </w:p>
        </w:tc>
        <w:tc>
          <w:tcPr>
            <w:tcW w:w="663" w:type="pct"/>
            <w:noWrap w:val="0"/>
            <w:vAlign w:val="center"/>
          </w:tcPr>
          <w:p w14:paraId="3C5050AF">
            <w:pPr>
              <w:pStyle w:val="19"/>
              <w:bidi w:val="0"/>
              <w:rPr>
                <w:color w:val="auto"/>
              </w:rPr>
            </w:pPr>
            <w:r>
              <w:rPr>
                <w:color w:val="auto"/>
              </w:rPr>
              <w:t>3≤W&lt;6</w:t>
            </w:r>
          </w:p>
        </w:tc>
        <w:tc>
          <w:tcPr>
            <w:tcW w:w="1041" w:type="pct"/>
            <w:noWrap w:val="0"/>
            <w:vAlign w:val="center"/>
          </w:tcPr>
          <w:p w14:paraId="11B20745">
            <w:pPr>
              <w:pStyle w:val="19"/>
              <w:bidi w:val="0"/>
              <w:rPr>
                <w:color w:val="auto"/>
              </w:rPr>
            </w:pPr>
            <w:r>
              <w:rPr>
                <w:color w:val="auto"/>
              </w:rPr>
              <w:t>6&lt;W≤8</w:t>
            </w:r>
          </w:p>
        </w:tc>
      </w:tr>
    </w:tbl>
    <w:p w14:paraId="1CC5AB3B">
      <w:pPr>
        <w:pStyle w:val="18"/>
        <w:bidi w:val="0"/>
        <w:rPr>
          <w:color w:val="auto"/>
        </w:rPr>
      </w:pPr>
      <w:r>
        <w:rPr>
          <w:rFonts w:hint="eastAsia"/>
          <w:color w:val="auto"/>
        </w:rPr>
        <w:t>表</w:t>
      </w:r>
      <w:r>
        <w:rPr>
          <w:rFonts w:hint="eastAsia"/>
          <w:color w:val="auto"/>
          <w:lang w:val="en-US" w:eastAsia="zh-CN"/>
        </w:rPr>
        <w:t xml:space="preserve">4.2-2 </w:t>
      </w:r>
      <w:r>
        <w:rPr>
          <w:rFonts w:hint="eastAsia"/>
          <w:color w:val="auto"/>
        </w:rPr>
        <w:t xml:space="preserve"> 分析项目的危险性等级系数（P）划分表</w:t>
      </w:r>
    </w:p>
    <w:tbl>
      <w:tblPr>
        <w:tblStyle w:val="14"/>
        <w:tblW w:w="4999" w:type="pct"/>
        <w:jc w:val="center"/>
        <w:tblLayout w:type="autofit"/>
        <w:tblCellMar>
          <w:top w:w="0" w:type="dxa"/>
          <w:left w:w="108" w:type="dxa"/>
          <w:bottom w:w="0" w:type="dxa"/>
          <w:right w:w="108" w:type="dxa"/>
        </w:tblCellMar>
      </w:tblPr>
      <w:tblGrid>
        <w:gridCol w:w="773"/>
        <w:gridCol w:w="1553"/>
        <w:gridCol w:w="1256"/>
        <w:gridCol w:w="5817"/>
      </w:tblGrid>
      <w:tr w14:paraId="6267D122">
        <w:tblPrEx>
          <w:tblCellMar>
            <w:top w:w="0" w:type="dxa"/>
            <w:left w:w="108" w:type="dxa"/>
            <w:bottom w:w="0" w:type="dxa"/>
            <w:right w:w="108" w:type="dxa"/>
          </w:tblCellMar>
        </w:tblPrEx>
        <w:trPr>
          <w:cantSplit/>
          <w:trHeight w:val="65" w:hRule="atLeast"/>
          <w:jc w:val="center"/>
        </w:trPr>
        <w:tc>
          <w:tcPr>
            <w:tcW w:w="411" w:type="pct"/>
            <w:tcBorders>
              <w:top w:val="single" w:color="auto" w:sz="6" w:space="0"/>
              <w:left w:val="single" w:color="auto" w:sz="6" w:space="0"/>
              <w:bottom w:val="single" w:color="auto" w:sz="6" w:space="0"/>
              <w:right w:val="single" w:color="auto" w:sz="6" w:space="0"/>
            </w:tcBorders>
            <w:noWrap w:val="0"/>
            <w:vAlign w:val="center"/>
          </w:tcPr>
          <w:p w14:paraId="153E709A">
            <w:pPr>
              <w:pStyle w:val="19"/>
              <w:bidi w:val="0"/>
              <w:rPr>
                <w:b/>
                <w:bCs/>
                <w:color w:val="auto"/>
              </w:rPr>
            </w:pPr>
            <w:r>
              <w:rPr>
                <w:rFonts w:hint="default"/>
                <w:b/>
                <w:bCs/>
                <w:color w:val="auto"/>
              </w:rPr>
              <w:t>级别</w:t>
            </w:r>
          </w:p>
        </w:tc>
        <w:tc>
          <w:tcPr>
            <w:tcW w:w="826" w:type="pct"/>
            <w:tcBorders>
              <w:top w:val="single" w:color="auto" w:sz="6" w:space="0"/>
              <w:left w:val="single" w:color="auto" w:sz="6" w:space="0"/>
              <w:bottom w:val="single" w:color="auto" w:sz="6" w:space="0"/>
              <w:right w:val="single" w:color="auto" w:sz="6" w:space="0"/>
            </w:tcBorders>
            <w:noWrap w:val="0"/>
            <w:vAlign w:val="center"/>
          </w:tcPr>
          <w:p w14:paraId="6517C21F">
            <w:pPr>
              <w:pStyle w:val="19"/>
              <w:bidi w:val="0"/>
              <w:rPr>
                <w:b/>
                <w:bCs/>
                <w:color w:val="auto"/>
              </w:rPr>
            </w:pPr>
            <w:r>
              <w:rPr>
                <w:rFonts w:hint="default"/>
                <w:b/>
                <w:bCs/>
                <w:color w:val="auto"/>
              </w:rPr>
              <w:t>危险程度</w:t>
            </w:r>
          </w:p>
        </w:tc>
        <w:tc>
          <w:tcPr>
            <w:tcW w:w="668" w:type="pct"/>
            <w:tcBorders>
              <w:top w:val="single" w:color="auto" w:sz="6" w:space="0"/>
              <w:left w:val="single" w:color="auto" w:sz="6" w:space="0"/>
              <w:bottom w:val="single" w:color="auto" w:sz="6" w:space="0"/>
              <w:right w:val="single" w:color="auto" w:sz="6" w:space="0"/>
            </w:tcBorders>
            <w:noWrap w:val="0"/>
            <w:vAlign w:val="center"/>
          </w:tcPr>
          <w:p w14:paraId="4731F0FD">
            <w:pPr>
              <w:pStyle w:val="19"/>
              <w:bidi w:val="0"/>
              <w:rPr>
                <w:b/>
                <w:bCs/>
                <w:color w:val="auto"/>
              </w:rPr>
            </w:pPr>
            <w:r>
              <w:rPr>
                <w:rFonts w:hint="default"/>
                <w:b/>
                <w:bCs/>
                <w:color w:val="auto"/>
              </w:rPr>
              <w:t>等级系数</w:t>
            </w:r>
          </w:p>
        </w:tc>
        <w:tc>
          <w:tcPr>
            <w:tcW w:w="3093" w:type="pct"/>
            <w:tcBorders>
              <w:top w:val="single" w:color="auto" w:sz="6" w:space="0"/>
              <w:left w:val="single" w:color="auto" w:sz="6" w:space="0"/>
              <w:bottom w:val="single" w:color="auto" w:sz="6" w:space="0"/>
              <w:right w:val="single" w:color="auto" w:sz="6" w:space="0"/>
            </w:tcBorders>
            <w:noWrap w:val="0"/>
            <w:vAlign w:val="center"/>
          </w:tcPr>
          <w:p w14:paraId="320B1556">
            <w:pPr>
              <w:pStyle w:val="19"/>
              <w:bidi w:val="0"/>
              <w:rPr>
                <w:b/>
                <w:bCs/>
                <w:color w:val="auto"/>
              </w:rPr>
            </w:pPr>
            <w:r>
              <w:rPr>
                <w:rFonts w:hint="default"/>
                <w:b/>
                <w:bCs/>
                <w:color w:val="auto"/>
              </w:rPr>
              <w:t>可能导致的后果</w:t>
            </w:r>
          </w:p>
        </w:tc>
      </w:tr>
      <w:tr w14:paraId="13369057">
        <w:tblPrEx>
          <w:tblCellMar>
            <w:top w:w="0" w:type="dxa"/>
            <w:left w:w="108" w:type="dxa"/>
            <w:bottom w:w="0" w:type="dxa"/>
            <w:right w:w="108" w:type="dxa"/>
          </w:tblCellMar>
        </w:tblPrEx>
        <w:trPr>
          <w:cantSplit/>
          <w:trHeight w:val="65" w:hRule="atLeast"/>
          <w:jc w:val="center"/>
        </w:trPr>
        <w:tc>
          <w:tcPr>
            <w:tcW w:w="411" w:type="pct"/>
            <w:tcBorders>
              <w:top w:val="single" w:color="auto" w:sz="6" w:space="0"/>
              <w:left w:val="single" w:color="auto" w:sz="6" w:space="0"/>
              <w:bottom w:val="single" w:color="auto" w:sz="6" w:space="0"/>
              <w:right w:val="single" w:color="auto" w:sz="6" w:space="0"/>
            </w:tcBorders>
            <w:noWrap w:val="0"/>
            <w:vAlign w:val="center"/>
          </w:tcPr>
          <w:p w14:paraId="410C64A0">
            <w:pPr>
              <w:pStyle w:val="19"/>
              <w:bidi w:val="0"/>
              <w:rPr>
                <w:color w:val="auto"/>
              </w:rPr>
            </w:pPr>
            <w:r>
              <w:rPr>
                <w:color w:val="auto"/>
              </w:rPr>
              <w:t>I</w:t>
            </w:r>
          </w:p>
        </w:tc>
        <w:tc>
          <w:tcPr>
            <w:tcW w:w="826" w:type="pct"/>
            <w:tcBorders>
              <w:top w:val="single" w:color="auto" w:sz="6" w:space="0"/>
              <w:left w:val="single" w:color="auto" w:sz="6" w:space="0"/>
              <w:bottom w:val="single" w:color="auto" w:sz="6" w:space="0"/>
              <w:right w:val="single" w:color="auto" w:sz="6" w:space="0"/>
            </w:tcBorders>
            <w:noWrap w:val="0"/>
            <w:vAlign w:val="center"/>
          </w:tcPr>
          <w:p w14:paraId="4F4C4E98">
            <w:pPr>
              <w:pStyle w:val="19"/>
              <w:bidi w:val="0"/>
              <w:rPr>
                <w:color w:val="auto"/>
              </w:rPr>
            </w:pPr>
            <w:r>
              <w:rPr>
                <w:rFonts w:hint="default"/>
                <w:color w:val="auto"/>
              </w:rPr>
              <w:t>安全级</w:t>
            </w:r>
          </w:p>
        </w:tc>
        <w:tc>
          <w:tcPr>
            <w:tcW w:w="668" w:type="pct"/>
            <w:tcBorders>
              <w:top w:val="single" w:color="auto" w:sz="6" w:space="0"/>
              <w:left w:val="single" w:color="auto" w:sz="6" w:space="0"/>
              <w:bottom w:val="single" w:color="auto" w:sz="6" w:space="0"/>
              <w:right w:val="single" w:color="auto" w:sz="6" w:space="0"/>
            </w:tcBorders>
            <w:noWrap w:val="0"/>
            <w:vAlign w:val="center"/>
          </w:tcPr>
          <w:p w14:paraId="77C00CE4">
            <w:pPr>
              <w:pStyle w:val="19"/>
              <w:bidi w:val="0"/>
              <w:rPr>
                <w:color w:val="auto"/>
              </w:rPr>
            </w:pPr>
            <w:r>
              <w:rPr>
                <w:color w:val="auto"/>
              </w:rPr>
              <w:t>1</w:t>
            </w:r>
          </w:p>
        </w:tc>
        <w:tc>
          <w:tcPr>
            <w:tcW w:w="3093" w:type="pct"/>
            <w:tcBorders>
              <w:top w:val="single" w:color="auto" w:sz="6" w:space="0"/>
              <w:left w:val="single" w:color="auto" w:sz="6" w:space="0"/>
              <w:bottom w:val="single" w:color="auto" w:sz="6" w:space="0"/>
              <w:right w:val="single" w:color="auto" w:sz="6" w:space="0"/>
            </w:tcBorders>
            <w:noWrap w:val="0"/>
            <w:vAlign w:val="center"/>
          </w:tcPr>
          <w:p w14:paraId="3454C49C">
            <w:pPr>
              <w:pStyle w:val="19"/>
              <w:bidi w:val="0"/>
              <w:rPr>
                <w:color w:val="auto"/>
              </w:rPr>
            </w:pPr>
            <w:r>
              <w:rPr>
                <w:rFonts w:hint="default"/>
                <w:color w:val="auto"/>
              </w:rPr>
              <w:t>不会造成人员伤亡及系统损坏。</w:t>
            </w:r>
          </w:p>
        </w:tc>
      </w:tr>
      <w:tr w14:paraId="669BEB28">
        <w:tblPrEx>
          <w:tblCellMar>
            <w:top w:w="0" w:type="dxa"/>
            <w:left w:w="108" w:type="dxa"/>
            <w:bottom w:w="0" w:type="dxa"/>
            <w:right w:w="108" w:type="dxa"/>
          </w:tblCellMar>
        </w:tblPrEx>
        <w:trPr>
          <w:cantSplit/>
          <w:trHeight w:val="397" w:hRule="atLeast"/>
          <w:jc w:val="center"/>
        </w:trPr>
        <w:tc>
          <w:tcPr>
            <w:tcW w:w="411" w:type="pct"/>
            <w:tcBorders>
              <w:top w:val="single" w:color="auto" w:sz="6" w:space="0"/>
              <w:left w:val="single" w:color="auto" w:sz="6" w:space="0"/>
              <w:bottom w:val="single" w:color="auto" w:sz="6" w:space="0"/>
              <w:right w:val="single" w:color="auto" w:sz="6" w:space="0"/>
            </w:tcBorders>
            <w:noWrap w:val="0"/>
            <w:vAlign w:val="center"/>
          </w:tcPr>
          <w:p w14:paraId="4D1D5303">
            <w:pPr>
              <w:pStyle w:val="19"/>
              <w:bidi w:val="0"/>
              <w:rPr>
                <w:color w:val="auto"/>
              </w:rPr>
            </w:pPr>
            <w:r>
              <w:rPr>
                <w:color w:val="auto"/>
              </w:rPr>
              <w:t>II</w:t>
            </w:r>
          </w:p>
        </w:tc>
        <w:tc>
          <w:tcPr>
            <w:tcW w:w="826" w:type="pct"/>
            <w:tcBorders>
              <w:top w:val="single" w:color="auto" w:sz="6" w:space="0"/>
              <w:left w:val="single" w:color="auto" w:sz="6" w:space="0"/>
              <w:bottom w:val="single" w:color="auto" w:sz="6" w:space="0"/>
              <w:right w:val="single" w:color="auto" w:sz="6" w:space="0"/>
            </w:tcBorders>
            <w:noWrap w:val="0"/>
            <w:vAlign w:val="center"/>
          </w:tcPr>
          <w:p w14:paraId="3E2CA2DC">
            <w:pPr>
              <w:pStyle w:val="19"/>
              <w:bidi w:val="0"/>
              <w:rPr>
                <w:color w:val="auto"/>
              </w:rPr>
            </w:pPr>
            <w:r>
              <w:rPr>
                <w:rFonts w:hint="default"/>
                <w:color w:val="auto"/>
              </w:rPr>
              <w:t>基本安全级</w:t>
            </w:r>
          </w:p>
        </w:tc>
        <w:tc>
          <w:tcPr>
            <w:tcW w:w="668" w:type="pct"/>
            <w:tcBorders>
              <w:top w:val="single" w:color="auto" w:sz="6" w:space="0"/>
              <w:left w:val="single" w:color="auto" w:sz="6" w:space="0"/>
              <w:bottom w:val="single" w:color="auto" w:sz="6" w:space="0"/>
              <w:right w:val="single" w:color="auto" w:sz="6" w:space="0"/>
            </w:tcBorders>
            <w:noWrap w:val="0"/>
            <w:vAlign w:val="center"/>
          </w:tcPr>
          <w:p w14:paraId="1F5C572D">
            <w:pPr>
              <w:pStyle w:val="19"/>
              <w:bidi w:val="0"/>
              <w:rPr>
                <w:color w:val="auto"/>
              </w:rPr>
            </w:pPr>
            <w:r>
              <w:rPr>
                <w:color w:val="auto"/>
              </w:rPr>
              <w:t>2</w:t>
            </w:r>
          </w:p>
        </w:tc>
        <w:tc>
          <w:tcPr>
            <w:tcW w:w="3093" w:type="pct"/>
            <w:tcBorders>
              <w:top w:val="single" w:color="auto" w:sz="6" w:space="0"/>
              <w:left w:val="single" w:color="auto" w:sz="6" w:space="0"/>
              <w:bottom w:val="single" w:color="auto" w:sz="6" w:space="0"/>
              <w:right w:val="single" w:color="auto" w:sz="6" w:space="0"/>
            </w:tcBorders>
            <w:noWrap w:val="0"/>
            <w:vAlign w:val="center"/>
          </w:tcPr>
          <w:p w14:paraId="39C80D24">
            <w:pPr>
              <w:pStyle w:val="19"/>
              <w:bidi w:val="0"/>
              <w:rPr>
                <w:color w:val="auto"/>
              </w:rPr>
            </w:pPr>
            <w:r>
              <w:rPr>
                <w:rFonts w:hint="default"/>
                <w:color w:val="auto"/>
              </w:rPr>
              <w:t>处于事故的边缘状态，可能造成人员伤亡、系统损坏或降低系统性能，但应予以排除或采取控制措施。</w:t>
            </w:r>
          </w:p>
        </w:tc>
      </w:tr>
      <w:tr w14:paraId="3DBED258">
        <w:tblPrEx>
          <w:tblCellMar>
            <w:top w:w="0" w:type="dxa"/>
            <w:left w:w="108" w:type="dxa"/>
            <w:bottom w:w="0" w:type="dxa"/>
            <w:right w:w="108" w:type="dxa"/>
          </w:tblCellMar>
        </w:tblPrEx>
        <w:trPr>
          <w:cantSplit/>
          <w:trHeight w:val="188" w:hRule="atLeast"/>
          <w:jc w:val="center"/>
        </w:trPr>
        <w:tc>
          <w:tcPr>
            <w:tcW w:w="411" w:type="pct"/>
            <w:tcBorders>
              <w:top w:val="single" w:color="auto" w:sz="6" w:space="0"/>
              <w:left w:val="single" w:color="auto" w:sz="6" w:space="0"/>
              <w:bottom w:val="single" w:color="auto" w:sz="6" w:space="0"/>
              <w:right w:val="single" w:color="auto" w:sz="6" w:space="0"/>
            </w:tcBorders>
            <w:noWrap w:val="0"/>
            <w:vAlign w:val="center"/>
          </w:tcPr>
          <w:p w14:paraId="46F61787">
            <w:pPr>
              <w:pStyle w:val="19"/>
              <w:bidi w:val="0"/>
              <w:rPr>
                <w:color w:val="auto"/>
              </w:rPr>
            </w:pPr>
            <w:r>
              <w:rPr>
                <w:rFonts w:hint="default"/>
                <w:color w:val="auto"/>
              </w:rPr>
              <w:t>Ⅲ</w:t>
            </w:r>
          </w:p>
        </w:tc>
        <w:tc>
          <w:tcPr>
            <w:tcW w:w="826" w:type="pct"/>
            <w:tcBorders>
              <w:top w:val="single" w:color="auto" w:sz="6" w:space="0"/>
              <w:left w:val="single" w:color="auto" w:sz="6" w:space="0"/>
              <w:bottom w:val="single" w:color="auto" w:sz="6" w:space="0"/>
              <w:right w:val="single" w:color="auto" w:sz="6" w:space="0"/>
            </w:tcBorders>
            <w:noWrap w:val="0"/>
            <w:vAlign w:val="center"/>
          </w:tcPr>
          <w:p w14:paraId="6879078B">
            <w:pPr>
              <w:pStyle w:val="19"/>
              <w:bidi w:val="0"/>
              <w:rPr>
                <w:color w:val="auto"/>
              </w:rPr>
            </w:pPr>
            <w:r>
              <w:rPr>
                <w:rFonts w:hint="default"/>
                <w:color w:val="auto"/>
              </w:rPr>
              <w:t>危险级</w:t>
            </w:r>
          </w:p>
        </w:tc>
        <w:tc>
          <w:tcPr>
            <w:tcW w:w="668" w:type="pct"/>
            <w:tcBorders>
              <w:top w:val="single" w:color="auto" w:sz="6" w:space="0"/>
              <w:left w:val="single" w:color="auto" w:sz="6" w:space="0"/>
              <w:bottom w:val="single" w:color="auto" w:sz="6" w:space="0"/>
              <w:right w:val="single" w:color="auto" w:sz="6" w:space="0"/>
            </w:tcBorders>
            <w:noWrap w:val="0"/>
            <w:vAlign w:val="center"/>
          </w:tcPr>
          <w:p w14:paraId="262AC5CC">
            <w:pPr>
              <w:pStyle w:val="19"/>
              <w:bidi w:val="0"/>
              <w:rPr>
                <w:color w:val="auto"/>
              </w:rPr>
            </w:pPr>
            <w:r>
              <w:rPr>
                <w:color w:val="auto"/>
              </w:rPr>
              <w:t>4</w:t>
            </w:r>
          </w:p>
        </w:tc>
        <w:tc>
          <w:tcPr>
            <w:tcW w:w="3093" w:type="pct"/>
            <w:tcBorders>
              <w:top w:val="single" w:color="auto" w:sz="6" w:space="0"/>
              <w:left w:val="single" w:color="auto" w:sz="6" w:space="0"/>
              <w:bottom w:val="single" w:color="auto" w:sz="6" w:space="0"/>
              <w:right w:val="single" w:color="auto" w:sz="6" w:space="0"/>
            </w:tcBorders>
            <w:noWrap w:val="0"/>
            <w:vAlign w:val="center"/>
          </w:tcPr>
          <w:p w14:paraId="2DF27417">
            <w:pPr>
              <w:pStyle w:val="19"/>
              <w:bidi w:val="0"/>
              <w:rPr>
                <w:color w:val="auto"/>
              </w:rPr>
            </w:pPr>
            <w:r>
              <w:rPr>
                <w:rFonts w:hint="default"/>
                <w:color w:val="auto"/>
              </w:rPr>
              <w:t>会造成较大人员伤亡及系统损坏，要立即采取防范措施。</w:t>
            </w:r>
          </w:p>
        </w:tc>
      </w:tr>
      <w:tr w14:paraId="65CE4CB2">
        <w:tblPrEx>
          <w:tblCellMar>
            <w:top w:w="0" w:type="dxa"/>
            <w:left w:w="108" w:type="dxa"/>
            <w:bottom w:w="0" w:type="dxa"/>
            <w:right w:w="108" w:type="dxa"/>
          </w:tblCellMar>
        </w:tblPrEx>
        <w:trPr>
          <w:cantSplit/>
          <w:trHeight w:val="397" w:hRule="atLeast"/>
          <w:jc w:val="center"/>
        </w:trPr>
        <w:tc>
          <w:tcPr>
            <w:tcW w:w="411" w:type="pct"/>
            <w:tcBorders>
              <w:top w:val="single" w:color="auto" w:sz="6" w:space="0"/>
              <w:left w:val="single" w:color="auto" w:sz="6" w:space="0"/>
              <w:bottom w:val="single" w:color="auto" w:sz="6" w:space="0"/>
              <w:right w:val="single" w:color="auto" w:sz="6" w:space="0"/>
            </w:tcBorders>
            <w:noWrap w:val="0"/>
            <w:vAlign w:val="center"/>
          </w:tcPr>
          <w:p w14:paraId="68E59273">
            <w:pPr>
              <w:pStyle w:val="19"/>
              <w:bidi w:val="0"/>
              <w:rPr>
                <w:color w:val="auto"/>
              </w:rPr>
            </w:pPr>
            <w:r>
              <w:rPr>
                <w:rFonts w:hint="default"/>
                <w:color w:val="auto"/>
              </w:rPr>
              <w:t>Ⅳ</w:t>
            </w:r>
          </w:p>
        </w:tc>
        <w:tc>
          <w:tcPr>
            <w:tcW w:w="826" w:type="pct"/>
            <w:tcBorders>
              <w:top w:val="single" w:color="auto" w:sz="6" w:space="0"/>
              <w:left w:val="single" w:color="auto" w:sz="6" w:space="0"/>
              <w:bottom w:val="single" w:color="auto" w:sz="6" w:space="0"/>
              <w:right w:val="single" w:color="auto" w:sz="6" w:space="0"/>
            </w:tcBorders>
            <w:noWrap w:val="0"/>
            <w:vAlign w:val="center"/>
          </w:tcPr>
          <w:p w14:paraId="3D4086E5">
            <w:pPr>
              <w:pStyle w:val="19"/>
              <w:bidi w:val="0"/>
              <w:rPr>
                <w:color w:val="auto"/>
              </w:rPr>
            </w:pPr>
            <w:r>
              <w:rPr>
                <w:rFonts w:hint="default"/>
                <w:color w:val="auto"/>
              </w:rPr>
              <w:t>灾难级</w:t>
            </w:r>
          </w:p>
        </w:tc>
        <w:tc>
          <w:tcPr>
            <w:tcW w:w="668" w:type="pct"/>
            <w:tcBorders>
              <w:top w:val="single" w:color="auto" w:sz="6" w:space="0"/>
              <w:left w:val="single" w:color="auto" w:sz="6" w:space="0"/>
              <w:bottom w:val="single" w:color="auto" w:sz="6" w:space="0"/>
              <w:right w:val="single" w:color="auto" w:sz="6" w:space="0"/>
            </w:tcBorders>
            <w:noWrap w:val="0"/>
            <w:vAlign w:val="center"/>
          </w:tcPr>
          <w:p w14:paraId="1DA9EAD5">
            <w:pPr>
              <w:pStyle w:val="19"/>
              <w:bidi w:val="0"/>
              <w:rPr>
                <w:color w:val="auto"/>
              </w:rPr>
            </w:pPr>
            <w:r>
              <w:rPr>
                <w:color w:val="auto"/>
              </w:rPr>
              <w:t>8</w:t>
            </w:r>
          </w:p>
        </w:tc>
        <w:tc>
          <w:tcPr>
            <w:tcW w:w="3093" w:type="pct"/>
            <w:tcBorders>
              <w:top w:val="single" w:color="auto" w:sz="6" w:space="0"/>
              <w:left w:val="single" w:color="auto" w:sz="6" w:space="0"/>
              <w:bottom w:val="single" w:color="auto" w:sz="6" w:space="0"/>
              <w:right w:val="single" w:color="auto" w:sz="6" w:space="0"/>
            </w:tcBorders>
            <w:noWrap w:val="0"/>
            <w:vAlign w:val="center"/>
          </w:tcPr>
          <w:p w14:paraId="225ABE74">
            <w:pPr>
              <w:pStyle w:val="19"/>
              <w:bidi w:val="0"/>
              <w:rPr>
                <w:color w:val="auto"/>
              </w:rPr>
            </w:pPr>
            <w:r>
              <w:rPr>
                <w:rFonts w:hint="default"/>
                <w:color w:val="auto"/>
              </w:rPr>
              <w:t>造成人员重大伤亡及系统严重破坏的灾难性事故，必须予以果断排出并进行重点防范。</w:t>
            </w:r>
          </w:p>
        </w:tc>
      </w:tr>
    </w:tbl>
    <w:p w14:paraId="3754CDE1">
      <w:pPr>
        <w:pStyle w:val="18"/>
        <w:bidi w:val="0"/>
        <w:rPr>
          <w:color w:val="auto"/>
        </w:rPr>
      </w:pPr>
      <w:r>
        <w:rPr>
          <w:rFonts w:hint="eastAsia"/>
          <w:color w:val="auto"/>
        </w:rPr>
        <w:t>表</w:t>
      </w:r>
      <w:r>
        <w:rPr>
          <w:rFonts w:hint="eastAsia"/>
          <w:color w:val="auto"/>
          <w:lang w:val="en-US" w:eastAsia="zh-CN"/>
        </w:rPr>
        <w:t xml:space="preserve">4.2-3 </w:t>
      </w:r>
      <w:r>
        <w:rPr>
          <w:rFonts w:hint="eastAsia"/>
          <w:color w:val="auto"/>
        </w:rPr>
        <w:t xml:space="preserve"> 分析项目发生事故的概率系数（K）划分表</w:t>
      </w:r>
    </w:p>
    <w:tbl>
      <w:tblPr>
        <w:tblStyle w:val="14"/>
        <w:tblW w:w="4999" w:type="pct"/>
        <w:jc w:val="center"/>
        <w:tblLayout w:type="autofit"/>
        <w:tblCellMar>
          <w:top w:w="0" w:type="dxa"/>
          <w:left w:w="108" w:type="dxa"/>
          <w:bottom w:w="0" w:type="dxa"/>
          <w:right w:w="108" w:type="dxa"/>
        </w:tblCellMar>
      </w:tblPr>
      <w:tblGrid>
        <w:gridCol w:w="778"/>
        <w:gridCol w:w="1330"/>
        <w:gridCol w:w="7291"/>
      </w:tblGrid>
      <w:tr w14:paraId="62CCF3D0">
        <w:tblPrEx>
          <w:tblCellMar>
            <w:top w:w="0" w:type="dxa"/>
            <w:left w:w="108" w:type="dxa"/>
            <w:bottom w:w="0" w:type="dxa"/>
            <w:right w:w="108" w:type="dxa"/>
          </w:tblCellMar>
        </w:tblPrEx>
        <w:trPr>
          <w:trHeight w:val="312" w:hRule="atLeast"/>
          <w:jc w:val="center"/>
        </w:trPr>
        <w:tc>
          <w:tcPr>
            <w:tcW w:w="414" w:type="pct"/>
            <w:tcBorders>
              <w:top w:val="single" w:color="auto" w:sz="6" w:space="0"/>
              <w:left w:val="single" w:color="auto" w:sz="6" w:space="0"/>
              <w:bottom w:val="single" w:color="auto" w:sz="6" w:space="0"/>
              <w:right w:val="single" w:color="auto" w:sz="6" w:space="0"/>
            </w:tcBorders>
            <w:noWrap w:val="0"/>
            <w:vAlign w:val="center"/>
          </w:tcPr>
          <w:p w14:paraId="391BAFFC">
            <w:pPr>
              <w:pStyle w:val="19"/>
              <w:bidi w:val="0"/>
              <w:rPr>
                <w:b/>
                <w:bCs/>
                <w:color w:val="auto"/>
              </w:rPr>
            </w:pPr>
            <w:r>
              <w:rPr>
                <w:rFonts w:hint="default"/>
                <w:b/>
                <w:bCs/>
                <w:color w:val="auto"/>
              </w:rPr>
              <w:t>级别</w:t>
            </w:r>
          </w:p>
        </w:tc>
        <w:tc>
          <w:tcPr>
            <w:tcW w:w="707" w:type="pct"/>
            <w:tcBorders>
              <w:top w:val="single" w:color="auto" w:sz="6" w:space="0"/>
              <w:left w:val="single" w:color="auto" w:sz="6" w:space="0"/>
              <w:bottom w:val="single" w:color="auto" w:sz="6" w:space="0"/>
              <w:right w:val="single" w:color="auto" w:sz="6" w:space="0"/>
            </w:tcBorders>
            <w:noWrap w:val="0"/>
            <w:vAlign w:val="center"/>
          </w:tcPr>
          <w:p w14:paraId="4F9EBE10">
            <w:pPr>
              <w:pStyle w:val="19"/>
              <w:bidi w:val="0"/>
              <w:rPr>
                <w:b/>
                <w:bCs/>
                <w:color w:val="auto"/>
              </w:rPr>
            </w:pPr>
            <w:r>
              <w:rPr>
                <w:rFonts w:hint="default"/>
                <w:b/>
                <w:bCs/>
                <w:color w:val="auto"/>
              </w:rPr>
              <w:t>概率系数</w:t>
            </w:r>
          </w:p>
        </w:tc>
        <w:tc>
          <w:tcPr>
            <w:tcW w:w="3877" w:type="pct"/>
            <w:tcBorders>
              <w:top w:val="single" w:color="auto" w:sz="6" w:space="0"/>
              <w:left w:val="single" w:color="auto" w:sz="6" w:space="0"/>
              <w:bottom w:val="single" w:color="auto" w:sz="6" w:space="0"/>
              <w:right w:val="single" w:color="auto" w:sz="6" w:space="0"/>
            </w:tcBorders>
            <w:noWrap w:val="0"/>
            <w:vAlign w:val="center"/>
          </w:tcPr>
          <w:p w14:paraId="49649173">
            <w:pPr>
              <w:pStyle w:val="19"/>
              <w:bidi w:val="0"/>
              <w:rPr>
                <w:b/>
                <w:bCs/>
                <w:color w:val="auto"/>
              </w:rPr>
            </w:pPr>
            <w:r>
              <w:rPr>
                <w:rFonts w:hint="default"/>
                <w:b/>
                <w:bCs/>
                <w:color w:val="auto"/>
              </w:rPr>
              <w:t>发生概率</w:t>
            </w:r>
          </w:p>
        </w:tc>
      </w:tr>
      <w:tr w14:paraId="059345AF">
        <w:tblPrEx>
          <w:tblCellMar>
            <w:top w:w="0" w:type="dxa"/>
            <w:left w:w="108" w:type="dxa"/>
            <w:bottom w:w="0" w:type="dxa"/>
            <w:right w:w="108" w:type="dxa"/>
          </w:tblCellMar>
        </w:tblPrEx>
        <w:trPr>
          <w:trHeight w:val="132" w:hRule="atLeast"/>
          <w:jc w:val="center"/>
        </w:trPr>
        <w:tc>
          <w:tcPr>
            <w:tcW w:w="414" w:type="pct"/>
            <w:tcBorders>
              <w:top w:val="single" w:color="auto" w:sz="6" w:space="0"/>
              <w:left w:val="single" w:color="auto" w:sz="6" w:space="0"/>
              <w:bottom w:val="single" w:color="auto" w:sz="6" w:space="0"/>
              <w:right w:val="single" w:color="auto" w:sz="6" w:space="0"/>
            </w:tcBorders>
            <w:noWrap w:val="0"/>
            <w:vAlign w:val="center"/>
          </w:tcPr>
          <w:p w14:paraId="7C58AC4E">
            <w:pPr>
              <w:pStyle w:val="19"/>
              <w:bidi w:val="0"/>
              <w:rPr>
                <w:color w:val="auto"/>
              </w:rPr>
            </w:pPr>
            <w:r>
              <w:rPr>
                <w:color w:val="auto"/>
              </w:rPr>
              <w:t>A</w:t>
            </w:r>
          </w:p>
        </w:tc>
        <w:tc>
          <w:tcPr>
            <w:tcW w:w="707" w:type="pct"/>
            <w:tcBorders>
              <w:top w:val="single" w:color="auto" w:sz="6" w:space="0"/>
              <w:left w:val="single" w:color="auto" w:sz="6" w:space="0"/>
              <w:bottom w:val="single" w:color="auto" w:sz="6" w:space="0"/>
              <w:right w:val="single" w:color="auto" w:sz="6" w:space="0"/>
            </w:tcBorders>
            <w:noWrap w:val="0"/>
            <w:vAlign w:val="center"/>
          </w:tcPr>
          <w:p w14:paraId="26D31013">
            <w:pPr>
              <w:pStyle w:val="19"/>
              <w:bidi w:val="0"/>
              <w:rPr>
                <w:color w:val="auto"/>
              </w:rPr>
            </w:pPr>
            <w:r>
              <w:rPr>
                <w:color w:val="auto"/>
              </w:rPr>
              <w:t>0</w:t>
            </w:r>
            <w:r>
              <w:rPr>
                <w:rFonts w:hint="default"/>
                <w:color w:val="auto"/>
              </w:rPr>
              <w:t>.</w:t>
            </w:r>
            <w:r>
              <w:rPr>
                <w:color w:val="auto"/>
              </w:rPr>
              <w:t>05</w:t>
            </w:r>
          </w:p>
        </w:tc>
        <w:tc>
          <w:tcPr>
            <w:tcW w:w="3877" w:type="pct"/>
            <w:tcBorders>
              <w:top w:val="single" w:color="auto" w:sz="6" w:space="0"/>
              <w:left w:val="single" w:color="auto" w:sz="6" w:space="0"/>
              <w:bottom w:val="single" w:color="auto" w:sz="6" w:space="0"/>
              <w:right w:val="single" w:color="auto" w:sz="6" w:space="0"/>
            </w:tcBorders>
            <w:noWrap w:val="0"/>
            <w:vAlign w:val="center"/>
          </w:tcPr>
          <w:p w14:paraId="729BDC44">
            <w:pPr>
              <w:pStyle w:val="19"/>
              <w:bidi w:val="0"/>
              <w:rPr>
                <w:color w:val="auto"/>
              </w:rPr>
            </w:pPr>
            <w:r>
              <w:rPr>
                <w:rFonts w:hint="default"/>
                <w:color w:val="auto"/>
              </w:rPr>
              <w:t>发生概率接近零，在设备使用期内几乎不发生。</w:t>
            </w:r>
          </w:p>
        </w:tc>
      </w:tr>
      <w:tr w14:paraId="1087BF6A">
        <w:tblPrEx>
          <w:tblCellMar>
            <w:top w:w="0" w:type="dxa"/>
            <w:left w:w="108" w:type="dxa"/>
            <w:bottom w:w="0" w:type="dxa"/>
            <w:right w:w="108" w:type="dxa"/>
          </w:tblCellMar>
        </w:tblPrEx>
        <w:trPr>
          <w:trHeight w:val="65" w:hRule="atLeast"/>
          <w:jc w:val="center"/>
        </w:trPr>
        <w:tc>
          <w:tcPr>
            <w:tcW w:w="414" w:type="pct"/>
            <w:tcBorders>
              <w:top w:val="single" w:color="auto" w:sz="6" w:space="0"/>
              <w:left w:val="single" w:color="auto" w:sz="6" w:space="0"/>
              <w:bottom w:val="single" w:color="auto" w:sz="6" w:space="0"/>
              <w:right w:val="single" w:color="auto" w:sz="6" w:space="0"/>
            </w:tcBorders>
            <w:noWrap w:val="0"/>
            <w:vAlign w:val="center"/>
          </w:tcPr>
          <w:p w14:paraId="0948CF27">
            <w:pPr>
              <w:pStyle w:val="19"/>
              <w:bidi w:val="0"/>
              <w:rPr>
                <w:color w:val="auto"/>
              </w:rPr>
            </w:pPr>
            <w:r>
              <w:rPr>
                <w:color w:val="auto"/>
              </w:rPr>
              <w:t>B</w:t>
            </w:r>
          </w:p>
        </w:tc>
        <w:tc>
          <w:tcPr>
            <w:tcW w:w="707" w:type="pct"/>
            <w:tcBorders>
              <w:top w:val="single" w:color="auto" w:sz="6" w:space="0"/>
              <w:left w:val="single" w:color="auto" w:sz="6" w:space="0"/>
              <w:bottom w:val="single" w:color="auto" w:sz="6" w:space="0"/>
              <w:right w:val="single" w:color="auto" w:sz="6" w:space="0"/>
            </w:tcBorders>
            <w:noWrap w:val="0"/>
            <w:vAlign w:val="center"/>
          </w:tcPr>
          <w:p w14:paraId="6D2DAFC7">
            <w:pPr>
              <w:pStyle w:val="19"/>
              <w:bidi w:val="0"/>
              <w:rPr>
                <w:color w:val="auto"/>
              </w:rPr>
            </w:pPr>
            <w:r>
              <w:rPr>
                <w:color w:val="auto"/>
              </w:rPr>
              <w:t>0</w:t>
            </w:r>
            <w:r>
              <w:rPr>
                <w:rFonts w:hint="default"/>
                <w:color w:val="auto"/>
              </w:rPr>
              <w:t>.</w:t>
            </w:r>
            <w:r>
              <w:rPr>
                <w:color w:val="auto"/>
              </w:rPr>
              <w:t>10</w:t>
            </w:r>
          </w:p>
        </w:tc>
        <w:tc>
          <w:tcPr>
            <w:tcW w:w="3877" w:type="pct"/>
            <w:tcBorders>
              <w:top w:val="single" w:color="auto" w:sz="6" w:space="0"/>
              <w:left w:val="single" w:color="auto" w:sz="6" w:space="0"/>
              <w:bottom w:val="single" w:color="auto" w:sz="6" w:space="0"/>
              <w:right w:val="single" w:color="auto" w:sz="6" w:space="0"/>
            </w:tcBorders>
            <w:noWrap w:val="0"/>
            <w:vAlign w:val="center"/>
          </w:tcPr>
          <w:p w14:paraId="6D15BFA1">
            <w:pPr>
              <w:pStyle w:val="19"/>
              <w:bidi w:val="0"/>
              <w:rPr>
                <w:color w:val="auto"/>
              </w:rPr>
            </w:pPr>
            <w:r>
              <w:rPr>
                <w:rFonts w:hint="default"/>
                <w:color w:val="auto"/>
              </w:rPr>
              <w:t>很少发生。</w:t>
            </w:r>
          </w:p>
        </w:tc>
      </w:tr>
      <w:tr w14:paraId="4285B1F5">
        <w:tblPrEx>
          <w:tblCellMar>
            <w:top w:w="0" w:type="dxa"/>
            <w:left w:w="108" w:type="dxa"/>
            <w:bottom w:w="0" w:type="dxa"/>
            <w:right w:w="108" w:type="dxa"/>
          </w:tblCellMar>
        </w:tblPrEx>
        <w:trPr>
          <w:trHeight w:val="268" w:hRule="atLeast"/>
          <w:jc w:val="center"/>
        </w:trPr>
        <w:tc>
          <w:tcPr>
            <w:tcW w:w="414" w:type="pct"/>
            <w:tcBorders>
              <w:top w:val="single" w:color="auto" w:sz="6" w:space="0"/>
              <w:left w:val="single" w:color="auto" w:sz="6" w:space="0"/>
              <w:bottom w:val="single" w:color="auto" w:sz="6" w:space="0"/>
              <w:right w:val="single" w:color="auto" w:sz="6" w:space="0"/>
            </w:tcBorders>
            <w:noWrap w:val="0"/>
            <w:vAlign w:val="center"/>
          </w:tcPr>
          <w:p w14:paraId="38517B4B">
            <w:pPr>
              <w:pStyle w:val="19"/>
              <w:bidi w:val="0"/>
              <w:rPr>
                <w:color w:val="auto"/>
              </w:rPr>
            </w:pPr>
            <w:r>
              <w:rPr>
                <w:color w:val="auto"/>
              </w:rPr>
              <w:t>C</w:t>
            </w:r>
          </w:p>
        </w:tc>
        <w:tc>
          <w:tcPr>
            <w:tcW w:w="707" w:type="pct"/>
            <w:tcBorders>
              <w:top w:val="single" w:color="auto" w:sz="6" w:space="0"/>
              <w:left w:val="single" w:color="auto" w:sz="6" w:space="0"/>
              <w:bottom w:val="single" w:color="auto" w:sz="6" w:space="0"/>
              <w:right w:val="single" w:color="auto" w:sz="6" w:space="0"/>
            </w:tcBorders>
            <w:noWrap w:val="0"/>
            <w:vAlign w:val="center"/>
          </w:tcPr>
          <w:p w14:paraId="12FD840D">
            <w:pPr>
              <w:pStyle w:val="19"/>
              <w:bidi w:val="0"/>
              <w:rPr>
                <w:color w:val="auto"/>
              </w:rPr>
            </w:pPr>
            <w:r>
              <w:rPr>
                <w:color w:val="auto"/>
              </w:rPr>
              <w:t>0</w:t>
            </w:r>
            <w:r>
              <w:rPr>
                <w:rFonts w:hint="default"/>
                <w:color w:val="auto"/>
              </w:rPr>
              <w:t>.</w:t>
            </w:r>
            <w:r>
              <w:rPr>
                <w:color w:val="auto"/>
              </w:rPr>
              <w:t>20</w:t>
            </w:r>
          </w:p>
        </w:tc>
        <w:tc>
          <w:tcPr>
            <w:tcW w:w="3877" w:type="pct"/>
            <w:tcBorders>
              <w:top w:val="single" w:color="auto" w:sz="6" w:space="0"/>
              <w:left w:val="single" w:color="auto" w:sz="6" w:space="0"/>
              <w:bottom w:val="single" w:color="auto" w:sz="6" w:space="0"/>
              <w:right w:val="single" w:color="auto" w:sz="6" w:space="0"/>
            </w:tcBorders>
            <w:noWrap w:val="0"/>
            <w:vAlign w:val="center"/>
          </w:tcPr>
          <w:p w14:paraId="7ED1CA46">
            <w:pPr>
              <w:pStyle w:val="19"/>
              <w:bidi w:val="0"/>
              <w:rPr>
                <w:color w:val="auto"/>
              </w:rPr>
            </w:pPr>
            <w:r>
              <w:rPr>
                <w:rFonts w:hint="default"/>
                <w:color w:val="auto"/>
              </w:rPr>
              <w:t>容易发生或偶然发生。</w:t>
            </w:r>
          </w:p>
        </w:tc>
      </w:tr>
      <w:tr w14:paraId="5853D200">
        <w:tblPrEx>
          <w:tblCellMar>
            <w:top w:w="0" w:type="dxa"/>
            <w:left w:w="108" w:type="dxa"/>
            <w:bottom w:w="0" w:type="dxa"/>
            <w:right w:w="108" w:type="dxa"/>
          </w:tblCellMar>
        </w:tblPrEx>
        <w:trPr>
          <w:trHeight w:val="116" w:hRule="atLeast"/>
          <w:jc w:val="center"/>
        </w:trPr>
        <w:tc>
          <w:tcPr>
            <w:tcW w:w="414" w:type="pct"/>
            <w:tcBorders>
              <w:top w:val="single" w:color="auto" w:sz="6" w:space="0"/>
              <w:left w:val="single" w:color="auto" w:sz="6" w:space="0"/>
              <w:bottom w:val="single" w:color="auto" w:sz="6" w:space="0"/>
              <w:right w:val="single" w:color="auto" w:sz="6" w:space="0"/>
            </w:tcBorders>
            <w:noWrap w:val="0"/>
            <w:vAlign w:val="center"/>
          </w:tcPr>
          <w:p w14:paraId="517F8A6C">
            <w:pPr>
              <w:pStyle w:val="19"/>
              <w:bidi w:val="0"/>
              <w:rPr>
                <w:color w:val="auto"/>
              </w:rPr>
            </w:pPr>
            <w:r>
              <w:rPr>
                <w:color w:val="auto"/>
              </w:rPr>
              <w:t>D</w:t>
            </w:r>
          </w:p>
        </w:tc>
        <w:tc>
          <w:tcPr>
            <w:tcW w:w="707" w:type="pct"/>
            <w:tcBorders>
              <w:top w:val="single" w:color="auto" w:sz="6" w:space="0"/>
              <w:left w:val="single" w:color="auto" w:sz="6" w:space="0"/>
              <w:bottom w:val="single" w:color="auto" w:sz="6" w:space="0"/>
              <w:right w:val="single" w:color="auto" w:sz="6" w:space="0"/>
            </w:tcBorders>
            <w:noWrap w:val="0"/>
            <w:vAlign w:val="center"/>
          </w:tcPr>
          <w:p w14:paraId="55BF449D">
            <w:pPr>
              <w:pStyle w:val="19"/>
              <w:bidi w:val="0"/>
              <w:rPr>
                <w:color w:val="auto"/>
              </w:rPr>
            </w:pPr>
            <w:r>
              <w:rPr>
                <w:color w:val="auto"/>
              </w:rPr>
              <w:t>0</w:t>
            </w:r>
            <w:r>
              <w:rPr>
                <w:rFonts w:hint="default"/>
                <w:color w:val="auto"/>
              </w:rPr>
              <w:t>.</w:t>
            </w:r>
            <w:r>
              <w:rPr>
                <w:color w:val="auto"/>
              </w:rPr>
              <w:t>30</w:t>
            </w:r>
          </w:p>
        </w:tc>
        <w:tc>
          <w:tcPr>
            <w:tcW w:w="3877" w:type="pct"/>
            <w:tcBorders>
              <w:top w:val="single" w:color="auto" w:sz="6" w:space="0"/>
              <w:left w:val="single" w:color="auto" w:sz="6" w:space="0"/>
              <w:bottom w:val="single" w:color="auto" w:sz="6" w:space="0"/>
              <w:right w:val="single" w:color="auto" w:sz="6" w:space="0"/>
            </w:tcBorders>
            <w:noWrap w:val="0"/>
            <w:vAlign w:val="center"/>
          </w:tcPr>
          <w:p w14:paraId="77290F84">
            <w:pPr>
              <w:pStyle w:val="19"/>
              <w:bidi w:val="0"/>
              <w:rPr>
                <w:color w:val="auto"/>
              </w:rPr>
            </w:pPr>
            <w:r>
              <w:rPr>
                <w:rFonts w:hint="default"/>
                <w:color w:val="auto"/>
              </w:rPr>
              <w:t>很容易发生，相当可能发生。</w:t>
            </w:r>
          </w:p>
        </w:tc>
      </w:tr>
      <w:tr w14:paraId="303ADBC4">
        <w:tblPrEx>
          <w:tblCellMar>
            <w:top w:w="0" w:type="dxa"/>
            <w:left w:w="108" w:type="dxa"/>
            <w:bottom w:w="0" w:type="dxa"/>
            <w:right w:w="108" w:type="dxa"/>
          </w:tblCellMar>
        </w:tblPrEx>
        <w:trPr>
          <w:trHeight w:val="106" w:hRule="atLeast"/>
          <w:jc w:val="center"/>
        </w:trPr>
        <w:tc>
          <w:tcPr>
            <w:tcW w:w="414" w:type="pct"/>
            <w:tcBorders>
              <w:top w:val="single" w:color="auto" w:sz="6" w:space="0"/>
              <w:left w:val="single" w:color="auto" w:sz="6" w:space="0"/>
              <w:bottom w:val="single" w:color="auto" w:sz="6" w:space="0"/>
              <w:right w:val="single" w:color="auto" w:sz="6" w:space="0"/>
            </w:tcBorders>
            <w:noWrap w:val="0"/>
            <w:vAlign w:val="center"/>
          </w:tcPr>
          <w:p w14:paraId="0BE4F312">
            <w:pPr>
              <w:pStyle w:val="19"/>
              <w:bidi w:val="0"/>
              <w:rPr>
                <w:color w:val="auto"/>
              </w:rPr>
            </w:pPr>
            <w:r>
              <w:rPr>
                <w:color w:val="auto"/>
              </w:rPr>
              <w:t>E</w:t>
            </w:r>
          </w:p>
        </w:tc>
        <w:tc>
          <w:tcPr>
            <w:tcW w:w="707" w:type="pct"/>
            <w:tcBorders>
              <w:top w:val="single" w:color="auto" w:sz="6" w:space="0"/>
              <w:left w:val="single" w:color="auto" w:sz="6" w:space="0"/>
              <w:bottom w:val="single" w:color="auto" w:sz="6" w:space="0"/>
              <w:right w:val="single" w:color="auto" w:sz="6" w:space="0"/>
            </w:tcBorders>
            <w:noWrap w:val="0"/>
            <w:vAlign w:val="center"/>
          </w:tcPr>
          <w:p w14:paraId="63274B9C">
            <w:pPr>
              <w:pStyle w:val="19"/>
              <w:bidi w:val="0"/>
              <w:rPr>
                <w:color w:val="auto"/>
              </w:rPr>
            </w:pPr>
            <w:r>
              <w:rPr>
                <w:color w:val="auto"/>
              </w:rPr>
              <w:t>0</w:t>
            </w:r>
            <w:r>
              <w:rPr>
                <w:rFonts w:hint="default"/>
                <w:color w:val="auto"/>
              </w:rPr>
              <w:t>.</w:t>
            </w:r>
            <w:r>
              <w:rPr>
                <w:color w:val="auto"/>
              </w:rPr>
              <w:t>35</w:t>
            </w:r>
          </w:p>
        </w:tc>
        <w:tc>
          <w:tcPr>
            <w:tcW w:w="3877" w:type="pct"/>
            <w:tcBorders>
              <w:top w:val="single" w:color="auto" w:sz="6" w:space="0"/>
              <w:left w:val="single" w:color="auto" w:sz="6" w:space="0"/>
              <w:bottom w:val="single" w:color="auto" w:sz="6" w:space="0"/>
              <w:right w:val="single" w:color="auto" w:sz="6" w:space="0"/>
            </w:tcBorders>
            <w:noWrap w:val="0"/>
            <w:vAlign w:val="center"/>
          </w:tcPr>
          <w:p w14:paraId="4FD9F036">
            <w:pPr>
              <w:pStyle w:val="19"/>
              <w:bidi w:val="0"/>
              <w:rPr>
                <w:color w:val="auto"/>
              </w:rPr>
            </w:pPr>
            <w:r>
              <w:rPr>
                <w:rFonts w:hint="default"/>
                <w:color w:val="auto"/>
              </w:rPr>
              <w:t>频繁发生、经常发生。</w:t>
            </w:r>
          </w:p>
        </w:tc>
      </w:tr>
    </w:tbl>
    <w:p w14:paraId="196428F5">
      <w:pPr>
        <w:bidi w:val="0"/>
        <w:rPr>
          <w:rFonts w:hint="default"/>
          <w:color w:val="auto"/>
          <w:lang w:val="en-US" w:eastAsia="zh-CN"/>
        </w:rPr>
      </w:pPr>
      <w:r>
        <w:rPr>
          <w:rFonts w:hint="default"/>
          <w:color w:val="auto"/>
          <w:lang w:val="en-US" w:eastAsia="zh-CN"/>
        </w:rPr>
        <w:t>3、分析步骤</w:t>
      </w:r>
    </w:p>
    <w:p w14:paraId="70CA24C4">
      <w:pPr>
        <w:bidi w:val="0"/>
        <w:rPr>
          <w:rFonts w:hint="default"/>
          <w:color w:val="auto"/>
          <w:lang w:val="en-US" w:eastAsia="zh-CN"/>
        </w:rPr>
      </w:pPr>
      <w:r>
        <w:rPr>
          <w:rFonts w:hint="default"/>
          <w:color w:val="auto"/>
          <w:lang w:val="en-US" w:eastAsia="zh-CN"/>
        </w:rPr>
        <w:t>预先危险性分析的步骤大致为：</w:t>
      </w:r>
    </w:p>
    <w:p w14:paraId="00786463">
      <w:pPr>
        <w:bidi w:val="0"/>
        <w:rPr>
          <w:rFonts w:hint="default"/>
          <w:color w:val="auto"/>
          <w:lang w:val="en-US" w:eastAsia="zh-CN"/>
        </w:rPr>
      </w:pPr>
      <w:r>
        <w:rPr>
          <w:rFonts w:hint="default"/>
          <w:color w:val="auto"/>
          <w:lang w:val="en-US" w:eastAsia="zh-CN"/>
        </w:rPr>
        <w:t>（1）了解系统的基本目的、工艺流程及环境因素等；</w:t>
      </w:r>
    </w:p>
    <w:p w14:paraId="03375DA8">
      <w:pPr>
        <w:bidi w:val="0"/>
        <w:rPr>
          <w:rFonts w:hint="default"/>
          <w:color w:val="auto"/>
          <w:lang w:val="en-US" w:eastAsia="zh-CN"/>
        </w:rPr>
      </w:pPr>
      <w:r>
        <w:rPr>
          <w:rFonts w:hint="default"/>
          <w:color w:val="auto"/>
          <w:lang w:val="en-US" w:eastAsia="zh-CN"/>
        </w:rPr>
        <w:t>（2）参照类似系统的事故教训及经验，分析系统中可能出现的危险、危害及其事故（或灾害）可能类型；</w:t>
      </w:r>
    </w:p>
    <w:p w14:paraId="3058ED85">
      <w:pPr>
        <w:bidi w:val="0"/>
        <w:rPr>
          <w:rFonts w:hint="default"/>
          <w:color w:val="auto"/>
          <w:lang w:val="en-US" w:eastAsia="zh-CN"/>
        </w:rPr>
      </w:pPr>
      <w:r>
        <w:rPr>
          <w:rFonts w:hint="default"/>
          <w:color w:val="auto"/>
          <w:lang w:val="en-US" w:eastAsia="zh-CN"/>
        </w:rPr>
        <w:t>（3）对确定的危险源分类，制定预先危险性分析表；</w:t>
      </w:r>
    </w:p>
    <w:p w14:paraId="2042E053">
      <w:pPr>
        <w:bidi w:val="0"/>
        <w:rPr>
          <w:rFonts w:hint="default"/>
          <w:color w:val="auto"/>
          <w:lang w:val="en-US" w:eastAsia="zh-CN"/>
        </w:rPr>
      </w:pPr>
      <w:r>
        <w:rPr>
          <w:rFonts w:hint="default"/>
          <w:color w:val="auto"/>
          <w:lang w:val="en-US" w:eastAsia="zh-CN"/>
        </w:rPr>
        <w:t>（4）确定危险因素转变为事故的触发条件和必要条件，寻求有效的对策措施；</w:t>
      </w:r>
    </w:p>
    <w:p w14:paraId="06C58094">
      <w:pPr>
        <w:bidi w:val="0"/>
        <w:rPr>
          <w:rFonts w:hint="default"/>
          <w:color w:val="auto"/>
          <w:lang w:val="en-US" w:eastAsia="zh-CN"/>
        </w:rPr>
      </w:pPr>
      <w:r>
        <w:rPr>
          <w:rFonts w:hint="default"/>
          <w:color w:val="auto"/>
          <w:lang w:val="en-US" w:eastAsia="zh-CN"/>
        </w:rPr>
        <w:t>（5）进行危险性等级划分；</w:t>
      </w:r>
    </w:p>
    <w:p w14:paraId="5839F0AA">
      <w:pPr>
        <w:bidi w:val="0"/>
        <w:rPr>
          <w:rFonts w:hint="default"/>
          <w:color w:val="auto"/>
          <w:lang w:val="en-US" w:eastAsia="zh-CN"/>
        </w:rPr>
      </w:pPr>
      <w:r>
        <w:rPr>
          <w:rFonts w:hint="default"/>
          <w:color w:val="auto"/>
          <w:lang w:val="en-US" w:eastAsia="zh-CN"/>
        </w:rPr>
        <w:t>（6）制定事故（或灾害）的预防性对策措施。</w:t>
      </w:r>
    </w:p>
    <w:p w14:paraId="253141EF">
      <w:pPr>
        <w:pStyle w:val="4"/>
        <w:bidi w:val="0"/>
        <w:rPr>
          <w:rFonts w:hint="default"/>
          <w:color w:val="auto"/>
          <w:lang w:val="en-US" w:eastAsia="zh-CN"/>
        </w:rPr>
      </w:pPr>
      <w:bookmarkStart w:id="179" w:name="_Toc2322"/>
      <w:r>
        <w:rPr>
          <w:rFonts w:hint="default"/>
          <w:color w:val="auto"/>
          <w:lang w:val="en-US" w:eastAsia="zh-CN"/>
        </w:rPr>
        <w:t>4.2.2 安全检查表分析法（SCL）</w:t>
      </w:r>
      <w:bookmarkEnd w:id="179"/>
    </w:p>
    <w:p w14:paraId="414F7B23">
      <w:pPr>
        <w:bidi w:val="0"/>
        <w:rPr>
          <w:rFonts w:hint="default"/>
          <w:color w:val="auto"/>
          <w:lang w:val="en-US" w:eastAsia="zh-CN"/>
        </w:rPr>
      </w:pPr>
      <w:r>
        <w:rPr>
          <w:rFonts w:hint="default"/>
          <w:color w:val="auto"/>
          <w:lang w:val="en-US" w:eastAsia="zh-CN"/>
        </w:rPr>
        <w:t>安全检查表分析（SafetyCheckListAnalysis）是将一系列分析项目列出检查表进行分析以确定系统的状态，这些项目包括设备、贮运、操作、管理等各个方面。传统的安全检查表分析方法是分析人员列出一些危险项目，识别与一般工艺设备和操作有关的已知类型的危险、设计缺陷以及事故隐患，其所列项目的差别很大，而且通常用于检查各种规范和标准的执行情况。安全检查表分析的弹性很大，既可用于简单的快速分析，也可用于更深层次的分析，它是识别已知危险的有效方法。</w:t>
      </w:r>
    </w:p>
    <w:p w14:paraId="7323C8DF">
      <w:pPr>
        <w:bidi w:val="0"/>
        <w:rPr>
          <w:rFonts w:hint="default"/>
          <w:color w:val="auto"/>
          <w:lang w:val="en-US" w:eastAsia="zh-CN"/>
        </w:rPr>
      </w:pPr>
      <w:r>
        <w:rPr>
          <w:rFonts w:hint="default"/>
          <w:color w:val="auto"/>
          <w:lang w:val="en-US" w:eastAsia="zh-CN"/>
        </w:rPr>
        <w:t>安全检查表内容包括标准、规范和规定，随时关注并采用新颁布的有关标准、规范和规定。正确地使用安全检查表分析将保证每个设备符合标准，而且要以识别出需进一步分析的区域。安全检查表分析是基于经验的方法，编制安全检查表的评价人员应当熟悉装置的操作、标准和规程，并从有关渠道（如内部标准、规范、行业指南等）选择合适的安全检查表，如果无法获得相关的安全检查表，评价人员必须运用自己的经验和可靠的参考资料编制合适的安全检查表；所拟定的安全检查表应当是通过回答安全检查表所列的问题能够发现系统设计和操作的各个方面与有关标准不符的地方。许多机构使用标准的安全检查表对项目发展的各个阶段进行分析。换句话说，针对典型的行业和工艺，其安全检查表内容是一定的；但是，完整的安全检查表应当随着项目从一个阶段到下一个阶段不断完善，这样，安全检查表才能作为交流和控制的手段。</w:t>
      </w:r>
    </w:p>
    <w:p w14:paraId="07993508">
      <w:pPr>
        <w:bidi w:val="0"/>
        <w:rPr>
          <w:rFonts w:hint="default"/>
          <w:color w:val="auto"/>
          <w:lang w:val="en-US" w:eastAsia="zh-CN"/>
        </w:rPr>
      </w:pPr>
      <w:r>
        <w:rPr>
          <w:rFonts w:hint="default"/>
          <w:color w:val="auto"/>
          <w:lang w:val="en-US" w:eastAsia="zh-CN"/>
        </w:rPr>
        <w:t>安全检查表分析包括三个步骤：</w:t>
      </w:r>
    </w:p>
    <w:p w14:paraId="7BC97D9F">
      <w:pPr>
        <w:bidi w:val="0"/>
        <w:rPr>
          <w:rFonts w:hint="default"/>
          <w:color w:val="auto"/>
          <w:lang w:val="en-US" w:eastAsia="zh-CN"/>
        </w:rPr>
      </w:pPr>
      <w:r>
        <w:rPr>
          <w:rFonts w:hint="default"/>
          <w:color w:val="auto"/>
          <w:lang w:val="en-US" w:eastAsia="zh-CN"/>
        </w:rPr>
        <w:t>1、选择或拟定合适的安全检查表；</w:t>
      </w:r>
    </w:p>
    <w:p w14:paraId="467DC7C4">
      <w:pPr>
        <w:bidi w:val="0"/>
        <w:rPr>
          <w:rFonts w:hint="default"/>
          <w:color w:val="auto"/>
          <w:lang w:val="en-US" w:eastAsia="zh-CN"/>
        </w:rPr>
      </w:pPr>
      <w:r>
        <w:rPr>
          <w:rFonts w:hint="default"/>
          <w:color w:val="auto"/>
          <w:lang w:val="en-US" w:eastAsia="zh-CN"/>
        </w:rPr>
        <w:t>2、完成分析；</w:t>
      </w:r>
    </w:p>
    <w:p w14:paraId="3DE93832">
      <w:pPr>
        <w:bidi w:val="0"/>
        <w:rPr>
          <w:rFonts w:hint="default"/>
          <w:color w:val="auto"/>
          <w:lang w:val="en-US" w:eastAsia="zh-CN"/>
        </w:rPr>
      </w:pPr>
      <w:r>
        <w:rPr>
          <w:rFonts w:hint="default"/>
          <w:color w:val="auto"/>
          <w:lang w:val="en-US" w:eastAsia="zh-CN"/>
        </w:rPr>
        <w:t>3、编制分析结果文件。</w:t>
      </w:r>
    </w:p>
    <w:p w14:paraId="3DA5AEBA">
      <w:pPr>
        <w:bidi w:val="0"/>
        <w:rPr>
          <w:rFonts w:hint="default"/>
          <w:color w:val="auto"/>
          <w:lang w:val="en-US" w:eastAsia="zh-CN"/>
        </w:rPr>
      </w:pPr>
      <w:r>
        <w:rPr>
          <w:rFonts w:hint="default"/>
          <w:color w:val="auto"/>
          <w:lang w:val="en-US" w:eastAsia="zh-CN"/>
        </w:rPr>
        <w:t>评价人员通过确定标准的设计或操作以建立传统的安全检查表，然后用它产生一系列基于缺陷或差异的问题。定性的分析结果随不同的分析对象而变化，但都将作出与标准或规范是否一致的结论。安全检查表分析通常提出一系列的提高安全性的可能途径给管理者考虑。</w:t>
      </w:r>
    </w:p>
    <w:p w14:paraId="393512D5">
      <w:pPr>
        <w:pStyle w:val="4"/>
        <w:bidi w:val="0"/>
        <w:rPr>
          <w:rFonts w:hint="default"/>
          <w:color w:val="auto"/>
          <w:lang w:val="en-US" w:eastAsia="zh-CN"/>
        </w:rPr>
      </w:pPr>
      <w:bookmarkStart w:id="180" w:name="_Toc23548"/>
      <w:r>
        <w:rPr>
          <w:rFonts w:hint="default"/>
          <w:color w:val="auto"/>
          <w:lang w:val="en-US" w:eastAsia="zh-CN"/>
        </w:rPr>
        <w:t>4.2.3 事故树（FTA）分析方法</w:t>
      </w:r>
      <w:bookmarkEnd w:id="180"/>
    </w:p>
    <w:p w14:paraId="3037E1E2">
      <w:pPr>
        <w:bidi w:val="0"/>
        <w:rPr>
          <w:rFonts w:hint="default"/>
          <w:color w:val="auto"/>
          <w:lang w:val="en-US" w:eastAsia="zh-CN"/>
        </w:rPr>
      </w:pPr>
      <w:r>
        <w:rPr>
          <w:rFonts w:hint="default"/>
          <w:color w:val="auto"/>
          <w:lang w:val="en-US" w:eastAsia="zh-CN"/>
        </w:rPr>
        <w:t>事故树分析法又称故障树分析，是一种逻辑演绎系统安全分析方法。它是从要分析的特定事故或故障开始，层层分析其发生原因，一直分析到不能再分解为止；将特定的事故和各层原因（危险因素）之间用逻辑门符号连接起来，得到形象、简洁地表达其逻辑关系（因果关系）的逻辑树图形，即事故树。通过对事故树简化、计算达到分析、评价的目的。</w:t>
      </w:r>
    </w:p>
    <w:p w14:paraId="04245F90">
      <w:pPr>
        <w:bidi w:val="0"/>
        <w:rPr>
          <w:rFonts w:hint="default"/>
          <w:color w:val="auto"/>
          <w:lang w:val="en-US" w:eastAsia="zh-CN"/>
        </w:rPr>
      </w:pPr>
      <w:r>
        <w:rPr>
          <w:rFonts w:hint="default"/>
          <w:color w:val="auto"/>
          <w:lang w:val="en-US" w:eastAsia="zh-CN"/>
        </w:rPr>
        <w:t>该方法的基本步骤如下：</w:t>
      </w:r>
    </w:p>
    <w:p w14:paraId="421077A8">
      <w:pPr>
        <w:bidi w:val="0"/>
        <w:rPr>
          <w:rFonts w:hint="default"/>
          <w:color w:val="auto"/>
          <w:lang w:val="en-US" w:eastAsia="zh-CN"/>
        </w:rPr>
      </w:pPr>
      <w:r>
        <w:rPr>
          <w:rFonts w:hint="default"/>
          <w:color w:val="auto"/>
          <w:lang w:val="en-US" w:eastAsia="zh-CN"/>
        </w:rPr>
        <w:t>1、确定分析对象系统和要分析的各对象事件（顶上事件）；</w:t>
      </w:r>
    </w:p>
    <w:p w14:paraId="5DB0AA27">
      <w:pPr>
        <w:bidi w:val="0"/>
        <w:rPr>
          <w:rFonts w:hint="default"/>
          <w:color w:val="auto"/>
          <w:lang w:val="en-US" w:eastAsia="zh-CN"/>
        </w:rPr>
      </w:pPr>
      <w:r>
        <w:rPr>
          <w:rFonts w:hint="default"/>
          <w:color w:val="auto"/>
          <w:lang w:val="en-US" w:eastAsia="zh-CN"/>
        </w:rPr>
        <w:t>2、确定系统事故发生概率、事故损失的安全目标值；</w:t>
      </w:r>
    </w:p>
    <w:p w14:paraId="227242A7">
      <w:pPr>
        <w:bidi w:val="0"/>
        <w:rPr>
          <w:rFonts w:hint="default"/>
          <w:color w:val="auto"/>
          <w:lang w:val="en-US" w:eastAsia="zh-CN"/>
        </w:rPr>
      </w:pPr>
      <w:r>
        <w:rPr>
          <w:rFonts w:hint="default"/>
          <w:color w:val="auto"/>
          <w:lang w:val="en-US" w:eastAsia="zh-CN"/>
        </w:rPr>
        <w:t>3、调查与事故有关的所有直接原因和各种因素（设备故障、人员失误和环境不良反应因素）；</w:t>
      </w:r>
    </w:p>
    <w:p w14:paraId="1DE16F08">
      <w:pPr>
        <w:bidi w:val="0"/>
        <w:rPr>
          <w:rFonts w:hint="default"/>
          <w:color w:val="auto"/>
          <w:lang w:val="en-US" w:eastAsia="zh-CN"/>
        </w:rPr>
      </w:pPr>
      <w:r>
        <w:rPr>
          <w:rFonts w:hint="default"/>
          <w:color w:val="auto"/>
          <w:lang w:val="en-US" w:eastAsia="zh-CN"/>
        </w:rPr>
        <w:t>4、编制事故树：从顶上事件起，一级一级往下找出所有原因事件为止，按其逻辑关系画出事故树；</w:t>
      </w:r>
    </w:p>
    <w:p w14:paraId="1BDD36AD">
      <w:pPr>
        <w:bidi w:val="0"/>
        <w:rPr>
          <w:rFonts w:hint="default"/>
          <w:color w:val="auto"/>
          <w:lang w:val="en-US" w:eastAsia="zh-CN"/>
        </w:rPr>
      </w:pPr>
      <w:r>
        <w:rPr>
          <w:rFonts w:hint="default"/>
          <w:color w:val="auto"/>
          <w:lang w:val="en-US" w:eastAsia="zh-CN"/>
        </w:rPr>
        <w:t>5、定性分析：按事故树结构进行简化，求出最小割集和最小径集，确定各基本事件的结构重要度；</w:t>
      </w:r>
    </w:p>
    <w:p w14:paraId="032279E9">
      <w:pPr>
        <w:bidi w:val="0"/>
        <w:rPr>
          <w:rFonts w:hint="default"/>
          <w:color w:val="auto"/>
          <w:lang w:val="en-US" w:eastAsia="zh-CN"/>
        </w:rPr>
      </w:pPr>
      <w:r>
        <w:rPr>
          <w:rFonts w:hint="default"/>
          <w:color w:val="auto"/>
          <w:lang w:val="en-US" w:eastAsia="zh-CN"/>
        </w:rPr>
        <w:t>6、定量分析：找出各基本事故的发生概率，计算出顶上事件的发生概率，求出概率重要度和临界重要度；</w:t>
      </w:r>
    </w:p>
    <w:p w14:paraId="2181D827">
      <w:pPr>
        <w:bidi w:val="0"/>
        <w:rPr>
          <w:color w:val="auto"/>
        </w:rPr>
      </w:pPr>
      <w:r>
        <w:rPr>
          <w:rFonts w:hint="default"/>
          <w:color w:val="auto"/>
          <w:lang w:val="en-US" w:eastAsia="zh-CN"/>
        </w:rPr>
        <w:t>7、结果分析：当事故发生概率超过预定目标值时，从最小割集着手研究降低事故发生概率的所有可能方案，利用最小径集找出消除事故的最佳方案；通过重要度（重要度系数）分析确定采取对策措施的重点和先后顺序；从而得出分析、评价的结论。</w:t>
      </w:r>
    </w:p>
    <w:p w14:paraId="2EC4AF0F">
      <w:pPr>
        <w:rPr>
          <w:color w:val="auto"/>
        </w:rPr>
      </w:pPr>
      <w:r>
        <w:rPr>
          <w:color w:val="auto"/>
        </w:rPr>
        <w:br w:type="page"/>
      </w:r>
    </w:p>
    <w:p w14:paraId="110E44F3">
      <w:pPr>
        <w:pStyle w:val="2"/>
        <w:bidi w:val="0"/>
        <w:rPr>
          <w:rFonts w:hint="eastAsia"/>
          <w:color w:val="auto"/>
        </w:rPr>
      </w:pPr>
      <w:bookmarkStart w:id="181" w:name="_Toc7172"/>
      <w:r>
        <w:rPr>
          <w:rFonts w:hint="eastAsia"/>
          <w:color w:val="auto"/>
        </w:rPr>
        <w:t>5 定性定量评价</w:t>
      </w:r>
      <w:bookmarkEnd w:id="181"/>
    </w:p>
    <w:p w14:paraId="7B1E61EE">
      <w:pPr>
        <w:pStyle w:val="3"/>
        <w:bidi w:val="0"/>
        <w:rPr>
          <w:rFonts w:hint="eastAsia"/>
          <w:color w:val="auto"/>
        </w:rPr>
      </w:pPr>
      <w:bookmarkStart w:id="182" w:name="_Toc16840"/>
      <w:r>
        <w:rPr>
          <w:rFonts w:hint="eastAsia"/>
          <w:color w:val="auto"/>
        </w:rPr>
        <w:t>5.1 厂址及总平面布置单元</w:t>
      </w:r>
      <w:bookmarkEnd w:id="182"/>
    </w:p>
    <w:p w14:paraId="08B741E5">
      <w:pPr>
        <w:pStyle w:val="4"/>
        <w:bidi w:val="0"/>
        <w:rPr>
          <w:color w:val="auto"/>
        </w:rPr>
      </w:pPr>
      <w:bookmarkStart w:id="183" w:name="_Toc11860"/>
      <w:r>
        <w:rPr>
          <w:rFonts w:hint="eastAsia"/>
          <w:color w:val="auto"/>
        </w:rPr>
        <w:t>5.1.1 项目周边环境评价分析</w:t>
      </w:r>
      <w:bookmarkEnd w:id="183"/>
    </w:p>
    <w:p w14:paraId="35CAFB9E">
      <w:pPr>
        <w:bidi w:val="0"/>
        <w:rPr>
          <w:rFonts w:hint="eastAsia"/>
          <w:color w:val="auto"/>
        </w:rPr>
      </w:pPr>
      <w:r>
        <w:rPr>
          <w:rFonts w:hint="eastAsia"/>
          <w:color w:val="auto"/>
        </w:rPr>
        <w:t>该场地位于武定县大坪子工业园区西北侧，选厂北侧为武定永丰钛业有限责任公司老厂区（已停产，新厂新建于武定县禄金工业园区）；东北侧为云南通成工贸有限公司（电杆生产企业）；南侧为山沟，无建筑物及耕地；东侧为武定县大坪子工业园区道路；西侧紧邻108国道。项目在生产过程中可能会因为周边环境引发火灾、车辆伤害、坍塌、滑坡等危险。其主要引发原因有：</w:t>
      </w:r>
    </w:p>
    <w:p w14:paraId="4F00269D">
      <w:pPr>
        <w:bidi w:val="0"/>
        <w:rPr>
          <w:rFonts w:hint="eastAsia"/>
          <w:color w:val="auto"/>
        </w:rPr>
      </w:pPr>
      <w:r>
        <w:rPr>
          <w:rFonts w:hint="eastAsia"/>
          <w:color w:val="auto"/>
        </w:rPr>
        <w:t>（1）若周边树林发生火灾、坍塌、滑坡等事故，可能会由于飞火、高温、热辐射等因素导致引燃本项目内可燃物，进而引起本火灾爆炸、坍塌、滑坡等危险。</w:t>
      </w:r>
    </w:p>
    <w:p w14:paraId="782A2225">
      <w:pPr>
        <w:bidi w:val="0"/>
        <w:rPr>
          <w:rFonts w:hint="eastAsia"/>
          <w:color w:val="auto"/>
        </w:rPr>
      </w:pPr>
      <w:r>
        <w:rPr>
          <w:rFonts w:hint="eastAsia"/>
          <w:color w:val="auto"/>
        </w:rPr>
        <w:t>（2）东侧为武定县大坪子工业园区道路；西侧紧邻108国道，员工上下班途中未按道路交通要求横跨马路或过往车辆未按要求行驶，对员工可能会造成车辆伤害，同时厂内车辆驾驶员违章驾驶，可能会对过往行人及车辆造成车辆伤害事故，同时整个项目区可能会引发交通堵塞等。</w:t>
      </w:r>
    </w:p>
    <w:p w14:paraId="53255BDA">
      <w:pPr>
        <w:bidi w:val="0"/>
        <w:rPr>
          <w:rFonts w:hint="eastAsia"/>
          <w:color w:val="auto"/>
        </w:rPr>
      </w:pPr>
      <w:r>
        <w:rPr>
          <w:rFonts w:hint="eastAsia"/>
          <w:color w:val="auto"/>
        </w:rPr>
        <w:t>（3）若本企业发生火灾爆炸、其他爆炸等事故，可能会由于本项目事故过程中飞火、热辐射等因素导致本项目周边企业和树林发生次生火灾等危险。</w:t>
      </w:r>
    </w:p>
    <w:p w14:paraId="4999BA60">
      <w:pPr>
        <w:pStyle w:val="4"/>
        <w:bidi w:val="0"/>
        <w:rPr>
          <w:rFonts w:hint="eastAsia"/>
          <w:color w:val="auto"/>
        </w:rPr>
      </w:pPr>
      <w:bookmarkStart w:id="184" w:name="_Toc24791"/>
      <w:r>
        <w:rPr>
          <w:rFonts w:hint="eastAsia"/>
          <w:color w:val="auto"/>
        </w:rPr>
        <w:t>5.1.2 厂址及总平面布置预先危险性分析（PHA）</w:t>
      </w:r>
      <w:bookmarkEnd w:id="184"/>
    </w:p>
    <w:p w14:paraId="4AC08C4F">
      <w:pPr>
        <w:bidi w:val="0"/>
        <w:rPr>
          <w:rFonts w:hint="eastAsia"/>
          <w:color w:val="auto"/>
        </w:rPr>
      </w:pPr>
      <w:r>
        <w:rPr>
          <w:rFonts w:hint="eastAsia"/>
          <w:color w:val="auto"/>
        </w:rPr>
        <w:t>本单元根据总平面布置危险有害因素辨识和分析结果进行PHA分析，预测事故出现对作业人员及生产过程产生的影响，判定已识别的危险性等级，并提出消除或控制危险性的措施。PHA分析见表5</w:t>
      </w:r>
      <w:r>
        <w:rPr>
          <w:rFonts w:hint="eastAsia"/>
          <w:color w:val="auto"/>
          <w:lang w:val="en-US" w:eastAsia="zh-CN"/>
        </w:rPr>
        <w:t>.1</w:t>
      </w:r>
      <w:r>
        <w:rPr>
          <w:rFonts w:hint="eastAsia"/>
          <w:color w:val="auto"/>
        </w:rPr>
        <w:t>-1。</w:t>
      </w:r>
    </w:p>
    <w:p w14:paraId="457B20B2">
      <w:pPr>
        <w:pStyle w:val="18"/>
        <w:bidi w:val="0"/>
        <w:rPr>
          <w:color w:val="auto"/>
        </w:rPr>
      </w:pPr>
      <w:r>
        <w:rPr>
          <w:rFonts w:hint="eastAsia"/>
          <w:color w:val="auto"/>
        </w:rPr>
        <w:t>表5</w:t>
      </w:r>
      <w:r>
        <w:rPr>
          <w:rFonts w:hint="eastAsia"/>
          <w:color w:val="auto"/>
          <w:lang w:val="en-US" w:eastAsia="zh-CN"/>
        </w:rPr>
        <w:t>.1</w:t>
      </w:r>
      <w:r>
        <w:rPr>
          <w:rFonts w:hint="eastAsia"/>
          <w:color w:val="auto"/>
        </w:rPr>
        <w:t>-1  厂址及总平面布置预先危险性分析表</w:t>
      </w:r>
    </w:p>
    <w:tbl>
      <w:tblPr>
        <w:tblStyle w:val="1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2339"/>
        <w:gridCol w:w="1878"/>
        <w:gridCol w:w="848"/>
        <w:gridCol w:w="1070"/>
        <w:gridCol w:w="2598"/>
      </w:tblGrid>
      <w:tr w14:paraId="2635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353" w:type="pct"/>
            <w:noWrap w:val="0"/>
            <w:vAlign w:val="center"/>
          </w:tcPr>
          <w:p w14:paraId="2A76B164">
            <w:pPr>
              <w:pStyle w:val="19"/>
              <w:bidi w:val="0"/>
              <w:rPr>
                <w:rFonts w:hint="default"/>
                <w:b/>
                <w:bCs/>
                <w:color w:val="auto"/>
                <w:highlight w:val="none"/>
              </w:rPr>
            </w:pPr>
            <w:r>
              <w:rPr>
                <w:rFonts w:hint="default"/>
                <w:b/>
                <w:bCs/>
                <w:color w:val="auto"/>
                <w:highlight w:val="none"/>
              </w:rPr>
              <w:t>事故</w:t>
            </w:r>
          </w:p>
          <w:p w14:paraId="3D86CF4B">
            <w:pPr>
              <w:pStyle w:val="19"/>
              <w:bidi w:val="0"/>
              <w:rPr>
                <w:rFonts w:hint="default"/>
                <w:b/>
                <w:bCs/>
                <w:color w:val="auto"/>
                <w:highlight w:val="none"/>
              </w:rPr>
            </w:pPr>
            <w:r>
              <w:rPr>
                <w:rFonts w:hint="default"/>
                <w:b/>
                <w:bCs/>
                <w:color w:val="auto"/>
                <w:highlight w:val="none"/>
              </w:rPr>
              <w:t>类型</w:t>
            </w:r>
          </w:p>
        </w:tc>
        <w:tc>
          <w:tcPr>
            <w:tcW w:w="1244" w:type="pct"/>
            <w:noWrap w:val="0"/>
            <w:vAlign w:val="center"/>
          </w:tcPr>
          <w:p w14:paraId="0DB3F186">
            <w:pPr>
              <w:pStyle w:val="19"/>
              <w:bidi w:val="0"/>
              <w:rPr>
                <w:rFonts w:hint="default"/>
                <w:b/>
                <w:bCs/>
                <w:color w:val="auto"/>
                <w:highlight w:val="none"/>
              </w:rPr>
            </w:pPr>
            <w:r>
              <w:rPr>
                <w:rFonts w:hint="default"/>
                <w:b/>
                <w:bCs/>
                <w:color w:val="auto"/>
                <w:highlight w:val="none"/>
              </w:rPr>
              <w:t>事故原因</w:t>
            </w:r>
          </w:p>
        </w:tc>
        <w:tc>
          <w:tcPr>
            <w:tcW w:w="999" w:type="pct"/>
            <w:noWrap w:val="0"/>
            <w:vAlign w:val="center"/>
          </w:tcPr>
          <w:p w14:paraId="17737718">
            <w:pPr>
              <w:pStyle w:val="19"/>
              <w:bidi w:val="0"/>
              <w:rPr>
                <w:rFonts w:hint="default"/>
                <w:b/>
                <w:bCs/>
                <w:color w:val="auto"/>
                <w:highlight w:val="none"/>
              </w:rPr>
            </w:pPr>
            <w:r>
              <w:rPr>
                <w:rFonts w:hint="default"/>
                <w:b/>
                <w:bCs/>
                <w:color w:val="auto"/>
                <w:highlight w:val="none"/>
              </w:rPr>
              <w:t>事故后果</w:t>
            </w:r>
          </w:p>
        </w:tc>
        <w:tc>
          <w:tcPr>
            <w:tcW w:w="451" w:type="pct"/>
            <w:noWrap w:val="0"/>
            <w:vAlign w:val="center"/>
          </w:tcPr>
          <w:p w14:paraId="4DAD2C0C">
            <w:pPr>
              <w:pStyle w:val="19"/>
              <w:bidi w:val="0"/>
              <w:rPr>
                <w:rFonts w:hint="default"/>
                <w:b/>
                <w:bCs/>
                <w:color w:val="auto"/>
                <w:highlight w:val="none"/>
              </w:rPr>
            </w:pPr>
            <w:r>
              <w:rPr>
                <w:rFonts w:hint="default"/>
                <w:b/>
                <w:bCs/>
                <w:color w:val="auto"/>
                <w:highlight w:val="none"/>
              </w:rPr>
              <w:t>危险等级</w:t>
            </w:r>
          </w:p>
        </w:tc>
        <w:tc>
          <w:tcPr>
            <w:tcW w:w="569" w:type="pct"/>
            <w:noWrap w:val="0"/>
            <w:vAlign w:val="center"/>
          </w:tcPr>
          <w:p w14:paraId="3C4B1EC2">
            <w:pPr>
              <w:pStyle w:val="19"/>
              <w:bidi w:val="0"/>
              <w:rPr>
                <w:rFonts w:hint="default"/>
                <w:b/>
                <w:bCs/>
                <w:color w:val="auto"/>
                <w:highlight w:val="none"/>
              </w:rPr>
            </w:pPr>
            <w:r>
              <w:rPr>
                <w:rFonts w:hint="default"/>
                <w:b/>
                <w:bCs/>
                <w:color w:val="auto"/>
                <w:highlight w:val="none"/>
              </w:rPr>
              <w:t>发生事故的概率等级</w:t>
            </w:r>
          </w:p>
        </w:tc>
        <w:tc>
          <w:tcPr>
            <w:tcW w:w="1382" w:type="pct"/>
            <w:noWrap w:val="0"/>
            <w:vAlign w:val="center"/>
          </w:tcPr>
          <w:p w14:paraId="23B358EF">
            <w:pPr>
              <w:pStyle w:val="19"/>
              <w:bidi w:val="0"/>
              <w:rPr>
                <w:rFonts w:hint="default"/>
                <w:b/>
                <w:bCs/>
                <w:color w:val="auto"/>
                <w:highlight w:val="none"/>
              </w:rPr>
            </w:pPr>
            <w:r>
              <w:rPr>
                <w:rFonts w:hint="default"/>
                <w:b/>
                <w:bCs/>
                <w:color w:val="auto"/>
                <w:highlight w:val="none"/>
              </w:rPr>
              <w:t>对策措施</w:t>
            </w:r>
          </w:p>
        </w:tc>
      </w:tr>
      <w:tr w14:paraId="245FB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353" w:type="pct"/>
            <w:noWrap w:val="0"/>
            <w:vAlign w:val="center"/>
          </w:tcPr>
          <w:p w14:paraId="59A1742B">
            <w:pPr>
              <w:pStyle w:val="19"/>
              <w:bidi w:val="0"/>
              <w:rPr>
                <w:rFonts w:hint="default"/>
                <w:color w:val="auto"/>
                <w:highlight w:val="none"/>
              </w:rPr>
            </w:pPr>
            <w:r>
              <w:rPr>
                <w:rFonts w:hint="default"/>
                <w:color w:val="auto"/>
                <w:highlight w:val="none"/>
              </w:rPr>
              <w:t>坍塌</w:t>
            </w:r>
          </w:p>
        </w:tc>
        <w:tc>
          <w:tcPr>
            <w:tcW w:w="1244" w:type="pct"/>
            <w:noWrap w:val="0"/>
            <w:vAlign w:val="center"/>
          </w:tcPr>
          <w:p w14:paraId="52B83672">
            <w:pPr>
              <w:pStyle w:val="19"/>
              <w:bidi w:val="0"/>
              <w:jc w:val="both"/>
              <w:rPr>
                <w:rFonts w:hint="default"/>
                <w:color w:val="auto"/>
                <w:highlight w:val="none"/>
              </w:rPr>
            </w:pPr>
            <w:r>
              <w:rPr>
                <w:rFonts w:hint="default"/>
                <w:color w:val="auto"/>
                <w:highlight w:val="none"/>
              </w:rPr>
              <w:t>厂址不良工程地质情况未查明；建（构）筑物选址于不良工程地质地段；建构筑物区存在不良工程地质现象，地基处理方法不当；场地开挖边坡参数设计不当、未按设计开挖或缺乏有效支护。</w:t>
            </w:r>
          </w:p>
        </w:tc>
        <w:tc>
          <w:tcPr>
            <w:tcW w:w="999" w:type="pct"/>
            <w:noWrap w:val="0"/>
            <w:vAlign w:val="center"/>
          </w:tcPr>
          <w:p w14:paraId="645C5EAB">
            <w:pPr>
              <w:pStyle w:val="19"/>
              <w:bidi w:val="0"/>
              <w:rPr>
                <w:rFonts w:hint="default"/>
                <w:color w:val="auto"/>
                <w:highlight w:val="none"/>
              </w:rPr>
            </w:pPr>
            <w:r>
              <w:rPr>
                <w:rFonts w:hint="default"/>
                <w:color w:val="auto"/>
                <w:highlight w:val="none"/>
              </w:rPr>
              <w:t>人员严重伤亡、财产巨大损失</w:t>
            </w:r>
          </w:p>
        </w:tc>
        <w:tc>
          <w:tcPr>
            <w:tcW w:w="451" w:type="pct"/>
            <w:noWrap w:val="0"/>
            <w:vAlign w:val="center"/>
          </w:tcPr>
          <w:p w14:paraId="31D3DDEC">
            <w:pPr>
              <w:pStyle w:val="19"/>
              <w:bidi w:val="0"/>
              <w:rPr>
                <w:rFonts w:hint="default"/>
                <w:color w:val="auto"/>
                <w:highlight w:val="none"/>
              </w:rPr>
            </w:pPr>
            <w:r>
              <w:rPr>
                <w:rFonts w:hint="default"/>
                <w:color w:val="auto"/>
                <w:highlight w:val="none"/>
              </w:rPr>
              <w:t>IV</w:t>
            </w:r>
          </w:p>
        </w:tc>
        <w:tc>
          <w:tcPr>
            <w:tcW w:w="569" w:type="pct"/>
            <w:noWrap w:val="0"/>
            <w:vAlign w:val="center"/>
          </w:tcPr>
          <w:p w14:paraId="09B65835">
            <w:pPr>
              <w:pStyle w:val="19"/>
              <w:bidi w:val="0"/>
              <w:rPr>
                <w:rFonts w:hint="default"/>
                <w:color w:val="auto"/>
                <w:highlight w:val="none"/>
                <w:lang w:val="en-US" w:eastAsia="zh-CN"/>
              </w:rPr>
            </w:pPr>
            <w:r>
              <w:rPr>
                <w:rFonts w:hint="default"/>
                <w:color w:val="auto"/>
                <w:highlight w:val="none"/>
                <w:lang w:val="en-US" w:eastAsia="zh-CN"/>
              </w:rPr>
              <w:t>B</w:t>
            </w:r>
          </w:p>
        </w:tc>
        <w:tc>
          <w:tcPr>
            <w:tcW w:w="1382" w:type="pct"/>
            <w:noWrap w:val="0"/>
            <w:vAlign w:val="center"/>
          </w:tcPr>
          <w:p w14:paraId="47E70017">
            <w:pPr>
              <w:pStyle w:val="19"/>
              <w:bidi w:val="0"/>
              <w:jc w:val="both"/>
              <w:rPr>
                <w:rFonts w:hint="default"/>
                <w:color w:val="auto"/>
                <w:highlight w:val="none"/>
              </w:rPr>
            </w:pPr>
            <w:r>
              <w:rPr>
                <w:rFonts w:hint="default"/>
                <w:color w:val="auto"/>
                <w:highlight w:val="none"/>
              </w:rPr>
              <w:t>厂址选址应重视工程地质条件；建构筑物宜避开不良工程地质地段；设计、施工中应根据工程地质的变化情况，采取措施及时进行调整，开挖时严格按设计施工，场地边坡采取加固措施，确保边坡稳固。</w:t>
            </w:r>
          </w:p>
        </w:tc>
      </w:tr>
      <w:tr w14:paraId="433C3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53" w:type="pct"/>
            <w:noWrap w:val="0"/>
            <w:vAlign w:val="center"/>
          </w:tcPr>
          <w:p w14:paraId="7CC854E0">
            <w:pPr>
              <w:pStyle w:val="19"/>
              <w:bidi w:val="0"/>
              <w:rPr>
                <w:rFonts w:hint="default"/>
                <w:color w:val="auto"/>
                <w:highlight w:val="none"/>
              </w:rPr>
            </w:pPr>
            <w:r>
              <w:rPr>
                <w:rFonts w:hint="default"/>
                <w:color w:val="auto"/>
                <w:highlight w:val="none"/>
              </w:rPr>
              <w:t>车辆</w:t>
            </w:r>
          </w:p>
          <w:p w14:paraId="5B30125E">
            <w:pPr>
              <w:pStyle w:val="19"/>
              <w:bidi w:val="0"/>
              <w:rPr>
                <w:rFonts w:hint="default"/>
                <w:color w:val="auto"/>
                <w:highlight w:val="none"/>
              </w:rPr>
            </w:pPr>
            <w:r>
              <w:rPr>
                <w:rFonts w:hint="default"/>
                <w:color w:val="auto"/>
                <w:highlight w:val="none"/>
              </w:rPr>
              <w:t>伤害</w:t>
            </w:r>
          </w:p>
        </w:tc>
        <w:tc>
          <w:tcPr>
            <w:tcW w:w="1244" w:type="pct"/>
            <w:noWrap w:val="0"/>
            <w:vAlign w:val="center"/>
          </w:tcPr>
          <w:p w14:paraId="1149848A">
            <w:pPr>
              <w:pStyle w:val="19"/>
              <w:bidi w:val="0"/>
              <w:jc w:val="both"/>
              <w:rPr>
                <w:rFonts w:hint="default"/>
                <w:color w:val="auto"/>
                <w:highlight w:val="none"/>
              </w:rPr>
            </w:pPr>
            <w:r>
              <w:rPr>
                <w:rFonts w:hint="default"/>
                <w:color w:val="auto"/>
                <w:highlight w:val="none"/>
              </w:rPr>
              <w:t>道路坡度大、弯道大、路面窄、缺乏安全防护及警示；车辆驾驶员违章驾车；车辆驾驶员人员生理、心理不良，操作失误；车况不良，维护修理不及时，带</w:t>
            </w:r>
            <w:r>
              <w:rPr>
                <w:rFonts w:hint="eastAsia"/>
                <w:color w:val="auto"/>
                <w:highlight w:val="none"/>
                <w:lang w:eastAsia="zh-CN"/>
              </w:rPr>
              <w:t>“</w:t>
            </w:r>
            <w:r>
              <w:rPr>
                <w:rFonts w:hint="default"/>
                <w:color w:val="auto"/>
                <w:highlight w:val="none"/>
              </w:rPr>
              <w:t>病</w:t>
            </w:r>
            <w:r>
              <w:rPr>
                <w:rFonts w:hint="eastAsia"/>
                <w:color w:val="auto"/>
                <w:highlight w:val="none"/>
                <w:lang w:eastAsia="zh-CN"/>
              </w:rPr>
              <w:t>”</w:t>
            </w:r>
            <w:r>
              <w:rPr>
                <w:rFonts w:hint="default"/>
                <w:color w:val="auto"/>
                <w:highlight w:val="none"/>
              </w:rPr>
              <w:t>行驶；道路路况不良、气候条件恶劣；管理规章制度或操作规程不健全。</w:t>
            </w:r>
          </w:p>
        </w:tc>
        <w:tc>
          <w:tcPr>
            <w:tcW w:w="999" w:type="pct"/>
            <w:noWrap w:val="0"/>
            <w:vAlign w:val="center"/>
          </w:tcPr>
          <w:p w14:paraId="377BAE62">
            <w:pPr>
              <w:pStyle w:val="19"/>
              <w:bidi w:val="0"/>
              <w:rPr>
                <w:rFonts w:hint="default"/>
                <w:color w:val="auto"/>
                <w:highlight w:val="none"/>
              </w:rPr>
            </w:pPr>
            <w:r>
              <w:rPr>
                <w:rFonts w:hint="default"/>
                <w:color w:val="auto"/>
                <w:highlight w:val="none"/>
              </w:rPr>
              <w:t>人员伤亡、财产损失</w:t>
            </w:r>
          </w:p>
        </w:tc>
        <w:tc>
          <w:tcPr>
            <w:tcW w:w="451" w:type="pct"/>
            <w:noWrap w:val="0"/>
            <w:vAlign w:val="center"/>
          </w:tcPr>
          <w:p w14:paraId="22684987">
            <w:pPr>
              <w:pStyle w:val="19"/>
              <w:bidi w:val="0"/>
              <w:rPr>
                <w:rFonts w:hint="default"/>
                <w:color w:val="auto"/>
                <w:highlight w:val="none"/>
              </w:rPr>
            </w:pPr>
            <w:r>
              <w:rPr>
                <w:rFonts w:hint="default"/>
                <w:color w:val="auto"/>
                <w:highlight w:val="none"/>
              </w:rPr>
              <w:t>Ⅲ</w:t>
            </w:r>
          </w:p>
        </w:tc>
        <w:tc>
          <w:tcPr>
            <w:tcW w:w="569" w:type="pct"/>
            <w:noWrap w:val="0"/>
            <w:vAlign w:val="center"/>
          </w:tcPr>
          <w:p w14:paraId="2F79083D">
            <w:pPr>
              <w:pStyle w:val="19"/>
              <w:bidi w:val="0"/>
              <w:rPr>
                <w:rFonts w:hint="default"/>
                <w:color w:val="auto"/>
                <w:highlight w:val="none"/>
                <w:lang w:val="en-US" w:eastAsia="zh-CN"/>
              </w:rPr>
            </w:pPr>
            <w:r>
              <w:rPr>
                <w:rFonts w:hint="default"/>
                <w:color w:val="auto"/>
                <w:highlight w:val="none"/>
                <w:lang w:val="en-US" w:eastAsia="zh-CN"/>
              </w:rPr>
              <w:t>C</w:t>
            </w:r>
          </w:p>
        </w:tc>
        <w:tc>
          <w:tcPr>
            <w:tcW w:w="1382" w:type="pct"/>
            <w:noWrap w:val="0"/>
            <w:vAlign w:val="center"/>
          </w:tcPr>
          <w:p w14:paraId="59B1A9E1">
            <w:pPr>
              <w:pStyle w:val="19"/>
              <w:bidi w:val="0"/>
              <w:jc w:val="both"/>
              <w:rPr>
                <w:rFonts w:hint="default"/>
                <w:color w:val="auto"/>
                <w:highlight w:val="none"/>
              </w:rPr>
            </w:pPr>
            <w:r>
              <w:rPr>
                <w:rFonts w:hint="default"/>
                <w:color w:val="auto"/>
                <w:highlight w:val="none"/>
              </w:rPr>
              <w:t>按厂矿道路设计规范进行道路设计；设置防护设施及警示标牌；加强车辆维护保养；杜绝违章驾驶；完善管理制度和操作规程。</w:t>
            </w:r>
          </w:p>
        </w:tc>
      </w:tr>
      <w:tr w14:paraId="3AD1F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353" w:type="pct"/>
            <w:noWrap w:val="0"/>
            <w:vAlign w:val="center"/>
          </w:tcPr>
          <w:p w14:paraId="79F50C76">
            <w:pPr>
              <w:pStyle w:val="19"/>
              <w:bidi w:val="0"/>
              <w:rPr>
                <w:rFonts w:hint="default"/>
                <w:color w:val="auto"/>
                <w:highlight w:val="none"/>
              </w:rPr>
            </w:pPr>
            <w:r>
              <w:rPr>
                <w:rFonts w:hint="default"/>
                <w:color w:val="auto"/>
                <w:highlight w:val="none"/>
              </w:rPr>
              <w:t>物体</w:t>
            </w:r>
          </w:p>
          <w:p w14:paraId="7A9E19D9">
            <w:pPr>
              <w:pStyle w:val="19"/>
              <w:bidi w:val="0"/>
              <w:rPr>
                <w:rFonts w:hint="default"/>
                <w:color w:val="auto"/>
                <w:highlight w:val="none"/>
              </w:rPr>
            </w:pPr>
            <w:r>
              <w:rPr>
                <w:rFonts w:hint="default"/>
                <w:color w:val="auto"/>
                <w:highlight w:val="none"/>
              </w:rPr>
              <w:t>打击</w:t>
            </w:r>
          </w:p>
        </w:tc>
        <w:tc>
          <w:tcPr>
            <w:tcW w:w="1244" w:type="pct"/>
            <w:noWrap w:val="0"/>
            <w:vAlign w:val="center"/>
          </w:tcPr>
          <w:p w14:paraId="74DE09EE">
            <w:pPr>
              <w:pStyle w:val="19"/>
              <w:bidi w:val="0"/>
              <w:jc w:val="both"/>
              <w:rPr>
                <w:rFonts w:hint="default"/>
                <w:color w:val="auto"/>
                <w:highlight w:val="none"/>
              </w:rPr>
            </w:pPr>
            <w:r>
              <w:rPr>
                <w:rFonts w:hint="default"/>
                <w:color w:val="auto"/>
                <w:highlight w:val="none"/>
              </w:rPr>
              <w:t>高处作业工器具无防坠措施，人员进入作业现场未佩戴安全帽；未设置安全警示标志或标志不明显。</w:t>
            </w:r>
          </w:p>
        </w:tc>
        <w:tc>
          <w:tcPr>
            <w:tcW w:w="999" w:type="pct"/>
            <w:noWrap w:val="0"/>
            <w:vAlign w:val="center"/>
          </w:tcPr>
          <w:p w14:paraId="2A3DC437">
            <w:pPr>
              <w:pStyle w:val="19"/>
              <w:bidi w:val="0"/>
              <w:rPr>
                <w:rFonts w:hint="default"/>
                <w:color w:val="auto"/>
                <w:highlight w:val="none"/>
              </w:rPr>
            </w:pPr>
            <w:r>
              <w:rPr>
                <w:rFonts w:hint="default"/>
                <w:color w:val="auto"/>
                <w:highlight w:val="none"/>
              </w:rPr>
              <w:t>人员伤亡、财产损失</w:t>
            </w:r>
          </w:p>
        </w:tc>
        <w:tc>
          <w:tcPr>
            <w:tcW w:w="451" w:type="pct"/>
            <w:noWrap w:val="0"/>
            <w:vAlign w:val="center"/>
          </w:tcPr>
          <w:p w14:paraId="5E03BF61">
            <w:pPr>
              <w:pStyle w:val="19"/>
              <w:bidi w:val="0"/>
              <w:rPr>
                <w:rFonts w:hint="default"/>
                <w:color w:val="auto"/>
                <w:highlight w:val="none"/>
              </w:rPr>
            </w:pPr>
            <w:r>
              <w:rPr>
                <w:rFonts w:hint="default"/>
                <w:color w:val="auto"/>
                <w:highlight w:val="none"/>
              </w:rPr>
              <w:t>Ⅲ</w:t>
            </w:r>
          </w:p>
        </w:tc>
        <w:tc>
          <w:tcPr>
            <w:tcW w:w="569" w:type="pct"/>
            <w:noWrap w:val="0"/>
            <w:vAlign w:val="center"/>
          </w:tcPr>
          <w:p w14:paraId="10450DDC">
            <w:pPr>
              <w:pStyle w:val="19"/>
              <w:bidi w:val="0"/>
              <w:rPr>
                <w:rFonts w:hint="default"/>
                <w:color w:val="auto"/>
                <w:highlight w:val="none"/>
                <w:lang w:val="en-US" w:eastAsia="zh-CN"/>
              </w:rPr>
            </w:pPr>
            <w:r>
              <w:rPr>
                <w:rFonts w:hint="default"/>
                <w:color w:val="auto"/>
                <w:highlight w:val="none"/>
                <w:lang w:val="en-US" w:eastAsia="zh-CN"/>
              </w:rPr>
              <w:t>B</w:t>
            </w:r>
          </w:p>
        </w:tc>
        <w:tc>
          <w:tcPr>
            <w:tcW w:w="1382" w:type="pct"/>
            <w:noWrap w:val="0"/>
            <w:vAlign w:val="center"/>
          </w:tcPr>
          <w:p w14:paraId="5F796741">
            <w:pPr>
              <w:pStyle w:val="19"/>
              <w:bidi w:val="0"/>
              <w:jc w:val="both"/>
              <w:rPr>
                <w:rFonts w:hint="default"/>
                <w:color w:val="auto"/>
                <w:highlight w:val="none"/>
              </w:rPr>
            </w:pPr>
            <w:r>
              <w:rPr>
                <w:rFonts w:hint="default"/>
                <w:color w:val="auto"/>
                <w:highlight w:val="none"/>
              </w:rPr>
              <w:t>作业人员进入施工现场必须戴安全帽，高处作业时工器具应采取防坠措施，作业现场设置安全警示标识。</w:t>
            </w:r>
          </w:p>
        </w:tc>
      </w:tr>
      <w:tr w14:paraId="36295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353" w:type="pct"/>
            <w:noWrap w:val="0"/>
            <w:vAlign w:val="center"/>
          </w:tcPr>
          <w:p w14:paraId="73F7FD51">
            <w:pPr>
              <w:pStyle w:val="19"/>
              <w:bidi w:val="0"/>
              <w:rPr>
                <w:rFonts w:hint="default"/>
                <w:color w:val="auto"/>
                <w:highlight w:val="none"/>
              </w:rPr>
            </w:pPr>
            <w:r>
              <w:rPr>
                <w:rFonts w:hint="default"/>
                <w:color w:val="auto"/>
                <w:highlight w:val="none"/>
              </w:rPr>
              <w:t>高处坠落</w:t>
            </w:r>
          </w:p>
        </w:tc>
        <w:tc>
          <w:tcPr>
            <w:tcW w:w="1244" w:type="pct"/>
            <w:noWrap w:val="0"/>
            <w:vAlign w:val="center"/>
          </w:tcPr>
          <w:p w14:paraId="2D9CD9BA">
            <w:pPr>
              <w:pStyle w:val="19"/>
              <w:bidi w:val="0"/>
              <w:jc w:val="both"/>
              <w:rPr>
                <w:rFonts w:hint="default"/>
                <w:color w:val="auto"/>
                <w:highlight w:val="none"/>
              </w:rPr>
            </w:pPr>
            <w:r>
              <w:rPr>
                <w:rFonts w:hint="default"/>
                <w:color w:val="auto"/>
                <w:highlight w:val="none"/>
              </w:rPr>
              <w:t>作业人员生理、心理健康状况不良，高处作业未佩戴安全防护用品，操作平台、临边等危险部位未设置安全设施或设施不完善，未设置安全警示标志或标志不明显，违章作业，制度不完善。</w:t>
            </w:r>
          </w:p>
        </w:tc>
        <w:tc>
          <w:tcPr>
            <w:tcW w:w="999" w:type="pct"/>
            <w:noWrap w:val="0"/>
            <w:vAlign w:val="center"/>
          </w:tcPr>
          <w:p w14:paraId="1A655FFD">
            <w:pPr>
              <w:pStyle w:val="19"/>
              <w:bidi w:val="0"/>
              <w:rPr>
                <w:rFonts w:hint="default"/>
                <w:color w:val="auto"/>
                <w:highlight w:val="none"/>
              </w:rPr>
            </w:pPr>
            <w:r>
              <w:rPr>
                <w:rFonts w:hint="default"/>
                <w:color w:val="auto"/>
                <w:highlight w:val="none"/>
              </w:rPr>
              <w:t>人员伤亡、财产损失</w:t>
            </w:r>
          </w:p>
        </w:tc>
        <w:tc>
          <w:tcPr>
            <w:tcW w:w="451" w:type="pct"/>
            <w:noWrap w:val="0"/>
            <w:vAlign w:val="center"/>
          </w:tcPr>
          <w:p w14:paraId="7A8D0B2C">
            <w:pPr>
              <w:pStyle w:val="19"/>
              <w:bidi w:val="0"/>
              <w:rPr>
                <w:rFonts w:hint="default"/>
                <w:color w:val="auto"/>
                <w:highlight w:val="none"/>
              </w:rPr>
            </w:pPr>
            <w:r>
              <w:rPr>
                <w:rFonts w:hint="default"/>
                <w:color w:val="auto"/>
                <w:highlight w:val="none"/>
              </w:rPr>
              <w:t>Ⅲ</w:t>
            </w:r>
          </w:p>
        </w:tc>
        <w:tc>
          <w:tcPr>
            <w:tcW w:w="569" w:type="pct"/>
            <w:noWrap w:val="0"/>
            <w:vAlign w:val="center"/>
          </w:tcPr>
          <w:p w14:paraId="7F32C559">
            <w:pPr>
              <w:pStyle w:val="19"/>
              <w:bidi w:val="0"/>
              <w:rPr>
                <w:rFonts w:hint="default"/>
                <w:color w:val="auto"/>
                <w:highlight w:val="none"/>
                <w:lang w:val="en-US" w:eastAsia="zh-CN"/>
              </w:rPr>
            </w:pPr>
            <w:r>
              <w:rPr>
                <w:rFonts w:hint="default"/>
                <w:color w:val="auto"/>
                <w:highlight w:val="none"/>
                <w:lang w:val="en-US" w:eastAsia="zh-CN"/>
              </w:rPr>
              <w:t>B</w:t>
            </w:r>
          </w:p>
        </w:tc>
        <w:tc>
          <w:tcPr>
            <w:tcW w:w="1382" w:type="pct"/>
            <w:noWrap w:val="0"/>
            <w:vAlign w:val="center"/>
          </w:tcPr>
          <w:p w14:paraId="27D87A70">
            <w:pPr>
              <w:pStyle w:val="19"/>
              <w:bidi w:val="0"/>
              <w:jc w:val="both"/>
              <w:rPr>
                <w:rFonts w:hint="default"/>
                <w:color w:val="auto"/>
                <w:highlight w:val="none"/>
              </w:rPr>
            </w:pPr>
            <w:r>
              <w:rPr>
                <w:rFonts w:hint="default"/>
                <w:color w:val="auto"/>
                <w:highlight w:val="none"/>
              </w:rPr>
              <w:t>对作业人员进行安全培训，使之掌握一定的安全技能；完善安全管理规章制度，杜绝违章指挥、违规作业；危险部位按规范设置安全设施，作业现场设置安全警示标志等。</w:t>
            </w:r>
          </w:p>
        </w:tc>
      </w:tr>
      <w:tr w14:paraId="5E113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353" w:type="pct"/>
            <w:noWrap w:val="0"/>
            <w:vAlign w:val="center"/>
          </w:tcPr>
          <w:p w14:paraId="134F255C">
            <w:pPr>
              <w:pStyle w:val="19"/>
              <w:bidi w:val="0"/>
              <w:rPr>
                <w:rFonts w:hint="default"/>
                <w:color w:val="auto"/>
                <w:highlight w:val="none"/>
              </w:rPr>
            </w:pPr>
            <w:r>
              <w:rPr>
                <w:rFonts w:hint="default"/>
                <w:color w:val="auto"/>
                <w:highlight w:val="none"/>
              </w:rPr>
              <w:t>火灾</w:t>
            </w:r>
          </w:p>
        </w:tc>
        <w:tc>
          <w:tcPr>
            <w:tcW w:w="1244" w:type="pct"/>
            <w:noWrap w:val="0"/>
            <w:vAlign w:val="center"/>
          </w:tcPr>
          <w:p w14:paraId="0EB6D771">
            <w:pPr>
              <w:pStyle w:val="19"/>
              <w:bidi w:val="0"/>
              <w:jc w:val="both"/>
              <w:rPr>
                <w:rFonts w:hint="default"/>
                <w:color w:val="auto"/>
                <w:highlight w:val="none"/>
              </w:rPr>
            </w:pPr>
            <w:r>
              <w:rPr>
                <w:rFonts w:hint="default"/>
                <w:color w:val="auto"/>
                <w:highlight w:val="none"/>
              </w:rPr>
              <w:t>动火作业管理不善；建（构）筑物防火间距不足，材料不满足防火等级要求；电器设施线路老化，氧气、乙炔等易燃易爆物品储存方式不当；消防设施、器材配置满足规范要求；消防通道阻塞。</w:t>
            </w:r>
          </w:p>
        </w:tc>
        <w:tc>
          <w:tcPr>
            <w:tcW w:w="999" w:type="pct"/>
            <w:noWrap w:val="0"/>
            <w:vAlign w:val="center"/>
          </w:tcPr>
          <w:p w14:paraId="264019D6">
            <w:pPr>
              <w:pStyle w:val="19"/>
              <w:bidi w:val="0"/>
              <w:rPr>
                <w:rFonts w:hint="default"/>
                <w:color w:val="auto"/>
                <w:highlight w:val="none"/>
              </w:rPr>
            </w:pPr>
            <w:r>
              <w:rPr>
                <w:rFonts w:hint="default"/>
                <w:color w:val="auto"/>
                <w:highlight w:val="none"/>
              </w:rPr>
              <w:t>人员伤亡、财产损失</w:t>
            </w:r>
          </w:p>
        </w:tc>
        <w:tc>
          <w:tcPr>
            <w:tcW w:w="451" w:type="pct"/>
            <w:noWrap w:val="0"/>
            <w:vAlign w:val="center"/>
          </w:tcPr>
          <w:p w14:paraId="32EDFB6B">
            <w:pPr>
              <w:pStyle w:val="19"/>
              <w:bidi w:val="0"/>
              <w:rPr>
                <w:rFonts w:hint="default"/>
                <w:color w:val="auto"/>
                <w:highlight w:val="none"/>
              </w:rPr>
            </w:pPr>
            <w:r>
              <w:rPr>
                <w:rFonts w:hint="default"/>
                <w:color w:val="auto"/>
                <w:highlight w:val="none"/>
              </w:rPr>
              <w:t>Ⅲ</w:t>
            </w:r>
          </w:p>
        </w:tc>
        <w:tc>
          <w:tcPr>
            <w:tcW w:w="569" w:type="pct"/>
            <w:noWrap w:val="0"/>
            <w:vAlign w:val="center"/>
          </w:tcPr>
          <w:p w14:paraId="753E55CF">
            <w:pPr>
              <w:pStyle w:val="19"/>
              <w:bidi w:val="0"/>
              <w:rPr>
                <w:rFonts w:hint="default"/>
                <w:color w:val="auto"/>
                <w:highlight w:val="none"/>
                <w:lang w:val="en-US" w:eastAsia="zh-CN"/>
              </w:rPr>
            </w:pPr>
            <w:r>
              <w:rPr>
                <w:rFonts w:hint="default"/>
                <w:color w:val="auto"/>
                <w:highlight w:val="none"/>
                <w:lang w:val="en-US" w:eastAsia="zh-CN"/>
              </w:rPr>
              <w:t>B</w:t>
            </w:r>
          </w:p>
        </w:tc>
        <w:tc>
          <w:tcPr>
            <w:tcW w:w="1382" w:type="pct"/>
            <w:noWrap w:val="0"/>
            <w:vAlign w:val="center"/>
          </w:tcPr>
          <w:p w14:paraId="7CA4301E">
            <w:pPr>
              <w:pStyle w:val="19"/>
              <w:bidi w:val="0"/>
              <w:jc w:val="both"/>
              <w:rPr>
                <w:rFonts w:hint="default"/>
                <w:color w:val="auto"/>
                <w:highlight w:val="none"/>
              </w:rPr>
            </w:pPr>
            <w:r>
              <w:rPr>
                <w:rFonts w:hint="default"/>
                <w:color w:val="auto"/>
                <w:highlight w:val="none"/>
              </w:rPr>
              <w:t>完善动火管理制度，筑物严格按设计施工，使用的材料须满足防火等级要求；规范易燃易爆物品的使用、储存，易燃易爆物仓库禁烟、禁火，加强电气线路的维护；按规范设置消防设施，配置符合要求的消防器材，保证消防通道畅通。</w:t>
            </w:r>
          </w:p>
        </w:tc>
      </w:tr>
      <w:tr w14:paraId="0E4C5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353" w:type="pct"/>
            <w:noWrap w:val="0"/>
            <w:vAlign w:val="center"/>
          </w:tcPr>
          <w:p w14:paraId="3166B470">
            <w:pPr>
              <w:pStyle w:val="19"/>
              <w:bidi w:val="0"/>
              <w:rPr>
                <w:rFonts w:hint="eastAsia" w:eastAsia="宋体"/>
                <w:color w:val="auto"/>
                <w:highlight w:val="none"/>
                <w:lang w:val="en-US" w:eastAsia="zh-CN"/>
              </w:rPr>
            </w:pPr>
            <w:r>
              <w:rPr>
                <w:rFonts w:hint="eastAsia"/>
                <w:color w:val="auto"/>
                <w:highlight w:val="none"/>
                <w:lang w:val="en-US" w:eastAsia="zh-CN"/>
              </w:rPr>
              <w:t>滑坡</w:t>
            </w:r>
          </w:p>
        </w:tc>
        <w:tc>
          <w:tcPr>
            <w:tcW w:w="1244" w:type="pct"/>
            <w:noWrap w:val="0"/>
            <w:vAlign w:val="center"/>
          </w:tcPr>
          <w:p w14:paraId="2B3A4D84">
            <w:pPr>
              <w:pStyle w:val="19"/>
              <w:bidi w:val="0"/>
              <w:jc w:val="both"/>
              <w:rPr>
                <w:rFonts w:hint="default"/>
                <w:color w:val="auto"/>
                <w:highlight w:val="none"/>
              </w:rPr>
            </w:pPr>
            <w:r>
              <w:rPr>
                <w:rFonts w:hint="default"/>
                <w:color w:val="auto"/>
                <w:highlight w:val="none"/>
              </w:rPr>
              <w:t>厂址存在相对高差，雨季可能发生滑坡事故。原矿堆场的原矿堆高过高、尾矿堆场尾矿堆积过高。</w:t>
            </w:r>
          </w:p>
        </w:tc>
        <w:tc>
          <w:tcPr>
            <w:tcW w:w="999" w:type="pct"/>
            <w:noWrap w:val="0"/>
            <w:vAlign w:val="center"/>
          </w:tcPr>
          <w:p w14:paraId="59E68A22">
            <w:pPr>
              <w:pStyle w:val="19"/>
              <w:bidi w:val="0"/>
              <w:rPr>
                <w:rFonts w:hint="default"/>
                <w:color w:val="auto"/>
                <w:highlight w:val="none"/>
              </w:rPr>
            </w:pPr>
            <w:r>
              <w:rPr>
                <w:rFonts w:hint="default"/>
                <w:color w:val="auto"/>
                <w:highlight w:val="none"/>
              </w:rPr>
              <w:t>人员伤亡、财产损失</w:t>
            </w:r>
          </w:p>
        </w:tc>
        <w:tc>
          <w:tcPr>
            <w:tcW w:w="451" w:type="pct"/>
            <w:noWrap w:val="0"/>
            <w:vAlign w:val="center"/>
          </w:tcPr>
          <w:p w14:paraId="24B8FA0F">
            <w:pPr>
              <w:pStyle w:val="19"/>
              <w:bidi w:val="0"/>
              <w:rPr>
                <w:rFonts w:hint="default"/>
                <w:color w:val="auto"/>
                <w:highlight w:val="none"/>
              </w:rPr>
            </w:pPr>
            <w:r>
              <w:rPr>
                <w:rFonts w:hint="default"/>
                <w:color w:val="auto"/>
                <w:highlight w:val="none"/>
              </w:rPr>
              <w:t>IV</w:t>
            </w:r>
          </w:p>
        </w:tc>
        <w:tc>
          <w:tcPr>
            <w:tcW w:w="569" w:type="pct"/>
            <w:noWrap w:val="0"/>
            <w:vAlign w:val="center"/>
          </w:tcPr>
          <w:p w14:paraId="5379AA21">
            <w:pPr>
              <w:pStyle w:val="19"/>
              <w:bidi w:val="0"/>
              <w:rPr>
                <w:rFonts w:hint="default"/>
                <w:color w:val="auto"/>
                <w:highlight w:val="none"/>
                <w:lang w:val="en-US" w:eastAsia="zh-CN"/>
              </w:rPr>
            </w:pPr>
            <w:r>
              <w:rPr>
                <w:rFonts w:hint="eastAsia"/>
                <w:color w:val="auto"/>
                <w:highlight w:val="none"/>
                <w:lang w:val="en-US" w:eastAsia="zh-CN"/>
              </w:rPr>
              <w:t>B</w:t>
            </w:r>
          </w:p>
        </w:tc>
        <w:tc>
          <w:tcPr>
            <w:tcW w:w="1382" w:type="pct"/>
            <w:noWrap w:val="0"/>
            <w:vAlign w:val="center"/>
          </w:tcPr>
          <w:p w14:paraId="15761D25">
            <w:pPr>
              <w:pStyle w:val="19"/>
              <w:bidi w:val="0"/>
              <w:jc w:val="both"/>
              <w:rPr>
                <w:rFonts w:hint="default"/>
                <w:color w:val="auto"/>
                <w:highlight w:val="none"/>
              </w:rPr>
            </w:pPr>
            <w:r>
              <w:rPr>
                <w:rFonts w:hint="eastAsia"/>
                <w:color w:val="auto"/>
                <w:highlight w:val="none"/>
                <w:lang w:val="en-US" w:eastAsia="zh-CN"/>
              </w:rPr>
              <w:t>完善排水设施。</w:t>
            </w:r>
            <w:r>
              <w:rPr>
                <w:rFonts w:hint="default"/>
                <w:color w:val="auto"/>
                <w:highlight w:val="none"/>
              </w:rPr>
              <w:t>各堆场堆高不宜过高，在醒目位置设置安全警示标志，严格控制堆置外坡比，无关人员禁止进入。</w:t>
            </w:r>
          </w:p>
        </w:tc>
      </w:tr>
      <w:tr w14:paraId="2402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353" w:type="pct"/>
            <w:noWrap w:val="0"/>
            <w:vAlign w:val="center"/>
          </w:tcPr>
          <w:p w14:paraId="3DD5B886">
            <w:pPr>
              <w:pStyle w:val="19"/>
              <w:bidi w:val="0"/>
              <w:rPr>
                <w:rFonts w:hint="eastAsia" w:eastAsia="宋体"/>
                <w:color w:val="auto"/>
                <w:highlight w:val="none"/>
                <w:lang w:val="en-US" w:eastAsia="zh-CN"/>
              </w:rPr>
            </w:pPr>
            <w:r>
              <w:rPr>
                <w:rFonts w:hint="eastAsia"/>
                <w:color w:val="auto"/>
                <w:highlight w:val="none"/>
                <w:lang w:val="en-US" w:eastAsia="zh-CN"/>
              </w:rPr>
              <w:t>淹溺</w:t>
            </w:r>
          </w:p>
        </w:tc>
        <w:tc>
          <w:tcPr>
            <w:tcW w:w="1244" w:type="pct"/>
            <w:noWrap w:val="0"/>
            <w:vAlign w:val="center"/>
          </w:tcPr>
          <w:p w14:paraId="468FBF55">
            <w:pPr>
              <w:pStyle w:val="19"/>
              <w:bidi w:val="0"/>
              <w:jc w:val="both"/>
              <w:rPr>
                <w:rFonts w:hint="default"/>
                <w:color w:val="auto"/>
                <w:highlight w:val="none"/>
              </w:rPr>
            </w:pPr>
            <w:r>
              <w:rPr>
                <w:rFonts w:hint="default"/>
                <w:color w:val="auto"/>
                <w:highlight w:val="none"/>
              </w:rPr>
              <w:t>该厂设有</w:t>
            </w:r>
            <w:r>
              <w:rPr>
                <w:rFonts w:hint="eastAsia"/>
                <w:color w:val="auto"/>
                <w:highlight w:val="none"/>
                <w:lang w:val="en-US" w:eastAsia="zh-CN"/>
              </w:rPr>
              <w:t>高位</w:t>
            </w:r>
            <w:r>
              <w:rPr>
                <w:rFonts w:hint="default"/>
                <w:color w:val="auto"/>
                <w:highlight w:val="none"/>
              </w:rPr>
              <w:t>水池，由于常有蓄水，蓄水能力较大，其四周缺少安全警示标志、护栏或照明不足，人员可能不慎坠入，可能造成淹溺事故。</w:t>
            </w:r>
          </w:p>
        </w:tc>
        <w:tc>
          <w:tcPr>
            <w:tcW w:w="999" w:type="pct"/>
            <w:noWrap w:val="0"/>
            <w:vAlign w:val="center"/>
          </w:tcPr>
          <w:p w14:paraId="7EA79913">
            <w:pPr>
              <w:pStyle w:val="19"/>
              <w:bidi w:val="0"/>
              <w:rPr>
                <w:rFonts w:hint="default"/>
                <w:color w:val="auto"/>
                <w:highlight w:val="none"/>
              </w:rPr>
            </w:pPr>
            <w:r>
              <w:rPr>
                <w:rFonts w:hint="default"/>
                <w:color w:val="auto"/>
                <w:highlight w:val="none"/>
              </w:rPr>
              <w:t>人员伤亡</w:t>
            </w:r>
          </w:p>
        </w:tc>
        <w:tc>
          <w:tcPr>
            <w:tcW w:w="451" w:type="pct"/>
            <w:noWrap w:val="0"/>
            <w:vAlign w:val="center"/>
          </w:tcPr>
          <w:p w14:paraId="63B621AF">
            <w:pPr>
              <w:pStyle w:val="19"/>
              <w:bidi w:val="0"/>
              <w:rPr>
                <w:rFonts w:hint="default"/>
                <w:color w:val="auto"/>
                <w:highlight w:val="none"/>
              </w:rPr>
            </w:pPr>
            <w:r>
              <w:rPr>
                <w:rFonts w:hint="default"/>
                <w:color w:val="auto"/>
                <w:highlight w:val="none"/>
              </w:rPr>
              <w:t>Ⅲ</w:t>
            </w:r>
          </w:p>
        </w:tc>
        <w:tc>
          <w:tcPr>
            <w:tcW w:w="569" w:type="pct"/>
            <w:noWrap w:val="0"/>
            <w:vAlign w:val="center"/>
          </w:tcPr>
          <w:p w14:paraId="2D6E991B">
            <w:pPr>
              <w:pStyle w:val="19"/>
              <w:bidi w:val="0"/>
              <w:rPr>
                <w:rFonts w:hint="default"/>
                <w:color w:val="auto"/>
                <w:highlight w:val="none"/>
                <w:lang w:val="en-US" w:eastAsia="zh-CN"/>
              </w:rPr>
            </w:pPr>
            <w:r>
              <w:rPr>
                <w:rFonts w:hint="eastAsia"/>
                <w:color w:val="auto"/>
                <w:highlight w:val="none"/>
                <w:lang w:val="en-US" w:eastAsia="zh-CN"/>
              </w:rPr>
              <w:t>B</w:t>
            </w:r>
          </w:p>
        </w:tc>
        <w:tc>
          <w:tcPr>
            <w:tcW w:w="1382" w:type="pct"/>
            <w:noWrap w:val="0"/>
            <w:vAlign w:val="center"/>
          </w:tcPr>
          <w:p w14:paraId="604F899D">
            <w:pPr>
              <w:pStyle w:val="19"/>
              <w:bidi w:val="0"/>
              <w:jc w:val="both"/>
              <w:rPr>
                <w:rFonts w:hint="default"/>
                <w:color w:val="auto"/>
                <w:highlight w:val="none"/>
              </w:rPr>
            </w:pPr>
            <w:r>
              <w:rPr>
                <w:rFonts w:hint="default"/>
                <w:color w:val="auto"/>
                <w:highlight w:val="none"/>
              </w:rPr>
              <w:t>水池按相关规范设置安全防护设施并悬挂警示牌；加强员工安全知识培训，严禁违章作业，严禁酒后作业。</w:t>
            </w:r>
          </w:p>
        </w:tc>
      </w:tr>
    </w:tbl>
    <w:p w14:paraId="4C66DA82">
      <w:pPr>
        <w:rPr>
          <w:rFonts w:hint="eastAsia"/>
          <w:color w:val="auto"/>
          <w:highlight w:val="none"/>
        </w:rPr>
      </w:pPr>
      <w:r>
        <w:rPr>
          <w:rFonts w:hint="eastAsia"/>
          <w:color w:val="auto"/>
          <w:highlight w:val="none"/>
        </w:rPr>
        <w:t>通过PHA分析，Ⅲ级或Ⅲ级以上是危险的，会造成人员伤亡和系统损坏。车辆伤害、物体打击、高处坠落、火灾、坍塌</w:t>
      </w:r>
      <w:r>
        <w:rPr>
          <w:rFonts w:hint="eastAsia"/>
          <w:color w:val="auto"/>
          <w:highlight w:val="none"/>
          <w:lang w:eastAsia="zh-CN"/>
        </w:rPr>
        <w:t>、</w:t>
      </w:r>
      <w:r>
        <w:rPr>
          <w:rFonts w:hint="eastAsia"/>
          <w:color w:val="auto"/>
          <w:highlight w:val="none"/>
          <w:lang w:val="en-US" w:eastAsia="zh-CN"/>
        </w:rPr>
        <w:t>滑坡、淹溺</w:t>
      </w:r>
      <w:r>
        <w:rPr>
          <w:rFonts w:hint="eastAsia"/>
          <w:color w:val="auto"/>
          <w:highlight w:val="none"/>
        </w:rPr>
        <w:t>危险等级为Ⅲ-IV级，是主要的危险、有害因素，需要采取防范对策措施。</w:t>
      </w:r>
    </w:p>
    <w:p w14:paraId="65D6B7D4">
      <w:pPr>
        <w:rPr>
          <w:rFonts w:hint="eastAsia"/>
          <w:color w:val="auto"/>
          <w:highlight w:val="none"/>
        </w:rPr>
      </w:pPr>
      <w:r>
        <w:rPr>
          <w:rFonts w:hint="eastAsia"/>
          <w:color w:val="auto"/>
          <w:highlight w:val="none"/>
        </w:rPr>
        <w:t>本单元预先危险性等级系数按下式确定：</w:t>
      </w:r>
    </w:p>
    <w:p w14:paraId="506B9F4E">
      <w:pPr>
        <w:ind w:left="0" w:leftChars="0" w:firstLine="0" w:firstLineChars="0"/>
        <w:jc w:val="center"/>
        <w:rPr>
          <w:rFonts w:hint="eastAsia"/>
          <w:color w:val="auto"/>
          <w:highlight w:val="none"/>
        </w:rPr>
      </w:pPr>
      <w:r>
        <w:rPr>
          <w:rFonts w:hint="eastAsia"/>
          <w:color w:val="auto"/>
          <w:highlight w:val="none"/>
        </w:rPr>
        <w:t>W=∑（P×K）/∑K</w:t>
      </w:r>
    </w:p>
    <w:p w14:paraId="62C8A577">
      <w:pPr>
        <w:rPr>
          <w:rFonts w:hint="eastAsia"/>
          <w:color w:val="auto"/>
          <w:highlight w:val="none"/>
        </w:rPr>
      </w:pPr>
      <w:r>
        <w:rPr>
          <w:rFonts w:hint="eastAsia"/>
          <w:color w:val="auto"/>
          <w:highlight w:val="none"/>
        </w:rPr>
        <w:t>式中：W—系统（单元）预先危险性等级系数；</w:t>
      </w:r>
    </w:p>
    <w:p w14:paraId="50CE45C1">
      <w:pPr>
        <w:rPr>
          <w:rFonts w:hint="eastAsia"/>
          <w:color w:val="auto"/>
          <w:highlight w:val="none"/>
        </w:rPr>
      </w:pPr>
      <w:r>
        <w:rPr>
          <w:rFonts w:hint="eastAsia"/>
          <w:color w:val="auto"/>
          <w:highlight w:val="none"/>
        </w:rPr>
        <w:t>P—分析项目的危险性等级系数；</w:t>
      </w:r>
    </w:p>
    <w:p w14:paraId="7A1922B9">
      <w:pPr>
        <w:rPr>
          <w:rFonts w:hint="eastAsia"/>
          <w:color w:val="auto"/>
          <w:highlight w:val="none"/>
        </w:rPr>
      </w:pPr>
      <w:r>
        <w:rPr>
          <w:rFonts w:hint="eastAsia"/>
          <w:color w:val="auto"/>
          <w:highlight w:val="none"/>
        </w:rPr>
        <w:t>K—分析项目发生事故的概率系数。</w:t>
      </w:r>
    </w:p>
    <w:p w14:paraId="2C93244C">
      <w:pPr>
        <w:rPr>
          <w:rFonts w:hint="eastAsia" w:eastAsia="宋体"/>
          <w:color w:val="auto"/>
          <w:highlight w:val="none"/>
          <w:lang w:eastAsia="zh-CN"/>
        </w:rPr>
      </w:pPr>
      <w:r>
        <w:rPr>
          <w:rFonts w:hint="eastAsia"/>
          <w:color w:val="auto"/>
          <w:highlight w:val="none"/>
        </w:rPr>
        <w:t>W=（8×0.10+4×0.20+4×0.10+4×0.10+4×0.10</w:t>
      </w:r>
      <w:r>
        <w:rPr>
          <w:rFonts w:hint="eastAsia"/>
          <w:color w:val="auto"/>
          <w:highlight w:val="none"/>
          <w:lang w:val="en-US" w:eastAsia="zh-CN"/>
        </w:rPr>
        <w:t>+8</w:t>
      </w:r>
      <w:r>
        <w:rPr>
          <w:rFonts w:hint="eastAsia"/>
          <w:color w:val="auto"/>
          <w:highlight w:val="none"/>
        </w:rPr>
        <w:t>×</w:t>
      </w:r>
      <w:r>
        <w:rPr>
          <w:rFonts w:hint="eastAsia"/>
          <w:color w:val="auto"/>
          <w:highlight w:val="none"/>
          <w:lang w:val="en-US" w:eastAsia="zh-CN"/>
        </w:rPr>
        <w:t>0.10+4</w:t>
      </w:r>
      <w:r>
        <w:rPr>
          <w:rFonts w:hint="eastAsia"/>
          <w:color w:val="auto"/>
          <w:highlight w:val="none"/>
        </w:rPr>
        <w:t>×</w:t>
      </w:r>
      <w:r>
        <w:rPr>
          <w:rFonts w:hint="eastAsia"/>
          <w:color w:val="auto"/>
          <w:highlight w:val="none"/>
          <w:lang w:val="en-US" w:eastAsia="zh-CN"/>
        </w:rPr>
        <w:t>0.10</w:t>
      </w:r>
      <w:r>
        <w:rPr>
          <w:rFonts w:hint="eastAsia"/>
          <w:color w:val="auto"/>
          <w:highlight w:val="none"/>
        </w:rPr>
        <w:t>）/（0.10+0.20+0.10+0.10+0.10</w:t>
      </w:r>
      <w:r>
        <w:rPr>
          <w:rFonts w:hint="eastAsia"/>
          <w:color w:val="auto"/>
          <w:highlight w:val="none"/>
          <w:lang w:val="en-US" w:eastAsia="zh-CN"/>
        </w:rPr>
        <w:t>+0.10+0.10</w:t>
      </w:r>
      <w:r>
        <w:rPr>
          <w:rFonts w:hint="eastAsia"/>
          <w:color w:val="auto"/>
          <w:highlight w:val="none"/>
        </w:rPr>
        <w:t>）=</w:t>
      </w:r>
      <w:r>
        <w:rPr>
          <w:rFonts w:hint="eastAsia"/>
          <w:color w:val="auto"/>
          <w:highlight w:val="none"/>
          <w:lang w:val="en-US" w:eastAsia="zh-CN"/>
        </w:rPr>
        <w:t>5</w:t>
      </w:r>
    </w:p>
    <w:p w14:paraId="2DF99522">
      <w:pPr>
        <w:rPr>
          <w:rFonts w:hint="eastAsia"/>
          <w:color w:val="auto"/>
          <w:highlight w:val="none"/>
        </w:rPr>
      </w:pPr>
      <w:r>
        <w:rPr>
          <w:rFonts w:hint="eastAsia"/>
          <w:color w:val="auto"/>
          <w:highlight w:val="none"/>
        </w:rPr>
        <w:t>预先危险性分析结论：本单元预先危险性等级系数为Ⅲ级，系统危险程度为很危险。</w:t>
      </w:r>
    </w:p>
    <w:p w14:paraId="5896BF03">
      <w:pPr>
        <w:pStyle w:val="4"/>
        <w:bidi w:val="0"/>
        <w:rPr>
          <w:rFonts w:hint="eastAsia"/>
          <w:color w:val="auto"/>
        </w:rPr>
      </w:pPr>
      <w:bookmarkStart w:id="185" w:name="_Toc27595"/>
      <w:r>
        <w:rPr>
          <w:rFonts w:hint="eastAsia"/>
          <w:color w:val="auto"/>
        </w:rPr>
        <w:t>5.1.3 厂址及总平面布置安全检查表</w:t>
      </w:r>
      <w:bookmarkEnd w:id="185"/>
    </w:p>
    <w:p w14:paraId="370DF47D">
      <w:pPr>
        <w:bidi w:val="0"/>
        <w:rPr>
          <w:rFonts w:hint="eastAsia"/>
          <w:color w:val="auto"/>
        </w:rPr>
      </w:pPr>
      <w:r>
        <w:rPr>
          <w:rFonts w:hint="eastAsia"/>
          <w:color w:val="auto"/>
        </w:rPr>
        <w:t>本单元通过安全检查表检查评价厂区与相关法律、法规、标准和规范相符合的程度，分析和预测该单元存在的危险、有害因素及危险、危害程度，提出合理可行的对策措施，指导危险源监控和事故预防。</w:t>
      </w:r>
    </w:p>
    <w:p w14:paraId="3BCED5D8">
      <w:pPr>
        <w:pStyle w:val="18"/>
        <w:bidi w:val="0"/>
        <w:rPr>
          <w:color w:val="auto"/>
        </w:rPr>
      </w:pPr>
      <w:r>
        <w:rPr>
          <w:rFonts w:hint="eastAsia"/>
          <w:color w:val="auto"/>
        </w:rPr>
        <w:t>表5</w:t>
      </w:r>
      <w:r>
        <w:rPr>
          <w:rFonts w:hint="eastAsia"/>
          <w:color w:val="auto"/>
          <w:lang w:val="en-US" w:eastAsia="zh-CN"/>
        </w:rPr>
        <w:t>.1</w:t>
      </w:r>
      <w:r>
        <w:rPr>
          <w:rFonts w:hint="eastAsia"/>
          <w:color w:val="auto"/>
        </w:rPr>
        <w:t>-2  厂址及总平面布置安全检查表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543"/>
        <w:gridCol w:w="2664"/>
        <w:gridCol w:w="1654"/>
        <w:gridCol w:w="848"/>
      </w:tblGrid>
      <w:tr w14:paraId="4F672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4" w:hRule="atLeast"/>
          <w:tblHeader/>
          <w:jc w:val="center"/>
        </w:trPr>
        <w:tc>
          <w:tcPr>
            <w:tcW w:w="691" w:type="dxa"/>
            <w:noWrap w:val="0"/>
            <w:vAlign w:val="center"/>
          </w:tcPr>
          <w:p w14:paraId="32D73B45">
            <w:pPr>
              <w:pStyle w:val="19"/>
              <w:bidi w:val="0"/>
              <w:rPr>
                <w:rFonts w:hint="default"/>
                <w:b/>
                <w:bCs/>
                <w:color w:val="auto"/>
                <w:highlight w:val="none"/>
              </w:rPr>
            </w:pPr>
            <w:r>
              <w:rPr>
                <w:rFonts w:hint="default"/>
                <w:b/>
                <w:bCs/>
                <w:color w:val="auto"/>
                <w:highlight w:val="none"/>
              </w:rPr>
              <w:t>序</w:t>
            </w:r>
          </w:p>
          <w:p w14:paraId="417FB016">
            <w:pPr>
              <w:pStyle w:val="19"/>
              <w:bidi w:val="0"/>
              <w:rPr>
                <w:rFonts w:hint="default"/>
                <w:b/>
                <w:bCs/>
                <w:color w:val="auto"/>
                <w:highlight w:val="none"/>
              </w:rPr>
            </w:pPr>
            <w:r>
              <w:rPr>
                <w:rFonts w:hint="default"/>
                <w:b/>
                <w:bCs/>
                <w:color w:val="auto"/>
                <w:highlight w:val="none"/>
              </w:rPr>
              <w:t>号</w:t>
            </w:r>
          </w:p>
        </w:tc>
        <w:tc>
          <w:tcPr>
            <w:tcW w:w="3543" w:type="dxa"/>
            <w:noWrap w:val="0"/>
            <w:vAlign w:val="center"/>
          </w:tcPr>
          <w:p w14:paraId="32EB7947">
            <w:pPr>
              <w:pStyle w:val="19"/>
              <w:bidi w:val="0"/>
              <w:rPr>
                <w:rFonts w:hint="default"/>
                <w:b/>
                <w:bCs/>
                <w:color w:val="auto"/>
                <w:highlight w:val="none"/>
              </w:rPr>
            </w:pPr>
            <w:r>
              <w:rPr>
                <w:rFonts w:hint="default"/>
                <w:b/>
                <w:bCs/>
                <w:color w:val="auto"/>
                <w:highlight w:val="none"/>
              </w:rPr>
              <w:t>检查内容</w:t>
            </w:r>
          </w:p>
        </w:tc>
        <w:tc>
          <w:tcPr>
            <w:tcW w:w="2664" w:type="dxa"/>
            <w:noWrap w:val="0"/>
            <w:vAlign w:val="center"/>
          </w:tcPr>
          <w:p w14:paraId="5436A591">
            <w:pPr>
              <w:pStyle w:val="19"/>
              <w:bidi w:val="0"/>
              <w:rPr>
                <w:rFonts w:hint="default"/>
                <w:b/>
                <w:bCs/>
                <w:color w:val="auto"/>
                <w:highlight w:val="none"/>
              </w:rPr>
            </w:pPr>
            <w:r>
              <w:rPr>
                <w:rFonts w:hint="default"/>
                <w:b/>
                <w:bCs/>
                <w:color w:val="auto"/>
                <w:highlight w:val="none"/>
              </w:rPr>
              <w:t>检查依据</w:t>
            </w:r>
          </w:p>
        </w:tc>
        <w:tc>
          <w:tcPr>
            <w:tcW w:w="1654" w:type="dxa"/>
            <w:noWrap w:val="0"/>
            <w:vAlign w:val="center"/>
          </w:tcPr>
          <w:p w14:paraId="341B0A8D">
            <w:pPr>
              <w:pStyle w:val="19"/>
              <w:bidi w:val="0"/>
              <w:rPr>
                <w:rFonts w:hint="default"/>
                <w:b/>
                <w:bCs/>
                <w:color w:val="auto"/>
                <w:highlight w:val="none"/>
              </w:rPr>
            </w:pPr>
            <w:r>
              <w:rPr>
                <w:rFonts w:hint="default"/>
                <w:b/>
                <w:bCs/>
                <w:color w:val="auto"/>
                <w:highlight w:val="none"/>
              </w:rPr>
              <w:t>检查</w:t>
            </w:r>
          </w:p>
          <w:p w14:paraId="67110860">
            <w:pPr>
              <w:pStyle w:val="19"/>
              <w:bidi w:val="0"/>
              <w:rPr>
                <w:rFonts w:hint="default"/>
                <w:b/>
                <w:bCs/>
                <w:color w:val="auto"/>
                <w:highlight w:val="none"/>
              </w:rPr>
            </w:pPr>
            <w:r>
              <w:rPr>
                <w:rFonts w:hint="default"/>
                <w:b/>
                <w:bCs/>
                <w:color w:val="auto"/>
                <w:highlight w:val="none"/>
              </w:rPr>
              <w:t>结果</w:t>
            </w:r>
          </w:p>
        </w:tc>
        <w:tc>
          <w:tcPr>
            <w:tcW w:w="848" w:type="dxa"/>
            <w:noWrap w:val="0"/>
            <w:vAlign w:val="center"/>
          </w:tcPr>
          <w:p w14:paraId="4A15B66A">
            <w:pPr>
              <w:pStyle w:val="19"/>
              <w:bidi w:val="0"/>
              <w:rPr>
                <w:rFonts w:hint="default"/>
                <w:b/>
                <w:bCs/>
                <w:color w:val="auto"/>
                <w:highlight w:val="none"/>
              </w:rPr>
            </w:pPr>
            <w:r>
              <w:rPr>
                <w:rFonts w:hint="default"/>
                <w:b/>
                <w:bCs/>
                <w:color w:val="auto"/>
                <w:highlight w:val="none"/>
              </w:rPr>
              <w:t>检查</w:t>
            </w:r>
          </w:p>
          <w:p w14:paraId="0C990244">
            <w:pPr>
              <w:pStyle w:val="19"/>
              <w:bidi w:val="0"/>
              <w:rPr>
                <w:rFonts w:hint="default"/>
                <w:b/>
                <w:bCs/>
                <w:color w:val="auto"/>
                <w:highlight w:val="none"/>
              </w:rPr>
            </w:pPr>
            <w:r>
              <w:rPr>
                <w:rFonts w:hint="default"/>
                <w:b/>
                <w:bCs/>
                <w:color w:val="auto"/>
                <w:highlight w:val="none"/>
              </w:rPr>
              <w:t>情况</w:t>
            </w:r>
          </w:p>
        </w:tc>
      </w:tr>
      <w:tr w14:paraId="62DE2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9400" w:type="dxa"/>
            <w:gridSpan w:val="5"/>
            <w:noWrap w:val="0"/>
            <w:vAlign w:val="center"/>
          </w:tcPr>
          <w:p w14:paraId="42BEE9B8">
            <w:pPr>
              <w:pStyle w:val="19"/>
              <w:bidi w:val="0"/>
              <w:rPr>
                <w:rFonts w:hint="default"/>
                <w:color w:val="auto"/>
                <w:highlight w:val="none"/>
              </w:rPr>
            </w:pPr>
            <w:r>
              <w:rPr>
                <w:rFonts w:hint="default"/>
                <w:color w:val="auto"/>
                <w:highlight w:val="none"/>
              </w:rPr>
              <w:t>一、项目选址</w:t>
            </w:r>
          </w:p>
        </w:tc>
      </w:tr>
      <w:tr w14:paraId="6F79B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1" w:type="dxa"/>
            <w:noWrap w:val="0"/>
            <w:vAlign w:val="center"/>
          </w:tcPr>
          <w:p w14:paraId="607F3DDB">
            <w:pPr>
              <w:pStyle w:val="19"/>
              <w:bidi w:val="0"/>
              <w:rPr>
                <w:rFonts w:hint="default"/>
                <w:color w:val="auto"/>
                <w:highlight w:val="none"/>
              </w:rPr>
            </w:pPr>
            <w:r>
              <w:rPr>
                <w:rFonts w:hint="default"/>
                <w:color w:val="auto"/>
                <w:highlight w:val="none"/>
              </w:rPr>
              <w:t>1</w:t>
            </w:r>
          </w:p>
        </w:tc>
        <w:tc>
          <w:tcPr>
            <w:tcW w:w="3543" w:type="dxa"/>
            <w:noWrap w:val="0"/>
            <w:vAlign w:val="center"/>
          </w:tcPr>
          <w:p w14:paraId="09110B75">
            <w:pPr>
              <w:pStyle w:val="19"/>
              <w:bidi w:val="0"/>
              <w:rPr>
                <w:rFonts w:hint="default"/>
                <w:color w:val="auto"/>
                <w:highlight w:val="none"/>
              </w:rPr>
            </w:pPr>
            <w:r>
              <w:rPr>
                <w:rFonts w:hint="default"/>
                <w:color w:val="auto"/>
                <w:highlight w:val="none"/>
              </w:rPr>
              <w:t>厂址选择应符合国家的工业布局、城镇（乡）总体规划及土地利用总体规划的要求。</w:t>
            </w:r>
          </w:p>
        </w:tc>
        <w:tc>
          <w:tcPr>
            <w:tcW w:w="2664" w:type="dxa"/>
            <w:noWrap w:val="0"/>
            <w:vAlign w:val="center"/>
          </w:tcPr>
          <w:p w14:paraId="65DB4C24">
            <w:pPr>
              <w:pStyle w:val="19"/>
              <w:bidi w:val="0"/>
              <w:rPr>
                <w:rFonts w:hint="default"/>
                <w:color w:val="auto"/>
                <w:highlight w:val="none"/>
              </w:rPr>
            </w:pPr>
            <w:r>
              <w:rPr>
                <w:rFonts w:hint="default"/>
                <w:color w:val="auto"/>
                <w:highlight w:val="none"/>
              </w:rPr>
              <w:t>《工业企业总平面设计规范》GB50187-2012第3.0.1条</w:t>
            </w:r>
          </w:p>
        </w:tc>
        <w:tc>
          <w:tcPr>
            <w:tcW w:w="1654" w:type="dxa"/>
            <w:noWrap w:val="0"/>
            <w:vAlign w:val="center"/>
          </w:tcPr>
          <w:p w14:paraId="0D6C7052">
            <w:pPr>
              <w:pStyle w:val="19"/>
              <w:bidi w:val="0"/>
              <w:rPr>
                <w:rFonts w:hint="default"/>
                <w:color w:val="auto"/>
                <w:highlight w:val="none"/>
              </w:rPr>
            </w:pPr>
            <w:r>
              <w:rPr>
                <w:rFonts w:hint="default"/>
                <w:color w:val="auto"/>
                <w:highlight w:val="none"/>
              </w:rPr>
              <w:t>厂址选址符合工业布局。</w:t>
            </w:r>
          </w:p>
        </w:tc>
        <w:tc>
          <w:tcPr>
            <w:tcW w:w="848" w:type="dxa"/>
            <w:noWrap w:val="0"/>
            <w:vAlign w:val="center"/>
          </w:tcPr>
          <w:p w14:paraId="4594703E">
            <w:pPr>
              <w:pStyle w:val="19"/>
              <w:bidi w:val="0"/>
              <w:rPr>
                <w:rFonts w:hint="default"/>
                <w:color w:val="auto"/>
                <w:highlight w:val="none"/>
              </w:rPr>
            </w:pPr>
            <w:r>
              <w:rPr>
                <w:rFonts w:hint="default"/>
                <w:color w:val="auto"/>
                <w:highlight w:val="none"/>
              </w:rPr>
              <w:t>符合</w:t>
            </w:r>
          </w:p>
        </w:tc>
      </w:tr>
      <w:tr w14:paraId="4A73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5" w:hRule="atLeast"/>
          <w:jc w:val="center"/>
        </w:trPr>
        <w:tc>
          <w:tcPr>
            <w:tcW w:w="691" w:type="dxa"/>
            <w:noWrap w:val="0"/>
            <w:vAlign w:val="center"/>
          </w:tcPr>
          <w:p w14:paraId="36887F00">
            <w:pPr>
              <w:pStyle w:val="19"/>
              <w:bidi w:val="0"/>
              <w:rPr>
                <w:rFonts w:hint="default"/>
                <w:color w:val="auto"/>
                <w:highlight w:val="none"/>
              </w:rPr>
            </w:pPr>
            <w:r>
              <w:rPr>
                <w:rFonts w:hint="default"/>
                <w:color w:val="auto"/>
                <w:highlight w:val="none"/>
              </w:rPr>
              <w:t>2</w:t>
            </w:r>
          </w:p>
        </w:tc>
        <w:tc>
          <w:tcPr>
            <w:tcW w:w="3543" w:type="dxa"/>
            <w:noWrap w:val="0"/>
            <w:vAlign w:val="center"/>
          </w:tcPr>
          <w:p w14:paraId="43C0212B">
            <w:pPr>
              <w:pStyle w:val="19"/>
              <w:bidi w:val="0"/>
              <w:rPr>
                <w:rFonts w:hint="default"/>
                <w:color w:val="auto"/>
                <w:highlight w:val="none"/>
              </w:rPr>
            </w:pPr>
            <w:r>
              <w:rPr>
                <w:rFonts w:hint="default"/>
                <w:color w:val="auto"/>
                <w:highlight w:val="none"/>
              </w:rPr>
              <w:t>配套和服务工业企业的居住区、交通运输、动力公用设施、废料场及环境保护工程、施工基地等用地，应与厂区用地同时选择。</w:t>
            </w:r>
          </w:p>
        </w:tc>
        <w:tc>
          <w:tcPr>
            <w:tcW w:w="2664" w:type="dxa"/>
            <w:noWrap w:val="0"/>
            <w:vAlign w:val="center"/>
          </w:tcPr>
          <w:p w14:paraId="44334570">
            <w:pPr>
              <w:pStyle w:val="19"/>
              <w:bidi w:val="0"/>
              <w:rPr>
                <w:rFonts w:hint="default"/>
                <w:color w:val="auto"/>
                <w:highlight w:val="none"/>
              </w:rPr>
            </w:pPr>
            <w:r>
              <w:rPr>
                <w:rFonts w:hint="default"/>
                <w:color w:val="auto"/>
                <w:highlight w:val="none"/>
              </w:rPr>
              <w:t>《工业企业总平面设计规范》GB50187-2012第3.0.2条</w:t>
            </w:r>
          </w:p>
        </w:tc>
        <w:tc>
          <w:tcPr>
            <w:tcW w:w="1654" w:type="dxa"/>
            <w:noWrap w:val="0"/>
            <w:vAlign w:val="center"/>
          </w:tcPr>
          <w:p w14:paraId="400F2D95">
            <w:pPr>
              <w:pStyle w:val="19"/>
              <w:bidi w:val="0"/>
              <w:rPr>
                <w:rFonts w:hint="default"/>
                <w:color w:val="auto"/>
                <w:highlight w:val="none"/>
              </w:rPr>
            </w:pPr>
            <w:r>
              <w:rPr>
                <w:rFonts w:hint="default"/>
                <w:color w:val="auto"/>
                <w:highlight w:val="none"/>
              </w:rPr>
              <w:t>拟建厂址居住区、交通运输、动力公用设施完备。</w:t>
            </w:r>
          </w:p>
        </w:tc>
        <w:tc>
          <w:tcPr>
            <w:tcW w:w="848" w:type="dxa"/>
            <w:noWrap w:val="0"/>
            <w:vAlign w:val="center"/>
          </w:tcPr>
          <w:p w14:paraId="0B257F20">
            <w:pPr>
              <w:pStyle w:val="19"/>
              <w:bidi w:val="0"/>
              <w:rPr>
                <w:rFonts w:hint="default"/>
                <w:color w:val="auto"/>
                <w:highlight w:val="none"/>
              </w:rPr>
            </w:pPr>
            <w:r>
              <w:rPr>
                <w:rFonts w:hint="default"/>
                <w:color w:val="auto"/>
                <w:highlight w:val="none"/>
              </w:rPr>
              <w:t>符合</w:t>
            </w:r>
          </w:p>
        </w:tc>
      </w:tr>
      <w:tr w14:paraId="69ADC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10" w:hRule="atLeast"/>
          <w:jc w:val="center"/>
        </w:trPr>
        <w:tc>
          <w:tcPr>
            <w:tcW w:w="691" w:type="dxa"/>
            <w:noWrap w:val="0"/>
            <w:vAlign w:val="center"/>
          </w:tcPr>
          <w:p w14:paraId="795228E6">
            <w:pPr>
              <w:pStyle w:val="19"/>
              <w:bidi w:val="0"/>
              <w:rPr>
                <w:rFonts w:hint="default"/>
                <w:color w:val="auto"/>
                <w:highlight w:val="none"/>
              </w:rPr>
            </w:pPr>
            <w:r>
              <w:rPr>
                <w:rFonts w:hint="default"/>
                <w:color w:val="auto"/>
                <w:highlight w:val="none"/>
              </w:rPr>
              <w:t>3</w:t>
            </w:r>
          </w:p>
        </w:tc>
        <w:tc>
          <w:tcPr>
            <w:tcW w:w="3543" w:type="dxa"/>
            <w:noWrap w:val="0"/>
            <w:vAlign w:val="center"/>
          </w:tcPr>
          <w:p w14:paraId="3A76E32D">
            <w:pPr>
              <w:pStyle w:val="19"/>
              <w:bidi w:val="0"/>
              <w:rPr>
                <w:rFonts w:hint="default"/>
                <w:color w:val="auto"/>
                <w:highlight w:val="none"/>
              </w:rPr>
            </w:pPr>
            <w:r>
              <w:rPr>
                <w:rFonts w:hint="default"/>
                <w:color w:val="auto"/>
                <w:highlight w:val="none"/>
              </w:rPr>
              <w:t>厂址应有便利和经济的交通运输条件，与厂外铁路、公路的连接，应便捷、工程量小。临近江、河、湖、海的厂址，通航条件满足企业运输要求时，应尽量利用水运，且厂址宜靠近适合建设码头的地段。</w:t>
            </w:r>
          </w:p>
        </w:tc>
        <w:tc>
          <w:tcPr>
            <w:tcW w:w="2664" w:type="dxa"/>
            <w:noWrap w:val="0"/>
            <w:vAlign w:val="center"/>
          </w:tcPr>
          <w:p w14:paraId="4C9869A0">
            <w:pPr>
              <w:pStyle w:val="19"/>
              <w:bidi w:val="0"/>
              <w:rPr>
                <w:rFonts w:hint="default"/>
                <w:color w:val="auto"/>
                <w:highlight w:val="none"/>
              </w:rPr>
            </w:pPr>
            <w:r>
              <w:rPr>
                <w:rFonts w:hint="default"/>
                <w:color w:val="auto"/>
                <w:highlight w:val="none"/>
              </w:rPr>
              <w:t>《工业企业总平面设计规范》GB50187-2012第3.0.5条</w:t>
            </w:r>
          </w:p>
        </w:tc>
        <w:tc>
          <w:tcPr>
            <w:tcW w:w="1654" w:type="dxa"/>
            <w:noWrap w:val="0"/>
            <w:vAlign w:val="center"/>
          </w:tcPr>
          <w:p w14:paraId="6FB3E729">
            <w:pPr>
              <w:pStyle w:val="19"/>
              <w:bidi w:val="0"/>
              <w:rPr>
                <w:rFonts w:hint="default"/>
                <w:color w:val="auto"/>
                <w:highlight w:val="none"/>
                <w:lang w:eastAsia="zh-CN"/>
              </w:rPr>
            </w:pPr>
            <w:r>
              <w:rPr>
                <w:rFonts w:hint="default"/>
                <w:color w:val="auto"/>
                <w:highlight w:val="none"/>
              </w:rPr>
              <w:t>拟建场地交通运输便利</w:t>
            </w:r>
            <w:r>
              <w:rPr>
                <w:rFonts w:hint="default"/>
                <w:color w:val="auto"/>
                <w:highlight w:val="none"/>
                <w:lang w:eastAsia="zh-CN"/>
              </w:rPr>
              <w:t>。</w:t>
            </w:r>
          </w:p>
        </w:tc>
        <w:tc>
          <w:tcPr>
            <w:tcW w:w="848" w:type="dxa"/>
            <w:noWrap w:val="0"/>
            <w:vAlign w:val="center"/>
          </w:tcPr>
          <w:p w14:paraId="7DE54D80">
            <w:pPr>
              <w:pStyle w:val="19"/>
              <w:bidi w:val="0"/>
              <w:rPr>
                <w:rFonts w:hint="default"/>
                <w:color w:val="auto"/>
                <w:highlight w:val="none"/>
              </w:rPr>
            </w:pPr>
            <w:r>
              <w:rPr>
                <w:rFonts w:hint="default"/>
                <w:color w:val="auto"/>
                <w:highlight w:val="none"/>
              </w:rPr>
              <w:t>符合</w:t>
            </w:r>
          </w:p>
        </w:tc>
      </w:tr>
      <w:tr w14:paraId="63952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95" w:hRule="atLeast"/>
          <w:jc w:val="center"/>
        </w:trPr>
        <w:tc>
          <w:tcPr>
            <w:tcW w:w="691" w:type="dxa"/>
            <w:noWrap w:val="0"/>
            <w:vAlign w:val="center"/>
          </w:tcPr>
          <w:p w14:paraId="3B75BEF4">
            <w:pPr>
              <w:pStyle w:val="19"/>
              <w:bidi w:val="0"/>
              <w:rPr>
                <w:rFonts w:hint="default"/>
                <w:color w:val="auto"/>
                <w:highlight w:val="none"/>
              </w:rPr>
            </w:pPr>
            <w:r>
              <w:rPr>
                <w:rFonts w:hint="default"/>
                <w:color w:val="auto"/>
                <w:highlight w:val="none"/>
              </w:rPr>
              <w:t>4</w:t>
            </w:r>
          </w:p>
        </w:tc>
        <w:tc>
          <w:tcPr>
            <w:tcW w:w="3543" w:type="dxa"/>
            <w:noWrap w:val="0"/>
            <w:vAlign w:val="center"/>
          </w:tcPr>
          <w:p w14:paraId="134D0103">
            <w:pPr>
              <w:pStyle w:val="19"/>
              <w:bidi w:val="0"/>
              <w:rPr>
                <w:rFonts w:hint="default"/>
                <w:color w:val="auto"/>
                <w:highlight w:val="none"/>
              </w:rPr>
            </w:pPr>
            <w:r>
              <w:rPr>
                <w:rFonts w:hint="default"/>
                <w:color w:val="auto"/>
                <w:highlight w:val="none"/>
              </w:rPr>
              <w:t>厂址应具有满足生产、生活及发展所必需的水源和电源。水源和电源与厂址之间的管线连接应尽量短捷，且用水、用电量（特别）大的工业企业宜靠近水源及电源地。</w:t>
            </w:r>
          </w:p>
        </w:tc>
        <w:tc>
          <w:tcPr>
            <w:tcW w:w="2664" w:type="dxa"/>
            <w:noWrap w:val="0"/>
            <w:vAlign w:val="center"/>
          </w:tcPr>
          <w:p w14:paraId="2C80E74D">
            <w:pPr>
              <w:pStyle w:val="19"/>
              <w:bidi w:val="0"/>
              <w:rPr>
                <w:rFonts w:hint="default"/>
                <w:color w:val="auto"/>
                <w:highlight w:val="none"/>
              </w:rPr>
            </w:pPr>
            <w:r>
              <w:rPr>
                <w:rFonts w:hint="default"/>
                <w:color w:val="auto"/>
                <w:highlight w:val="none"/>
              </w:rPr>
              <w:t>《工业企业总平面设计规范》GB50187-2012第3.0.6条</w:t>
            </w:r>
          </w:p>
        </w:tc>
        <w:tc>
          <w:tcPr>
            <w:tcW w:w="1654" w:type="dxa"/>
            <w:noWrap w:val="0"/>
            <w:vAlign w:val="center"/>
          </w:tcPr>
          <w:p w14:paraId="0AC852A0">
            <w:pPr>
              <w:pStyle w:val="19"/>
              <w:bidi w:val="0"/>
              <w:rPr>
                <w:rFonts w:hint="default"/>
                <w:color w:val="auto"/>
                <w:highlight w:val="none"/>
                <w:lang w:eastAsia="zh-CN"/>
              </w:rPr>
            </w:pPr>
            <w:r>
              <w:rPr>
                <w:rFonts w:hint="default"/>
                <w:color w:val="auto"/>
                <w:highlight w:val="none"/>
              </w:rPr>
              <w:t>水源、电源供应有保障</w:t>
            </w:r>
            <w:r>
              <w:rPr>
                <w:rFonts w:hint="default"/>
                <w:color w:val="auto"/>
                <w:highlight w:val="none"/>
                <w:lang w:eastAsia="zh-CN"/>
              </w:rPr>
              <w:t>。</w:t>
            </w:r>
          </w:p>
        </w:tc>
        <w:tc>
          <w:tcPr>
            <w:tcW w:w="848" w:type="dxa"/>
            <w:noWrap w:val="0"/>
            <w:vAlign w:val="center"/>
          </w:tcPr>
          <w:p w14:paraId="257E4D03">
            <w:pPr>
              <w:pStyle w:val="19"/>
              <w:bidi w:val="0"/>
              <w:rPr>
                <w:rFonts w:hint="default"/>
                <w:color w:val="auto"/>
                <w:highlight w:val="none"/>
              </w:rPr>
            </w:pPr>
            <w:r>
              <w:rPr>
                <w:rFonts w:hint="default"/>
                <w:color w:val="auto"/>
                <w:highlight w:val="none"/>
              </w:rPr>
              <w:t>符合</w:t>
            </w:r>
          </w:p>
        </w:tc>
      </w:tr>
      <w:tr w14:paraId="5495A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1" w:type="dxa"/>
            <w:noWrap w:val="0"/>
            <w:vAlign w:val="center"/>
          </w:tcPr>
          <w:p w14:paraId="2ABEDAC5">
            <w:pPr>
              <w:pStyle w:val="19"/>
              <w:bidi w:val="0"/>
              <w:rPr>
                <w:rFonts w:hint="default"/>
                <w:color w:val="auto"/>
                <w:highlight w:val="none"/>
              </w:rPr>
            </w:pPr>
            <w:r>
              <w:rPr>
                <w:rFonts w:hint="default"/>
                <w:color w:val="auto"/>
                <w:highlight w:val="none"/>
              </w:rPr>
              <w:t>5</w:t>
            </w:r>
          </w:p>
        </w:tc>
        <w:tc>
          <w:tcPr>
            <w:tcW w:w="3543" w:type="dxa"/>
            <w:noWrap w:val="0"/>
            <w:vAlign w:val="center"/>
          </w:tcPr>
          <w:p w14:paraId="4280EE3C">
            <w:pPr>
              <w:pStyle w:val="19"/>
              <w:bidi w:val="0"/>
              <w:rPr>
                <w:rFonts w:hint="default"/>
                <w:color w:val="auto"/>
                <w:highlight w:val="none"/>
              </w:rPr>
            </w:pPr>
            <w:r>
              <w:rPr>
                <w:rFonts w:hint="default"/>
                <w:color w:val="auto"/>
                <w:highlight w:val="none"/>
              </w:rPr>
              <w:t>厂址应具有满足建设工程需要的工程地质条件和水文地质条件。</w:t>
            </w:r>
          </w:p>
        </w:tc>
        <w:tc>
          <w:tcPr>
            <w:tcW w:w="2664" w:type="dxa"/>
            <w:noWrap w:val="0"/>
            <w:vAlign w:val="center"/>
          </w:tcPr>
          <w:p w14:paraId="3442CAF2">
            <w:pPr>
              <w:pStyle w:val="19"/>
              <w:bidi w:val="0"/>
              <w:rPr>
                <w:rFonts w:hint="default"/>
                <w:color w:val="auto"/>
                <w:highlight w:val="none"/>
              </w:rPr>
            </w:pPr>
            <w:r>
              <w:rPr>
                <w:rFonts w:hint="default"/>
                <w:color w:val="auto"/>
                <w:highlight w:val="none"/>
              </w:rPr>
              <w:t>《工业企业总平面设计规范》GB50187-2012第3.0.8条</w:t>
            </w:r>
          </w:p>
        </w:tc>
        <w:tc>
          <w:tcPr>
            <w:tcW w:w="1654" w:type="dxa"/>
            <w:noWrap w:val="0"/>
            <w:vAlign w:val="center"/>
          </w:tcPr>
          <w:p w14:paraId="1EB3CBCF">
            <w:pPr>
              <w:pStyle w:val="19"/>
              <w:bidi w:val="0"/>
              <w:rPr>
                <w:rFonts w:hint="default"/>
                <w:color w:val="auto"/>
                <w:highlight w:val="none"/>
                <w:lang w:eastAsia="zh-CN"/>
              </w:rPr>
            </w:pPr>
            <w:r>
              <w:rPr>
                <w:rFonts w:hint="default"/>
                <w:color w:val="auto"/>
                <w:highlight w:val="none"/>
              </w:rPr>
              <w:t>工程地质、水文地质符合要求</w:t>
            </w:r>
            <w:r>
              <w:rPr>
                <w:rFonts w:hint="default"/>
                <w:color w:val="auto"/>
                <w:highlight w:val="none"/>
                <w:lang w:eastAsia="zh-CN"/>
              </w:rPr>
              <w:t>。</w:t>
            </w:r>
          </w:p>
        </w:tc>
        <w:tc>
          <w:tcPr>
            <w:tcW w:w="848" w:type="dxa"/>
            <w:noWrap w:val="0"/>
            <w:vAlign w:val="center"/>
          </w:tcPr>
          <w:p w14:paraId="32669398">
            <w:pPr>
              <w:pStyle w:val="19"/>
              <w:bidi w:val="0"/>
              <w:rPr>
                <w:rFonts w:hint="default"/>
                <w:color w:val="auto"/>
                <w:highlight w:val="none"/>
              </w:rPr>
            </w:pPr>
            <w:r>
              <w:rPr>
                <w:rFonts w:hint="default"/>
                <w:color w:val="auto"/>
                <w:highlight w:val="none"/>
              </w:rPr>
              <w:t>符合</w:t>
            </w:r>
          </w:p>
        </w:tc>
      </w:tr>
      <w:tr w14:paraId="4B977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5" w:hRule="atLeast"/>
          <w:jc w:val="center"/>
        </w:trPr>
        <w:tc>
          <w:tcPr>
            <w:tcW w:w="691" w:type="dxa"/>
            <w:noWrap w:val="0"/>
            <w:vAlign w:val="center"/>
          </w:tcPr>
          <w:p w14:paraId="7F0343D6">
            <w:pPr>
              <w:pStyle w:val="19"/>
              <w:bidi w:val="0"/>
              <w:rPr>
                <w:rFonts w:hint="default"/>
                <w:color w:val="auto"/>
                <w:highlight w:val="none"/>
              </w:rPr>
            </w:pPr>
            <w:r>
              <w:rPr>
                <w:rFonts w:hint="default"/>
                <w:color w:val="auto"/>
                <w:highlight w:val="none"/>
              </w:rPr>
              <w:t>6</w:t>
            </w:r>
          </w:p>
        </w:tc>
        <w:tc>
          <w:tcPr>
            <w:tcW w:w="3543" w:type="dxa"/>
            <w:noWrap w:val="0"/>
            <w:vAlign w:val="center"/>
          </w:tcPr>
          <w:p w14:paraId="7945965D">
            <w:pPr>
              <w:pStyle w:val="19"/>
              <w:bidi w:val="0"/>
              <w:rPr>
                <w:rFonts w:hint="default"/>
                <w:color w:val="auto"/>
                <w:highlight w:val="none"/>
              </w:rPr>
            </w:pPr>
            <w:r>
              <w:rPr>
                <w:rFonts w:hint="default"/>
                <w:color w:val="auto"/>
                <w:highlight w:val="none"/>
              </w:rPr>
              <w:t>厂址不应选择在地下采空区塌落界限和露天爆破危险区以内，也不应选择在炸药加工厂、爆破器材库及油库最小安全距离范围内。</w:t>
            </w:r>
          </w:p>
        </w:tc>
        <w:tc>
          <w:tcPr>
            <w:tcW w:w="2664" w:type="dxa"/>
            <w:noWrap w:val="0"/>
            <w:vAlign w:val="center"/>
          </w:tcPr>
          <w:p w14:paraId="7BCD69EC">
            <w:pPr>
              <w:pStyle w:val="19"/>
              <w:bidi w:val="0"/>
              <w:rPr>
                <w:rFonts w:hint="default"/>
                <w:color w:val="auto"/>
                <w:highlight w:val="none"/>
              </w:rPr>
            </w:pPr>
            <w:r>
              <w:rPr>
                <w:rFonts w:hint="default"/>
                <w:color w:val="auto"/>
                <w:highlight w:val="none"/>
              </w:rPr>
              <w:t>《选矿安全规程》（</w:t>
            </w:r>
            <w:r>
              <w:rPr>
                <w:rFonts w:hint="eastAsia"/>
                <w:color w:val="auto"/>
                <w:highlight w:val="none"/>
                <w:lang w:eastAsia="zh-CN"/>
              </w:rPr>
              <w:t>GB/T 18152-2000</w:t>
            </w:r>
            <w:r>
              <w:rPr>
                <w:rFonts w:hint="default"/>
                <w:color w:val="auto"/>
                <w:highlight w:val="none"/>
              </w:rPr>
              <w:t>）5.1.3条</w:t>
            </w:r>
          </w:p>
        </w:tc>
        <w:tc>
          <w:tcPr>
            <w:tcW w:w="1654" w:type="dxa"/>
            <w:noWrap w:val="0"/>
            <w:vAlign w:val="center"/>
          </w:tcPr>
          <w:p w14:paraId="0777F608">
            <w:pPr>
              <w:pStyle w:val="19"/>
              <w:bidi w:val="0"/>
              <w:rPr>
                <w:rFonts w:hint="default"/>
                <w:color w:val="auto"/>
                <w:highlight w:val="none"/>
              </w:rPr>
            </w:pPr>
            <w:r>
              <w:rPr>
                <w:rFonts w:hint="default"/>
                <w:color w:val="auto"/>
                <w:highlight w:val="none"/>
              </w:rPr>
              <w:t>厂址选择合理，未在上述危险区内。</w:t>
            </w:r>
          </w:p>
        </w:tc>
        <w:tc>
          <w:tcPr>
            <w:tcW w:w="848" w:type="dxa"/>
            <w:noWrap w:val="0"/>
            <w:vAlign w:val="center"/>
          </w:tcPr>
          <w:p w14:paraId="14AE8AAC">
            <w:pPr>
              <w:pStyle w:val="19"/>
              <w:bidi w:val="0"/>
              <w:rPr>
                <w:rFonts w:hint="default"/>
                <w:color w:val="auto"/>
                <w:highlight w:val="none"/>
              </w:rPr>
            </w:pPr>
            <w:r>
              <w:rPr>
                <w:rFonts w:hint="default"/>
                <w:color w:val="auto"/>
                <w:highlight w:val="none"/>
              </w:rPr>
              <w:t>符合</w:t>
            </w:r>
          </w:p>
        </w:tc>
      </w:tr>
      <w:tr w14:paraId="7EFCF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5" w:hRule="atLeast"/>
          <w:jc w:val="center"/>
        </w:trPr>
        <w:tc>
          <w:tcPr>
            <w:tcW w:w="691" w:type="dxa"/>
            <w:noWrap w:val="0"/>
            <w:vAlign w:val="center"/>
          </w:tcPr>
          <w:p w14:paraId="62BF81D9">
            <w:pPr>
              <w:pStyle w:val="19"/>
              <w:bidi w:val="0"/>
              <w:rPr>
                <w:rFonts w:hint="default"/>
                <w:color w:val="auto"/>
                <w:highlight w:val="none"/>
              </w:rPr>
            </w:pPr>
            <w:r>
              <w:rPr>
                <w:rFonts w:hint="default"/>
                <w:color w:val="auto"/>
                <w:highlight w:val="none"/>
              </w:rPr>
              <w:t>7</w:t>
            </w:r>
          </w:p>
        </w:tc>
        <w:tc>
          <w:tcPr>
            <w:tcW w:w="3543" w:type="dxa"/>
            <w:noWrap w:val="0"/>
            <w:vAlign w:val="center"/>
          </w:tcPr>
          <w:p w14:paraId="7A653F52">
            <w:pPr>
              <w:pStyle w:val="19"/>
              <w:bidi w:val="0"/>
              <w:rPr>
                <w:rFonts w:hint="default"/>
                <w:color w:val="auto"/>
                <w:highlight w:val="none"/>
              </w:rPr>
            </w:pPr>
            <w:r>
              <w:rPr>
                <w:rFonts w:hint="default"/>
                <w:color w:val="auto"/>
                <w:highlight w:val="none"/>
              </w:rPr>
              <w:t>厂址应避免选在地震断层带和基本烈度高于9度的地区；否则应按国家有关抗震规定进行设防。</w:t>
            </w:r>
          </w:p>
        </w:tc>
        <w:tc>
          <w:tcPr>
            <w:tcW w:w="2664" w:type="dxa"/>
            <w:noWrap w:val="0"/>
            <w:vAlign w:val="center"/>
          </w:tcPr>
          <w:p w14:paraId="592662E1">
            <w:pPr>
              <w:pStyle w:val="19"/>
              <w:bidi w:val="0"/>
              <w:rPr>
                <w:rFonts w:hint="default"/>
                <w:color w:val="auto"/>
                <w:highlight w:val="none"/>
              </w:rPr>
            </w:pPr>
            <w:r>
              <w:rPr>
                <w:rFonts w:hint="default"/>
                <w:color w:val="auto"/>
                <w:highlight w:val="none"/>
              </w:rPr>
              <w:t>《选矿安全规程》（</w:t>
            </w:r>
            <w:r>
              <w:rPr>
                <w:rFonts w:hint="eastAsia"/>
                <w:color w:val="auto"/>
                <w:highlight w:val="none"/>
                <w:lang w:eastAsia="zh-CN"/>
              </w:rPr>
              <w:t>GB/T 18152-2000</w:t>
            </w:r>
            <w:r>
              <w:rPr>
                <w:rFonts w:hint="default"/>
                <w:color w:val="auto"/>
                <w:highlight w:val="none"/>
              </w:rPr>
              <w:t>）5.1.4条</w:t>
            </w:r>
          </w:p>
        </w:tc>
        <w:tc>
          <w:tcPr>
            <w:tcW w:w="1654" w:type="dxa"/>
            <w:noWrap w:val="0"/>
            <w:vAlign w:val="center"/>
          </w:tcPr>
          <w:p w14:paraId="66AFA5DE">
            <w:pPr>
              <w:pStyle w:val="19"/>
              <w:bidi w:val="0"/>
              <w:rPr>
                <w:rFonts w:hint="default"/>
                <w:color w:val="auto"/>
                <w:highlight w:val="none"/>
              </w:rPr>
            </w:pPr>
            <w:r>
              <w:rPr>
                <w:rFonts w:hint="default"/>
                <w:color w:val="auto"/>
                <w:highlight w:val="none"/>
              </w:rPr>
              <w:t>厂区所在地区为7度设防地区。</w:t>
            </w:r>
          </w:p>
        </w:tc>
        <w:tc>
          <w:tcPr>
            <w:tcW w:w="848" w:type="dxa"/>
            <w:noWrap w:val="0"/>
            <w:vAlign w:val="center"/>
          </w:tcPr>
          <w:p w14:paraId="4DF8AA41">
            <w:pPr>
              <w:pStyle w:val="19"/>
              <w:bidi w:val="0"/>
              <w:rPr>
                <w:rFonts w:hint="default"/>
                <w:color w:val="auto"/>
                <w:highlight w:val="none"/>
              </w:rPr>
            </w:pPr>
            <w:r>
              <w:rPr>
                <w:rFonts w:hint="default"/>
                <w:color w:val="auto"/>
                <w:highlight w:val="none"/>
              </w:rPr>
              <w:t>符合</w:t>
            </w:r>
          </w:p>
        </w:tc>
      </w:tr>
      <w:tr w14:paraId="2450D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0" w:hRule="atLeast"/>
          <w:jc w:val="center"/>
        </w:trPr>
        <w:tc>
          <w:tcPr>
            <w:tcW w:w="691" w:type="dxa"/>
            <w:noWrap w:val="0"/>
            <w:vAlign w:val="center"/>
          </w:tcPr>
          <w:p w14:paraId="721CE308">
            <w:pPr>
              <w:pStyle w:val="19"/>
              <w:bidi w:val="0"/>
              <w:rPr>
                <w:rFonts w:hint="default"/>
                <w:color w:val="auto"/>
                <w:highlight w:val="none"/>
              </w:rPr>
            </w:pPr>
            <w:r>
              <w:rPr>
                <w:rFonts w:hint="default"/>
                <w:color w:val="auto"/>
                <w:highlight w:val="none"/>
              </w:rPr>
              <w:t>8</w:t>
            </w:r>
          </w:p>
        </w:tc>
        <w:tc>
          <w:tcPr>
            <w:tcW w:w="3543" w:type="dxa"/>
            <w:noWrap w:val="0"/>
            <w:vAlign w:val="center"/>
          </w:tcPr>
          <w:p w14:paraId="261CFA38">
            <w:pPr>
              <w:pStyle w:val="19"/>
              <w:bidi w:val="0"/>
              <w:rPr>
                <w:rFonts w:hint="default"/>
                <w:color w:val="auto"/>
                <w:highlight w:val="none"/>
              </w:rPr>
            </w:pPr>
            <w:r>
              <w:rPr>
                <w:rFonts w:hint="default"/>
                <w:color w:val="auto"/>
                <w:highlight w:val="none"/>
              </w:rPr>
              <w:t>选择厂址，应有完整的地形、工程地质、水文地质、地震、气象及环境影响评价等方面的资料作依据。</w:t>
            </w:r>
          </w:p>
        </w:tc>
        <w:tc>
          <w:tcPr>
            <w:tcW w:w="2664" w:type="dxa"/>
            <w:noWrap w:val="0"/>
            <w:vAlign w:val="center"/>
          </w:tcPr>
          <w:p w14:paraId="2E2D0236">
            <w:pPr>
              <w:pStyle w:val="19"/>
              <w:bidi w:val="0"/>
              <w:rPr>
                <w:rFonts w:hint="default"/>
                <w:color w:val="auto"/>
                <w:highlight w:val="none"/>
              </w:rPr>
            </w:pPr>
            <w:r>
              <w:rPr>
                <w:rFonts w:hint="default"/>
                <w:color w:val="auto"/>
                <w:highlight w:val="none"/>
              </w:rPr>
              <w:t>《选矿安全规程》（</w:t>
            </w:r>
            <w:r>
              <w:rPr>
                <w:rFonts w:hint="eastAsia"/>
                <w:color w:val="auto"/>
                <w:highlight w:val="none"/>
                <w:lang w:eastAsia="zh-CN"/>
              </w:rPr>
              <w:t>GB/T 18152-2000</w:t>
            </w:r>
            <w:r>
              <w:rPr>
                <w:rFonts w:hint="default"/>
                <w:color w:val="auto"/>
                <w:highlight w:val="none"/>
              </w:rPr>
              <w:t>）5.1.1条</w:t>
            </w:r>
          </w:p>
        </w:tc>
        <w:tc>
          <w:tcPr>
            <w:tcW w:w="1654" w:type="dxa"/>
            <w:noWrap w:val="0"/>
            <w:vAlign w:val="center"/>
          </w:tcPr>
          <w:p w14:paraId="56A585F9">
            <w:pPr>
              <w:pStyle w:val="19"/>
              <w:bidi w:val="0"/>
              <w:rPr>
                <w:rFonts w:hint="default"/>
                <w:color w:val="auto"/>
                <w:highlight w:val="none"/>
                <w:lang w:eastAsia="zh-CN"/>
              </w:rPr>
            </w:pPr>
            <w:r>
              <w:rPr>
                <w:rFonts w:hint="eastAsia"/>
                <w:color w:val="auto"/>
                <w:highlight w:val="none"/>
                <w:lang w:val="en-US" w:eastAsia="zh-CN"/>
              </w:rPr>
              <w:t>勘察报告、</w:t>
            </w:r>
            <w:r>
              <w:rPr>
                <w:rFonts w:hint="default"/>
                <w:color w:val="auto"/>
                <w:highlight w:val="none"/>
              </w:rPr>
              <w:t>初步设计有相关内容</w:t>
            </w:r>
            <w:r>
              <w:rPr>
                <w:rFonts w:hint="default"/>
                <w:color w:val="auto"/>
                <w:highlight w:val="none"/>
                <w:lang w:eastAsia="zh-CN"/>
              </w:rPr>
              <w:t>。</w:t>
            </w:r>
          </w:p>
        </w:tc>
        <w:tc>
          <w:tcPr>
            <w:tcW w:w="848" w:type="dxa"/>
            <w:noWrap w:val="0"/>
            <w:vAlign w:val="center"/>
          </w:tcPr>
          <w:p w14:paraId="71670535">
            <w:pPr>
              <w:pStyle w:val="19"/>
              <w:bidi w:val="0"/>
              <w:rPr>
                <w:rFonts w:hint="default"/>
                <w:color w:val="auto"/>
                <w:highlight w:val="none"/>
              </w:rPr>
            </w:pPr>
            <w:r>
              <w:rPr>
                <w:rFonts w:hint="default"/>
                <w:color w:val="auto"/>
                <w:highlight w:val="none"/>
              </w:rPr>
              <w:t>符合</w:t>
            </w:r>
          </w:p>
        </w:tc>
      </w:tr>
      <w:tr w14:paraId="064E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00" w:type="dxa"/>
            <w:gridSpan w:val="5"/>
            <w:noWrap w:val="0"/>
            <w:vAlign w:val="center"/>
          </w:tcPr>
          <w:p w14:paraId="7470C785">
            <w:pPr>
              <w:pStyle w:val="19"/>
              <w:bidi w:val="0"/>
              <w:rPr>
                <w:rFonts w:hint="default"/>
                <w:color w:val="auto"/>
                <w:highlight w:val="none"/>
              </w:rPr>
            </w:pPr>
            <w:r>
              <w:rPr>
                <w:rFonts w:hint="default"/>
                <w:color w:val="auto"/>
                <w:highlight w:val="none"/>
              </w:rPr>
              <w:t>二、总平面布置</w:t>
            </w:r>
          </w:p>
        </w:tc>
      </w:tr>
      <w:tr w14:paraId="7E26F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5" w:hRule="atLeast"/>
          <w:jc w:val="center"/>
        </w:trPr>
        <w:tc>
          <w:tcPr>
            <w:tcW w:w="691" w:type="dxa"/>
            <w:noWrap w:val="0"/>
            <w:vAlign w:val="center"/>
          </w:tcPr>
          <w:p w14:paraId="20B7934D">
            <w:pPr>
              <w:pStyle w:val="19"/>
              <w:bidi w:val="0"/>
              <w:rPr>
                <w:rFonts w:hint="default"/>
                <w:color w:val="auto"/>
                <w:highlight w:val="none"/>
              </w:rPr>
            </w:pPr>
            <w:r>
              <w:rPr>
                <w:rFonts w:hint="default"/>
                <w:color w:val="auto"/>
                <w:highlight w:val="none"/>
              </w:rPr>
              <w:t>1</w:t>
            </w:r>
          </w:p>
        </w:tc>
        <w:tc>
          <w:tcPr>
            <w:tcW w:w="3543" w:type="dxa"/>
            <w:noWrap w:val="0"/>
            <w:vAlign w:val="center"/>
          </w:tcPr>
          <w:p w14:paraId="7B6C0B11">
            <w:pPr>
              <w:pStyle w:val="19"/>
              <w:bidi w:val="0"/>
              <w:rPr>
                <w:rFonts w:hint="default"/>
                <w:color w:val="auto"/>
                <w:highlight w:val="none"/>
              </w:rPr>
            </w:pPr>
            <w:r>
              <w:rPr>
                <w:rFonts w:hint="default"/>
                <w:color w:val="auto"/>
                <w:highlight w:val="none"/>
              </w:rPr>
              <w:t>总平面布置应节约集约用地，提高土地利用率。布置时并应符合下列要求：1、在符合生产流程、操作要求和使用功能的前提下，建筑物、构筑物等设施，应采用联合、集中、多层布置；2、应按企业规模和功能分区，合理地确定通道宽度；3、厂区功能分区及建筑物、构筑物的外形宜规整；4、功能分区内各项设施的布置，应紧凑、合理。</w:t>
            </w:r>
          </w:p>
        </w:tc>
        <w:tc>
          <w:tcPr>
            <w:tcW w:w="2664" w:type="dxa"/>
            <w:noWrap w:val="0"/>
            <w:vAlign w:val="center"/>
          </w:tcPr>
          <w:p w14:paraId="4E37DF62">
            <w:pPr>
              <w:pStyle w:val="19"/>
              <w:bidi w:val="0"/>
              <w:rPr>
                <w:rFonts w:hint="default"/>
                <w:color w:val="auto"/>
                <w:highlight w:val="none"/>
              </w:rPr>
            </w:pPr>
            <w:r>
              <w:rPr>
                <w:rFonts w:hint="default"/>
                <w:color w:val="auto"/>
                <w:highlight w:val="none"/>
              </w:rPr>
              <w:t>《工业企业总平面设计规范》GB50187-2012第5.1.2条</w:t>
            </w:r>
          </w:p>
        </w:tc>
        <w:tc>
          <w:tcPr>
            <w:tcW w:w="1654" w:type="dxa"/>
            <w:noWrap w:val="0"/>
            <w:vAlign w:val="center"/>
          </w:tcPr>
          <w:p w14:paraId="77ECDEBA">
            <w:pPr>
              <w:pStyle w:val="19"/>
              <w:bidi w:val="0"/>
              <w:rPr>
                <w:rFonts w:hint="default"/>
                <w:color w:val="auto"/>
                <w:highlight w:val="none"/>
                <w:lang w:eastAsia="zh-CN"/>
              </w:rPr>
            </w:pPr>
            <w:r>
              <w:rPr>
                <w:rFonts w:hint="default"/>
                <w:color w:val="auto"/>
                <w:highlight w:val="none"/>
              </w:rPr>
              <w:t>根据功能区进行划分</w:t>
            </w:r>
            <w:r>
              <w:rPr>
                <w:rFonts w:hint="default"/>
                <w:color w:val="auto"/>
                <w:highlight w:val="none"/>
                <w:lang w:eastAsia="zh-CN"/>
              </w:rPr>
              <w:t>。</w:t>
            </w:r>
          </w:p>
        </w:tc>
        <w:tc>
          <w:tcPr>
            <w:tcW w:w="848" w:type="dxa"/>
            <w:noWrap w:val="0"/>
            <w:vAlign w:val="center"/>
          </w:tcPr>
          <w:p w14:paraId="19840AAA">
            <w:pPr>
              <w:pStyle w:val="19"/>
              <w:bidi w:val="0"/>
              <w:rPr>
                <w:rFonts w:hint="default"/>
                <w:color w:val="auto"/>
                <w:highlight w:val="none"/>
              </w:rPr>
            </w:pPr>
            <w:r>
              <w:rPr>
                <w:rFonts w:hint="default"/>
                <w:color w:val="auto"/>
                <w:highlight w:val="none"/>
              </w:rPr>
              <w:t>符合</w:t>
            </w:r>
          </w:p>
        </w:tc>
      </w:tr>
      <w:tr w14:paraId="3CCE4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5" w:hRule="atLeast"/>
          <w:jc w:val="center"/>
        </w:trPr>
        <w:tc>
          <w:tcPr>
            <w:tcW w:w="691" w:type="dxa"/>
            <w:noWrap w:val="0"/>
            <w:vAlign w:val="center"/>
          </w:tcPr>
          <w:p w14:paraId="5825220A">
            <w:pPr>
              <w:pStyle w:val="19"/>
              <w:bidi w:val="0"/>
              <w:rPr>
                <w:rFonts w:hint="default"/>
                <w:color w:val="auto"/>
                <w:highlight w:val="none"/>
              </w:rPr>
            </w:pPr>
            <w:r>
              <w:rPr>
                <w:rFonts w:hint="default"/>
                <w:color w:val="auto"/>
                <w:highlight w:val="none"/>
              </w:rPr>
              <w:t>2</w:t>
            </w:r>
          </w:p>
        </w:tc>
        <w:tc>
          <w:tcPr>
            <w:tcW w:w="3543" w:type="dxa"/>
            <w:noWrap w:val="0"/>
            <w:vAlign w:val="center"/>
          </w:tcPr>
          <w:p w14:paraId="0AE669AD">
            <w:pPr>
              <w:pStyle w:val="19"/>
              <w:bidi w:val="0"/>
              <w:rPr>
                <w:rFonts w:hint="default"/>
                <w:color w:val="auto"/>
                <w:highlight w:val="none"/>
              </w:rPr>
            </w:pPr>
            <w:r>
              <w:rPr>
                <w:rFonts w:hint="default"/>
                <w:color w:val="auto"/>
                <w:highlight w:val="none"/>
              </w:rPr>
              <w:t>厂区的通道宽度，应符合下列要求：1、应符合通道两侧建筑物、构筑物及露天设施对防火、安全与卫生间距的要求；2、应符合铁路、道路与带式输送机通廊等工业运输线路的布置要求；3、应符合各种工程管线的布置要求；4、应符合绿化布置的要求；5、应符合施工、安装与检修的要求；6、应符合竖向设计的要求；7、应符合预留发展用地的要求。</w:t>
            </w:r>
          </w:p>
        </w:tc>
        <w:tc>
          <w:tcPr>
            <w:tcW w:w="2664" w:type="dxa"/>
            <w:noWrap w:val="0"/>
            <w:vAlign w:val="center"/>
          </w:tcPr>
          <w:p w14:paraId="3C382FB8">
            <w:pPr>
              <w:pStyle w:val="19"/>
              <w:bidi w:val="0"/>
              <w:rPr>
                <w:rFonts w:hint="default"/>
                <w:color w:val="auto"/>
                <w:highlight w:val="none"/>
              </w:rPr>
            </w:pPr>
            <w:r>
              <w:rPr>
                <w:rFonts w:hint="default"/>
                <w:color w:val="auto"/>
                <w:highlight w:val="none"/>
              </w:rPr>
              <w:t>《工业企业总平面设计规范》GB50187-2012第5.1.4条</w:t>
            </w:r>
          </w:p>
        </w:tc>
        <w:tc>
          <w:tcPr>
            <w:tcW w:w="1654" w:type="dxa"/>
            <w:noWrap w:val="0"/>
            <w:vAlign w:val="center"/>
          </w:tcPr>
          <w:p w14:paraId="03301BD5">
            <w:pPr>
              <w:pStyle w:val="19"/>
              <w:bidi w:val="0"/>
              <w:rPr>
                <w:rFonts w:hint="default"/>
                <w:color w:val="auto"/>
                <w:highlight w:val="none"/>
                <w:lang w:eastAsia="zh-CN"/>
              </w:rPr>
            </w:pPr>
            <w:r>
              <w:rPr>
                <w:rFonts w:hint="default"/>
                <w:color w:val="auto"/>
                <w:highlight w:val="none"/>
              </w:rPr>
              <w:t>项目各生产车间运输、检修及消防道路通过运输主干道连接至各生产车间，通过车间引道连接</w:t>
            </w:r>
            <w:r>
              <w:rPr>
                <w:rFonts w:hint="default"/>
                <w:color w:val="auto"/>
                <w:highlight w:val="none"/>
                <w:lang w:eastAsia="zh-CN"/>
              </w:rPr>
              <w:t>。</w:t>
            </w:r>
          </w:p>
        </w:tc>
        <w:tc>
          <w:tcPr>
            <w:tcW w:w="848" w:type="dxa"/>
            <w:noWrap w:val="0"/>
            <w:vAlign w:val="center"/>
          </w:tcPr>
          <w:p w14:paraId="5EC3A2D9">
            <w:pPr>
              <w:pStyle w:val="19"/>
              <w:bidi w:val="0"/>
              <w:rPr>
                <w:rFonts w:hint="default"/>
                <w:color w:val="auto"/>
                <w:highlight w:val="none"/>
              </w:rPr>
            </w:pPr>
            <w:r>
              <w:rPr>
                <w:rFonts w:hint="default"/>
                <w:color w:val="auto"/>
                <w:highlight w:val="none"/>
              </w:rPr>
              <w:t>符合</w:t>
            </w:r>
          </w:p>
        </w:tc>
      </w:tr>
      <w:tr w14:paraId="4C74B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5" w:hRule="atLeast"/>
          <w:jc w:val="center"/>
        </w:trPr>
        <w:tc>
          <w:tcPr>
            <w:tcW w:w="691" w:type="dxa"/>
            <w:noWrap w:val="0"/>
            <w:vAlign w:val="center"/>
          </w:tcPr>
          <w:p w14:paraId="25031B75">
            <w:pPr>
              <w:pStyle w:val="19"/>
              <w:bidi w:val="0"/>
              <w:rPr>
                <w:rFonts w:hint="default"/>
                <w:color w:val="auto"/>
                <w:highlight w:val="none"/>
              </w:rPr>
            </w:pPr>
            <w:r>
              <w:rPr>
                <w:rFonts w:hint="default"/>
                <w:color w:val="auto"/>
                <w:highlight w:val="none"/>
              </w:rPr>
              <w:t>3</w:t>
            </w:r>
          </w:p>
        </w:tc>
        <w:tc>
          <w:tcPr>
            <w:tcW w:w="3543" w:type="dxa"/>
            <w:noWrap w:val="0"/>
            <w:vAlign w:val="center"/>
          </w:tcPr>
          <w:p w14:paraId="43984AB8">
            <w:pPr>
              <w:pStyle w:val="19"/>
              <w:bidi w:val="0"/>
              <w:rPr>
                <w:rFonts w:hint="default"/>
                <w:color w:val="auto"/>
                <w:highlight w:val="none"/>
              </w:rPr>
            </w:pPr>
            <w:r>
              <w:rPr>
                <w:rFonts w:hint="default"/>
                <w:color w:val="auto"/>
                <w:highlight w:val="none"/>
              </w:rPr>
              <w:t>总平面布置，应合理地组织货流和人流，并应符合下列要求：1、运输线路的布置，应保证物流顺畅、径路短捷、不折返；2、应避免运输繁忙的铁路与道路平面交叉；3、应使人、货分流，应避免运输繁忙的货流与人流交叉；4、应避免进出厂的主要货流与企业外部交通干线的平面交叉。</w:t>
            </w:r>
          </w:p>
        </w:tc>
        <w:tc>
          <w:tcPr>
            <w:tcW w:w="2664" w:type="dxa"/>
            <w:noWrap w:val="0"/>
            <w:vAlign w:val="center"/>
          </w:tcPr>
          <w:p w14:paraId="0D98877C">
            <w:pPr>
              <w:pStyle w:val="19"/>
              <w:bidi w:val="0"/>
              <w:rPr>
                <w:rFonts w:hint="default"/>
                <w:color w:val="auto"/>
                <w:highlight w:val="none"/>
              </w:rPr>
            </w:pPr>
            <w:r>
              <w:rPr>
                <w:rFonts w:hint="default"/>
                <w:color w:val="auto"/>
                <w:highlight w:val="none"/>
              </w:rPr>
              <w:t>《工业企业总平面设计规范》GB50187-2012第5.1.8条</w:t>
            </w:r>
          </w:p>
        </w:tc>
        <w:tc>
          <w:tcPr>
            <w:tcW w:w="1654" w:type="dxa"/>
            <w:noWrap w:val="0"/>
            <w:vAlign w:val="center"/>
          </w:tcPr>
          <w:p w14:paraId="4230A1BF">
            <w:pPr>
              <w:pStyle w:val="19"/>
              <w:bidi w:val="0"/>
              <w:rPr>
                <w:rFonts w:hint="default"/>
                <w:color w:val="auto"/>
                <w:highlight w:val="none"/>
                <w:lang w:val="en-US" w:eastAsia="zh-CN"/>
              </w:rPr>
            </w:pPr>
            <w:r>
              <w:rPr>
                <w:rFonts w:hint="default"/>
                <w:color w:val="auto"/>
                <w:highlight w:val="none"/>
              </w:rPr>
              <w:t>人流与物流分开，明确</w:t>
            </w:r>
            <w:r>
              <w:rPr>
                <w:rFonts w:hint="default"/>
                <w:color w:val="auto"/>
                <w:highlight w:val="none"/>
                <w:lang w:val="en-US" w:eastAsia="zh-CN"/>
              </w:rPr>
              <w:t>原料</w:t>
            </w:r>
            <w:r>
              <w:rPr>
                <w:rFonts w:hint="default"/>
                <w:color w:val="auto"/>
                <w:highlight w:val="none"/>
              </w:rPr>
              <w:t>、辅料</w:t>
            </w:r>
            <w:r>
              <w:rPr>
                <w:rFonts w:hint="default"/>
                <w:color w:val="auto"/>
                <w:highlight w:val="none"/>
                <w:lang w:eastAsia="zh-CN"/>
              </w:rPr>
              <w:t>、</w:t>
            </w:r>
            <w:r>
              <w:rPr>
                <w:rFonts w:hint="default"/>
                <w:color w:val="auto"/>
                <w:highlight w:val="none"/>
                <w:lang w:val="en-US" w:eastAsia="zh-CN"/>
              </w:rPr>
              <w:t>成品</w:t>
            </w:r>
            <w:r>
              <w:rPr>
                <w:rFonts w:hint="default"/>
                <w:color w:val="auto"/>
                <w:highlight w:val="none"/>
              </w:rPr>
              <w:t>运输方案</w:t>
            </w:r>
            <w:r>
              <w:rPr>
                <w:rFonts w:hint="default"/>
                <w:color w:val="auto"/>
                <w:highlight w:val="none"/>
                <w:lang w:val="en-US" w:eastAsia="zh-CN"/>
              </w:rPr>
              <w:t>及人流出入口。</w:t>
            </w:r>
          </w:p>
        </w:tc>
        <w:tc>
          <w:tcPr>
            <w:tcW w:w="848" w:type="dxa"/>
            <w:noWrap w:val="0"/>
            <w:vAlign w:val="center"/>
          </w:tcPr>
          <w:p w14:paraId="6372F780">
            <w:pPr>
              <w:pStyle w:val="19"/>
              <w:bidi w:val="0"/>
              <w:rPr>
                <w:rFonts w:hint="default"/>
                <w:color w:val="auto"/>
                <w:highlight w:val="none"/>
              </w:rPr>
            </w:pPr>
            <w:r>
              <w:rPr>
                <w:rFonts w:hint="default"/>
                <w:color w:val="auto"/>
                <w:highlight w:val="none"/>
              </w:rPr>
              <w:t>符合</w:t>
            </w:r>
          </w:p>
        </w:tc>
      </w:tr>
      <w:tr w14:paraId="1FA39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0" w:hRule="atLeast"/>
          <w:jc w:val="center"/>
        </w:trPr>
        <w:tc>
          <w:tcPr>
            <w:tcW w:w="691" w:type="dxa"/>
            <w:noWrap w:val="0"/>
            <w:vAlign w:val="center"/>
          </w:tcPr>
          <w:p w14:paraId="5F71559E">
            <w:pPr>
              <w:pStyle w:val="19"/>
              <w:bidi w:val="0"/>
              <w:rPr>
                <w:rFonts w:hint="default"/>
                <w:color w:val="auto"/>
                <w:highlight w:val="none"/>
              </w:rPr>
            </w:pPr>
            <w:r>
              <w:rPr>
                <w:rFonts w:hint="default"/>
                <w:color w:val="auto"/>
                <w:highlight w:val="none"/>
              </w:rPr>
              <w:t>4</w:t>
            </w:r>
          </w:p>
        </w:tc>
        <w:tc>
          <w:tcPr>
            <w:tcW w:w="3543" w:type="dxa"/>
            <w:noWrap w:val="0"/>
            <w:vAlign w:val="center"/>
          </w:tcPr>
          <w:p w14:paraId="7BAE196D">
            <w:pPr>
              <w:pStyle w:val="19"/>
              <w:bidi w:val="0"/>
              <w:rPr>
                <w:rFonts w:hint="default"/>
                <w:color w:val="auto"/>
                <w:highlight w:val="none"/>
              </w:rPr>
            </w:pPr>
            <w:r>
              <w:rPr>
                <w:rFonts w:hint="default"/>
                <w:color w:val="auto"/>
                <w:highlight w:val="none"/>
              </w:rPr>
              <w:t>总平面布置应使建筑群体的平面布置与空间景观相协调，并应结合城镇规划及厂区绿化，提高环境质量，创造良好的生产条件和整洁友好的工作环境。</w:t>
            </w:r>
          </w:p>
        </w:tc>
        <w:tc>
          <w:tcPr>
            <w:tcW w:w="2664" w:type="dxa"/>
            <w:noWrap w:val="0"/>
            <w:vAlign w:val="center"/>
          </w:tcPr>
          <w:p w14:paraId="26E40763">
            <w:pPr>
              <w:pStyle w:val="19"/>
              <w:bidi w:val="0"/>
              <w:rPr>
                <w:rFonts w:hint="default"/>
                <w:color w:val="auto"/>
                <w:highlight w:val="none"/>
              </w:rPr>
            </w:pPr>
            <w:r>
              <w:rPr>
                <w:rFonts w:hint="default"/>
                <w:color w:val="auto"/>
                <w:highlight w:val="none"/>
              </w:rPr>
              <w:t>《工业企业总平面设计规范》GB50187-2012第5.1.9条</w:t>
            </w:r>
          </w:p>
        </w:tc>
        <w:tc>
          <w:tcPr>
            <w:tcW w:w="1654" w:type="dxa"/>
            <w:noWrap w:val="0"/>
            <w:vAlign w:val="center"/>
          </w:tcPr>
          <w:p w14:paraId="65E0F6AA">
            <w:pPr>
              <w:pStyle w:val="19"/>
              <w:bidi w:val="0"/>
              <w:rPr>
                <w:rFonts w:hint="default"/>
                <w:color w:val="auto"/>
                <w:highlight w:val="none"/>
              </w:rPr>
            </w:pPr>
            <w:r>
              <w:rPr>
                <w:rFonts w:hint="default"/>
                <w:color w:val="auto"/>
                <w:highlight w:val="none"/>
              </w:rPr>
              <w:t>项目拟在选矿厂范围内进行一定的环境绿化。</w:t>
            </w:r>
          </w:p>
        </w:tc>
        <w:tc>
          <w:tcPr>
            <w:tcW w:w="848" w:type="dxa"/>
            <w:noWrap w:val="0"/>
            <w:vAlign w:val="center"/>
          </w:tcPr>
          <w:p w14:paraId="644B4372">
            <w:pPr>
              <w:pStyle w:val="19"/>
              <w:bidi w:val="0"/>
              <w:rPr>
                <w:rFonts w:hint="default"/>
                <w:color w:val="auto"/>
                <w:highlight w:val="none"/>
              </w:rPr>
            </w:pPr>
            <w:r>
              <w:rPr>
                <w:rFonts w:hint="default"/>
                <w:color w:val="auto"/>
                <w:highlight w:val="none"/>
              </w:rPr>
              <w:t>符合</w:t>
            </w:r>
          </w:p>
        </w:tc>
      </w:tr>
      <w:tr w14:paraId="0060A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5" w:hRule="atLeast"/>
          <w:jc w:val="center"/>
        </w:trPr>
        <w:tc>
          <w:tcPr>
            <w:tcW w:w="691" w:type="dxa"/>
            <w:noWrap w:val="0"/>
            <w:vAlign w:val="center"/>
          </w:tcPr>
          <w:p w14:paraId="0E0A8B5E">
            <w:pPr>
              <w:pStyle w:val="19"/>
              <w:bidi w:val="0"/>
              <w:rPr>
                <w:rFonts w:hint="default"/>
                <w:color w:val="auto"/>
                <w:highlight w:val="none"/>
              </w:rPr>
            </w:pPr>
            <w:r>
              <w:rPr>
                <w:rFonts w:hint="default"/>
                <w:color w:val="auto"/>
                <w:highlight w:val="none"/>
              </w:rPr>
              <w:t>5</w:t>
            </w:r>
          </w:p>
        </w:tc>
        <w:tc>
          <w:tcPr>
            <w:tcW w:w="3543" w:type="dxa"/>
            <w:noWrap w:val="0"/>
            <w:vAlign w:val="center"/>
          </w:tcPr>
          <w:p w14:paraId="3FF703E2">
            <w:pPr>
              <w:pStyle w:val="19"/>
              <w:bidi w:val="0"/>
              <w:rPr>
                <w:rFonts w:hint="eastAsia" w:eastAsia="宋体"/>
                <w:color w:val="auto"/>
                <w:highlight w:val="none"/>
                <w:lang w:eastAsia="zh-CN"/>
              </w:rPr>
            </w:pPr>
            <w:r>
              <w:rPr>
                <w:rFonts w:hint="default"/>
                <w:color w:val="auto"/>
                <w:highlight w:val="none"/>
              </w:rPr>
              <w:t>工业企业的建筑物、构筑物之间及其与铁路、道路之间的防火间距，以及消防通道的设置，应执行现行国家《建筑设计防火规范》GB50016等有关的规定</w:t>
            </w:r>
            <w:r>
              <w:rPr>
                <w:rFonts w:hint="eastAsia"/>
                <w:color w:val="auto"/>
                <w:lang w:eastAsia="zh-CN"/>
              </w:rPr>
              <w:t>。</w:t>
            </w:r>
          </w:p>
        </w:tc>
        <w:tc>
          <w:tcPr>
            <w:tcW w:w="2664" w:type="dxa"/>
            <w:noWrap w:val="0"/>
            <w:vAlign w:val="center"/>
          </w:tcPr>
          <w:p w14:paraId="703B5505">
            <w:pPr>
              <w:pStyle w:val="19"/>
              <w:bidi w:val="0"/>
              <w:rPr>
                <w:rFonts w:hint="default"/>
                <w:color w:val="auto"/>
                <w:highlight w:val="none"/>
              </w:rPr>
            </w:pPr>
            <w:r>
              <w:rPr>
                <w:rFonts w:hint="default"/>
                <w:color w:val="auto"/>
                <w:highlight w:val="none"/>
              </w:rPr>
              <w:t>《工业企业总平面设计规范》GB50187-2012第5.1.10条</w:t>
            </w:r>
          </w:p>
        </w:tc>
        <w:tc>
          <w:tcPr>
            <w:tcW w:w="1654" w:type="dxa"/>
            <w:noWrap w:val="0"/>
            <w:vAlign w:val="center"/>
          </w:tcPr>
          <w:p w14:paraId="05608D5C">
            <w:pPr>
              <w:pStyle w:val="19"/>
              <w:bidi w:val="0"/>
              <w:rPr>
                <w:rFonts w:hint="default"/>
                <w:color w:val="auto"/>
                <w:highlight w:val="none"/>
                <w:lang w:eastAsia="zh-CN"/>
              </w:rPr>
            </w:pPr>
            <w:r>
              <w:rPr>
                <w:rFonts w:hint="default"/>
                <w:color w:val="auto"/>
                <w:highlight w:val="none"/>
              </w:rPr>
              <w:t>厂区主干道宽7.0m，支线公路宽度5.0m，能够满足消防车出入需要</w:t>
            </w:r>
            <w:r>
              <w:rPr>
                <w:rFonts w:hint="default"/>
                <w:color w:val="auto"/>
                <w:highlight w:val="none"/>
                <w:lang w:eastAsia="zh-CN"/>
              </w:rPr>
              <w:t>。</w:t>
            </w:r>
          </w:p>
        </w:tc>
        <w:tc>
          <w:tcPr>
            <w:tcW w:w="848" w:type="dxa"/>
            <w:noWrap w:val="0"/>
            <w:vAlign w:val="center"/>
          </w:tcPr>
          <w:p w14:paraId="402B5E3B">
            <w:pPr>
              <w:pStyle w:val="19"/>
              <w:bidi w:val="0"/>
              <w:rPr>
                <w:rFonts w:hint="default"/>
                <w:color w:val="auto"/>
                <w:highlight w:val="none"/>
              </w:rPr>
            </w:pPr>
            <w:r>
              <w:rPr>
                <w:rFonts w:hint="default"/>
                <w:color w:val="auto"/>
                <w:highlight w:val="none"/>
              </w:rPr>
              <w:t>符合</w:t>
            </w:r>
          </w:p>
        </w:tc>
      </w:tr>
      <w:tr w14:paraId="21E6A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5" w:hRule="atLeast"/>
          <w:jc w:val="center"/>
        </w:trPr>
        <w:tc>
          <w:tcPr>
            <w:tcW w:w="691" w:type="dxa"/>
            <w:noWrap w:val="0"/>
            <w:vAlign w:val="center"/>
          </w:tcPr>
          <w:p w14:paraId="78E8692E">
            <w:pPr>
              <w:pStyle w:val="19"/>
              <w:bidi w:val="0"/>
              <w:rPr>
                <w:rFonts w:hint="eastAsia" w:eastAsia="宋体"/>
                <w:color w:val="auto"/>
                <w:highlight w:val="none"/>
                <w:lang w:val="en-US" w:eastAsia="zh-CN"/>
              </w:rPr>
            </w:pPr>
            <w:r>
              <w:rPr>
                <w:rFonts w:hint="eastAsia"/>
                <w:color w:val="auto"/>
                <w:highlight w:val="none"/>
                <w:lang w:val="en-US" w:eastAsia="zh-CN"/>
              </w:rPr>
              <w:t>6</w:t>
            </w:r>
          </w:p>
        </w:tc>
        <w:tc>
          <w:tcPr>
            <w:tcW w:w="3543" w:type="dxa"/>
            <w:noWrap w:val="0"/>
            <w:vAlign w:val="center"/>
          </w:tcPr>
          <w:p w14:paraId="2923EE0D">
            <w:pPr>
              <w:pStyle w:val="19"/>
              <w:bidi w:val="0"/>
              <w:rPr>
                <w:rFonts w:hint="default"/>
                <w:color w:val="auto"/>
                <w:highlight w:val="none"/>
              </w:rPr>
            </w:pPr>
            <w:r>
              <w:rPr>
                <w:rFonts w:hint="default"/>
                <w:color w:val="auto"/>
                <w:highlight w:val="none"/>
              </w:rPr>
              <w:t>行政办公及生活服务设施的布置，应位于厂区全年最小频率风向的下风侧，并应符合下列要求：</w:t>
            </w:r>
          </w:p>
          <w:p w14:paraId="1C42029C">
            <w:pPr>
              <w:pStyle w:val="19"/>
              <w:bidi w:val="0"/>
              <w:rPr>
                <w:rFonts w:hint="default"/>
                <w:color w:val="auto"/>
                <w:highlight w:val="none"/>
              </w:rPr>
            </w:pPr>
            <w:r>
              <w:rPr>
                <w:rFonts w:hint="default"/>
                <w:color w:val="auto"/>
                <w:highlight w:val="none"/>
              </w:rPr>
              <w:t>1 应布置在便于行政办公、环境洁净、靠近主要人流出入口、与城镇和居住区联系方便的位置；</w:t>
            </w:r>
          </w:p>
          <w:p w14:paraId="4B9451BC">
            <w:pPr>
              <w:pStyle w:val="19"/>
              <w:bidi w:val="0"/>
              <w:rPr>
                <w:rFonts w:hint="default"/>
                <w:color w:val="auto"/>
                <w:highlight w:val="none"/>
              </w:rPr>
            </w:pPr>
            <w:r>
              <w:rPr>
                <w:rFonts w:hint="default"/>
                <w:color w:val="auto"/>
                <w:highlight w:val="none"/>
              </w:rPr>
              <w:t>2 行政办公及生活服务设施的用地面积，不得超过工业项目总用地面积的7%。</w:t>
            </w:r>
          </w:p>
        </w:tc>
        <w:tc>
          <w:tcPr>
            <w:tcW w:w="2664" w:type="dxa"/>
            <w:noWrap w:val="0"/>
            <w:vAlign w:val="center"/>
          </w:tcPr>
          <w:p w14:paraId="164A6D74">
            <w:pPr>
              <w:pStyle w:val="19"/>
              <w:bidi w:val="0"/>
              <w:rPr>
                <w:rFonts w:hint="default"/>
                <w:color w:val="auto"/>
                <w:highlight w:val="none"/>
              </w:rPr>
            </w:pPr>
            <w:r>
              <w:rPr>
                <w:rFonts w:hint="default"/>
                <w:color w:val="auto"/>
                <w:highlight w:val="none"/>
              </w:rPr>
              <w:t>《工业企业总平面设计规范》GB50187-2012第5.</w:t>
            </w:r>
            <w:r>
              <w:rPr>
                <w:rFonts w:hint="eastAsia"/>
                <w:color w:val="auto"/>
                <w:highlight w:val="none"/>
                <w:lang w:val="en-US" w:eastAsia="zh-CN"/>
              </w:rPr>
              <w:t>7.1</w:t>
            </w:r>
            <w:r>
              <w:rPr>
                <w:rFonts w:hint="default"/>
                <w:color w:val="auto"/>
                <w:highlight w:val="none"/>
              </w:rPr>
              <w:t>条</w:t>
            </w:r>
          </w:p>
        </w:tc>
        <w:tc>
          <w:tcPr>
            <w:tcW w:w="1654" w:type="dxa"/>
            <w:noWrap w:val="0"/>
            <w:vAlign w:val="center"/>
          </w:tcPr>
          <w:p w14:paraId="6C9595CC">
            <w:pPr>
              <w:pStyle w:val="19"/>
              <w:bidi w:val="0"/>
              <w:rPr>
                <w:rFonts w:hint="default" w:eastAsia="宋体"/>
                <w:color w:val="auto"/>
                <w:highlight w:val="none"/>
                <w:lang w:val="en-US" w:eastAsia="zh-CN"/>
              </w:rPr>
            </w:pPr>
            <w:r>
              <w:rPr>
                <w:rFonts w:hint="eastAsia"/>
                <w:color w:val="auto"/>
                <w:highlight w:val="none"/>
                <w:lang w:val="en-US" w:eastAsia="zh-CN"/>
              </w:rPr>
              <w:t>生活区位于厂区的西侧，处于主导风向（西南风）的上风侧。</w:t>
            </w:r>
          </w:p>
        </w:tc>
        <w:tc>
          <w:tcPr>
            <w:tcW w:w="848" w:type="dxa"/>
            <w:noWrap w:val="0"/>
            <w:vAlign w:val="center"/>
          </w:tcPr>
          <w:p w14:paraId="7BD287E3">
            <w:pPr>
              <w:pStyle w:val="19"/>
              <w:bidi w:val="0"/>
              <w:rPr>
                <w:rFonts w:hint="default" w:eastAsia="宋体"/>
                <w:color w:val="auto"/>
                <w:highlight w:val="none"/>
                <w:lang w:val="en-US" w:eastAsia="zh-CN"/>
              </w:rPr>
            </w:pPr>
            <w:r>
              <w:rPr>
                <w:rFonts w:hint="eastAsia"/>
                <w:color w:val="auto"/>
                <w:highlight w:val="none"/>
                <w:lang w:val="en-US" w:eastAsia="zh-CN"/>
              </w:rPr>
              <w:t>基本符合</w:t>
            </w:r>
          </w:p>
        </w:tc>
      </w:tr>
      <w:tr w14:paraId="235F8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1" w:type="dxa"/>
            <w:noWrap w:val="0"/>
            <w:vAlign w:val="center"/>
          </w:tcPr>
          <w:p w14:paraId="14415CDA">
            <w:pPr>
              <w:pStyle w:val="19"/>
              <w:bidi w:val="0"/>
              <w:rPr>
                <w:rFonts w:hint="eastAsia" w:eastAsia="宋体"/>
                <w:color w:val="auto"/>
                <w:highlight w:val="none"/>
                <w:lang w:eastAsia="zh-CN"/>
              </w:rPr>
            </w:pPr>
            <w:r>
              <w:rPr>
                <w:rFonts w:hint="eastAsia"/>
                <w:color w:val="auto"/>
                <w:highlight w:val="none"/>
                <w:lang w:val="en-US" w:eastAsia="zh-CN"/>
              </w:rPr>
              <w:t>7</w:t>
            </w:r>
          </w:p>
        </w:tc>
        <w:tc>
          <w:tcPr>
            <w:tcW w:w="3543" w:type="dxa"/>
            <w:noWrap w:val="0"/>
            <w:vAlign w:val="center"/>
          </w:tcPr>
          <w:p w14:paraId="241D88CF">
            <w:pPr>
              <w:pStyle w:val="19"/>
              <w:bidi w:val="0"/>
              <w:rPr>
                <w:rFonts w:hint="eastAsia" w:eastAsia="宋体"/>
                <w:color w:val="auto"/>
                <w:highlight w:val="none"/>
                <w:lang w:eastAsia="zh-CN"/>
              </w:rPr>
            </w:pPr>
            <w:r>
              <w:rPr>
                <w:rFonts w:hint="default"/>
                <w:color w:val="auto"/>
                <w:highlight w:val="none"/>
              </w:rPr>
              <w:t>确定建构筑物位置时，遵守下列规定：1荷载较大的建构筑物（破碎间、磨矿间、精矿仓），布置在地质条件较好的地段</w:t>
            </w:r>
            <w:r>
              <w:rPr>
                <w:rFonts w:hint="eastAsia"/>
                <w:color w:val="auto"/>
                <w:lang w:eastAsia="zh-CN"/>
              </w:rPr>
              <w:t>。</w:t>
            </w:r>
          </w:p>
        </w:tc>
        <w:tc>
          <w:tcPr>
            <w:tcW w:w="2664" w:type="dxa"/>
            <w:noWrap w:val="0"/>
            <w:vAlign w:val="center"/>
          </w:tcPr>
          <w:p w14:paraId="518DE989">
            <w:pPr>
              <w:pStyle w:val="19"/>
              <w:bidi w:val="0"/>
              <w:rPr>
                <w:rFonts w:hint="default"/>
                <w:color w:val="auto"/>
                <w:highlight w:val="none"/>
              </w:rPr>
            </w:pPr>
            <w:r>
              <w:rPr>
                <w:rFonts w:hint="default"/>
                <w:color w:val="auto"/>
                <w:highlight w:val="none"/>
              </w:rPr>
              <w:t>《选矿安全规程》（</w:t>
            </w:r>
            <w:r>
              <w:rPr>
                <w:rFonts w:hint="eastAsia"/>
                <w:color w:val="auto"/>
                <w:highlight w:val="none"/>
                <w:lang w:eastAsia="zh-CN"/>
              </w:rPr>
              <w:t>GB/T 18152-2000</w:t>
            </w:r>
            <w:r>
              <w:rPr>
                <w:rFonts w:hint="default"/>
                <w:color w:val="auto"/>
                <w:highlight w:val="none"/>
              </w:rPr>
              <w:t>）5.2.1条</w:t>
            </w:r>
          </w:p>
        </w:tc>
        <w:tc>
          <w:tcPr>
            <w:tcW w:w="1654" w:type="dxa"/>
            <w:noWrap w:val="0"/>
            <w:vAlign w:val="center"/>
          </w:tcPr>
          <w:p w14:paraId="30EDF59C">
            <w:pPr>
              <w:pStyle w:val="19"/>
              <w:bidi w:val="0"/>
              <w:rPr>
                <w:rFonts w:hint="default"/>
                <w:color w:val="auto"/>
                <w:highlight w:val="none"/>
              </w:rPr>
            </w:pPr>
            <w:r>
              <w:rPr>
                <w:rFonts w:hint="default"/>
                <w:color w:val="auto"/>
                <w:highlight w:val="none"/>
              </w:rPr>
              <w:t>厂区内车间按台阶布置，原料堆场设置在高处平台，产品堆场设置在最底部平台。</w:t>
            </w:r>
          </w:p>
        </w:tc>
        <w:tc>
          <w:tcPr>
            <w:tcW w:w="848" w:type="dxa"/>
            <w:noWrap w:val="0"/>
            <w:vAlign w:val="center"/>
          </w:tcPr>
          <w:p w14:paraId="296022BC">
            <w:pPr>
              <w:pStyle w:val="19"/>
              <w:bidi w:val="0"/>
              <w:rPr>
                <w:rFonts w:hint="default"/>
                <w:color w:val="auto"/>
                <w:highlight w:val="none"/>
              </w:rPr>
            </w:pPr>
            <w:r>
              <w:rPr>
                <w:rFonts w:hint="default"/>
                <w:color w:val="auto"/>
                <w:highlight w:val="none"/>
              </w:rPr>
              <w:t>符合</w:t>
            </w:r>
          </w:p>
        </w:tc>
      </w:tr>
      <w:tr w14:paraId="2F322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0" w:hRule="atLeast"/>
          <w:jc w:val="center"/>
        </w:trPr>
        <w:tc>
          <w:tcPr>
            <w:tcW w:w="691" w:type="dxa"/>
            <w:noWrap w:val="0"/>
            <w:vAlign w:val="center"/>
          </w:tcPr>
          <w:p w14:paraId="262D9D6A">
            <w:pPr>
              <w:pStyle w:val="19"/>
              <w:bidi w:val="0"/>
              <w:rPr>
                <w:rFonts w:hint="eastAsia" w:eastAsia="宋体"/>
                <w:color w:val="auto"/>
                <w:highlight w:val="none"/>
                <w:lang w:eastAsia="zh-CN"/>
              </w:rPr>
            </w:pPr>
            <w:r>
              <w:rPr>
                <w:rFonts w:hint="eastAsia"/>
                <w:color w:val="auto"/>
                <w:highlight w:val="none"/>
                <w:lang w:val="en-US" w:eastAsia="zh-CN"/>
              </w:rPr>
              <w:t>8</w:t>
            </w:r>
          </w:p>
        </w:tc>
        <w:tc>
          <w:tcPr>
            <w:tcW w:w="3543" w:type="dxa"/>
            <w:noWrap w:val="0"/>
            <w:vAlign w:val="center"/>
          </w:tcPr>
          <w:p w14:paraId="10859A26">
            <w:pPr>
              <w:pStyle w:val="19"/>
              <w:bidi w:val="0"/>
              <w:rPr>
                <w:rFonts w:hint="default"/>
                <w:color w:val="auto"/>
                <w:highlight w:val="none"/>
              </w:rPr>
            </w:pPr>
            <w:r>
              <w:rPr>
                <w:rFonts w:hint="default"/>
                <w:color w:val="auto"/>
                <w:highlight w:val="none"/>
              </w:rPr>
              <w:t>建构筑物之间的防火间距和消防车道的布置，应符合GBJ16的有关规定。</w:t>
            </w:r>
          </w:p>
        </w:tc>
        <w:tc>
          <w:tcPr>
            <w:tcW w:w="2664" w:type="dxa"/>
            <w:noWrap w:val="0"/>
            <w:vAlign w:val="center"/>
          </w:tcPr>
          <w:p w14:paraId="3531061C">
            <w:pPr>
              <w:pStyle w:val="19"/>
              <w:bidi w:val="0"/>
              <w:rPr>
                <w:rFonts w:hint="default"/>
                <w:color w:val="auto"/>
                <w:highlight w:val="none"/>
              </w:rPr>
            </w:pPr>
            <w:r>
              <w:rPr>
                <w:rFonts w:hint="default"/>
                <w:color w:val="auto"/>
                <w:highlight w:val="none"/>
              </w:rPr>
              <w:t>《选矿安全规程》（</w:t>
            </w:r>
            <w:r>
              <w:rPr>
                <w:rFonts w:hint="eastAsia"/>
                <w:color w:val="auto"/>
                <w:highlight w:val="none"/>
                <w:lang w:eastAsia="zh-CN"/>
              </w:rPr>
              <w:t>GB/T 18152-2000</w:t>
            </w:r>
            <w:r>
              <w:rPr>
                <w:rFonts w:hint="default"/>
                <w:color w:val="auto"/>
                <w:highlight w:val="none"/>
              </w:rPr>
              <w:t>）5.2.2条</w:t>
            </w:r>
          </w:p>
        </w:tc>
        <w:tc>
          <w:tcPr>
            <w:tcW w:w="1654" w:type="dxa"/>
            <w:noWrap w:val="0"/>
            <w:vAlign w:val="center"/>
          </w:tcPr>
          <w:p w14:paraId="1729F46E">
            <w:pPr>
              <w:pStyle w:val="19"/>
              <w:bidi w:val="0"/>
              <w:rPr>
                <w:rFonts w:hint="default"/>
                <w:color w:val="auto"/>
                <w:highlight w:val="none"/>
                <w:lang w:eastAsia="zh-CN"/>
              </w:rPr>
            </w:pPr>
            <w:r>
              <w:rPr>
                <w:rFonts w:hint="default"/>
                <w:color w:val="auto"/>
                <w:highlight w:val="none"/>
              </w:rPr>
              <w:t>场地内各段运输道路宽度均不小于4.0m</w:t>
            </w:r>
            <w:r>
              <w:rPr>
                <w:rFonts w:hint="default"/>
                <w:color w:val="auto"/>
                <w:highlight w:val="none"/>
                <w:lang w:eastAsia="zh-CN"/>
              </w:rPr>
              <w:t>。</w:t>
            </w:r>
          </w:p>
        </w:tc>
        <w:tc>
          <w:tcPr>
            <w:tcW w:w="848" w:type="dxa"/>
            <w:noWrap w:val="0"/>
            <w:vAlign w:val="center"/>
          </w:tcPr>
          <w:p w14:paraId="7C3CFC93">
            <w:pPr>
              <w:pStyle w:val="19"/>
              <w:bidi w:val="0"/>
              <w:rPr>
                <w:rFonts w:hint="default"/>
                <w:color w:val="auto"/>
                <w:highlight w:val="none"/>
              </w:rPr>
            </w:pPr>
            <w:r>
              <w:rPr>
                <w:rFonts w:hint="default"/>
                <w:color w:val="auto"/>
                <w:highlight w:val="none"/>
              </w:rPr>
              <w:t>符合</w:t>
            </w:r>
          </w:p>
        </w:tc>
      </w:tr>
      <w:tr w14:paraId="68BCE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0" w:hRule="atLeast"/>
          <w:jc w:val="center"/>
        </w:trPr>
        <w:tc>
          <w:tcPr>
            <w:tcW w:w="691" w:type="dxa"/>
            <w:noWrap w:val="0"/>
            <w:vAlign w:val="center"/>
          </w:tcPr>
          <w:p w14:paraId="4CBC3682">
            <w:pPr>
              <w:pStyle w:val="19"/>
              <w:bidi w:val="0"/>
              <w:rPr>
                <w:rFonts w:hint="eastAsia" w:eastAsia="宋体"/>
                <w:color w:val="auto"/>
                <w:highlight w:val="none"/>
                <w:lang w:eastAsia="zh-CN"/>
              </w:rPr>
            </w:pPr>
            <w:r>
              <w:rPr>
                <w:rFonts w:hint="eastAsia"/>
                <w:color w:val="auto"/>
                <w:highlight w:val="none"/>
                <w:lang w:val="en-US" w:eastAsia="zh-CN"/>
              </w:rPr>
              <w:t>9</w:t>
            </w:r>
          </w:p>
        </w:tc>
        <w:tc>
          <w:tcPr>
            <w:tcW w:w="3543" w:type="dxa"/>
            <w:noWrap w:val="0"/>
            <w:vAlign w:val="center"/>
          </w:tcPr>
          <w:p w14:paraId="05BA3282">
            <w:pPr>
              <w:pStyle w:val="19"/>
              <w:bidi w:val="0"/>
              <w:rPr>
                <w:rFonts w:hint="default"/>
                <w:color w:val="auto"/>
                <w:highlight w:val="none"/>
              </w:rPr>
            </w:pPr>
            <w:r>
              <w:rPr>
                <w:rFonts w:hint="default"/>
                <w:color w:val="auto"/>
                <w:highlight w:val="none"/>
              </w:rPr>
              <w:t>应设置通达厂房、仓库和可燃原料堆场的消防通道（也可利用交通运输），其宽度应不小于3.5m。尽头式消防车道，应设回车道或不小于12m×12m的回车场。</w:t>
            </w:r>
          </w:p>
        </w:tc>
        <w:tc>
          <w:tcPr>
            <w:tcW w:w="2664" w:type="dxa"/>
            <w:noWrap w:val="0"/>
            <w:vAlign w:val="center"/>
          </w:tcPr>
          <w:p w14:paraId="697BE60D">
            <w:pPr>
              <w:pStyle w:val="19"/>
              <w:bidi w:val="0"/>
              <w:rPr>
                <w:rFonts w:hint="default"/>
                <w:color w:val="auto"/>
                <w:highlight w:val="none"/>
              </w:rPr>
            </w:pPr>
            <w:r>
              <w:rPr>
                <w:rFonts w:hint="default"/>
                <w:color w:val="auto"/>
                <w:highlight w:val="none"/>
              </w:rPr>
              <w:t>《选矿安全规程》（</w:t>
            </w:r>
            <w:r>
              <w:rPr>
                <w:rFonts w:hint="eastAsia"/>
                <w:color w:val="auto"/>
                <w:highlight w:val="none"/>
                <w:lang w:eastAsia="zh-CN"/>
              </w:rPr>
              <w:t>GB/T 18152-2000</w:t>
            </w:r>
            <w:r>
              <w:rPr>
                <w:rFonts w:hint="default"/>
                <w:color w:val="auto"/>
                <w:highlight w:val="none"/>
              </w:rPr>
              <w:t>）5.2.3条</w:t>
            </w:r>
          </w:p>
        </w:tc>
        <w:tc>
          <w:tcPr>
            <w:tcW w:w="1654" w:type="dxa"/>
            <w:noWrap w:val="0"/>
            <w:vAlign w:val="center"/>
          </w:tcPr>
          <w:p w14:paraId="4DAD7F82">
            <w:pPr>
              <w:pStyle w:val="19"/>
              <w:bidi w:val="0"/>
              <w:rPr>
                <w:rFonts w:hint="default"/>
                <w:color w:val="auto"/>
                <w:highlight w:val="none"/>
                <w:lang w:eastAsia="zh-CN"/>
              </w:rPr>
            </w:pPr>
            <w:r>
              <w:rPr>
                <w:rFonts w:hint="default"/>
                <w:color w:val="auto"/>
                <w:highlight w:val="none"/>
              </w:rPr>
              <w:t>场地内各段运输道路宽度均不小于4.0m</w:t>
            </w:r>
            <w:r>
              <w:rPr>
                <w:rFonts w:hint="default"/>
                <w:color w:val="auto"/>
                <w:highlight w:val="none"/>
                <w:lang w:eastAsia="zh-CN"/>
              </w:rPr>
              <w:t>。</w:t>
            </w:r>
          </w:p>
        </w:tc>
        <w:tc>
          <w:tcPr>
            <w:tcW w:w="848" w:type="dxa"/>
            <w:noWrap w:val="0"/>
            <w:vAlign w:val="center"/>
          </w:tcPr>
          <w:p w14:paraId="41610CA2">
            <w:pPr>
              <w:pStyle w:val="19"/>
              <w:bidi w:val="0"/>
              <w:rPr>
                <w:rFonts w:hint="default"/>
                <w:color w:val="auto"/>
                <w:highlight w:val="none"/>
              </w:rPr>
            </w:pPr>
            <w:r>
              <w:rPr>
                <w:rFonts w:hint="default"/>
                <w:color w:val="auto"/>
                <w:highlight w:val="none"/>
              </w:rPr>
              <w:t>符合</w:t>
            </w:r>
          </w:p>
        </w:tc>
      </w:tr>
      <w:tr w14:paraId="13C52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5" w:hRule="atLeast"/>
          <w:jc w:val="center"/>
        </w:trPr>
        <w:tc>
          <w:tcPr>
            <w:tcW w:w="691" w:type="dxa"/>
            <w:noWrap w:val="0"/>
            <w:vAlign w:val="center"/>
          </w:tcPr>
          <w:p w14:paraId="57E44E83">
            <w:pPr>
              <w:pStyle w:val="19"/>
              <w:bidi w:val="0"/>
              <w:rPr>
                <w:rFonts w:hint="default" w:eastAsia="宋体"/>
                <w:color w:val="auto"/>
                <w:highlight w:val="none"/>
                <w:lang w:val="en-US" w:eastAsia="zh-CN"/>
              </w:rPr>
            </w:pPr>
            <w:r>
              <w:rPr>
                <w:rFonts w:hint="eastAsia"/>
                <w:color w:val="auto"/>
                <w:highlight w:val="none"/>
                <w:lang w:val="en-US" w:eastAsia="zh-CN"/>
              </w:rPr>
              <w:t>10</w:t>
            </w:r>
          </w:p>
        </w:tc>
        <w:tc>
          <w:tcPr>
            <w:tcW w:w="3543" w:type="dxa"/>
            <w:noWrap w:val="0"/>
            <w:vAlign w:val="center"/>
          </w:tcPr>
          <w:p w14:paraId="70DED5B0">
            <w:pPr>
              <w:pStyle w:val="19"/>
              <w:bidi w:val="0"/>
              <w:rPr>
                <w:rFonts w:hint="default"/>
                <w:color w:val="auto"/>
                <w:highlight w:val="none"/>
              </w:rPr>
            </w:pPr>
            <w:r>
              <w:rPr>
                <w:rFonts w:hint="default"/>
                <w:color w:val="auto"/>
                <w:highlight w:val="none"/>
              </w:rPr>
              <w:t>厂区铁路、道路的布置，应符合GB4837、GB146.1、GB146.2、GBJ12和GBJ22的有关规定。</w:t>
            </w:r>
          </w:p>
        </w:tc>
        <w:tc>
          <w:tcPr>
            <w:tcW w:w="2664" w:type="dxa"/>
            <w:noWrap w:val="0"/>
            <w:vAlign w:val="center"/>
          </w:tcPr>
          <w:p w14:paraId="76F44DFE">
            <w:pPr>
              <w:pStyle w:val="19"/>
              <w:bidi w:val="0"/>
              <w:rPr>
                <w:rFonts w:hint="default"/>
                <w:color w:val="auto"/>
                <w:highlight w:val="none"/>
              </w:rPr>
            </w:pPr>
            <w:r>
              <w:rPr>
                <w:rFonts w:hint="default"/>
                <w:color w:val="auto"/>
                <w:highlight w:val="none"/>
              </w:rPr>
              <w:t>《选矿安全规程》（</w:t>
            </w:r>
            <w:r>
              <w:rPr>
                <w:rFonts w:hint="eastAsia"/>
                <w:color w:val="auto"/>
                <w:highlight w:val="none"/>
                <w:lang w:eastAsia="zh-CN"/>
              </w:rPr>
              <w:t>GB/T 18152-2000</w:t>
            </w:r>
            <w:r>
              <w:rPr>
                <w:rFonts w:hint="default"/>
                <w:color w:val="auto"/>
                <w:highlight w:val="none"/>
              </w:rPr>
              <w:t>）5.2.5条</w:t>
            </w:r>
          </w:p>
        </w:tc>
        <w:tc>
          <w:tcPr>
            <w:tcW w:w="1654" w:type="dxa"/>
            <w:noWrap w:val="0"/>
            <w:vAlign w:val="center"/>
          </w:tcPr>
          <w:p w14:paraId="6E11C4C9">
            <w:pPr>
              <w:pStyle w:val="19"/>
              <w:bidi w:val="0"/>
              <w:rPr>
                <w:rFonts w:hint="default"/>
                <w:color w:val="auto"/>
                <w:highlight w:val="none"/>
              </w:rPr>
            </w:pPr>
            <w:r>
              <w:rPr>
                <w:rFonts w:hint="default"/>
                <w:color w:val="auto"/>
                <w:highlight w:val="none"/>
              </w:rPr>
              <w:t>拟建场地交通便利，道路布置符合要求。</w:t>
            </w:r>
          </w:p>
        </w:tc>
        <w:tc>
          <w:tcPr>
            <w:tcW w:w="848" w:type="dxa"/>
            <w:noWrap w:val="0"/>
            <w:vAlign w:val="center"/>
          </w:tcPr>
          <w:p w14:paraId="4F46EE5D">
            <w:pPr>
              <w:pStyle w:val="19"/>
              <w:bidi w:val="0"/>
              <w:rPr>
                <w:rFonts w:hint="default"/>
                <w:color w:val="auto"/>
                <w:highlight w:val="none"/>
              </w:rPr>
            </w:pPr>
            <w:r>
              <w:rPr>
                <w:rFonts w:hint="default"/>
                <w:color w:val="auto"/>
                <w:highlight w:val="none"/>
              </w:rPr>
              <w:t>符合</w:t>
            </w:r>
          </w:p>
        </w:tc>
      </w:tr>
      <w:tr w14:paraId="44CC9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5" w:hRule="atLeast"/>
          <w:jc w:val="center"/>
        </w:trPr>
        <w:tc>
          <w:tcPr>
            <w:tcW w:w="691" w:type="dxa"/>
            <w:noWrap w:val="0"/>
            <w:vAlign w:val="center"/>
          </w:tcPr>
          <w:p w14:paraId="4911B35E">
            <w:pPr>
              <w:pStyle w:val="19"/>
              <w:bidi w:val="0"/>
              <w:rPr>
                <w:rFonts w:hint="default"/>
                <w:color w:val="auto"/>
                <w:highlight w:val="none"/>
                <w:lang w:val="en-US" w:eastAsia="zh-CN"/>
              </w:rPr>
            </w:pPr>
            <w:r>
              <w:rPr>
                <w:rFonts w:hint="eastAsia"/>
                <w:color w:val="auto"/>
                <w:highlight w:val="none"/>
                <w:lang w:val="en-US" w:eastAsia="zh-CN"/>
              </w:rPr>
              <w:t>11</w:t>
            </w:r>
          </w:p>
        </w:tc>
        <w:tc>
          <w:tcPr>
            <w:tcW w:w="3543" w:type="dxa"/>
            <w:noWrap w:val="0"/>
            <w:vAlign w:val="center"/>
          </w:tcPr>
          <w:p w14:paraId="666FCAFC">
            <w:pPr>
              <w:pStyle w:val="19"/>
              <w:bidi w:val="0"/>
              <w:rPr>
                <w:rFonts w:hint="default"/>
                <w:color w:val="auto"/>
                <w:highlight w:val="none"/>
              </w:rPr>
            </w:pPr>
            <w:r>
              <w:rPr>
                <w:rFonts w:hint="default"/>
                <w:color w:val="auto"/>
                <w:highlight w:val="none"/>
              </w:rPr>
              <w:t>厂房、库房、站房、地下室，应按国家有关规定设立适当数量的安全出口。安全疏散距离和楼梯、走道及门的宽度应符合防火规范，安全疏散门应向外启动。</w:t>
            </w:r>
          </w:p>
        </w:tc>
        <w:tc>
          <w:tcPr>
            <w:tcW w:w="2664" w:type="dxa"/>
            <w:noWrap w:val="0"/>
            <w:vAlign w:val="center"/>
          </w:tcPr>
          <w:p w14:paraId="146A0D34">
            <w:pPr>
              <w:pStyle w:val="19"/>
              <w:bidi w:val="0"/>
              <w:rPr>
                <w:rFonts w:hint="default"/>
                <w:color w:val="auto"/>
                <w:highlight w:val="none"/>
              </w:rPr>
            </w:pPr>
            <w:r>
              <w:rPr>
                <w:rFonts w:hint="default"/>
                <w:color w:val="auto"/>
                <w:highlight w:val="none"/>
              </w:rPr>
              <w:t>《选矿安全规程》（</w:t>
            </w:r>
            <w:r>
              <w:rPr>
                <w:rFonts w:hint="eastAsia"/>
                <w:color w:val="auto"/>
                <w:highlight w:val="none"/>
                <w:lang w:eastAsia="zh-CN"/>
              </w:rPr>
              <w:t>GB/T 18152-2000</w:t>
            </w:r>
            <w:r>
              <w:rPr>
                <w:rFonts w:hint="default"/>
                <w:color w:val="auto"/>
                <w:highlight w:val="none"/>
              </w:rPr>
              <w:t>）</w:t>
            </w:r>
            <w:r>
              <w:rPr>
                <w:rFonts w:hint="eastAsia"/>
                <w:color w:val="auto"/>
                <w:highlight w:val="none"/>
                <w:lang w:val="en-US" w:eastAsia="zh-CN"/>
              </w:rPr>
              <w:t>11.3</w:t>
            </w:r>
            <w:r>
              <w:rPr>
                <w:rFonts w:hint="default"/>
                <w:color w:val="auto"/>
                <w:highlight w:val="none"/>
              </w:rPr>
              <w:t>条</w:t>
            </w:r>
          </w:p>
        </w:tc>
        <w:tc>
          <w:tcPr>
            <w:tcW w:w="1654" w:type="dxa"/>
            <w:noWrap w:val="0"/>
            <w:vAlign w:val="center"/>
          </w:tcPr>
          <w:p w14:paraId="627FD5FA">
            <w:pPr>
              <w:pStyle w:val="19"/>
              <w:bidi w:val="0"/>
              <w:rPr>
                <w:rFonts w:hint="default"/>
                <w:color w:val="auto"/>
                <w:highlight w:val="none"/>
              </w:rPr>
            </w:pPr>
            <w:r>
              <w:rPr>
                <w:rFonts w:hint="eastAsia"/>
                <w:color w:val="auto"/>
                <w:highlight w:val="none"/>
              </w:rPr>
              <w:t>本工程主要生产厂房设两个以上的安全出口，并执行《建筑设计防火规范》的相应规定。厂房每层的疏散楼梯、走道、门的宽度均执行《建筑设计防火规范》的相应规定。</w:t>
            </w:r>
          </w:p>
        </w:tc>
        <w:tc>
          <w:tcPr>
            <w:tcW w:w="848" w:type="dxa"/>
            <w:noWrap w:val="0"/>
            <w:vAlign w:val="center"/>
          </w:tcPr>
          <w:p w14:paraId="4B01D413">
            <w:pPr>
              <w:pStyle w:val="19"/>
              <w:bidi w:val="0"/>
              <w:rPr>
                <w:rFonts w:hint="eastAsia"/>
                <w:color w:val="auto"/>
                <w:highlight w:val="none"/>
                <w:lang w:val="en-US" w:eastAsia="zh-CN"/>
              </w:rPr>
            </w:pPr>
            <w:r>
              <w:rPr>
                <w:rFonts w:hint="eastAsia"/>
                <w:color w:val="auto"/>
                <w:highlight w:val="none"/>
                <w:lang w:val="en-US" w:eastAsia="zh-CN"/>
              </w:rPr>
              <w:t>符合</w:t>
            </w:r>
          </w:p>
        </w:tc>
      </w:tr>
    </w:tbl>
    <w:p w14:paraId="0FA82B95">
      <w:pPr>
        <w:pStyle w:val="4"/>
        <w:bidi w:val="0"/>
        <w:rPr>
          <w:rFonts w:hint="eastAsia"/>
          <w:color w:val="auto"/>
        </w:rPr>
      </w:pPr>
      <w:bookmarkStart w:id="186" w:name="_Toc678"/>
      <w:r>
        <w:rPr>
          <w:rFonts w:hint="eastAsia"/>
          <w:color w:val="auto"/>
        </w:rPr>
        <w:t>5.1.4 单元小结</w:t>
      </w:r>
      <w:bookmarkEnd w:id="186"/>
    </w:p>
    <w:p w14:paraId="357D2795">
      <w:pPr>
        <w:bidi w:val="0"/>
        <w:rPr>
          <w:rFonts w:hint="eastAsia"/>
          <w:color w:val="auto"/>
        </w:rPr>
      </w:pPr>
      <w:r>
        <w:rPr>
          <w:rFonts w:hint="eastAsia"/>
          <w:color w:val="auto"/>
        </w:rPr>
        <w:t>该项目选址合理，周边300m范围内无影响选厂的重要建筑物、铁路线等重要设施。</w:t>
      </w:r>
    </w:p>
    <w:p w14:paraId="382EB295">
      <w:pPr>
        <w:bidi w:val="0"/>
        <w:rPr>
          <w:rFonts w:hint="eastAsia"/>
          <w:color w:val="auto"/>
        </w:rPr>
      </w:pPr>
      <w:r>
        <w:rPr>
          <w:rFonts w:hint="eastAsia"/>
          <w:color w:val="auto"/>
        </w:rPr>
        <w:t>拟建厂区工程地质条件良好，水源、电源均能可靠供应。场内设施按功能分区布置，场内道路设计合理，建构筑物周边消防通道畅通。</w:t>
      </w:r>
    </w:p>
    <w:p w14:paraId="551AF258">
      <w:pPr>
        <w:bidi w:val="0"/>
        <w:rPr>
          <w:rFonts w:hint="eastAsia"/>
          <w:color w:val="auto"/>
        </w:rPr>
      </w:pPr>
      <w:r>
        <w:rPr>
          <w:rFonts w:hint="eastAsia"/>
          <w:color w:val="auto"/>
        </w:rPr>
        <w:t>通过查对拟建项目厂址选址及总体布置与相关法律、法规、标准和规范的相符程度，认为基本符合相关法律、法规、标准和规范要求。</w:t>
      </w:r>
    </w:p>
    <w:p w14:paraId="2DA146B1">
      <w:pPr>
        <w:pStyle w:val="3"/>
        <w:bidi w:val="0"/>
        <w:rPr>
          <w:rFonts w:hint="eastAsia"/>
          <w:color w:val="auto"/>
        </w:rPr>
      </w:pPr>
      <w:bookmarkStart w:id="187" w:name="_Toc31073"/>
      <w:r>
        <w:rPr>
          <w:rFonts w:hint="eastAsia"/>
          <w:color w:val="auto"/>
        </w:rPr>
        <w:t>5.2 选矿工艺单元</w:t>
      </w:r>
      <w:bookmarkEnd w:id="187"/>
    </w:p>
    <w:p w14:paraId="6DCC5C43">
      <w:pPr>
        <w:pStyle w:val="4"/>
        <w:bidi w:val="0"/>
        <w:rPr>
          <w:rFonts w:hint="eastAsia"/>
          <w:color w:val="auto"/>
        </w:rPr>
      </w:pPr>
      <w:bookmarkStart w:id="188" w:name="_Toc31733"/>
      <w:r>
        <w:rPr>
          <w:rFonts w:hint="eastAsia"/>
          <w:color w:val="auto"/>
        </w:rPr>
        <w:t>5.2.1 原料堆场评价子单元</w:t>
      </w:r>
      <w:bookmarkEnd w:id="188"/>
    </w:p>
    <w:p w14:paraId="41C2D0D7">
      <w:pPr>
        <w:pStyle w:val="5"/>
        <w:bidi w:val="0"/>
        <w:rPr>
          <w:rFonts w:hint="eastAsia"/>
          <w:color w:val="auto"/>
        </w:rPr>
      </w:pPr>
      <w:r>
        <w:rPr>
          <w:rFonts w:hint="eastAsia"/>
          <w:color w:val="auto"/>
        </w:rPr>
        <w:t>5.2.1.1 危险有害因素概述</w:t>
      </w:r>
    </w:p>
    <w:p w14:paraId="7BC41DEB">
      <w:pPr>
        <w:bidi w:val="0"/>
        <w:rPr>
          <w:rFonts w:hint="eastAsia"/>
          <w:color w:val="auto"/>
        </w:rPr>
      </w:pPr>
      <w:r>
        <w:rPr>
          <w:rFonts w:hint="eastAsia"/>
          <w:color w:val="auto"/>
        </w:rPr>
        <w:t>原料堆场在堆放过程中坡面角和边坡过大，堆置高度过高，高度大于机械最大挖掘高度的1.0倍等，原料堆场没有可靠的防洪和排水设施，或地表水截流不当，流入场内，岩土含水饱和形成了软弱面，或场内地表水集流冲刷边坡等均容易导致原料堆场边坡失稳，产生坡面坍塌和滑坡。</w:t>
      </w:r>
    </w:p>
    <w:p w14:paraId="58C36722">
      <w:pPr>
        <w:pStyle w:val="5"/>
        <w:bidi w:val="0"/>
        <w:rPr>
          <w:rFonts w:hint="eastAsia"/>
          <w:color w:val="auto"/>
        </w:rPr>
      </w:pPr>
      <w:r>
        <w:rPr>
          <w:rFonts w:hint="eastAsia"/>
          <w:color w:val="auto"/>
        </w:rPr>
        <w:t>5.2.1.2 预先危险性分析（PHA）</w:t>
      </w:r>
    </w:p>
    <w:p w14:paraId="73975230">
      <w:pPr>
        <w:pStyle w:val="18"/>
        <w:bidi w:val="0"/>
        <w:rPr>
          <w:color w:val="auto"/>
        </w:rPr>
      </w:pPr>
      <w:r>
        <w:rPr>
          <w:rFonts w:hint="eastAsia"/>
          <w:color w:val="auto"/>
        </w:rPr>
        <w:t>表5</w:t>
      </w:r>
      <w:r>
        <w:rPr>
          <w:rFonts w:hint="eastAsia"/>
          <w:color w:val="auto"/>
          <w:lang w:val="en-US" w:eastAsia="zh-CN"/>
        </w:rPr>
        <w:t>.2</w:t>
      </w:r>
      <w:r>
        <w:rPr>
          <w:rFonts w:hint="eastAsia"/>
          <w:color w:val="auto"/>
        </w:rPr>
        <w:t>-</w:t>
      </w:r>
      <w:r>
        <w:rPr>
          <w:rFonts w:hint="eastAsia"/>
          <w:color w:val="auto"/>
          <w:lang w:val="en-US" w:eastAsia="zh-CN"/>
        </w:rPr>
        <w:t>1</w:t>
      </w:r>
      <w:r>
        <w:rPr>
          <w:rFonts w:hint="eastAsia"/>
          <w:color w:val="auto"/>
        </w:rPr>
        <w:t xml:space="preserve">  原料堆场预先危险性分析表</w:t>
      </w:r>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2801"/>
        <w:gridCol w:w="1200"/>
        <w:gridCol w:w="1115"/>
        <w:gridCol w:w="916"/>
        <w:gridCol w:w="2628"/>
      </w:tblGrid>
      <w:tr w14:paraId="62D6B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393" w:type="pct"/>
            <w:noWrap w:val="0"/>
            <w:vAlign w:val="center"/>
          </w:tcPr>
          <w:p w14:paraId="7E976E22">
            <w:pPr>
              <w:pStyle w:val="19"/>
              <w:bidi w:val="0"/>
              <w:rPr>
                <w:rFonts w:hint="default"/>
                <w:b/>
                <w:bCs/>
                <w:color w:val="auto"/>
                <w:highlight w:val="none"/>
              </w:rPr>
            </w:pPr>
            <w:r>
              <w:rPr>
                <w:rFonts w:hint="default"/>
                <w:b/>
                <w:bCs/>
                <w:color w:val="auto"/>
                <w:highlight w:val="none"/>
              </w:rPr>
              <w:t>事故</w:t>
            </w:r>
          </w:p>
          <w:p w14:paraId="3A599D8C">
            <w:pPr>
              <w:pStyle w:val="19"/>
              <w:bidi w:val="0"/>
              <w:rPr>
                <w:rFonts w:hint="default"/>
                <w:b/>
                <w:bCs/>
                <w:color w:val="auto"/>
                <w:highlight w:val="none"/>
              </w:rPr>
            </w:pPr>
            <w:r>
              <w:rPr>
                <w:rFonts w:hint="default"/>
                <w:b/>
                <w:bCs/>
                <w:color w:val="auto"/>
                <w:highlight w:val="none"/>
              </w:rPr>
              <w:t>类型</w:t>
            </w:r>
          </w:p>
        </w:tc>
        <w:tc>
          <w:tcPr>
            <w:tcW w:w="1489" w:type="pct"/>
            <w:noWrap w:val="0"/>
            <w:vAlign w:val="center"/>
          </w:tcPr>
          <w:p w14:paraId="5B521BE9">
            <w:pPr>
              <w:pStyle w:val="19"/>
              <w:bidi w:val="0"/>
              <w:rPr>
                <w:rFonts w:hint="default"/>
                <w:b/>
                <w:bCs/>
                <w:color w:val="auto"/>
                <w:highlight w:val="none"/>
              </w:rPr>
            </w:pPr>
            <w:r>
              <w:rPr>
                <w:rFonts w:hint="default"/>
                <w:b/>
                <w:bCs/>
                <w:color w:val="auto"/>
                <w:highlight w:val="none"/>
              </w:rPr>
              <w:t>事故原因</w:t>
            </w:r>
          </w:p>
        </w:tc>
        <w:tc>
          <w:tcPr>
            <w:tcW w:w="638" w:type="pct"/>
            <w:noWrap w:val="0"/>
            <w:vAlign w:val="center"/>
          </w:tcPr>
          <w:p w14:paraId="074DEAC6">
            <w:pPr>
              <w:pStyle w:val="19"/>
              <w:bidi w:val="0"/>
              <w:rPr>
                <w:rFonts w:hint="default"/>
                <w:b/>
                <w:bCs/>
                <w:color w:val="auto"/>
                <w:highlight w:val="none"/>
              </w:rPr>
            </w:pPr>
            <w:r>
              <w:rPr>
                <w:rFonts w:hint="default"/>
                <w:b/>
                <w:bCs/>
                <w:color w:val="auto"/>
                <w:highlight w:val="none"/>
              </w:rPr>
              <w:t>事故后果</w:t>
            </w:r>
          </w:p>
        </w:tc>
        <w:tc>
          <w:tcPr>
            <w:tcW w:w="593" w:type="pct"/>
            <w:noWrap w:val="0"/>
            <w:vAlign w:val="center"/>
          </w:tcPr>
          <w:p w14:paraId="1DB9CC57">
            <w:pPr>
              <w:pStyle w:val="19"/>
              <w:bidi w:val="0"/>
              <w:rPr>
                <w:rFonts w:hint="default"/>
                <w:b/>
                <w:bCs/>
                <w:color w:val="auto"/>
                <w:highlight w:val="none"/>
              </w:rPr>
            </w:pPr>
            <w:r>
              <w:rPr>
                <w:rFonts w:hint="default"/>
                <w:b/>
                <w:bCs/>
                <w:color w:val="auto"/>
                <w:highlight w:val="none"/>
              </w:rPr>
              <w:t>危险</w:t>
            </w:r>
          </w:p>
          <w:p w14:paraId="6D76987B">
            <w:pPr>
              <w:pStyle w:val="19"/>
              <w:bidi w:val="0"/>
              <w:rPr>
                <w:rFonts w:hint="default"/>
                <w:b/>
                <w:bCs/>
                <w:color w:val="auto"/>
                <w:highlight w:val="none"/>
              </w:rPr>
            </w:pPr>
            <w:r>
              <w:rPr>
                <w:rFonts w:hint="default"/>
                <w:b/>
                <w:bCs/>
                <w:color w:val="auto"/>
                <w:highlight w:val="none"/>
              </w:rPr>
              <w:t>等级</w:t>
            </w:r>
          </w:p>
        </w:tc>
        <w:tc>
          <w:tcPr>
            <w:tcW w:w="487" w:type="pct"/>
            <w:noWrap w:val="0"/>
            <w:vAlign w:val="center"/>
          </w:tcPr>
          <w:p w14:paraId="1AF94855">
            <w:pPr>
              <w:pStyle w:val="19"/>
              <w:bidi w:val="0"/>
              <w:rPr>
                <w:rFonts w:hint="default"/>
                <w:b/>
                <w:bCs/>
                <w:color w:val="auto"/>
                <w:highlight w:val="none"/>
              </w:rPr>
            </w:pPr>
            <w:r>
              <w:rPr>
                <w:rFonts w:hint="default"/>
                <w:b/>
                <w:bCs/>
                <w:color w:val="auto"/>
                <w:highlight w:val="none"/>
              </w:rPr>
              <w:t>发生事故的概率等级</w:t>
            </w:r>
          </w:p>
        </w:tc>
        <w:tc>
          <w:tcPr>
            <w:tcW w:w="1397" w:type="pct"/>
            <w:noWrap w:val="0"/>
            <w:vAlign w:val="center"/>
          </w:tcPr>
          <w:p w14:paraId="48480A6B">
            <w:pPr>
              <w:pStyle w:val="19"/>
              <w:bidi w:val="0"/>
              <w:rPr>
                <w:rFonts w:hint="default"/>
                <w:b/>
                <w:bCs/>
                <w:color w:val="auto"/>
                <w:highlight w:val="none"/>
              </w:rPr>
            </w:pPr>
            <w:r>
              <w:rPr>
                <w:rFonts w:hint="default"/>
                <w:b/>
                <w:bCs/>
                <w:color w:val="auto"/>
                <w:highlight w:val="none"/>
              </w:rPr>
              <w:t>对策措施</w:t>
            </w:r>
          </w:p>
        </w:tc>
      </w:tr>
      <w:tr w14:paraId="5F6BE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393" w:type="pct"/>
            <w:noWrap w:val="0"/>
            <w:vAlign w:val="center"/>
          </w:tcPr>
          <w:p w14:paraId="2890D906">
            <w:pPr>
              <w:pStyle w:val="19"/>
              <w:bidi w:val="0"/>
              <w:rPr>
                <w:rFonts w:hint="default"/>
                <w:color w:val="auto"/>
                <w:highlight w:val="none"/>
              </w:rPr>
            </w:pPr>
            <w:r>
              <w:rPr>
                <w:rFonts w:hint="default"/>
                <w:color w:val="auto"/>
                <w:highlight w:val="none"/>
              </w:rPr>
              <w:t>坍塌</w:t>
            </w:r>
          </w:p>
        </w:tc>
        <w:tc>
          <w:tcPr>
            <w:tcW w:w="1489" w:type="pct"/>
            <w:noWrap w:val="0"/>
            <w:vAlign w:val="center"/>
          </w:tcPr>
          <w:p w14:paraId="3DAA6467">
            <w:pPr>
              <w:pStyle w:val="19"/>
              <w:bidi w:val="0"/>
              <w:jc w:val="both"/>
              <w:rPr>
                <w:rFonts w:hint="default"/>
                <w:color w:val="auto"/>
                <w:highlight w:val="none"/>
              </w:rPr>
            </w:pPr>
            <w:r>
              <w:rPr>
                <w:rFonts w:hint="default"/>
                <w:color w:val="auto"/>
                <w:highlight w:val="none"/>
              </w:rPr>
              <w:t>1、原料堆场在堆放过程中坡面角和边坡过大，堆置高度过高等</w:t>
            </w:r>
            <w:r>
              <w:rPr>
                <w:rFonts w:hint="eastAsia"/>
                <w:color w:val="auto"/>
                <w:highlight w:val="none"/>
                <w:lang w:eastAsia="zh-CN"/>
              </w:rPr>
              <w:t>；</w:t>
            </w:r>
          </w:p>
          <w:p w14:paraId="677FD438">
            <w:pPr>
              <w:pStyle w:val="19"/>
              <w:bidi w:val="0"/>
              <w:jc w:val="both"/>
              <w:rPr>
                <w:rFonts w:hint="default"/>
                <w:color w:val="auto"/>
                <w:highlight w:val="none"/>
              </w:rPr>
            </w:pPr>
            <w:r>
              <w:rPr>
                <w:rFonts w:hint="default"/>
                <w:color w:val="auto"/>
                <w:highlight w:val="none"/>
              </w:rPr>
              <w:t>2、原料堆场没有可靠的防洪和排水设施，岩土含水饱合形成了软弱面，或雨水冲刷边坡等均容易导致原料堆场边坡失稳；</w:t>
            </w:r>
          </w:p>
          <w:p w14:paraId="68CE299F">
            <w:pPr>
              <w:pStyle w:val="19"/>
              <w:bidi w:val="0"/>
              <w:jc w:val="both"/>
              <w:rPr>
                <w:rFonts w:hint="default"/>
                <w:color w:val="auto"/>
                <w:highlight w:val="none"/>
              </w:rPr>
            </w:pPr>
            <w:r>
              <w:rPr>
                <w:rFonts w:hint="default"/>
                <w:color w:val="auto"/>
                <w:highlight w:val="none"/>
              </w:rPr>
              <w:t>3、安全管理规章制度不健全，安全责任未落实、不明确。</w:t>
            </w:r>
          </w:p>
        </w:tc>
        <w:tc>
          <w:tcPr>
            <w:tcW w:w="638" w:type="pct"/>
            <w:noWrap w:val="0"/>
            <w:vAlign w:val="center"/>
          </w:tcPr>
          <w:p w14:paraId="388E55FB">
            <w:pPr>
              <w:pStyle w:val="19"/>
              <w:bidi w:val="0"/>
              <w:rPr>
                <w:rFonts w:hint="default"/>
                <w:color w:val="auto"/>
                <w:highlight w:val="none"/>
              </w:rPr>
            </w:pPr>
            <w:r>
              <w:rPr>
                <w:rFonts w:hint="default"/>
                <w:color w:val="auto"/>
                <w:highlight w:val="none"/>
              </w:rPr>
              <w:t>人员伤亡、财产损失</w:t>
            </w:r>
          </w:p>
        </w:tc>
        <w:tc>
          <w:tcPr>
            <w:tcW w:w="593" w:type="pct"/>
            <w:noWrap w:val="0"/>
            <w:vAlign w:val="center"/>
          </w:tcPr>
          <w:p w14:paraId="7699A8E1">
            <w:pPr>
              <w:pStyle w:val="19"/>
              <w:bidi w:val="0"/>
              <w:rPr>
                <w:rFonts w:hint="default"/>
                <w:color w:val="auto"/>
                <w:highlight w:val="none"/>
              </w:rPr>
            </w:pPr>
            <w:r>
              <w:rPr>
                <w:rFonts w:hint="default"/>
                <w:color w:val="auto"/>
                <w:highlight w:val="none"/>
              </w:rPr>
              <w:t>Ⅱ</w:t>
            </w:r>
          </w:p>
        </w:tc>
        <w:tc>
          <w:tcPr>
            <w:tcW w:w="487" w:type="pct"/>
            <w:noWrap w:val="0"/>
            <w:vAlign w:val="center"/>
          </w:tcPr>
          <w:p w14:paraId="5170C9B0">
            <w:pPr>
              <w:pStyle w:val="19"/>
              <w:bidi w:val="0"/>
              <w:rPr>
                <w:rFonts w:hint="default"/>
                <w:color w:val="auto"/>
                <w:highlight w:val="none"/>
                <w:lang w:val="en-US" w:eastAsia="zh-CN"/>
              </w:rPr>
            </w:pPr>
            <w:r>
              <w:rPr>
                <w:rFonts w:hint="default"/>
                <w:color w:val="auto"/>
                <w:highlight w:val="none"/>
                <w:lang w:val="en-US" w:eastAsia="zh-CN"/>
              </w:rPr>
              <w:t>B</w:t>
            </w:r>
          </w:p>
        </w:tc>
        <w:tc>
          <w:tcPr>
            <w:tcW w:w="1397" w:type="pct"/>
            <w:noWrap w:val="0"/>
            <w:vAlign w:val="center"/>
          </w:tcPr>
          <w:p w14:paraId="0B14F2B0">
            <w:pPr>
              <w:pStyle w:val="19"/>
              <w:bidi w:val="0"/>
              <w:jc w:val="both"/>
              <w:rPr>
                <w:rFonts w:hint="default"/>
                <w:color w:val="auto"/>
                <w:highlight w:val="none"/>
              </w:rPr>
            </w:pPr>
            <w:r>
              <w:rPr>
                <w:rFonts w:hint="default"/>
                <w:color w:val="auto"/>
                <w:highlight w:val="none"/>
              </w:rPr>
              <w:t>1、设置可靠的截流、防洪和排水设施。</w:t>
            </w:r>
          </w:p>
          <w:p w14:paraId="029EE509">
            <w:pPr>
              <w:pStyle w:val="19"/>
              <w:bidi w:val="0"/>
              <w:jc w:val="both"/>
              <w:rPr>
                <w:rFonts w:hint="default"/>
                <w:color w:val="auto"/>
                <w:highlight w:val="none"/>
              </w:rPr>
            </w:pPr>
            <w:r>
              <w:rPr>
                <w:rFonts w:hint="default"/>
                <w:color w:val="auto"/>
                <w:highlight w:val="none"/>
              </w:rPr>
              <w:t>2、健全原料堆场安全责任制、管理制度和作业规程。</w:t>
            </w:r>
          </w:p>
          <w:p w14:paraId="44635C44">
            <w:pPr>
              <w:pStyle w:val="19"/>
              <w:bidi w:val="0"/>
              <w:jc w:val="both"/>
              <w:rPr>
                <w:rFonts w:hint="default"/>
                <w:color w:val="auto"/>
                <w:highlight w:val="none"/>
              </w:rPr>
            </w:pPr>
            <w:r>
              <w:rPr>
                <w:rFonts w:hint="default"/>
                <w:color w:val="auto"/>
                <w:highlight w:val="none"/>
              </w:rPr>
              <w:t>3、建立原料堆场安全监测系统。</w:t>
            </w:r>
          </w:p>
          <w:p w14:paraId="502E293E">
            <w:pPr>
              <w:pStyle w:val="19"/>
              <w:bidi w:val="0"/>
              <w:jc w:val="both"/>
              <w:rPr>
                <w:rFonts w:hint="default"/>
                <w:color w:val="auto"/>
                <w:highlight w:val="none"/>
              </w:rPr>
            </w:pPr>
            <w:r>
              <w:rPr>
                <w:rFonts w:hint="default"/>
                <w:color w:val="auto"/>
                <w:highlight w:val="none"/>
              </w:rPr>
              <w:t>4、设置专人指挥。</w:t>
            </w:r>
          </w:p>
        </w:tc>
      </w:tr>
      <w:tr w14:paraId="36FCA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393" w:type="pct"/>
            <w:noWrap w:val="0"/>
            <w:vAlign w:val="center"/>
          </w:tcPr>
          <w:p w14:paraId="75717C43">
            <w:pPr>
              <w:pStyle w:val="19"/>
              <w:bidi w:val="0"/>
              <w:rPr>
                <w:rFonts w:hint="default"/>
                <w:color w:val="auto"/>
                <w:highlight w:val="none"/>
              </w:rPr>
            </w:pPr>
            <w:r>
              <w:rPr>
                <w:rFonts w:hint="default"/>
                <w:color w:val="auto"/>
                <w:highlight w:val="none"/>
              </w:rPr>
              <w:t>车辆</w:t>
            </w:r>
          </w:p>
          <w:p w14:paraId="4DA2FBE9">
            <w:pPr>
              <w:pStyle w:val="19"/>
              <w:bidi w:val="0"/>
              <w:rPr>
                <w:rFonts w:hint="default"/>
                <w:color w:val="auto"/>
                <w:highlight w:val="none"/>
              </w:rPr>
            </w:pPr>
            <w:r>
              <w:rPr>
                <w:rFonts w:hint="default"/>
                <w:color w:val="auto"/>
                <w:highlight w:val="none"/>
              </w:rPr>
              <w:t>伤害</w:t>
            </w:r>
          </w:p>
        </w:tc>
        <w:tc>
          <w:tcPr>
            <w:tcW w:w="1489" w:type="pct"/>
            <w:noWrap w:val="0"/>
            <w:vAlign w:val="center"/>
          </w:tcPr>
          <w:p w14:paraId="2E98C474">
            <w:pPr>
              <w:pStyle w:val="19"/>
              <w:bidi w:val="0"/>
              <w:jc w:val="both"/>
              <w:rPr>
                <w:rFonts w:hint="default"/>
                <w:color w:val="auto"/>
                <w:highlight w:val="none"/>
              </w:rPr>
            </w:pPr>
            <w:r>
              <w:rPr>
                <w:rFonts w:hint="default"/>
                <w:color w:val="auto"/>
                <w:highlight w:val="none"/>
              </w:rPr>
              <w:t>1、违章作业、违章指挥；</w:t>
            </w:r>
          </w:p>
          <w:p w14:paraId="0519DCF9">
            <w:pPr>
              <w:pStyle w:val="19"/>
              <w:bidi w:val="0"/>
              <w:jc w:val="both"/>
              <w:rPr>
                <w:rFonts w:hint="default"/>
                <w:color w:val="auto"/>
                <w:highlight w:val="none"/>
              </w:rPr>
            </w:pPr>
            <w:r>
              <w:rPr>
                <w:rFonts w:hint="default"/>
                <w:color w:val="auto"/>
                <w:highlight w:val="none"/>
              </w:rPr>
              <w:t>2、未设置安全装置或安全装置失效；</w:t>
            </w:r>
          </w:p>
          <w:p w14:paraId="1EF651B4">
            <w:pPr>
              <w:pStyle w:val="19"/>
              <w:bidi w:val="0"/>
              <w:jc w:val="both"/>
              <w:rPr>
                <w:rFonts w:hint="eastAsia" w:eastAsia="宋体"/>
                <w:color w:val="auto"/>
                <w:highlight w:val="none"/>
                <w:lang w:eastAsia="zh-CN"/>
              </w:rPr>
            </w:pPr>
            <w:r>
              <w:rPr>
                <w:rFonts w:hint="default"/>
                <w:color w:val="auto"/>
                <w:highlight w:val="none"/>
              </w:rPr>
              <w:t>3、车况不良；</w:t>
            </w:r>
          </w:p>
          <w:p w14:paraId="35C67ED1">
            <w:pPr>
              <w:pStyle w:val="19"/>
              <w:bidi w:val="0"/>
              <w:jc w:val="both"/>
              <w:rPr>
                <w:rFonts w:hint="default"/>
                <w:color w:val="auto"/>
                <w:highlight w:val="none"/>
              </w:rPr>
            </w:pPr>
            <w:r>
              <w:rPr>
                <w:rFonts w:hint="default"/>
                <w:color w:val="auto"/>
                <w:highlight w:val="none"/>
              </w:rPr>
              <w:t>4、未设置安全警示标志或标志不明显。</w:t>
            </w:r>
          </w:p>
        </w:tc>
        <w:tc>
          <w:tcPr>
            <w:tcW w:w="638" w:type="pct"/>
            <w:noWrap w:val="0"/>
            <w:vAlign w:val="center"/>
          </w:tcPr>
          <w:p w14:paraId="11C2A95C">
            <w:pPr>
              <w:pStyle w:val="19"/>
              <w:bidi w:val="0"/>
              <w:rPr>
                <w:rFonts w:hint="default"/>
                <w:color w:val="auto"/>
                <w:highlight w:val="none"/>
              </w:rPr>
            </w:pPr>
            <w:r>
              <w:rPr>
                <w:rFonts w:hint="default"/>
                <w:color w:val="auto"/>
                <w:highlight w:val="none"/>
              </w:rPr>
              <w:t>人员伤亡、财产损失</w:t>
            </w:r>
          </w:p>
        </w:tc>
        <w:tc>
          <w:tcPr>
            <w:tcW w:w="593" w:type="pct"/>
            <w:noWrap w:val="0"/>
            <w:vAlign w:val="center"/>
          </w:tcPr>
          <w:p w14:paraId="6315B97E">
            <w:pPr>
              <w:pStyle w:val="19"/>
              <w:bidi w:val="0"/>
              <w:rPr>
                <w:rFonts w:hint="default"/>
                <w:color w:val="auto"/>
                <w:highlight w:val="none"/>
              </w:rPr>
            </w:pPr>
            <w:r>
              <w:rPr>
                <w:rFonts w:hint="default"/>
                <w:color w:val="auto"/>
                <w:highlight w:val="none"/>
              </w:rPr>
              <w:t>Ⅱ</w:t>
            </w:r>
          </w:p>
        </w:tc>
        <w:tc>
          <w:tcPr>
            <w:tcW w:w="487" w:type="pct"/>
            <w:noWrap w:val="0"/>
            <w:vAlign w:val="center"/>
          </w:tcPr>
          <w:p w14:paraId="3DF7E187">
            <w:pPr>
              <w:pStyle w:val="19"/>
              <w:bidi w:val="0"/>
              <w:rPr>
                <w:rFonts w:hint="default"/>
                <w:color w:val="auto"/>
                <w:highlight w:val="none"/>
                <w:lang w:val="en-US" w:eastAsia="zh-CN"/>
              </w:rPr>
            </w:pPr>
            <w:r>
              <w:rPr>
                <w:rFonts w:hint="default"/>
                <w:color w:val="auto"/>
                <w:highlight w:val="none"/>
                <w:lang w:val="en-US" w:eastAsia="zh-CN"/>
              </w:rPr>
              <w:t>C</w:t>
            </w:r>
          </w:p>
        </w:tc>
        <w:tc>
          <w:tcPr>
            <w:tcW w:w="1397" w:type="pct"/>
            <w:noWrap w:val="0"/>
            <w:vAlign w:val="center"/>
          </w:tcPr>
          <w:p w14:paraId="1A1CD3BF">
            <w:pPr>
              <w:pStyle w:val="19"/>
              <w:bidi w:val="0"/>
              <w:jc w:val="both"/>
              <w:rPr>
                <w:rFonts w:hint="default"/>
                <w:color w:val="auto"/>
                <w:highlight w:val="none"/>
              </w:rPr>
            </w:pPr>
            <w:r>
              <w:rPr>
                <w:rFonts w:hint="default"/>
                <w:color w:val="auto"/>
                <w:highlight w:val="none"/>
              </w:rPr>
              <w:t>1、制定并严格执行操作规程，杜绝违章指挥、违章作业；</w:t>
            </w:r>
          </w:p>
          <w:p w14:paraId="4C15915B">
            <w:pPr>
              <w:pStyle w:val="19"/>
              <w:bidi w:val="0"/>
              <w:jc w:val="both"/>
              <w:rPr>
                <w:rFonts w:hint="eastAsia" w:eastAsia="宋体"/>
                <w:color w:val="auto"/>
                <w:highlight w:val="none"/>
                <w:lang w:eastAsia="zh-CN"/>
              </w:rPr>
            </w:pPr>
            <w:r>
              <w:rPr>
                <w:rFonts w:hint="default"/>
                <w:color w:val="auto"/>
                <w:highlight w:val="none"/>
              </w:rPr>
              <w:t>2、在独头卸载线端部设置挡车装置，或按规定设置反坡；</w:t>
            </w:r>
          </w:p>
          <w:p w14:paraId="5451757E">
            <w:pPr>
              <w:pStyle w:val="19"/>
              <w:bidi w:val="0"/>
              <w:jc w:val="both"/>
              <w:rPr>
                <w:rFonts w:hint="default"/>
                <w:color w:val="auto"/>
                <w:highlight w:val="none"/>
              </w:rPr>
            </w:pPr>
            <w:r>
              <w:rPr>
                <w:rFonts w:hint="default"/>
                <w:color w:val="auto"/>
                <w:highlight w:val="none"/>
              </w:rPr>
              <w:t>3、加强车辆的检维修，定期保养、年检；</w:t>
            </w:r>
          </w:p>
          <w:p w14:paraId="023BF6F6">
            <w:pPr>
              <w:pStyle w:val="19"/>
              <w:bidi w:val="0"/>
              <w:jc w:val="both"/>
              <w:rPr>
                <w:rFonts w:hint="default"/>
                <w:color w:val="auto"/>
                <w:highlight w:val="none"/>
              </w:rPr>
            </w:pPr>
            <w:r>
              <w:rPr>
                <w:rFonts w:hint="default"/>
                <w:color w:val="auto"/>
                <w:highlight w:val="none"/>
              </w:rPr>
              <w:t>4、在堆场设置限速、限重等安全警示标志。</w:t>
            </w:r>
          </w:p>
        </w:tc>
      </w:tr>
      <w:tr w14:paraId="2ED6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393" w:type="pct"/>
            <w:noWrap w:val="0"/>
            <w:vAlign w:val="center"/>
          </w:tcPr>
          <w:p w14:paraId="461F6103">
            <w:pPr>
              <w:pStyle w:val="19"/>
              <w:bidi w:val="0"/>
              <w:rPr>
                <w:rFonts w:hint="default"/>
                <w:color w:val="auto"/>
                <w:highlight w:val="none"/>
              </w:rPr>
            </w:pPr>
            <w:r>
              <w:rPr>
                <w:rFonts w:hint="default"/>
                <w:color w:val="auto"/>
                <w:highlight w:val="none"/>
              </w:rPr>
              <w:t>高处坠落</w:t>
            </w:r>
          </w:p>
        </w:tc>
        <w:tc>
          <w:tcPr>
            <w:tcW w:w="1489" w:type="pct"/>
            <w:noWrap w:val="0"/>
            <w:vAlign w:val="center"/>
          </w:tcPr>
          <w:p w14:paraId="1F66855D">
            <w:pPr>
              <w:pStyle w:val="19"/>
              <w:bidi w:val="0"/>
              <w:jc w:val="both"/>
              <w:rPr>
                <w:rFonts w:hint="default"/>
                <w:color w:val="auto"/>
                <w:highlight w:val="none"/>
              </w:rPr>
            </w:pPr>
            <w:r>
              <w:rPr>
                <w:rFonts w:hint="default"/>
                <w:color w:val="auto"/>
                <w:highlight w:val="none"/>
              </w:rPr>
              <w:t>1、原料堆场堆存台阶过高，人员作业疏忽；</w:t>
            </w:r>
          </w:p>
          <w:p w14:paraId="53B5171C">
            <w:pPr>
              <w:pStyle w:val="19"/>
              <w:bidi w:val="0"/>
              <w:jc w:val="both"/>
              <w:rPr>
                <w:rFonts w:hint="default"/>
                <w:color w:val="auto"/>
                <w:highlight w:val="none"/>
              </w:rPr>
            </w:pPr>
            <w:r>
              <w:rPr>
                <w:rFonts w:hint="default"/>
                <w:color w:val="auto"/>
                <w:highlight w:val="none"/>
              </w:rPr>
              <w:t>2、无安全警示标志</w:t>
            </w:r>
            <w:r>
              <w:rPr>
                <w:rFonts w:hint="eastAsia"/>
                <w:color w:val="auto"/>
                <w:highlight w:val="none"/>
                <w:lang w:eastAsia="zh-CN"/>
              </w:rPr>
              <w:t>；</w:t>
            </w:r>
          </w:p>
          <w:p w14:paraId="5B917437">
            <w:pPr>
              <w:pStyle w:val="19"/>
              <w:bidi w:val="0"/>
              <w:jc w:val="both"/>
              <w:rPr>
                <w:rFonts w:hint="default"/>
                <w:color w:val="auto"/>
                <w:highlight w:val="none"/>
              </w:rPr>
            </w:pPr>
            <w:r>
              <w:rPr>
                <w:rFonts w:hint="default"/>
                <w:color w:val="auto"/>
                <w:highlight w:val="none"/>
              </w:rPr>
              <w:t>3、临边未设置安全设施。</w:t>
            </w:r>
          </w:p>
        </w:tc>
        <w:tc>
          <w:tcPr>
            <w:tcW w:w="638" w:type="pct"/>
            <w:noWrap w:val="0"/>
            <w:vAlign w:val="center"/>
          </w:tcPr>
          <w:p w14:paraId="295FE7DD">
            <w:pPr>
              <w:pStyle w:val="19"/>
              <w:bidi w:val="0"/>
              <w:rPr>
                <w:rFonts w:hint="default"/>
                <w:color w:val="auto"/>
                <w:highlight w:val="none"/>
              </w:rPr>
            </w:pPr>
            <w:r>
              <w:rPr>
                <w:rFonts w:hint="default"/>
                <w:color w:val="auto"/>
                <w:highlight w:val="none"/>
              </w:rPr>
              <w:t>人员伤亡</w:t>
            </w:r>
          </w:p>
        </w:tc>
        <w:tc>
          <w:tcPr>
            <w:tcW w:w="593" w:type="pct"/>
            <w:noWrap w:val="0"/>
            <w:vAlign w:val="center"/>
          </w:tcPr>
          <w:p w14:paraId="6634C7E7">
            <w:pPr>
              <w:pStyle w:val="19"/>
              <w:bidi w:val="0"/>
              <w:rPr>
                <w:rFonts w:hint="default"/>
                <w:color w:val="auto"/>
                <w:highlight w:val="none"/>
              </w:rPr>
            </w:pPr>
            <w:r>
              <w:rPr>
                <w:rFonts w:hint="default"/>
                <w:color w:val="auto"/>
                <w:highlight w:val="none"/>
              </w:rPr>
              <w:t>Ⅱ</w:t>
            </w:r>
          </w:p>
        </w:tc>
        <w:tc>
          <w:tcPr>
            <w:tcW w:w="487" w:type="pct"/>
            <w:noWrap w:val="0"/>
            <w:vAlign w:val="center"/>
          </w:tcPr>
          <w:p w14:paraId="243CCBFE">
            <w:pPr>
              <w:pStyle w:val="19"/>
              <w:bidi w:val="0"/>
              <w:rPr>
                <w:rFonts w:hint="default"/>
                <w:color w:val="auto"/>
                <w:highlight w:val="none"/>
                <w:lang w:val="en-US" w:eastAsia="zh-CN"/>
              </w:rPr>
            </w:pPr>
            <w:r>
              <w:rPr>
                <w:rFonts w:hint="default"/>
                <w:color w:val="auto"/>
                <w:highlight w:val="none"/>
                <w:lang w:val="en-US" w:eastAsia="zh-CN"/>
              </w:rPr>
              <w:t>C</w:t>
            </w:r>
          </w:p>
        </w:tc>
        <w:tc>
          <w:tcPr>
            <w:tcW w:w="1397" w:type="pct"/>
            <w:noWrap w:val="0"/>
            <w:vAlign w:val="center"/>
          </w:tcPr>
          <w:p w14:paraId="1C24573D">
            <w:pPr>
              <w:pStyle w:val="19"/>
              <w:bidi w:val="0"/>
              <w:jc w:val="both"/>
              <w:rPr>
                <w:rFonts w:hint="default"/>
                <w:color w:val="auto"/>
                <w:highlight w:val="none"/>
              </w:rPr>
            </w:pPr>
            <w:r>
              <w:rPr>
                <w:rFonts w:hint="default"/>
                <w:color w:val="auto"/>
                <w:highlight w:val="none"/>
              </w:rPr>
              <w:t>1、堆存过程中，作业人员要专心作业；</w:t>
            </w:r>
          </w:p>
          <w:p w14:paraId="2DFE8151">
            <w:pPr>
              <w:pStyle w:val="19"/>
              <w:bidi w:val="0"/>
              <w:jc w:val="both"/>
              <w:rPr>
                <w:rFonts w:hint="default"/>
                <w:color w:val="auto"/>
                <w:highlight w:val="none"/>
              </w:rPr>
            </w:pPr>
            <w:r>
              <w:rPr>
                <w:rFonts w:hint="default"/>
                <w:color w:val="auto"/>
                <w:highlight w:val="none"/>
              </w:rPr>
              <w:t>2、高陡边坡上部设置明显安全警示标志；</w:t>
            </w:r>
          </w:p>
          <w:p w14:paraId="78463F3A">
            <w:pPr>
              <w:pStyle w:val="19"/>
              <w:bidi w:val="0"/>
              <w:jc w:val="both"/>
              <w:rPr>
                <w:rFonts w:hint="default"/>
                <w:color w:val="auto"/>
                <w:highlight w:val="none"/>
              </w:rPr>
            </w:pPr>
            <w:r>
              <w:rPr>
                <w:rFonts w:hint="default"/>
                <w:color w:val="auto"/>
                <w:highlight w:val="none"/>
              </w:rPr>
              <w:t>3、在危险部位设置安全设施（护栏）。</w:t>
            </w:r>
          </w:p>
        </w:tc>
      </w:tr>
      <w:tr w14:paraId="463F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393" w:type="pct"/>
            <w:noWrap w:val="0"/>
            <w:vAlign w:val="center"/>
          </w:tcPr>
          <w:p w14:paraId="0BA7EE55">
            <w:pPr>
              <w:pStyle w:val="19"/>
              <w:bidi w:val="0"/>
              <w:rPr>
                <w:rFonts w:hint="default"/>
                <w:color w:val="auto"/>
                <w:highlight w:val="none"/>
              </w:rPr>
            </w:pPr>
            <w:r>
              <w:rPr>
                <w:rFonts w:hint="default"/>
                <w:color w:val="auto"/>
                <w:highlight w:val="none"/>
              </w:rPr>
              <w:t>其他伤害（如粉尘）</w:t>
            </w:r>
          </w:p>
        </w:tc>
        <w:tc>
          <w:tcPr>
            <w:tcW w:w="1489" w:type="pct"/>
            <w:noWrap w:val="0"/>
            <w:vAlign w:val="center"/>
          </w:tcPr>
          <w:p w14:paraId="7C4B0627">
            <w:pPr>
              <w:pStyle w:val="19"/>
              <w:bidi w:val="0"/>
              <w:jc w:val="both"/>
              <w:rPr>
                <w:rFonts w:hint="eastAsia" w:eastAsia="宋体"/>
                <w:color w:val="auto"/>
                <w:highlight w:val="none"/>
                <w:lang w:eastAsia="zh-CN"/>
              </w:rPr>
            </w:pPr>
            <w:r>
              <w:rPr>
                <w:rFonts w:hint="default"/>
                <w:color w:val="auto"/>
                <w:highlight w:val="none"/>
              </w:rPr>
              <w:t>1、大风天气条件下铲装、堆存会产生大量粉尘；</w:t>
            </w:r>
          </w:p>
          <w:p w14:paraId="599E0816">
            <w:pPr>
              <w:pStyle w:val="19"/>
              <w:bidi w:val="0"/>
              <w:jc w:val="both"/>
              <w:rPr>
                <w:rFonts w:hint="default"/>
                <w:color w:val="auto"/>
                <w:highlight w:val="none"/>
              </w:rPr>
            </w:pPr>
            <w:r>
              <w:rPr>
                <w:rFonts w:hint="default"/>
                <w:color w:val="auto"/>
                <w:highlight w:val="none"/>
              </w:rPr>
              <w:t>2、从业人员意识淡薄，未佩戴劳动防护用品或劳动防护用品不合格。</w:t>
            </w:r>
          </w:p>
        </w:tc>
        <w:tc>
          <w:tcPr>
            <w:tcW w:w="638" w:type="pct"/>
            <w:noWrap w:val="0"/>
            <w:vAlign w:val="center"/>
          </w:tcPr>
          <w:p w14:paraId="6C02ADB1">
            <w:pPr>
              <w:pStyle w:val="19"/>
              <w:bidi w:val="0"/>
              <w:rPr>
                <w:rFonts w:hint="default"/>
                <w:color w:val="auto"/>
                <w:highlight w:val="none"/>
              </w:rPr>
            </w:pPr>
            <w:r>
              <w:rPr>
                <w:rFonts w:hint="default"/>
                <w:color w:val="auto"/>
                <w:highlight w:val="none"/>
              </w:rPr>
              <w:t>罹患职业病或死亡</w:t>
            </w:r>
          </w:p>
        </w:tc>
        <w:tc>
          <w:tcPr>
            <w:tcW w:w="593" w:type="pct"/>
            <w:noWrap w:val="0"/>
            <w:vAlign w:val="center"/>
          </w:tcPr>
          <w:p w14:paraId="1FD1A7FA">
            <w:pPr>
              <w:pStyle w:val="19"/>
              <w:bidi w:val="0"/>
              <w:rPr>
                <w:rFonts w:hint="default"/>
                <w:color w:val="auto"/>
                <w:highlight w:val="none"/>
              </w:rPr>
            </w:pPr>
            <w:r>
              <w:rPr>
                <w:rFonts w:hint="default"/>
                <w:color w:val="auto"/>
                <w:highlight w:val="none"/>
              </w:rPr>
              <w:t>Ⅱ</w:t>
            </w:r>
          </w:p>
        </w:tc>
        <w:tc>
          <w:tcPr>
            <w:tcW w:w="487" w:type="pct"/>
            <w:noWrap w:val="0"/>
            <w:vAlign w:val="center"/>
          </w:tcPr>
          <w:p w14:paraId="2D363E99">
            <w:pPr>
              <w:pStyle w:val="19"/>
              <w:bidi w:val="0"/>
              <w:rPr>
                <w:rFonts w:hint="default"/>
                <w:color w:val="auto"/>
                <w:highlight w:val="none"/>
                <w:lang w:val="en-US" w:eastAsia="zh-CN"/>
              </w:rPr>
            </w:pPr>
            <w:r>
              <w:rPr>
                <w:rFonts w:hint="default"/>
                <w:color w:val="auto"/>
                <w:highlight w:val="none"/>
                <w:lang w:val="en-US" w:eastAsia="zh-CN"/>
              </w:rPr>
              <w:t>D</w:t>
            </w:r>
          </w:p>
        </w:tc>
        <w:tc>
          <w:tcPr>
            <w:tcW w:w="1397" w:type="pct"/>
            <w:noWrap w:val="0"/>
            <w:vAlign w:val="center"/>
          </w:tcPr>
          <w:p w14:paraId="3F8E5776">
            <w:pPr>
              <w:pStyle w:val="19"/>
              <w:numPr>
                <w:ilvl w:val="0"/>
                <w:numId w:val="0"/>
              </w:numPr>
              <w:bidi w:val="0"/>
              <w:ind w:firstLine="0" w:firstLineChars="0"/>
              <w:jc w:val="both"/>
              <w:rPr>
                <w:rFonts w:hint="default"/>
                <w:color w:val="auto"/>
                <w:highlight w:val="none"/>
              </w:rPr>
            </w:pPr>
            <w:r>
              <w:rPr>
                <w:rFonts w:hint="default" w:ascii="Times New Roman" w:hAnsi="Times New Roman" w:eastAsia="宋体" w:cs="Times New Roman"/>
                <w:snapToGrid w:val="0"/>
                <w:color w:val="auto"/>
                <w:kern w:val="0"/>
                <w:sz w:val="21"/>
                <w:szCs w:val="28"/>
                <w:highlight w:val="none"/>
                <w:lang w:val="en-US" w:eastAsia="zh-CN" w:bidi="ar-SA"/>
              </w:rPr>
              <w:t>1、</w:t>
            </w:r>
            <w:r>
              <w:rPr>
                <w:rFonts w:hint="default"/>
                <w:color w:val="auto"/>
                <w:highlight w:val="none"/>
              </w:rPr>
              <w:t>坚持洒水降尘；</w:t>
            </w:r>
          </w:p>
          <w:p w14:paraId="61E77327">
            <w:pPr>
              <w:pStyle w:val="19"/>
              <w:numPr>
                <w:ilvl w:val="0"/>
                <w:numId w:val="0"/>
              </w:numPr>
              <w:bidi w:val="0"/>
              <w:jc w:val="both"/>
              <w:rPr>
                <w:rFonts w:hint="default"/>
                <w:color w:val="auto"/>
                <w:highlight w:val="none"/>
              </w:rPr>
            </w:pPr>
            <w:r>
              <w:rPr>
                <w:rFonts w:hint="default"/>
                <w:color w:val="auto"/>
                <w:highlight w:val="none"/>
              </w:rPr>
              <w:t>2、加强从业人员教育，配发并监督从业人员正确使用劳动防护用品。</w:t>
            </w:r>
          </w:p>
        </w:tc>
      </w:tr>
      <w:tr w14:paraId="36F93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739" w:type="dxa"/>
            <w:noWrap w:val="0"/>
            <w:vAlign w:val="center"/>
          </w:tcPr>
          <w:p w14:paraId="72172346">
            <w:pPr>
              <w:pStyle w:val="19"/>
              <w:bidi w:val="0"/>
              <w:rPr>
                <w:rFonts w:hint="default"/>
                <w:color w:val="auto"/>
                <w:highlight w:val="none"/>
              </w:rPr>
            </w:pPr>
            <w:r>
              <w:rPr>
                <w:rFonts w:hint="eastAsia"/>
                <w:color w:val="auto"/>
                <w:highlight w:val="none"/>
                <w:lang w:val="en-US" w:eastAsia="zh-CN"/>
              </w:rPr>
              <w:t>滑坡</w:t>
            </w:r>
          </w:p>
        </w:tc>
        <w:tc>
          <w:tcPr>
            <w:tcW w:w="2801" w:type="dxa"/>
            <w:noWrap w:val="0"/>
            <w:vAlign w:val="center"/>
          </w:tcPr>
          <w:p w14:paraId="0FF29ABC">
            <w:pPr>
              <w:pStyle w:val="19"/>
              <w:bidi w:val="0"/>
              <w:jc w:val="both"/>
              <w:rPr>
                <w:rFonts w:hint="default"/>
                <w:color w:val="auto"/>
                <w:highlight w:val="none"/>
              </w:rPr>
            </w:pPr>
            <w:r>
              <w:rPr>
                <w:rFonts w:hint="eastAsia"/>
                <w:color w:val="auto"/>
                <w:highlight w:val="none"/>
                <w:lang w:val="en-US" w:eastAsia="zh-CN"/>
              </w:rPr>
              <w:t>原矿堆场的原矿堆高过高、尾矿堆场尾矿堆积过高。</w:t>
            </w:r>
          </w:p>
        </w:tc>
        <w:tc>
          <w:tcPr>
            <w:tcW w:w="1200" w:type="dxa"/>
            <w:noWrap w:val="0"/>
            <w:vAlign w:val="center"/>
          </w:tcPr>
          <w:p w14:paraId="21FD5159">
            <w:pPr>
              <w:pStyle w:val="19"/>
              <w:bidi w:val="0"/>
              <w:rPr>
                <w:rFonts w:hint="default"/>
                <w:color w:val="auto"/>
                <w:highlight w:val="none"/>
              </w:rPr>
            </w:pPr>
            <w:r>
              <w:rPr>
                <w:rFonts w:hint="default"/>
                <w:color w:val="auto"/>
                <w:highlight w:val="none"/>
              </w:rPr>
              <w:t>人员严重伤亡、财产巨大损失</w:t>
            </w:r>
          </w:p>
        </w:tc>
        <w:tc>
          <w:tcPr>
            <w:tcW w:w="1115" w:type="dxa"/>
            <w:noWrap w:val="0"/>
            <w:vAlign w:val="center"/>
          </w:tcPr>
          <w:p w14:paraId="4ECB4A44">
            <w:pPr>
              <w:pStyle w:val="19"/>
              <w:bidi w:val="0"/>
              <w:rPr>
                <w:rFonts w:hint="default"/>
                <w:color w:val="auto"/>
                <w:highlight w:val="none"/>
              </w:rPr>
            </w:pPr>
            <w:r>
              <w:rPr>
                <w:rFonts w:hint="default"/>
                <w:color w:val="auto"/>
                <w:highlight w:val="none"/>
              </w:rPr>
              <w:t>IV</w:t>
            </w:r>
          </w:p>
        </w:tc>
        <w:tc>
          <w:tcPr>
            <w:tcW w:w="916" w:type="dxa"/>
            <w:noWrap w:val="0"/>
            <w:vAlign w:val="center"/>
          </w:tcPr>
          <w:p w14:paraId="6C2B132C">
            <w:pPr>
              <w:pStyle w:val="19"/>
              <w:bidi w:val="0"/>
              <w:rPr>
                <w:rFonts w:hint="default"/>
                <w:color w:val="auto"/>
                <w:highlight w:val="none"/>
                <w:lang w:val="en-US" w:eastAsia="zh-CN"/>
              </w:rPr>
            </w:pPr>
            <w:r>
              <w:rPr>
                <w:rFonts w:hint="default"/>
                <w:color w:val="auto"/>
                <w:highlight w:val="none"/>
              </w:rPr>
              <w:t>B</w:t>
            </w:r>
          </w:p>
        </w:tc>
        <w:tc>
          <w:tcPr>
            <w:tcW w:w="2628" w:type="dxa"/>
            <w:noWrap w:val="0"/>
            <w:vAlign w:val="center"/>
          </w:tcPr>
          <w:p w14:paraId="316E13DB">
            <w:pPr>
              <w:pStyle w:val="19"/>
              <w:bidi w:val="0"/>
              <w:jc w:val="both"/>
              <w:rPr>
                <w:rFonts w:hint="default"/>
                <w:color w:val="auto"/>
                <w:highlight w:val="none"/>
              </w:rPr>
            </w:pPr>
            <w:r>
              <w:rPr>
                <w:rFonts w:hint="eastAsia"/>
                <w:color w:val="auto"/>
                <w:highlight w:val="none"/>
                <w:lang w:val="en-US" w:eastAsia="zh-CN"/>
              </w:rPr>
              <w:t>各堆场堆高不宜过高，</w:t>
            </w:r>
            <w:r>
              <w:rPr>
                <w:rFonts w:hint="default"/>
                <w:color w:val="auto"/>
                <w:highlight w:val="none"/>
              </w:rPr>
              <w:t>在醒目位置设置安全警示标志，严格控制堆置外坡比，无关人员禁止进入</w:t>
            </w:r>
            <w:r>
              <w:rPr>
                <w:rFonts w:hint="eastAsia"/>
                <w:color w:val="auto"/>
                <w:highlight w:val="none"/>
                <w:lang w:eastAsia="zh-CN"/>
              </w:rPr>
              <w:t>。</w:t>
            </w:r>
          </w:p>
        </w:tc>
      </w:tr>
    </w:tbl>
    <w:p w14:paraId="188D33A3">
      <w:pPr>
        <w:rPr>
          <w:rFonts w:hint="eastAsia"/>
          <w:color w:val="auto"/>
          <w:highlight w:val="none"/>
        </w:rPr>
      </w:pPr>
      <w:r>
        <w:rPr>
          <w:rFonts w:hint="eastAsia"/>
          <w:color w:val="auto"/>
          <w:highlight w:val="none"/>
        </w:rPr>
        <w:t>本单元预先危险性等级系数按下式确定：</w:t>
      </w:r>
    </w:p>
    <w:p w14:paraId="242AE9B0">
      <w:pPr>
        <w:ind w:left="0" w:leftChars="0" w:firstLine="0" w:firstLineChars="0"/>
        <w:jc w:val="center"/>
        <w:rPr>
          <w:rFonts w:hint="eastAsia"/>
          <w:color w:val="auto"/>
          <w:highlight w:val="none"/>
        </w:rPr>
      </w:pPr>
      <w:r>
        <w:rPr>
          <w:rFonts w:hint="eastAsia"/>
          <w:color w:val="auto"/>
          <w:highlight w:val="none"/>
        </w:rPr>
        <w:t>W=∑（P×K）/∑K</w:t>
      </w:r>
    </w:p>
    <w:p w14:paraId="22B7F541">
      <w:pPr>
        <w:rPr>
          <w:rFonts w:hint="eastAsia"/>
          <w:color w:val="auto"/>
          <w:highlight w:val="none"/>
        </w:rPr>
      </w:pPr>
      <w:r>
        <w:rPr>
          <w:rFonts w:hint="eastAsia"/>
          <w:color w:val="auto"/>
          <w:highlight w:val="none"/>
        </w:rPr>
        <w:t>式中：W—系统（单元）预先危险性等级系数；</w:t>
      </w:r>
    </w:p>
    <w:p w14:paraId="52A97D4D">
      <w:pPr>
        <w:rPr>
          <w:rFonts w:hint="eastAsia"/>
          <w:color w:val="auto"/>
          <w:highlight w:val="none"/>
        </w:rPr>
      </w:pPr>
      <w:r>
        <w:rPr>
          <w:rFonts w:hint="eastAsia"/>
          <w:color w:val="auto"/>
          <w:highlight w:val="none"/>
        </w:rPr>
        <w:t>P—分析项目的危险性等级系数；</w:t>
      </w:r>
    </w:p>
    <w:p w14:paraId="765D4A86">
      <w:pPr>
        <w:rPr>
          <w:rFonts w:hint="eastAsia"/>
          <w:color w:val="auto"/>
          <w:highlight w:val="none"/>
        </w:rPr>
      </w:pPr>
      <w:r>
        <w:rPr>
          <w:rFonts w:hint="eastAsia"/>
          <w:color w:val="auto"/>
          <w:highlight w:val="none"/>
        </w:rPr>
        <w:t>K—分析项目发生事故的概率系数。</w:t>
      </w:r>
    </w:p>
    <w:p w14:paraId="496A2E13">
      <w:pPr>
        <w:rPr>
          <w:rFonts w:hint="default" w:eastAsia="宋体"/>
          <w:color w:val="auto"/>
          <w:highlight w:val="none"/>
          <w:lang w:val="en-US" w:eastAsia="zh-CN"/>
        </w:rPr>
      </w:pPr>
      <w:r>
        <w:rPr>
          <w:rFonts w:hint="eastAsia"/>
          <w:color w:val="auto"/>
          <w:highlight w:val="none"/>
        </w:rPr>
        <w:t>W=（2×0.10+2×0.20+2×0.20+2×0.30</w:t>
      </w:r>
      <w:r>
        <w:rPr>
          <w:rFonts w:hint="eastAsia"/>
          <w:color w:val="auto"/>
          <w:highlight w:val="none"/>
          <w:lang w:val="en-US" w:eastAsia="zh-CN"/>
        </w:rPr>
        <w:t>+4</w:t>
      </w:r>
      <w:r>
        <w:rPr>
          <w:rFonts w:hint="eastAsia"/>
          <w:color w:val="auto"/>
          <w:highlight w:val="none"/>
        </w:rPr>
        <w:t>×</w:t>
      </w:r>
      <w:r>
        <w:rPr>
          <w:rFonts w:hint="eastAsia"/>
          <w:color w:val="auto"/>
          <w:highlight w:val="none"/>
          <w:lang w:val="en-US" w:eastAsia="zh-CN"/>
        </w:rPr>
        <w:t>0.10</w:t>
      </w:r>
      <w:r>
        <w:rPr>
          <w:rFonts w:hint="eastAsia"/>
          <w:color w:val="auto"/>
          <w:highlight w:val="none"/>
        </w:rPr>
        <w:t>）/（0.10+0.20+0.20+0.30</w:t>
      </w:r>
      <w:r>
        <w:rPr>
          <w:rFonts w:hint="eastAsia"/>
          <w:color w:val="auto"/>
          <w:highlight w:val="none"/>
          <w:lang w:val="en-US" w:eastAsia="zh-CN"/>
        </w:rPr>
        <w:t>+0.10</w:t>
      </w:r>
      <w:r>
        <w:rPr>
          <w:rFonts w:hint="eastAsia"/>
          <w:color w:val="auto"/>
          <w:highlight w:val="none"/>
        </w:rPr>
        <w:t>）=2</w:t>
      </w:r>
      <w:r>
        <w:rPr>
          <w:rFonts w:hint="eastAsia"/>
          <w:color w:val="auto"/>
          <w:highlight w:val="none"/>
          <w:lang w:val="en-US" w:eastAsia="zh-CN"/>
        </w:rPr>
        <w:t>.22</w:t>
      </w:r>
    </w:p>
    <w:p w14:paraId="5ECDC17E">
      <w:pPr>
        <w:rPr>
          <w:rFonts w:hint="eastAsia"/>
          <w:color w:val="auto"/>
          <w:highlight w:val="none"/>
        </w:rPr>
      </w:pPr>
      <w:r>
        <w:rPr>
          <w:rFonts w:hint="eastAsia"/>
          <w:color w:val="auto"/>
          <w:highlight w:val="none"/>
        </w:rPr>
        <w:t>预先危险性分析结论：本单元预先危险性等级系数为II级，系统危险程度为比较危险。</w:t>
      </w:r>
    </w:p>
    <w:p w14:paraId="10E1EAFC">
      <w:pPr>
        <w:pStyle w:val="5"/>
        <w:bidi w:val="0"/>
        <w:rPr>
          <w:rFonts w:hint="eastAsia"/>
          <w:color w:val="auto"/>
        </w:rPr>
      </w:pPr>
      <w:r>
        <w:rPr>
          <w:rFonts w:hint="eastAsia"/>
          <w:color w:val="auto"/>
        </w:rPr>
        <w:t>5.2.1.3 评价</w:t>
      </w:r>
      <w:r>
        <w:rPr>
          <w:rFonts w:hint="eastAsia"/>
          <w:color w:val="auto"/>
          <w:lang w:val="en-US" w:eastAsia="zh-CN"/>
        </w:rPr>
        <w:t>子</w:t>
      </w:r>
      <w:r>
        <w:rPr>
          <w:rFonts w:hint="eastAsia"/>
          <w:color w:val="auto"/>
        </w:rPr>
        <w:t>单元小结</w:t>
      </w:r>
    </w:p>
    <w:p w14:paraId="60CB1A76">
      <w:pPr>
        <w:bidi w:val="0"/>
        <w:rPr>
          <w:rFonts w:hint="eastAsia"/>
          <w:color w:val="auto"/>
        </w:rPr>
      </w:pPr>
      <w:r>
        <w:rPr>
          <w:rFonts w:hint="eastAsia"/>
          <w:color w:val="auto"/>
        </w:rPr>
        <w:t>通过以上分析，原料堆场存在坍塌、滑坡、高处坠落、车辆伤害以及其他伤害等事故类型，主要危险和有害因素包括极端恶劣天气、违章指挥、违章作业、未设置安全警示标志缺失、防护装置、设施缺陷及管理不到位等危险等级为Ⅱ级，暂时不会造成人员伤亡、系统损坏或降低系统性能，在采取一定的合理的技术、管理措施之后，事故可排除、控制或避免。</w:t>
      </w:r>
    </w:p>
    <w:p w14:paraId="12E04F80">
      <w:pPr>
        <w:pStyle w:val="4"/>
        <w:bidi w:val="0"/>
        <w:rPr>
          <w:rFonts w:hint="default"/>
          <w:color w:val="auto"/>
          <w:lang w:val="en-US" w:eastAsia="zh-CN"/>
        </w:rPr>
      </w:pPr>
      <w:bookmarkStart w:id="189" w:name="_Toc13788"/>
      <w:r>
        <w:rPr>
          <w:rFonts w:hint="eastAsia"/>
          <w:color w:val="auto"/>
          <w:lang w:val="en-US" w:eastAsia="zh-CN"/>
        </w:rPr>
        <w:t>5.2.2 磨选系统评价子单元</w:t>
      </w:r>
      <w:bookmarkEnd w:id="189"/>
    </w:p>
    <w:p w14:paraId="536505ED">
      <w:pPr>
        <w:pStyle w:val="5"/>
        <w:bidi w:val="0"/>
        <w:rPr>
          <w:rFonts w:hint="eastAsia"/>
          <w:color w:val="auto"/>
        </w:rPr>
      </w:pPr>
      <w:r>
        <w:rPr>
          <w:rFonts w:hint="eastAsia"/>
          <w:color w:val="auto"/>
        </w:rPr>
        <w:t>5.2.</w:t>
      </w:r>
      <w:r>
        <w:rPr>
          <w:rFonts w:hint="eastAsia"/>
          <w:color w:val="auto"/>
          <w:lang w:val="en-US" w:eastAsia="zh-CN"/>
        </w:rPr>
        <w:t>2</w:t>
      </w:r>
      <w:r>
        <w:rPr>
          <w:rFonts w:hint="eastAsia"/>
          <w:color w:val="auto"/>
        </w:rPr>
        <w:t>.1 危险有害因素概述</w:t>
      </w:r>
    </w:p>
    <w:p w14:paraId="58688BAD">
      <w:pPr>
        <w:bidi w:val="0"/>
        <w:rPr>
          <w:rFonts w:hint="eastAsia"/>
          <w:color w:val="auto"/>
        </w:rPr>
      </w:pPr>
      <w:r>
        <w:rPr>
          <w:rFonts w:hint="eastAsia"/>
          <w:color w:val="auto"/>
          <w:lang w:val="en-US" w:eastAsia="zh-CN"/>
        </w:rPr>
        <w:t>本单元</w:t>
      </w:r>
      <w:r>
        <w:rPr>
          <w:rFonts w:hint="eastAsia"/>
          <w:color w:val="auto"/>
        </w:rPr>
        <w:t>配置了球磨机等机械设备，通过综合分析，本单元可能发生的安全生产事故类型有：机械伤害、物体打击、高处坠落、触电、中毒与窒息以及其他伤害等。</w:t>
      </w:r>
    </w:p>
    <w:p w14:paraId="5B72B894">
      <w:pPr>
        <w:bidi w:val="0"/>
        <w:rPr>
          <w:rFonts w:hint="eastAsia"/>
          <w:color w:val="auto"/>
        </w:rPr>
      </w:pPr>
      <w:r>
        <w:rPr>
          <w:rFonts w:hint="eastAsia"/>
          <w:color w:val="auto"/>
        </w:rPr>
        <w:t>机械伤害的原因主要有以下几种：球磨</w:t>
      </w:r>
      <w:r>
        <w:rPr>
          <w:rFonts w:hint="eastAsia"/>
          <w:color w:val="auto"/>
          <w:lang w:val="en-US" w:eastAsia="zh-CN"/>
        </w:rPr>
        <w:t>磁选机等设备</w:t>
      </w:r>
      <w:r>
        <w:rPr>
          <w:rFonts w:hint="eastAsia"/>
          <w:color w:val="auto"/>
        </w:rPr>
        <w:t>两侧和轴瓦侧面无防护栏；球磨机运转时人员在运转筒体两侧和下部工作或逗留；检修球磨机时未执行停、送电作业工作票，设备意外启动。</w:t>
      </w:r>
    </w:p>
    <w:p w14:paraId="6134CEAA">
      <w:pPr>
        <w:bidi w:val="0"/>
        <w:rPr>
          <w:rFonts w:hint="eastAsia"/>
          <w:color w:val="auto"/>
        </w:rPr>
      </w:pPr>
      <w:r>
        <w:rPr>
          <w:rFonts w:hint="eastAsia"/>
          <w:color w:val="auto"/>
        </w:rPr>
        <w:t>物体打击：球磨机人孔门关闭不严密，磨矿介质飞出伤人。</w:t>
      </w:r>
    </w:p>
    <w:p w14:paraId="49312E40">
      <w:pPr>
        <w:bidi w:val="0"/>
        <w:rPr>
          <w:rFonts w:hint="eastAsia"/>
          <w:color w:val="auto"/>
        </w:rPr>
      </w:pPr>
      <w:r>
        <w:rPr>
          <w:rFonts w:hint="eastAsia"/>
          <w:color w:val="auto"/>
        </w:rPr>
        <w:t>中毒与窒息：进入球磨机内检修，含氧量达不到要求；无进入有限空间作业许可，无专人监护；封闭球磨机人孔时，未确认球磨机内有人并封闭，造成中毒与窒息。</w:t>
      </w:r>
    </w:p>
    <w:p w14:paraId="6B15F292">
      <w:pPr>
        <w:bidi w:val="0"/>
        <w:rPr>
          <w:rFonts w:hint="eastAsia"/>
          <w:color w:val="auto"/>
        </w:rPr>
      </w:pPr>
      <w:r>
        <w:rPr>
          <w:rFonts w:hint="eastAsia"/>
          <w:color w:val="auto"/>
        </w:rPr>
        <w:t>触电：厂区电气线路布置及电控制板摆设不规范，电线接头裸露，易发生触电及火灾事故；配电室低压配电柜未标识，可能因误操作导致触电和设备事故；低压架空线及电气设备及装置不按规定进行定期检测；运转的电动机未按规定安装接地保护，如遇雷击、漏电、短路情况，易发生设备损坏和触电事故。</w:t>
      </w:r>
    </w:p>
    <w:p w14:paraId="5EF54B9A">
      <w:pPr>
        <w:bidi w:val="0"/>
        <w:rPr>
          <w:rFonts w:hint="eastAsia"/>
          <w:color w:val="auto"/>
        </w:rPr>
      </w:pPr>
      <w:r>
        <w:rPr>
          <w:rFonts w:hint="eastAsia"/>
          <w:color w:val="auto"/>
        </w:rPr>
        <w:t>高处坠落：厂区内高于2m的平台边沿放置有物料、物品掉落。</w:t>
      </w:r>
    </w:p>
    <w:p w14:paraId="72FBC492">
      <w:pPr>
        <w:bidi w:val="0"/>
        <w:rPr>
          <w:rFonts w:hint="eastAsia"/>
          <w:color w:val="auto"/>
        </w:rPr>
      </w:pPr>
      <w:r>
        <w:rPr>
          <w:rFonts w:hint="eastAsia"/>
          <w:color w:val="auto"/>
        </w:rPr>
        <w:t>其他伤害：人员长期接触高噪声环境，造成噪声性耳聋；车间地面油污、积水未及时清理，</w:t>
      </w:r>
      <w:r>
        <w:rPr>
          <w:rFonts w:hint="eastAsia"/>
          <w:color w:val="auto"/>
          <w:lang w:val="en-US" w:eastAsia="zh-CN"/>
        </w:rPr>
        <w:t>振动对人体的伤害，</w:t>
      </w:r>
      <w:r>
        <w:rPr>
          <w:rFonts w:hint="eastAsia"/>
          <w:color w:val="auto"/>
        </w:rPr>
        <w:t>造成滑跌等。</w:t>
      </w:r>
    </w:p>
    <w:p w14:paraId="171DC902">
      <w:pPr>
        <w:pStyle w:val="5"/>
        <w:bidi w:val="0"/>
        <w:rPr>
          <w:rFonts w:hint="eastAsia"/>
          <w:color w:val="auto"/>
        </w:rPr>
      </w:pPr>
      <w:r>
        <w:rPr>
          <w:rFonts w:hint="eastAsia"/>
          <w:color w:val="auto"/>
          <w:lang w:val="en-US" w:eastAsia="zh-CN"/>
        </w:rPr>
        <w:t xml:space="preserve">5.2.2.2 </w:t>
      </w:r>
      <w:r>
        <w:rPr>
          <w:rFonts w:hint="eastAsia"/>
          <w:color w:val="auto"/>
        </w:rPr>
        <w:t>预先危险性分析（PHA）</w:t>
      </w:r>
    </w:p>
    <w:p w14:paraId="1B415259">
      <w:pPr>
        <w:pStyle w:val="18"/>
        <w:bidi w:val="0"/>
        <w:rPr>
          <w:rFonts w:hint="eastAsia"/>
          <w:color w:val="auto"/>
        </w:rPr>
      </w:pPr>
    </w:p>
    <w:p w14:paraId="64D100AF">
      <w:pPr>
        <w:pStyle w:val="18"/>
        <w:bidi w:val="0"/>
        <w:rPr>
          <w:rFonts w:hint="eastAsia"/>
          <w:color w:val="auto"/>
        </w:rPr>
      </w:pPr>
    </w:p>
    <w:p w14:paraId="149620D4">
      <w:pPr>
        <w:pStyle w:val="18"/>
        <w:bidi w:val="0"/>
        <w:rPr>
          <w:rFonts w:hint="eastAsia"/>
          <w:color w:val="auto"/>
        </w:rPr>
      </w:pPr>
    </w:p>
    <w:p w14:paraId="4694FFFD">
      <w:pPr>
        <w:pStyle w:val="18"/>
        <w:bidi w:val="0"/>
        <w:rPr>
          <w:color w:val="auto"/>
        </w:rPr>
      </w:pPr>
      <w:r>
        <w:rPr>
          <w:rFonts w:hint="eastAsia"/>
          <w:color w:val="auto"/>
        </w:rPr>
        <w:t>表5</w:t>
      </w:r>
      <w:r>
        <w:rPr>
          <w:rFonts w:hint="eastAsia"/>
          <w:color w:val="auto"/>
          <w:lang w:val="en-US" w:eastAsia="zh-CN"/>
        </w:rPr>
        <w:t>.2</w:t>
      </w:r>
      <w:r>
        <w:rPr>
          <w:rFonts w:hint="eastAsia"/>
          <w:color w:val="auto"/>
        </w:rPr>
        <w:t>-</w:t>
      </w:r>
      <w:r>
        <w:rPr>
          <w:rFonts w:hint="eastAsia"/>
          <w:color w:val="auto"/>
          <w:lang w:val="en-US" w:eastAsia="zh-CN"/>
        </w:rPr>
        <w:t>2</w:t>
      </w:r>
      <w:r>
        <w:rPr>
          <w:rFonts w:hint="eastAsia"/>
          <w:color w:val="auto"/>
        </w:rPr>
        <w:t xml:space="preserve">  </w:t>
      </w:r>
      <w:r>
        <w:rPr>
          <w:rFonts w:hint="eastAsia"/>
          <w:color w:val="auto"/>
          <w:lang w:val="en-US" w:eastAsia="zh-CN"/>
        </w:rPr>
        <w:t>磨选系统</w:t>
      </w:r>
      <w:r>
        <w:rPr>
          <w:rFonts w:hint="eastAsia"/>
          <w:color w:val="auto"/>
        </w:rPr>
        <w:t>预先危险性分析表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150"/>
        <w:gridCol w:w="2217"/>
        <w:gridCol w:w="683"/>
        <w:gridCol w:w="750"/>
        <w:gridCol w:w="700"/>
        <w:gridCol w:w="933"/>
        <w:gridCol w:w="2270"/>
      </w:tblGrid>
      <w:tr w14:paraId="4E254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98" w:type="dxa"/>
            <w:vAlign w:val="center"/>
          </w:tcPr>
          <w:p w14:paraId="481F9485">
            <w:pPr>
              <w:pStyle w:val="19"/>
              <w:bidi w:val="0"/>
              <w:jc w:val="center"/>
              <w:rPr>
                <w:rFonts w:hint="default"/>
                <w:b/>
                <w:bCs/>
                <w:color w:val="auto"/>
                <w:highlight w:val="none"/>
                <w:lang w:val="en-US"/>
              </w:rPr>
            </w:pPr>
            <w:r>
              <w:rPr>
                <w:rFonts w:hint="eastAsia"/>
                <w:b/>
                <w:bCs/>
                <w:color w:val="auto"/>
                <w:highlight w:val="none"/>
                <w:lang w:val="en-US" w:eastAsia="zh-CN"/>
              </w:rPr>
              <w:t>事故类型</w:t>
            </w:r>
          </w:p>
        </w:tc>
        <w:tc>
          <w:tcPr>
            <w:tcW w:w="1150" w:type="dxa"/>
            <w:vAlign w:val="center"/>
          </w:tcPr>
          <w:p w14:paraId="47719A3A">
            <w:pPr>
              <w:pStyle w:val="19"/>
              <w:bidi w:val="0"/>
              <w:jc w:val="center"/>
              <w:rPr>
                <w:b/>
                <w:bCs/>
                <w:color w:val="auto"/>
                <w:highlight w:val="none"/>
              </w:rPr>
            </w:pPr>
            <w:r>
              <w:rPr>
                <w:rFonts w:hint="eastAsia"/>
                <w:b/>
                <w:bCs/>
                <w:color w:val="auto"/>
                <w:highlight w:val="none"/>
              </w:rPr>
              <w:t>触发事件</w:t>
            </w:r>
          </w:p>
        </w:tc>
        <w:tc>
          <w:tcPr>
            <w:tcW w:w="2217" w:type="dxa"/>
            <w:vAlign w:val="center"/>
          </w:tcPr>
          <w:p w14:paraId="39DBDF43">
            <w:pPr>
              <w:pStyle w:val="19"/>
              <w:bidi w:val="0"/>
              <w:jc w:val="center"/>
              <w:rPr>
                <w:b/>
                <w:bCs/>
                <w:color w:val="auto"/>
                <w:highlight w:val="none"/>
              </w:rPr>
            </w:pPr>
            <w:r>
              <w:rPr>
                <w:rFonts w:hint="eastAsia"/>
                <w:b/>
                <w:bCs/>
                <w:color w:val="auto"/>
                <w:highlight w:val="none"/>
              </w:rPr>
              <w:t>形成事故原因</w:t>
            </w:r>
          </w:p>
        </w:tc>
        <w:tc>
          <w:tcPr>
            <w:tcW w:w="683" w:type="dxa"/>
            <w:vAlign w:val="center"/>
          </w:tcPr>
          <w:p w14:paraId="27BB0A7F">
            <w:pPr>
              <w:pStyle w:val="19"/>
              <w:bidi w:val="0"/>
              <w:jc w:val="center"/>
              <w:rPr>
                <w:b/>
                <w:bCs/>
                <w:color w:val="auto"/>
                <w:highlight w:val="none"/>
              </w:rPr>
            </w:pPr>
            <w:r>
              <w:rPr>
                <w:rFonts w:hint="eastAsia"/>
                <w:b/>
                <w:bCs/>
                <w:color w:val="auto"/>
                <w:highlight w:val="none"/>
              </w:rPr>
              <w:t>事故模式</w:t>
            </w:r>
          </w:p>
        </w:tc>
        <w:tc>
          <w:tcPr>
            <w:tcW w:w="750" w:type="dxa"/>
            <w:vAlign w:val="center"/>
          </w:tcPr>
          <w:p w14:paraId="6850078B">
            <w:pPr>
              <w:pStyle w:val="19"/>
              <w:bidi w:val="0"/>
              <w:jc w:val="center"/>
              <w:rPr>
                <w:b/>
                <w:bCs/>
                <w:color w:val="auto"/>
                <w:highlight w:val="none"/>
              </w:rPr>
            </w:pPr>
            <w:r>
              <w:rPr>
                <w:rFonts w:hint="eastAsia"/>
                <w:b/>
                <w:bCs/>
                <w:color w:val="auto"/>
                <w:highlight w:val="none"/>
              </w:rPr>
              <w:t>事故后果</w:t>
            </w:r>
          </w:p>
        </w:tc>
        <w:tc>
          <w:tcPr>
            <w:tcW w:w="700" w:type="dxa"/>
            <w:vAlign w:val="center"/>
          </w:tcPr>
          <w:p w14:paraId="1A255DFC">
            <w:pPr>
              <w:pStyle w:val="19"/>
              <w:bidi w:val="0"/>
              <w:jc w:val="center"/>
              <w:rPr>
                <w:b/>
                <w:bCs/>
                <w:color w:val="auto"/>
                <w:highlight w:val="none"/>
              </w:rPr>
            </w:pPr>
            <w:r>
              <w:rPr>
                <w:rFonts w:hint="eastAsia"/>
                <w:b/>
                <w:bCs/>
                <w:color w:val="auto"/>
                <w:highlight w:val="none"/>
              </w:rPr>
              <w:t>危险等级</w:t>
            </w:r>
          </w:p>
        </w:tc>
        <w:tc>
          <w:tcPr>
            <w:tcW w:w="933" w:type="dxa"/>
            <w:vAlign w:val="center"/>
          </w:tcPr>
          <w:p w14:paraId="33AB3040">
            <w:pPr>
              <w:pStyle w:val="19"/>
              <w:bidi w:val="0"/>
              <w:jc w:val="center"/>
              <w:rPr>
                <w:rFonts w:hint="eastAsia"/>
                <w:b/>
                <w:bCs/>
                <w:color w:val="auto"/>
                <w:highlight w:val="none"/>
              </w:rPr>
            </w:pPr>
            <w:r>
              <w:rPr>
                <w:rFonts w:hint="eastAsia"/>
                <w:b/>
                <w:bCs/>
                <w:color w:val="auto"/>
                <w:highlight w:val="none"/>
              </w:rPr>
              <w:t>发生事故的概率等级</w:t>
            </w:r>
          </w:p>
        </w:tc>
        <w:tc>
          <w:tcPr>
            <w:tcW w:w="2270" w:type="dxa"/>
            <w:vAlign w:val="center"/>
          </w:tcPr>
          <w:p w14:paraId="5A43C86E">
            <w:pPr>
              <w:pStyle w:val="19"/>
              <w:bidi w:val="0"/>
              <w:jc w:val="center"/>
              <w:rPr>
                <w:b/>
                <w:bCs/>
                <w:color w:val="auto"/>
                <w:highlight w:val="none"/>
              </w:rPr>
            </w:pPr>
            <w:r>
              <w:rPr>
                <w:rFonts w:hint="eastAsia"/>
                <w:b/>
                <w:bCs/>
                <w:color w:val="auto"/>
                <w:highlight w:val="none"/>
              </w:rPr>
              <w:t>对策措施</w:t>
            </w:r>
          </w:p>
        </w:tc>
      </w:tr>
      <w:tr w14:paraId="03673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8" w:type="dxa"/>
            <w:vAlign w:val="center"/>
          </w:tcPr>
          <w:p w14:paraId="2666144D">
            <w:pPr>
              <w:pStyle w:val="19"/>
              <w:bidi w:val="0"/>
              <w:rPr>
                <w:color w:val="auto"/>
                <w:highlight w:val="none"/>
              </w:rPr>
            </w:pPr>
            <w:r>
              <w:rPr>
                <w:rFonts w:hint="eastAsia"/>
                <w:color w:val="auto"/>
                <w:highlight w:val="none"/>
              </w:rPr>
              <w:t>其他伤害（滑跌</w:t>
            </w:r>
            <w:r>
              <w:rPr>
                <w:rFonts w:hint="eastAsia"/>
                <w:color w:val="auto"/>
                <w:highlight w:val="none"/>
                <w:lang w:eastAsia="zh-CN"/>
              </w:rPr>
              <w:t>、</w:t>
            </w:r>
            <w:r>
              <w:rPr>
                <w:rFonts w:hint="eastAsia"/>
                <w:color w:val="auto"/>
                <w:highlight w:val="none"/>
                <w:lang w:val="en-US" w:eastAsia="zh-CN"/>
              </w:rPr>
              <w:t>噪声、振动</w:t>
            </w:r>
            <w:r>
              <w:rPr>
                <w:rFonts w:hint="eastAsia"/>
                <w:color w:val="auto"/>
                <w:highlight w:val="none"/>
              </w:rPr>
              <w:t>）</w:t>
            </w:r>
          </w:p>
        </w:tc>
        <w:tc>
          <w:tcPr>
            <w:tcW w:w="1150" w:type="dxa"/>
            <w:vAlign w:val="center"/>
          </w:tcPr>
          <w:p w14:paraId="15E67DE5">
            <w:pPr>
              <w:pStyle w:val="19"/>
              <w:bidi w:val="0"/>
              <w:rPr>
                <w:color w:val="auto"/>
                <w:highlight w:val="none"/>
              </w:rPr>
            </w:pPr>
            <w:r>
              <w:rPr>
                <w:rFonts w:hint="eastAsia"/>
                <w:color w:val="auto"/>
                <w:highlight w:val="none"/>
              </w:rPr>
              <w:t>人体失稳</w:t>
            </w:r>
          </w:p>
        </w:tc>
        <w:tc>
          <w:tcPr>
            <w:tcW w:w="2217" w:type="dxa"/>
            <w:vAlign w:val="center"/>
          </w:tcPr>
          <w:p w14:paraId="28FF6CA3">
            <w:pPr>
              <w:pStyle w:val="19"/>
              <w:bidi w:val="0"/>
              <w:jc w:val="both"/>
              <w:rPr>
                <w:color w:val="auto"/>
                <w:highlight w:val="none"/>
              </w:rPr>
            </w:pPr>
            <w:r>
              <w:rPr>
                <w:rFonts w:hint="eastAsia"/>
                <w:color w:val="auto"/>
                <w:highlight w:val="none"/>
              </w:rPr>
              <w:t>1、管理、防护不到位；</w:t>
            </w:r>
          </w:p>
          <w:p w14:paraId="4486DC0F">
            <w:pPr>
              <w:pStyle w:val="19"/>
              <w:bidi w:val="0"/>
              <w:jc w:val="both"/>
              <w:rPr>
                <w:color w:val="auto"/>
                <w:highlight w:val="none"/>
              </w:rPr>
            </w:pPr>
            <w:r>
              <w:rPr>
                <w:rFonts w:hint="eastAsia"/>
                <w:color w:val="auto"/>
                <w:highlight w:val="none"/>
              </w:rPr>
              <w:t>2、操作地点不安全；</w:t>
            </w:r>
          </w:p>
          <w:p w14:paraId="556372E9">
            <w:pPr>
              <w:pStyle w:val="19"/>
              <w:bidi w:val="0"/>
              <w:jc w:val="both"/>
              <w:rPr>
                <w:rFonts w:hint="eastAsia"/>
                <w:color w:val="auto"/>
                <w:highlight w:val="none"/>
                <w:lang w:eastAsia="zh-CN"/>
              </w:rPr>
            </w:pPr>
            <w:r>
              <w:rPr>
                <w:rFonts w:hint="eastAsia"/>
                <w:color w:val="auto"/>
                <w:highlight w:val="none"/>
              </w:rPr>
              <w:t>3、地面湿滑。地面积水、油污未及时清理</w:t>
            </w:r>
            <w:r>
              <w:rPr>
                <w:rFonts w:hint="eastAsia"/>
                <w:color w:val="auto"/>
                <w:highlight w:val="none"/>
                <w:lang w:eastAsia="zh-CN"/>
              </w:rPr>
              <w:t>；</w:t>
            </w:r>
          </w:p>
          <w:p w14:paraId="56D5D17E">
            <w:pPr>
              <w:pStyle w:val="19"/>
              <w:bidi w:val="0"/>
              <w:jc w:val="both"/>
              <w:rPr>
                <w:rFonts w:hint="default"/>
                <w:color w:val="auto"/>
                <w:highlight w:val="none"/>
                <w:lang w:val="en-US" w:eastAsia="zh-CN"/>
              </w:rPr>
            </w:pPr>
            <w:r>
              <w:rPr>
                <w:rFonts w:hint="eastAsia"/>
                <w:color w:val="auto"/>
                <w:highlight w:val="none"/>
                <w:lang w:val="en-US" w:eastAsia="zh-CN"/>
              </w:rPr>
              <w:t>4、未佩戴劳动防护用品。</w:t>
            </w:r>
          </w:p>
        </w:tc>
        <w:tc>
          <w:tcPr>
            <w:tcW w:w="683" w:type="dxa"/>
            <w:vAlign w:val="center"/>
          </w:tcPr>
          <w:p w14:paraId="5DF48C14">
            <w:pPr>
              <w:pStyle w:val="19"/>
              <w:bidi w:val="0"/>
              <w:rPr>
                <w:color w:val="auto"/>
                <w:highlight w:val="none"/>
              </w:rPr>
            </w:pPr>
            <w:r>
              <w:rPr>
                <w:rFonts w:hint="eastAsia"/>
                <w:color w:val="auto"/>
                <w:highlight w:val="none"/>
              </w:rPr>
              <w:t>摔倒</w:t>
            </w:r>
          </w:p>
        </w:tc>
        <w:tc>
          <w:tcPr>
            <w:tcW w:w="750" w:type="dxa"/>
            <w:vAlign w:val="center"/>
          </w:tcPr>
          <w:p w14:paraId="21CE0F35">
            <w:pPr>
              <w:pStyle w:val="19"/>
              <w:bidi w:val="0"/>
              <w:rPr>
                <w:color w:val="auto"/>
                <w:highlight w:val="none"/>
              </w:rPr>
            </w:pPr>
            <w:r>
              <w:rPr>
                <w:rFonts w:hint="eastAsia"/>
                <w:color w:val="auto"/>
                <w:highlight w:val="none"/>
              </w:rPr>
              <w:t>人员受伤或死亡</w:t>
            </w:r>
          </w:p>
        </w:tc>
        <w:tc>
          <w:tcPr>
            <w:tcW w:w="700" w:type="dxa"/>
            <w:vAlign w:val="center"/>
          </w:tcPr>
          <w:p w14:paraId="5677DE44">
            <w:pPr>
              <w:pStyle w:val="19"/>
              <w:bidi w:val="0"/>
              <w:rPr>
                <w:color w:val="auto"/>
                <w:highlight w:val="none"/>
              </w:rPr>
            </w:pPr>
            <w:r>
              <w:rPr>
                <w:rFonts w:hint="eastAsia"/>
                <w:color w:val="auto"/>
                <w:highlight w:val="none"/>
              </w:rPr>
              <w:t>Ⅱ</w:t>
            </w:r>
          </w:p>
        </w:tc>
        <w:tc>
          <w:tcPr>
            <w:tcW w:w="933" w:type="dxa"/>
            <w:vAlign w:val="center"/>
          </w:tcPr>
          <w:p w14:paraId="6D24CE39">
            <w:pPr>
              <w:pStyle w:val="19"/>
              <w:bidi w:val="0"/>
              <w:rPr>
                <w:rFonts w:hint="eastAsia"/>
                <w:color w:val="auto"/>
                <w:highlight w:val="none"/>
                <w:lang w:val="en-US" w:eastAsia="zh-CN"/>
              </w:rPr>
            </w:pPr>
            <w:r>
              <w:rPr>
                <w:rFonts w:hint="eastAsia"/>
                <w:color w:val="auto"/>
                <w:highlight w:val="none"/>
                <w:lang w:val="en-US" w:eastAsia="zh-CN"/>
              </w:rPr>
              <w:t>B</w:t>
            </w:r>
          </w:p>
        </w:tc>
        <w:tc>
          <w:tcPr>
            <w:tcW w:w="2270" w:type="dxa"/>
            <w:vAlign w:val="center"/>
          </w:tcPr>
          <w:p w14:paraId="2F1CD579">
            <w:pPr>
              <w:pStyle w:val="19"/>
              <w:bidi w:val="0"/>
              <w:jc w:val="both"/>
              <w:rPr>
                <w:color w:val="auto"/>
                <w:highlight w:val="none"/>
              </w:rPr>
            </w:pPr>
            <w:r>
              <w:rPr>
                <w:rFonts w:hint="eastAsia"/>
                <w:color w:val="auto"/>
                <w:highlight w:val="none"/>
              </w:rPr>
              <w:t>1、增强安全意识，加强个体防护；</w:t>
            </w:r>
          </w:p>
          <w:p w14:paraId="54D0F735">
            <w:pPr>
              <w:pStyle w:val="19"/>
              <w:bidi w:val="0"/>
              <w:jc w:val="both"/>
              <w:rPr>
                <w:color w:val="auto"/>
                <w:highlight w:val="none"/>
              </w:rPr>
            </w:pPr>
            <w:r>
              <w:rPr>
                <w:rFonts w:hint="eastAsia"/>
                <w:color w:val="auto"/>
                <w:highlight w:val="none"/>
              </w:rPr>
              <w:t>2、检查作业场所的管理和防护措施；</w:t>
            </w:r>
          </w:p>
          <w:p w14:paraId="75C344C9">
            <w:pPr>
              <w:pStyle w:val="19"/>
              <w:bidi w:val="0"/>
              <w:jc w:val="both"/>
              <w:rPr>
                <w:color w:val="auto"/>
                <w:highlight w:val="none"/>
              </w:rPr>
            </w:pPr>
            <w:r>
              <w:rPr>
                <w:rFonts w:hint="eastAsia"/>
                <w:color w:val="auto"/>
                <w:highlight w:val="none"/>
              </w:rPr>
              <w:t>3、设置警示标志，遵守操作规程。</w:t>
            </w:r>
          </w:p>
          <w:p w14:paraId="270C4F01">
            <w:pPr>
              <w:pStyle w:val="19"/>
              <w:bidi w:val="0"/>
              <w:jc w:val="both"/>
              <w:rPr>
                <w:rFonts w:hint="eastAsia" w:eastAsia="宋体"/>
                <w:color w:val="auto"/>
                <w:highlight w:val="none"/>
                <w:lang w:eastAsia="zh-CN"/>
              </w:rPr>
            </w:pPr>
            <w:r>
              <w:rPr>
                <w:rFonts w:hint="eastAsia"/>
                <w:color w:val="auto"/>
                <w:highlight w:val="none"/>
              </w:rPr>
              <w:t>4、梯子、平台和易滑倒操作通道的地面应有防滑措施</w:t>
            </w:r>
            <w:r>
              <w:rPr>
                <w:rFonts w:hint="eastAsia"/>
                <w:color w:val="auto"/>
                <w:highlight w:val="none"/>
                <w:lang w:eastAsia="zh-CN"/>
              </w:rPr>
              <w:t>；</w:t>
            </w:r>
          </w:p>
          <w:p w14:paraId="2DCC5B18">
            <w:pPr>
              <w:pStyle w:val="19"/>
              <w:bidi w:val="0"/>
              <w:jc w:val="both"/>
              <w:rPr>
                <w:rFonts w:hint="eastAsia" w:eastAsia="宋体"/>
                <w:color w:val="auto"/>
                <w:highlight w:val="none"/>
                <w:lang w:val="en-US" w:eastAsia="zh-CN"/>
              </w:rPr>
            </w:pPr>
            <w:r>
              <w:rPr>
                <w:rFonts w:hint="eastAsia"/>
                <w:color w:val="auto"/>
                <w:highlight w:val="none"/>
                <w:lang w:val="en-US" w:eastAsia="zh-CN"/>
              </w:rPr>
              <w:t>5、佩戴劳动防护用品。</w:t>
            </w:r>
          </w:p>
        </w:tc>
      </w:tr>
      <w:tr w14:paraId="489EA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8" w:type="dxa"/>
            <w:vAlign w:val="center"/>
          </w:tcPr>
          <w:p w14:paraId="7A13884A">
            <w:pPr>
              <w:pStyle w:val="19"/>
              <w:bidi w:val="0"/>
              <w:rPr>
                <w:color w:val="auto"/>
                <w:highlight w:val="none"/>
              </w:rPr>
            </w:pPr>
            <w:r>
              <w:rPr>
                <w:rFonts w:hint="eastAsia"/>
                <w:color w:val="auto"/>
                <w:highlight w:val="none"/>
              </w:rPr>
              <w:t>机械</w:t>
            </w:r>
          </w:p>
          <w:p w14:paraId="0C90083F">
            <w:pPr>
              <w:pStyle w:val="19"/>
              <w:bidi w:val="0"/>
              <w:rPr>
                <w:color w:val="auto"/>
                <w:highlight w:val="none"/>
              </w:rPr>
            </w:pPr>
            <w:r>
              <w:rPr>
                <w:rFonts w:hint="eastAsia"/>
                <w:color w:val="auto"/>
                <w:highlight w:val="none"/>
              </w:rPr>
              <w:t>伤害</w:t>
            </w:r>
          </w:p>
        </w:tc>
        <w:tc>
          <w:tcPr>
            <w:tcW w:w="1150" w:type="dxa"/>
            <w:vAlign w:val="center"/>
          </w:tcPr>
          <w:p w14:paraId="6E9E8FB7">
            <w:pPr>
              <w:pStyle w:val="19"/>
              <w:bidi w:val="0"/>
              <w:rPr>
                <w:color w:val="auto"/>
                <w:highlight w:val="none"/>
              </w:rPr>
            </w:pPr>
            <w:r>
              <w:rPr>
                <w:rFonts w:hint="eastAsia"/>
                <w:color w:val="auto"/>
                <w:highlight w:val="none"/>
              </w:rPr>
              <w:t>人员接触机械设备运转部位</w:t>
            </w:r>
          </w:p>
        </w:tc>
        <w:tc>
          <w:tcPr>
            <w:tcW w:w="2217" w:type="dxa"/>
            <w:vAlign w:val="center"/>
          </w:tcPr>
          <w:p w14:paraId="6751B3BA">
            <w:pPr>
              <w:pStyle w:val="19"/>
              <w:bidi w:val="0"/>
              <w:jc w:val="both"/>
              <w:rPr>
                <w:color w:val="auto"/>
                <w:highlight w:val="none"/>
              </w:rPr>
            </w:pPr>
            <w:r>
              <w:rPr>
                <w:rFonts w:hint="eastAsia"/>
                <w:color w:val="auto"/>
                <w:highlight w:val="none"/>
              </w:rPr>
              <w:t>1、操作地点不安全；</w:t>
            </w:r>
          </w:p>
          <w:p w14:paraId="26B4272E">
            <w:pPr>
              <w:pStyle w:val="19"/>
              <w:bidi w:val="0"/>
              <w:jc w:val="both"/>
              <w:rPr>
                <w:color w:val="auto"/>
                <w:highlight w:val="none"/>
              </w:rPr>
            </w:pPr>
            <w:r>
              <w:rPr>
                <w:rFonts w:hint="eastAsia"/>
                <w:color w:val="auto"/>
                <w:highlight w:val="none"/>
              </w:rPr>
              <w:t>2、作业前安全检查、处理不到位；</w:t>
            </w:r>
          </w:p>
          <w:p w14:paraId="07157210">
            <w:pPr>
              <w:pStyle w:val="19"/>
              <w:bidi w:val="0"/>
              <w:jc w:val="both"/>
              <w:rPr>
                <w:color w:val="auto"/>
                <w:highlight w:val="none"/>
              </w:rPr>
            </w:pPr>
            <w:r>
              <w:rPr>
                <w:rFonts w:hint="eastAsia"/>
                <w:color w:val="auto"/>
                <w:highlight w:val="none"/>
              </w:rPr>
              <w:t>3、安全防护装置(罩)不全；</w:t>
            </w:r>
          </w:p>
          <w:p w14:paraId="6E6CE505">
            <w:pPr>
              <w:pStyle w:val="19"/>
              <w:bidi w:val="0"/>
              <w:jc w:val="both"/>
              <w:rPr>
                <w:color w:val="auto"/>
                <w:highlight w:val="none"/>
              </w:rPr>
            </w:pPr>
            <w:r>
              <w:rPr>
                <w:rFonts w:hint="eastAsia"/>
                <w:color w:val="auto"/>
                <w:highlight w:val="none"/>
              </w:rPr>
              <w:t>4、操作不熟练。</w:t>
            </w:r>
          </w:p>
        </w:tc>
        <w:tc>
          <w:tcPr>
            <w:tcW w:w="683" w:type="dxa"/>
            <w:vAlign w:val="center"/>
          </w:tcPr>
          <w:p w14:paraId="42548789">
            <w:pPr>
              <w:pStyle w:val="19"/>
              <w:bidi w:val="0"/>
              <w:rPr>
                <w:color w:val="auto"/>
                <w:highlight w:val="none"/>
              </w:rPr>
            </w:pPr>
            <w:r>
              <w:rPr>
                <w:rFonts w:hint="eastAsia"/>
                <w:color w:val="auto"/>
                <w:highlight w:val="none"/>
              </w:rPr>
              <w:t>夹击碰撞剪切卷入等</w:t>
            </w:r>
          </w:p>
        </w:tc>
        <w:tc>
          <w:tcPr>
            <w:tcW w:w="750" w:type="dxa"/>
            <w:vAlign w:val="center"/>
          </w:tcPr>
          <w:p w14:paraId="12BAE4C8">
            <w:pPr>
              <w:pStyle w:val="19"/>
              <w:bidi w:val="0"/>
              <w:rPr>
                <w:color w:val="auto"/>
                <w:highlight w:val="none"/>
              </w:rPr>
            </w:pPr>
            <w:r>
              <w:rPr>
                <w:rFonts w:hint="eastAsia"/>
                <w:color w:val="auto"/>
                <w:highlight w:val="none"/>
              </w:rPr>
              <w:t>人员受伤或死亡</w:t>
            </w:r>
          </w:p>
        </w:tc>
        <w:tc>
          <w:tcPr>
            <w:tcW w:w="700" w:type="dxa"/>
            <w:vAlign w:val="center"/>
          </w:tcPr>
          <w:p w14:paraId="14C5D908">
            <w:pPr>
              <w:pStyle w:val="19"/>
              <w:bidi w:val="0"/>
              <w:rPr>
                <w:color w:val="auto"/>
                <w:highlight w:val="none"/>
              </w:rPr>
            </w:pPr>
            <w:r>
              <w:rPr>
                <w:rFonts w:hint="eastAsia"/>
                <w:color w:val="auto"/>
                <w:highlight w:val="none"/>
                <w:lang w:val="sq-AL"/>
              </w:rPr>
              <w:t>Ⅲ</w:t>
            </w:r>
          </w:p>
        </w:tc>
        <w:tc>
          <w:tcPr>
            <w:tcW w:w="933" w:type="dxa"/>
            <w:vAlign w:val="center"/>
          </w:tcPr>
          <w:p w14:paraId="35CDDDCC">
            <w:pPr>
              <w:pStyle w:val="19"/>
              <w:bidi w:val="0"/>
              <w:rPr>
                <w:rFonts w:hint="eastAsia"/>
                <w:color w:val="auto"/>
                <w:highlight w:val="none"/>
                <w:lang w:val="en-US" w:eastAsia="zh-CN"/>
              </w:rPr>
            </w:pPr>
            <w:r>
              <w:rPr>
                <w:rFonts w:hint="eastAsia"/>
                <w:color w:val="auto"/>
                <w:highlight w:val="none"/>
                <w:lang w:val="en-US" w:eastAsia="zh-CN"/>
              </w:rPr>
              <w:t>C</w:t>
            </w:r>
          </w:p>
        </w:tc>
        <w:tc>
          <w:tcPr>
            <w:tcW w:w="2270" w:type="dxa"/>
            <w:vAlign w:val="center"/>
          </w:tcPr>
          <w:p w14:paraId="7955F230">
            <w:pPr>
              <w:pStyle w:val="19"/>
              <w:bidi w:val="0"/>
              <w:jc w:val="both"/>
              <w:rPr>
                <w:color w:val="auto"/>
                <w:highlight w:val="none"/>
              </w:rPr>
            </w:pPr>
            <w:r>
              <w:rPr>
                <w:rFonts w:hint="eastAsia"/>
                <w:color w:val="auto"/>
                <w:highlight w:val="none"/>
              </w:rPr>
              <w:t>1、严格执行操作规程；</w:t>
            </w:r>
          </w:p>
          <w:p w14:paraId="6D11203E">
            <w:pPr>
              <w:pStyle w:val="19"/>
              <w:bidi w:val="0"/>
              <w:jc w:val="both"/>
              <w:rPr>
                <w:color w:val="auto"/>
                <w:highlight w:val="none"/>
              </w:rPr>
            </w:pPr>
            <w:r>
              <w:rPr>
                <w:rFonts w:hint="eastAsia"/>
                <w:color w:val="auto"/>
                <w:highlight w:val="none"/>
              </w:rPr>
              <w:t>2、树立先安全后生产的观念，坚持工作前对工作面的安全处理；</w:t>
            </w:r>
          </w:p>
          <w:p w14:paraId="40C4A9F0">
            <w:pPr>
              <w:pStyle w:val="19"/>
              <w:bidi w:val="0"/>
              <w:jc w:val="both"/>
              <w:rPr>
                <w:color w:val="auto"/>
                <w:highlight w:val="none"/>
              </w:rPr>
            </w:pPr>
            <w:r>
              <w:rPr>
                <w:rFonts w:hint="eastAsia"/>
                <w:color w:val="auto"/>
                <w:highlight w:val="none"/>
              </w:rPr>
              <w:t>3、加强个人防护措施；</w:t>
            </w:r>
          </w:p>
          <w:p w14:paraId="00B679ED">
            <w:pPr>
              <w:pStyle w:val="19"/>
              <w:bidi w:val="0"/>
              <w:jc w:val="both"/>
              <w:rPr>
                <w:color w:val="auto"/>
                <w:highlight w:val="none"/>
              </w:rPr>
            </w:pPr>
            <w:r>
              <w:rPr>
                <w:rFonts w:hint="eastAsia"/>
                <w:color w:val="auto"/>
                <w:highlight w:val="none"/>
              </w:rPr>
              <w:t>4、完善配备机械安全装置。</w:t>
            </w:r>
          </w:p>
        </w:tc>
      </w:tr>
      <w:tr w14:paraId="6A802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8" w:type="dxa"/>
            <w:vAlign w:val="center"/>
          </w:tcPr>
          <w:p w14:paraId="0BEB6DDB">
            <w:pPr>
              <w:pStyle w:val="19"/>
              <w:bidi w:val="0"/>
              <w:rPr>
                <w:color w:val="auto"/>
                <w:highlight w:val="none"/>
              </w:rPr>
            </w:pPr>
            <w:r>
              <w:rPr>
                <w:rFonts w:hint="eastAsia"/>
                <w:color w:val="auto"/>
                <w:highlight w:val="none"/>
              </w:rPr>
              <w:t>触电</w:t>
            </w:r>
          </w:p>
        </w:tc>
        <w:tc>
          <w:tcPr>
            <w:tcW w:w="1150" w:type="dxa"/>
            <w:vAlign w:val="center"/>
          </w:tcPr>
          <w:p w14:paraId="1BB79F38">
            <w:pPr>
              <w:pStyle w:val="19"/>
              <w:bidi w:val="0"/>
              <w:rPr>
                <w:color w:val="auto"/>
                <w:highlight w:val="none"/>
              </w:rPr>
            </w:pPr>
            <w:r>
              <w:rPr>
                <w:rFonts w:hint="eastAsia"/>
                <w:color w:val="auto"/>
                <w:highlight w:val="none"/>
              </w:rPr>
              <w:t>接触漏电设备，电气短路、线路老化，无接地、接零保护，违章作业未穿戴劳动防护用品</w:t>
            </w:r>
          </w:p>
        </w:tc>
        <w:tc>
          <w:tcPr>
            <w:tcW w:w="2217" w:type="dxa"/>
            <w:vAlign w:val="center"/>
          </w:tcPr>
          <w:p w14:paraId="26DAF870">
            <w:pPr>
              <w:pStyle w:val="19"/>
              <w:bidi w:val="0"/>
              <w:jc w:val="both"/>
              <w:rPr>
                <w:color w:val="auto"/>
                <w:highlight w:val="none"/>
              </w:rPr>
            </w:pPr>
            <w:r>
              <w:rPr>
                <w:rFonts w:hint="eastAsia"/>
                <w:color w:val="auto"/>
                <w:highlight w:val="none"/>
              </w:rPr>
              <w:t>1、电气安全工作规程不完善；</w:t>
            </w:r>
          </w:p>
          <w:p w14:paraId="4AE4DBBD">
            <w:pPr>
              <w:pStyle w:val="19"/>
              <w:bidi w:val="0"/>
              <w:jc w:val="both"/>
              <w:rPr>
                <w:color w:val="auto"/>
                <w:highlight w:val="none"/>
              </w:rPr>
            </w:pPr>
            <w:r>
              <w:rPr>
                <w:rFonts w:hint="eastAsia"/>
                <w:color w:val="auto"/>
                <w:highlight w:val="none"/>
              </w:rPr>
              <w:t>2、电工未达到100%持证上岗，操作不熟练；</w:t>
            </w:r>
          </w:p>
          <w:p w14:paraId="31035321">
            <w:pPr>
              <w:pStyle w:val="19"/>
              <w:bidi w:val="0"/>
              <w:jc w:val="both"/>
              <w:rPr>
                <w:color w:val="auto"/>
                <w:highlight w:val="none"/>
              </w:rPr>
            </w:pPr>
            <w:r>
              <w:rPr>
                <w:rFonts w:hint="eastAsia"/>
                <w:color w:val="auto"/>
                <w:highlight w:val="none"/>
              </w:rPr>
              <w:t>3、个人防护用品穿戴不齐全；</w:t>
            </w:r>
          </w:p>
          <w:p w14:paraId="0E26FF03">
            <w:pPr>
              <w:pStyle w:val="19"/>
              <w:bidi w:val="0"/>
              <w:jc w:val="both"/>
              <w:rPr>
                <w:color w:val="auto"/>
                <w:highlight w:val="none"/>
              </w:rPr>
            </w:pPr>
            <w:r>
              <w:rPr>
                <w:rFonts w:hint="eastAsia"/>
                <w:color w:val="auto"/>
                <w:highlight w:val="none"/>
              </w:rPr>
              <w:t>4、电气裸露无防护罩，线路停送不严格，检修没严格执行工作票制度；</w:t>
            </w:r>
          </w:p>
          <w:p w14:paraId="7FD29094">
            <w:pPr>
              <w:pStyle w:val="19"/>
              <w:bidi w:val="0"/>
              <w:jc w:val="both"/>
              <w:rPr>
                <w:color w:val="auto"/>
                <w:highlight w:val="none"/>
              </w:rPr>
            </w:pPr>
            <w:r>
              <w:rPr>
                <w:rFonts w:hint="eastAsia"/>
                <w:color w:val="auto"/>
                <w:highlight w:val="none"/>
              </w:rPr>
              <w:t>5、熔断器任意代用；避雷装置不合格；</w:t>
            </w:r>
          </w:p>
          <w:p w14:paraId="09BF1019">
            <w:pPr>
              <w:pStyle w:val="19"/>
              <w:bidi w:val="0"/>
              <w:jc w:val="both"/>
              <w:rPr>
                <w:color w:val="auto"/>
                <w:highlight w:val="none"/>
              </w:rPr>
            </w:pPr>
            <w:r>
              <w:rPr>
                <w:rFonts w:hint="eastAsia"/>
                <w:color w:val="auto"/>
                <w:highlight w:val="none"/>
              </w:rPr>
              <w:t>6、应急救援预案不落实。</w:t>
            </w:r>
          </w:p>
        </w:tc>
        <w:tc>
          <w:tcPr>
            <w:tcW w:w="683" w:type="dxa"/>
            <w:vAlign w:val="center"/>
          </w:tcPr>
          <w:p w14:paraId="0FEE1705">
            <w:pPr>
              <w:pStyle w:val="19"/>
              <w:bidi w:val="0"/>
              <w:rPr>
                <w:color w:val="auto"/>
                <w:highlight w:val="none"/>
              </w:rPr>
            </w:pPr>
            <w:r>
              <w:rPr>
                <w:rFonts w:hint="eastAsia"/>
                <w:color w:val="auto"/>
                <w:highlight w:val="none"/>
              </w:rPr>
              <w:t>电击电伤</w:t>
            </w:r>
          </w:p>
        </w:tc>
        <w:tc>
          <w:tcPr>
            <w:tcW w:w="750" w:type="dxa"/>
            <w:vAlign w:val="center"/>
          </w:tcPr>
          <w:p w14:paraId="7874DD92">
            <w:pPr>
              <w:pStyle w:val="19"/>
              <w:bidi w:val="0"/>
              <w:rPr>
                <w:color w:val="auto"/>
                <w:highlight w:val="none"/>
              </w:rPr>
            </w:pPr>
            <w:r>
              <w:rPr>
                <w:rFonts w:hint="eastAsia"/>
                <w:color w:val="auto"/>
                <w:highlight w:val="none"/>
              </w:rPr>
              <w:t>人员受伤或死亡</w:t>
            </w:r>
          </w:p>
        </w:tc>
        <w:tc>
          <w:tcPr>
            <w:tcW w:w="700" w:type="dxa"/>
            <w:vAlign w:val="center"/>
          </w:tcPr>
          <w:p w14:paraId="7B4685C1">
            <w:pPr>
              <w:pStyle w:val="19"/>
              <w:bidi w:val="0"/>
              <w:rPr>
                <w:color w:val="auto"/>
                <w:highlight w:val="none"/>
              </w:rPr>
            </w:pPr>
            <w:r>
              <w:rPr>
                <w:rFonts w:hint="eastAsia"/>
                <w:color w:val="auto"/>
                <w:highlight w:val="none"/>
                <w:lang w:val="sq-AL"/>
              </w:rPr>
              <w:t>Ⅲ</w:t>
            </w:r>
          </w:p>
        </w:tc>
        <w:tc>
          <w:tcPr>
            <w:tcW w:w="933" w:type="dxa"/>
            <w:vAlign w:val="center"/>
          </w:tcPr>
          <w:p w14:paraId="7A401615">
            <w:pPr>
              <w:pStyle w:val="19"/>
              <w:bidi w:val="0"/>
              <w:rPr>
                <w:rFonts w:hint="eastAsia"/>
                <w:color w:val="auto"/>
                <w:highlight w:val="none"/>
                <w:lang w:val="en-US" w:eastAsia="zh-CN"/>
              </w:rPr>
            </w:pPr>
            <w:r>
              <w:rPr>
                <w:rFonts w:hint="eastAsia"/>
                <w:color w:val="auto"/>
                <w:highlight w:val="none"/>
                <w:lang w:val="en-US" w:eastAsia="zh-CN"/>
              </w:rPr>
              <w:t>D</w:t>
            </w:r>
          </w:p>
        </w:tc>
        <w:tc>
          <w:tcPr>
            <w:tcW w:w="2270" w:type="dxa"/>
            <w:vAlign w:val="center"/>
          </w:tcPr>
          <w:p w14:paraId="1CFD8F9E">
            <w:pPr>
              <w:pStyle w:val="19"/>
              <w:bidi w:val="0"/>
              <w:jc w:val="both"/>
              <w:rPr>
                <w:color w:val="auto"/>
                <w:highlight w:val="none"/>
              </w:rPr>
            </w:pPr>
            <w:r>
              <w:rPr>
                <w:rFonts w:hint="eastAsia"/>
                <w:color w:val="auto"/>
                <w:highlight w:val="none"/>
              </w:rPr>
              <w:t>1、严格执行作业规程；</w:t>
            </w:r>
          </w:p>
          <w:p w14:paraId="76D86753">
            <w:pPr>
              <w:pStyle w:val="19"/>
              <w:bidi w:val="0"/>
              <w:jc w:val="both"/>
              <w:rPr>
                <w:color w:val="auto"/>
                <w:highlight w:val="none"/>
              </w:rPr>
            </w:pPr>
            <w:r>
              <w:rPr>
                <w:rFonts w:hint="eastAsia"/>
                <w:color w:val="auto"/>
                <w:highlight w:val="none"/>
              </w:rPr>
              <w:t>2、定期检查电气线路及设备；</w:t>
            </w:r>
          </w:p>
          <w:p w14:paraId="0310EEA6">
            <w:pPr>
              <w:pStyle w:val="19"/>
              <w:bidi w:val="0"/>
              <w:jc w:val="both"/>
              <w:rPr>
                <w:color w:val="auto"/>
                <w:highlight w:val="none"/>
              </w:rPr>
            </w:pPr>
            <w:r>
              <w:rPr>
                <w:rFonts w:hint="eastAsia"/>
                <w:color w:val="auto"/>
                <w:highlight w:val="none"/>
              </w:rPr>
              <w:t>3、作业人员100%持证上岗；</w:t>
            </w:r>
          </w:p>
          <w:p w14:paraId="099741DB">
            <w:pPr>
              <w:pStyle w:val="19"/>
              <w:bidi w:val="0"/>
              <w:jc w:val="both"/>
              <w:rPr>
                <w:color w:val="auto"/>
                <w:highlight w:val="none"/>
              </w:rPr>
            </w:pPr>
            <w:r>
              <w:rPr>
                <w:rFonts w:hint="eastAsia"/>
                <w:color w:val="auto"/>
                <w:highlight w:val="none"/>
              </w:rPr>
              <w:t>4、作业点悬挂显明的警示标志；</w:t>
            </w:r>
          </w:p>
          <w:p w14:paraId="65E2D8A9">
            <w:pPr>
              <w:pStyle w:val="19"/>
              <w:bidi w:val="0"/>
              <w:jc w:val="both"/>
              <w:rPr>
                <w:color w:val="auto"/>
                <w:highlight w:val="none"/>
              </w:rPr>
            </w:pPr>
            <w:r>
              <w:rPr>
                <w:rFonts w:hint="eastAsia"/>
                <w:color w:val="auto"/>
                <w:highlight w:val="none"/>
              </w:rPr>
              <w:t>5、</w:t>
            </w:r>
            <w:r>
              <w:rPr>
                <w:rFonts w:hint="eastAsia"/>
                <w:color w:val="auto"/>
                <w:highlight w:val="none"/>
                <w:lang w:val="en-US" w:eastAsia="zh-CN"/>
              </w:rPr>
              <w:t>防</w:t>
            </w:r>
            <w:r>
              <w:rPr>
                <w:rFonts w:hint="eastAsia"/>
                <w:color w:val="auto"/>
                <w:highlight w:val="none"/>
              </w:rPr>
              <w:t>护用品穿戴齐全；</w:t>
            </w:r>
          </w:p>
          <w:p w14:paraId="0D78F6AE">
            <w:pPr>
              <w:pStyle w:val="19"/>
              <w:bidi w:val="0"/>
              <w:jc w:val="both"/>
              <w:rPr>
                <w:color w:val="auto"/>
                <w:highlight w:val="none"/>
              </w:rPr>
            </w:pPr>
            <w:r>
              <w:rPr>
                <w:rFonts w:hint="eastAsia"/>
                <w:color w:val="auto"/>
                <w:highlight w:val="none"/>
              </w:rPr>
              <w:t>6、加强职工安全教育，不断提高职工安全素质，严禁无证上岗，严禁违章作业；</w:t>
            </w:r>
          </w:p>
          <w:p w14:paraId="612B4ACF">
            <w:pPr>
              <w:pStyle w:val="19"/>
              <w:bidi w:val="0"/>
              <w:jc w:val="both"/>
              <w:rPr>
                <w:color w:val="auto"/>
                <w:highlight w:val="none"/>
              </w:rPr>
            </w:pPr>
            <w:r>
              <w:rPr>
                <w:rFonts w:hint="eastAsia"/>
                <w:color w:val="auto"/>
                <w:highlight w:val="none"/>
              </w:rPr>
              <w:t>7、严格执行劳动防护用品发放、使用管理制度。</w:t>
            </w:r>
          </w:p>
        </w:tc>
      </w:tr>
      <w:tr w14:paraId="7DE5A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8" w:type="dxa"/>
            <w:vAlign w:val="center"/>
          </w:tcPr>
          <w:p w14:paraId="5FC8EE3C">
            <w:pPr>
              <w:pStyle w:val="19"/>
              <w:bidi w:val="0"/>
              <w:rPr>
                <w:color w:val="auto"/>
                <w:highlight w:val="none"/>
              </w:rPr>
            </w:pPr>
            <w:r>
              <w:rPr>
                <w:rFonts w:hint="eastAsia"/>
                <w:color w:val="auto"/>
                <w:highlight w:val="none"/>
              </w:rPr>
              <w:t>中毒与窒息</w:t>
            </w:r>
          </w:p>
        </w:tc>
        <w:tc>
          <w:tcPr>
            <w:tcW w:w="1150" w:type="dxa"/>
            <w:vAlign w:val="center"/>
          </w:tcPr>
          <w:p w14:paraId="216296B5">
            <w:pPr>
              <w:pStyle w:val="19"/>
              <w:bidi w:val="0"/>
              <w:rPr>
                <w:color w:val="auto"/>
                <w:highlight w:val="none"/>
              </w:rPr>
            </w:pPr>
            <w:r>
              <w:rPr>
                <w:rFonts w:hint="eastAsia"/>
                <w:color w:val="auto"/>
                <w:highlight w:val="none"/>
              </w:rPr>
              <w:t>作业人员进入球磨机内检修，含氧量达不到要求，未进行有毒有害气体检测</w:t>
            </w:r>
          </w:p>
        </w:tc>
        <w:tc>
          <w:tcPr>
            <w:tcW w:w="2217" w:type="dxa"/>
            <w:vAlign w:val="center"/>
          </w:tcPr>
          <w:p w14:paraId="2EA14310">
            <w:pPr>
              <w:pStyle w:val="19"/>
              <w:bidi w:val="0"/>
              <w:jc w:val="both"/>
              <w:rPr>
                <w:color w:val="auto"/>
                <w:highlight w:val="none"/>
              </w:rPr>
            </w:pPr>
            <w:r>
              <w:rPr>
                <w:rFonts w:hint="eastAsia"/>
                <w:color w:val="auto"/>
                <w:highlight w:val="none"/>
              </w:rPr>
              <w:t>1、未进行有限空间作业审批；</w:t>
            </w:r>
          </w:p>
          <w:p w14:paraId="5CC60627">
            <w:pPr>
              <w:pStyle w:val="19"/>
              <w:bidi w:val="0"/>
              <w:jc w:val="both"/>
              <w:rPr>
                <w:color w:val="auto"/>
                <w:highlight w:val="none"/>
              </w:rPr>
            </w:pPr>
            <w:r>
              <w:rPr>
                <w:rFonts w:hint="eastAsia"/>
                <w:color w:val="auto"/>
                <w:highlight w:val="none"/>
              </w:rPr>
              <w:t>2、作业之前未进行含氧量检测，未进行通风置换；</w:t>
            </w:r>
          </w:p>
          <w:p w14:paraId="5AC770D6">
            <w:pPr>
              <w:pStyle w:val="19"/>
              <w:bidi w:val="0"/>
              <w:jc w:val="both"/>
              <w:rPr>
                <w:color w:val="auto"/>
                <w:highlight w:val="none"/>
              </w:rPr>
            </w:pPr>
            <w:r>
              <w:rPr>
                <w:rFonts w:hint="eastAsia"/>
                <w:color w:val="auto"/>
                <w:highlight w:val="none"/>
              </w:rPr>
              <w:t>3、作业时无人员监护；</w:t>
            </w:r>
          </w:p>
          <w:p w14:paraId="664B6FEB">
            <w:pPr>
              <w:pStyle w:val="19"/>
              <w:bidi w:val="0"/>
              <w:jc w:val="both"/>
              <w:rPr>
                <w:color w:val="auto"/>
                <w:highlight w:val="none"/>
              </w:rPr>
            </w:pPr>
            <w:r>
              <w:rPr>
                <w:rFonts w:hint="eastAsia"/>
                <w:color w:val="auto"/>
                <w:highlight w:val="none"/>
              </w:rPr>
              <w:t>4、封闭球磨机人孔时，未确认球磨机内有人并封闭。</w:t>
            </w:r>
          </w:p>
        </w:tc>
        <w:tc>
          <w:tcPr>
            <w:tcW w:w="683" w:type="dxa"/>
            <w:vAlign w:val="center"/>
          </w:tcPr>
          <w:p w14:paraId="4103BDDB">
            <w:pPr>
              <w:pStyle w:val="19"/>
              <w:bidi w:val="0"/>
              <w:rPr>
                <w:color w:val="auto"/>
                <w:highlight w:val="none"/>
              </w:rPr>
            </w:pPr>
            <w:r>
              <w:rPr>
                <w:rFonts w:hint="eastAsia"/>
                <w:color w:val="auto"/>
                <w:highlight w:val="none"/>
              </w:rPr>
              <w:t>中毒</w:t>
            </w:r>
          </w:p>
        </w:tc>
        <w:tc>
          <w:tcPr>
            <w:tcW w:w="750" w:type="dxa"/>
            <w:vAlign w:val="center"/>
          </w:tcPr>
          <w:p w14:paraId="012E5F76">
            <w:pPr>
              <w:pStyle w:val="19"/>
              <w:bidi w:val="0"/>
              <w:rPr>
                <w:color w:val="auto"/>
                <w:highlight w:val="none"/>
              </w:rPr>
            </w:pPr>
            <w:r>
              <w:rPr>
                <w:rFonts w:hint="eastAsia"/>
                <w:color w:val="auto"/>
                <w:highlight w:val="none"/>
              </w:rPr>
              <w:t>人员受伤或死亡</w:t>
            </w:r>
          </w:p>
        </w:tc>
        <w:tc>
          <w:tcPr>
            <w:tcW w:w="700" w:type="dxa"/>
            <w:vAlign w:val="center"/>
          </w:tcPr>
          <w:p w14:paraId="20D4DD15">
            <w:pPr>
              <w:pStyle w:val="19"/>
              <w:bidi w:val="0"/>
              <w:rPr>
                <w:color w:val="auto"/>
                <w:highlight w:val="none"/>
              </w:rPr>
            </w:pPr>
            <w:r>
              <w:rPr>
                <w:rFonts w:hint="eastAsia"/>
                <w:color w:val="auto"/>
                <w:highlight w:val="none"/>
                <w:lang w:val="sq-AL"/>
              </w:rPr>
              <w:t>Ⅲ</w:t>
            </w:r>
          </w:p>
        </w:tc>
        <w:tc>
          <w:tcPr>
            <w:tcW w:w="933" w:type="dxa"/>
            <w:vAlign w:val="center"/>
          </w:tcPr>
          <w:p w14:paraId="2E8C9ECD">
            <w:pPr>
              <w:pStyle w:val="19"/>
              <w:bidi w:val="0"/>
              <w:rPr>
                <w:rFonts w:hint="eastAsia"/>
                <w:color w:val="auto"/>
                <w:highlight w:val="none"/>
                <w:lang w:val="en-US" w:eastAsia="zh-CN"/>
              </w:rPr>
            </w:pPr>
            <w:r>
              <w:rPr>
                <w:rFonts w:hint="eastAsia"/>
                <w:color w:val="auto"/>
                <w:highlight w:val="none"/>
                <w:lang w:val="en-US" w:eastAsia="zh-CN"/>
              </w:rPr>
              <w:t>B</w:t>
            </w:r>
          </w:p>
        </w:tc>
        <w:tc>
          <w:tcPr>
            <w:tcW w:w="2270" w:type="dxa"/>
            <w:vAlign w:val="center"/>
          </w:tcPr>
          <w:p w14:paraId="358AC959">
            <w:pPr>
              <w:pStyle w:val="19"/>
              <w:bidi w:val="0"/>
              <w:jc w:val="both"/>
              <w:rPr>
                <w:color w:val="auto"/>
                <w:highlight w:val="none"/>
              </w:rPr>
            </w:pPr>
            <w:r>
              <w:rPr>
                <w:rFonts w:hint="eastAsia"/>
                <w:color w:val="auto"/>
                <w:highlight w:val="none"/>
              </w:rPr>
              <w:t>1、作业之前必须进行有限空间作业审批；</w:t>
            </w:r>
          </w:p>
          <w:p w14:paraId="1554E88F">
            <w:pPr>
              <w:pStyle w:val="19"/>
              <w:bidi w:val="0"/>
              <w:jc w:val="both"/>
              <w:rPr>
                <w:color w:val="auto"/>
                <w:highlight w:val="none"/>
              </w:rPr>
            </w:pPr>
            <w:r>
              <w:rPr>
                <w:rFonts w:hint="eastAsia"/>
                <w:color w:val="auto"/>
                <w:highlight w:val="none"/>
              </w:rPr>
              <w:t>2、作业前进行必要的安全知识培训；</w:t>
            </w:r>
          </w:p>
          <w:p w14:paraId="2BE4688C">
            <w:pPr>
              <w:pStyle w:val="19"/>
              <w:bidi w:val="0"/>
              <w:jc w:val="both"/>
              <w:rPr>
                <w:color w:val="auto"/>
                <w:highlight w:val="none"/>
              </w:rPr>
            </w:pPr>
            <w:r>
              <w:rPr>
                <w:rFonts w:hint="eastAsia"/>
                <w:color w:val="auto"/>
                <w:highlight w:val="none"/>
              </w:rPr>
              <w:t>3、作业之前必须进行含氧量检测，作业过程中必须保持通风；</w:t>
            </w:r>
          </w:p>
          <w:p w14:paraId="06BDD7A1">
            <w:pPr>
              <w:pStyle w:val="19"/>
              <w:bidi w:val="0"/>
              <w:jc w:val="both"/>
              <w:rPr>
                <w:color w:val="auto"/>
                <w:highlight w:val="none"/>
              </w:rPr>
            </w:pPr>
            <w:r>
              <w:rPr>
                <w:rFonts w:hint="eastAsia"/>
                <w:color w:val="auto"/>
                <w:highlight w:val="none"/>
              </w:rPr>
              <w:t>4、作业必须有人员监护，并与作业人员保持联络；</w:t>
            </w:r>
          </w:p>
          <w:p w14:paraId="06278086">
            <w:pPr>
              <w:pStyle w:val="19"/>
              <w:bidi w:val="0"/>
              <w:jc w:val="both"/>
              <w:rPr>
                <w:color w:val="auto"/>
                <w:highlight w:val="none"/>
              </w:rPr>
            </w:pPr>
            <w:r>
              <w:rPr>
                <w:rFonts w:hint="eastAsia"/>
                <w:color w:val="auto"/>
                <w:highlight w:val="none"/>
              </w:rPr>
              <w:t>5、封闭球磨机人孔时必须检查内部是否有人作业。</w:t>
            </w:r>
          </w:p>
        </w:tc>
      </w:tr>
      <w:tr w14:paraId="68D2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8" w:type="dxa"/>
            <w:vAlign w:val="center"/>
          </w:tcPr>
          <w:p w14:paraId="1E877028">
            <w:pPr>
              <w:pStyle w:val="19"/>
              <w:bidi w:val="0"/>
              <w:rPr>
                <w:color w:val="auto"/>
                <w:highlight w:val="none"/>
              </w:rPr>
            </w:pPr>
            <w:r>
              <w:rPr>
                <w:rFonts w:hint="eastAsia"/>
                <w:color w:val="auto"/>
                <w:highlight w:val="none"/>
              </w:rPr>
              <w:t>高处</w:t>
            </w:r>
          </w:p>
          <w:p w14:paraId="10AD3E8E">
            <w:pPr>
              <w:pStyle w:val="19"/>
              <w:bidi w:val="0"/>
              <w:rPr>
                <w:color w:val="auto"/>
                <w:highlight w:val="none"/>
              </w:rPr>
            </w:pPr>
            <w:r>
              <w:rPr>
                <w:rFonts w:hint="eastAsia"/>
                <w:color w:val="auto"/>
                <w:highlight w:val="none"/>
              </w:rPr>
              <w:t>坠落</w:t>
            </w:r>
          </w:p>
        </w:tc>
        <w:tc>
          <w:tcPr>
            <w:tcW w:w="1150" w:type="dxa"/>
            <w:vAlign w:val="center"/>
          </w:tcPr>
          <w:p w14:paraId="2A3F20F4">
            <w:pPr>
              <w:pStyle w:val="19"/>
              <w:bidi w:val="0"/>
              <w:rPr>
                <w:color w:val="auto"/>
                <w:highlight w:val="none"/>
              </w:rPr>
            </w:pPr>
            <w:r>
              <w:rPr>
                <w:rFonts w:hint="eastAsia"/>
                <w:color w:val="auto"/>
                <w:highlight w:val="none"/>
              </w:rPr>
              <w:t>人体失稳、防护栏杆失效</w:t>
            </w:r>
          </w:p>
        </w:tc>
        <w:tc>
          <w:tcPr>
            <w:tcW w:w="2217" w:type="dxa"/>
            <w:vAlign w:val="center"/>
          </w:tcPr>
          <w:p w14:paraId="68F5E698">
            <w:pPr>
              <w:pStyle w:val="19"/>
              <w:bidi w:val="0"/>
              <w:jc w:val="both"/>
              <w:rPr>
                <w:color w:val="auto"/>
                <w:highlight w:val="none"/>
              </w:rPr>
            </w:pPr>
            <w:r>
              <w:rPr>
                <w:rFonts w:hint="eastAsia"/>
                <w:color w:val="auto"/>
                <w:highlight w:val="none"/>
              </w:rPr>
              <w:t>1、管理、防护不到位；</w:t>
            </w:r>
          </w:p>
          <w:p w14:paraId="201C6F16">
            <w:pPr>
              <w:pStyle w:val="19"/>
              <w:bidi w:val="0"/>
              <w:jc w:val="both"/>
              <w:rPr>
                <w:color w:val="auto"/>
                <w:highlight w:val="none"/>
              </w:rPr>
            </w:pPr>
            <w:r>
              <w:rPr>
                <w:rFonts w:hint="eastAsia"/>
                <w:color w:val="auto"/>
                <w:highlight w:val="none"/>
              </w:rPr>
              <w:t>2、操作地点不安全；</w:t>
            </w:r>
          </w:p>
          <w:p w14:paraId="4B931B87">
            <w:pPr>
              <w:pStyle w:val="19"/>
              <w:bidi w:val="0"/>
              <w:jc w:val="both"/>
              <w:rPr>
                <w:color w:val="auto"/>
                <w:highlight w:val="none"/>
              </w:rPr>
            </w:pPr>
            <w:r>
              <w:rPr>
                <w:rFonts w:hint="eastAsia"/>
                <w:color w:val="auto"/>
                <w:highlight w:val="none"/>
              </w:rPr>
              <w:t>3、狂风和低温。</w:t>
            </w:r>
          </w:p>
        </w:tc>
        <w:tc>
          <w:tcPr>
            <w:tcW w:w="683" w:type="dxa"/>
            <w:vAlign w:val="center"/>
          </w:tcPr>
          <w:p w14:paraId="3FFCFF28">
            <w:pPr>
              <w:pStyle w:val="19"/>
              <w:bidi w:val="0"/>
              <w:rPr>
                <w:color w:val="auto"/>
                <w:highlight w:val="none"/>
              </w:rPr>
            </w:pPr>
            <w:r>
              <w:rPr>
                <w:rFonts w:hint="eastAsia"/>
                <w:color w:val="auto"/>
                <w:highlight w:val="none"/>
              </w:rPr>
              <w:t>坠落摔倒</w:t>
            </w:r>
          </w:p>
        </w:tc>
        <w:tc>
          <w:tcPr>
            <w:tcW w:w="750" w:type="dxa"/>
            <w:vAlign w:val="center"/>
          </w:tcPr>
          <w:p w14:paraId="500E5CF4">
            <w:pPr>
              <w:pStyle w:val="19"/>
              <w:bidi w:val="0"/>
              <w:rPr>
                <w:color w:val="auto"/>
                <w:highlight w:val="none"/>
              </w:rPr>
            </w:pPr>
            <w:r>
              <w:rPr>
                <w:rFonts w:hint="eastAsia"/>
                <w:color w:val="auto"/>
                <w:highlight w:val="none"/>
              </w:rPr>
              <w:t>人员受伤或死亡</w:t>
            </w:r>
          </w:p>
        </w:tc>
        <w:tc>
          <w:tcPr>
            <w:tcW w:w="700" w:type="dxa"/>
            <w:vAlign w:val="center"/>
          </w:tcPr>
          <w:p w14:paraId="773D6FBD">
            <w:pPr>
              <w:pStyle w:val="19"/>
              <w:bidi w:val="0"/>
              <w:rPr>
                <w:color w:val="auto"/>
                <w:highlight w:val="none"/>
                <w:lang w:val="sq-AL"/>
              </w:rPr>
            </w:pPr>
            <w:r>
              <w:rPr>
                <w:rFonts w:hint="eastAsia"/>
                <w:color w:val="auto"/>
                <w:highlight w:val="none"/>
              </w:rPr>
              <w:t>Ⅱ</w:t>
            </w:r>
          </w:p>
        </w:tc>
        <w:tc>
          <w:tcPr>
            <w:tcW w:w="933" w:type="dxa"/>
            <w:vAlign w:val="center"/>
          </w:tcPr>
          <w:p w14:paraId="612343E7">
            <w:pPr>
              <w:pStyle w:val="19"/>
              <w:bidi w:val="0"/>
              <w:rPr>
                <w:rFonts w:hint="eastAsia"/>
                <w:color w:val="auto"/>
                <w:highlight w:val="none"/>
                <w:lang w:val="en-US" w:eastAsia="zh-CN"/>
              </w:rPr>
            </w:pPr>
            <w:r>
              <w:rPr>
                <w:rFonts w:hint="eastAsia"/>
                <w:color w:val="auto"/>
                <w:highlight w:val="none"/>
                <w:lang w:val="en-US" w:eastAsia="zh-CN"/>
              </w:rPr>
              <w:t>B</w:t>
            </w:r>
          </w:p>
        </w:tc>
        <w:tc>
          <w:tcPr>
            <w:tcW w:w="2270" w:type="dxa"/>
            <w:vAlign w:val="center"/>
          </w:tcPr>
          <w:p w14:paraId="0915DEBE">
            <w:pPr>
              <w:pStyle w:val="19"/>
              <w:bidi w:val="0"/>
              <w:jc w:val="both"/>
              <w:rPr>
                <w:color w:val="auto"/>
                <w:highlight w:val="none"/>
              </w:rPr>
            </w:pPr>
            <w:r>
              <w:rPr>
                <w:rFonts w:hint="eastAsia"/>
                <w:color w:val="auto"/>
                <w:highlight w:val="none"/>
              </w:rPr>
              <w:t>1、增强安全意识，加强个体防护；</w:t>
            </w:r>
          </w:p>
          <w:p w14:paraId="639411FB">
            <w:pPr>
              <w:pStyle w:val="19"/>
              <w:bidi w:val="0"/>
              <w:jc w:val="both"/>
              <w:rPr>
                <w:color w:val="auto"/>
                <w:highlight w:val="none"/>
              </w:rPr>
            </w:pPr>
            <w:r>
              <w:rPr>
                <w:rFonts w:hint="eastAsia"/>
                <w:color w:val="auto"/>
                <w:highlight w:val="none"/>
              </w:rPr>
              <w:t>2、检查作业场所的管理和防护措施；</w:t>
            </w:r>
          </w:p>
          <w:p w14:paraId="13AA7E07">
            <w:pPr>
              <w:pStyle w:val="19"/>
              <w:bidi w:val="0"/>
              <w:jc w:val="both"/>
              <w:rPr>
                <w:color w:val="auto"/>
                <w:highlight w:val="none"/>
              </w:rPr>
            </w:pPr>
            <w:r>
              <w:rPr>
                <w:rFonts w:hint="eastAsia"/>
                <w:color w:val="auto"/>
                <w:highlight w:val="none"/>
              </w:rPr>
              <w:t>3、设置警示标志，遵守操作规程；</w:t>
            </w:r>
          </w:p>
          <w:p w14:paraId="36D72598">
            <w:pPr>
              <w:pStyle w:val="19"/>
              <w:bidi w:val="0"/>
              <w:jc w:val="both"/>
              <w:rPr>
                <w:color w:val="auto"/>
                <w:highlight w:val="none"/>
              </w:rPr>
            </w:pPr>
            <w:r>
              <w:rPr>
                <w:rFonts w:hint="eastAsia"/>
                <w:color w:val="auto"/>
                <w:highlight w:val="none"/>
              </w:rPr>
              <w:t>4、梯子、平台和易滑倒操作通道地面应有防滑措施；</w:t>
            </w:r>
          </w:p>
          <w:p w14:paraId="2B9ADE37">
            <w:pPr>
              <w:pStyle w:val="19"/>
              <w:bidi w:val="0"/>
              <w:jc w:val="both"/>
              <w:rPr>
                <w:color w:val="auto"/>
                <w:highlight w:val="none"/>
              </w:rPr>
            </w:pPr>
            <w:r>
              <w:rPr>
                <w:rFonts w:hint="eastAsia"/>
                <w:color w:val="auto"/>
                <w:highlight w:val="none"/>
              </w:rPr>
              <w:t>5、采取防风和保温措施。</w:t>
            </w:r>
          </w:p>
        </w:tc>
      </w:tr>
    </w:tbl>
    <w:p w14:paraId="49A0063B">
      <w:pPr>
        <w:bidi w:val="0"/>
        <w:rPr>
          <w:rFonts w:hint="default"/>
          <w:color w:val="auto"/>
          <w:highlight w:val="none"/>
          <w:lang w:val="en-US" w:eastAsia="zh-CN"/>
        </w:rPr>
      </w:pPr>
      <w:r>
        <w:rPr>
          <w:rFonts w:hint="default"/>
          <w:color w:val="auto"/>
          <w:highlight w:val="none"/>
          <w:lang w:val="en-US" w:eastAsia="zh-CN"/>
        </w:rPr>
        <w:t>通过PHA分析，本单元无重大危险有害因素，但对存在的危险有害因素仍须引起重视和采取措施加以防范。</w:t>
      </w:r>
    </w:p>
    <w:p w14:paraId="39C3BB86">
      <w:pPr>
        <w:bidi w:val="0"/>
        <w:rPr>
          <w:rFonts w:hint="default"/>
          <w:color w:val="auto"/>
          <w:highlight w:val="none"/>
          <w:lang w:val="en-US" w:eastAsia="zh-CN"/>
        </w:rPr>
      </w:pPr>
      <w:r>
        <w:rPr>
          <w:rFonts w:hint="default"/>
          <w:color w:val="auto"/>
          <w:highlight w:val="none"/>
          <w:lang w:val="en-US" w:eastAsia="zh-CN"/>
        </w:rPr>
        <w:t>本单元预先危险性等级系数按下式确定：</w:t>
      </w:r>
    </w:p>
    <w:p w14:paraId="2E0B857B">
      <w:pPr>
        <w:bidi w:val="0"/>
        <w:rPr>
          <w:rFonts w:hint="default"/>
          <w:color w:val="auto"/>
          <w:highlight w:val="none"/>
          <w:lang w:val="en-US" w:eastAsia="zh-CN"/>
        </w:rPr>
      </w:pPr>
      <w:r>
        <w:rPr>
          <w:color w:val="auto"/>
          <w:highlight w:val="none"/>
        </w:rPr>
        <w:t>W=∑</w:t>
      </w:r>
      <w:r>
        <w:rPr>
          <w:rFonts w:hint="default"/>
          <w:color w:val="auto"/>
          <w:highlight w:val="none"/>
        </w:rPr>
        <w:t>（</w:t>
      </w:r>
      <w:r>
        <w:rPr>
          <w:color w:val="auto"/>
          <w:highlight w:val="none"/>
        </w:rPr>
        <w:t>P×K</w:t>
      </w:r>
      <w:r>
        <w:rPr>
          <w:rFonts w:hint="default"/>
          <w:color w:val="auto"/>
          <w:highlight w:val="none"/>
        </w:rPr>
        <w:t>）</w:t>
      </w:r>
      <w:r>
        <w:rPr>
          <w:color w:val="auto"/>
          <w:highlight w:val="none"/>
        </w:rPr>
        <w:t>/∑K</w:t>
      </w:r>
    </w:p>
    <w:p w14:paraId="6EC09D39">
      <w:pPr>
        <w:bidi w:val="0"/>
        <w:rPr>
          <w:rFonts w:hint="default"/>
          <w:color w:val="auto"/>
          <w:highlight w:val="none"/>
          <w:lang w:val="en-US" w:eastAsia="zh-CN"/>
        </w:rPr>
      </w:pPr>
      <w:r>
        <w:rPr>
          <w:rFonts w:hint="default"/>
          <w:color w:val="auto"/>
          <w:highlight w:val="none"/>
          <w:lang w:val="en-US" w:eastAsia="zh-CN"/>
        </w:rPr>
        <w:t>式中：W—系统（单元）预先危险性等级系数；</w:t>
      </w:r>
    </w:p>
    <w:p w14:paraId="445AB50E">
      <w:pPr>
        <w:bidi w:val="0"/>
        <w:rPr>
          <w:rFonts w:hint="default"/>
          <w:color w:val="auto"/>
          <w:highlight w:val="none"/>
          <w:lang w:val="en-US" w:eastAsia="zh-CN"/>
        </w:rPr>
      </w:pPr>
      <w:r>
        <w:rPr>
          <w:rFonts w:hint="default"/>
          <w:color w:val="auto"/>
          <w:highlight w:val="none"/>
          <w:lang w:val="en-US" w:eastAsia="zh-CN"/>
        </w:rPr>
        <w:t>P—分析项目的危险性等级系数；</w:t>
      </w:r>
    </w:p>
    <w:p w14:paraId="70A105F7">
      <w:pPr>
        <w:bidi w:val="0"/>
        <w:rPr>
          <w:rFonts w:hint="default"/>
          <w:color w:val="auto"/>
          <w:highlight w:val="none"/>
          <w:lang w:val="en-US" w:eastAsia="zh-CN"/>
        </w:rPr>
      </w:pPr>
      <w:r>
        <w:rPr>
          <w:rFonts w:hint="default"/>
          <w:color w:val="auto"/>
          <w:highlight w:val="none"/>
          <w:lang w:val="en-US" w:eastAsia="zh-CN"/>
        </w:rPr>
        <w:t>K—分析项目发生事故的概率系数。</w:t>
      </w:r>
    </w:p>
    <w:p w14:paraId="65194B56">
      <w:pPr>
        <w:bidi w:val="0"/>
        <w:rPr>
          <w:rFonts w:hint="default"/>
          <w:color w:val="auto"/>
          <w:highlight w:val="none"/>
          <w:lang w:val="en-US" w:eastAsia="zh-CN"/>
        </w:rPr>
      </w:pPr>
      <w:r>
        <w:rPr>
          <w:rFonts w:hint="default"/>
          <w:color w:val="auto"/>
          <w:highlight w:val="none"/>
          <w:lang w:val="en-US" w:eastAsia="zh-CN"/>
        </w:rPr>
        <w:t>W=（2×0.10+4×0.20+4×0.30+4×0.10+2×0.10）/（0.10+0.20+0.30+0.10+0.10）=3.</w:t>
      </w:r>
      <w:r>
        <w:rPr>
          <w:rFonts w:hint="eastAsia"/>
          <w:color w:val="auto"/>
          <w:highlight w:val="none"/>
          <w:lang w:val="en-US" w:eastAsia="zh-CN"/>
        </w:rPr>
        <w:t>5</w:t>
      </w:r>
    </w:p>
    <w:p w14:paraId="680F3833">
      <w:pPr>
        <w:bidi w:val="0"/>
        <w:rPr>
          <w:rFonts w:hint="default"/>
          <w:color w:val="auto"/>
          <w:highlight w:val="none"/>
          <w:lang w:val="en-US" w:eastAsia="zh-CN"/>
        </w:rPr>
      </w:pPr>
      <w:r>
        <w:rPr>
          <w:rFonts w:hint="default"/>
          <w:color w:val="auto"/>
          <w:highlight w:val="none"/>
          <w:lang w:val="en-US" w:eastAsia="zh-CN"/>
        </w:rPr>
        <w:t>预先危险性分析结论：本单元预先危险性等级系数为Ⅲ级，系统危险程度为很危险。</w:t>
      </w:r>
    </w:p>
    <w:p w14:paraId="4701B850">
      <w:pPr>
        <w:pStyle w:val="5"/>
        <w:bidi w:val="0"/>
        <w:rPr>
          <w:rFonts w:hint="default"/>
          <w:color w:val="auto"/>
          <w:lang w:val="en-US" w:eastAsia="zh-CN"/>
        </w:rPr>
      </w:pPr>
      <w:r>
        <w:rPr>
          <w:rFonts w:hint="default"/>
          <w:color w:val="auto"/>
          <w:lang w:val="en-US" w:eastAsia="zh-CN"/>
        </w:rPr>
        <w:t>5.2.</w:t>
      </w:r>
      <w:r>
        <w:rPr>
          <w:rFonts w:hint="eastAsia"/>
          <w:color w:val="auto"/>
          <w:lang w:val="en-US" w:eastAsia="zh-CN"/>
        </w:rPr>
        <w:t>2</w:t>
      </w:r>
      <w:r>
        <w:rPr>
          <w:rFonts w:hint="default"/>
          <w:color w:val="auto"/>
          <w:lang w:val="en-US" w:eastAsia="zh-CN"/>
        </w:rPr>
        <w:t>.3 评价子单元小结</w:t>
      </w:r>
    </w:p>
    <w:p w14:paraId="633057CA">
      <w:pPr>
        <w:bidi w:val="0"/>
        <w:rPr>
          <w:rFonts w:hint="default"/>
          <w:color w:val="auto"/>
          <w:lang w:val="en-US" w:eastAsia="zh-CN"/>
        </w:rPr>
      </w:pPr>
      <w:r>
        <w:rPr>
          <w:rFonts w:hint="default"/>
          <w:color w:val="auto"/>
          <w:lang w:val="en-US" w:eastAsia="zh-CN"/>
        </w:rPr>
        <w:t>通过定性分析，本单元机械设备较多，电路复杂，若防护装置不全，易造成机械伤害及触电事故，故需做好机械设备及电路的维修保养工作，避免人员伤害事故的发生。另外</w:t>
      </w:r>
      <w:r>
        <w:rPr>
          <w:rFonts w:hint="eastAsia"/>
          <w:color w:val="auto"/>
          <w:lang w:val="en-US" w:eastAsia="zh-CN"/>
        </w:rPr>
        <w:t>球磨机检修过程中可能发生</w:t>
      </w:r>
      <w:r>
        <w:rPr>
          <w:rFonts w:hint="default"/>
          <w:color w:val="auto"/>
          <w:lang w:val="en-US" w:eastAsia="zh-CN"/>
        </w:rPr>
        <w:t>中毒和窒息事故，需采取措施防止事故发生。</w:t>
      </w:r>
    </w:p>
    <w:p w14:paraId="71ADECD4">
      <w:pPr>
        <w:pStyle w:val="4"/>
        <w:bidi w:val="0"/>
        <w:rPr>
          <w:rFonts w:hint="eastAsia"/>
          <w:color w:val="auto"/>
        </w:rPr>
      </w:pPr>
      <w:bookmarkStart w:id="190" w:name="_Toc8561"/>
      <w:r>
        <w:rPr>
          <w:rFonts w:hint="eastAsia"/>
          <w:color w:val="auto"/>
        </w:rPr>
        <w:t>5.2.3</w:t>
      </w:r>
      <w:r>
        <w:rPr>
          <w:rFonts w:hint="eastAsia"/>
          <w:color w:val="auto"/>
          <w:lang w:val="en-US" w:eastAsia="zh-CN"/>
        </w:rPr>
        <w:t xml:space="preserve"> </w:t>
      </w:r>
      <w:r>
        <w:rPr>
          <w:rFonts w:hint="eastAsia"/>
          <w:color w:val="auto"/>
        </w:rPr>
        <w:t>磁选系统评价子单元</w:t>
      </w:r>
      <w:bookmarkEnd w:id="190"/>
    </w:p>
    <w:p w14:paraId="67E3B6F1">
      <w:pPr>
        <w:pStyle w:val="5"/>
        <w:bidi w:val="0"/>
        <w:rPr>
          <w:rFonts w:hint="eastAsia"/>
          <w:color w:val="auto"/>
        </w:rPr>
      </w:pPr>
      <w:r>
        <w:rPr>
          <w:rFonts w:hint="eastAsia"/>
          <w:color w:val="auto"/>
        </w:rPr>
        <w:t>5.2.3.1</w:t>
      </w:r>
      <w:r>
        <w:rPr>
          <w:rFonts w:hint="eastAsia"/>
          <w:color w:val="auto"/>
          <w:lang w:val="en-US" w:eastAsia="zh-CN"/>
        </w:rPr>
        <w:t xml:space="preserve"> </w:t>
      </w:r>
      <w:r>
        <w:rPr>
          <w:rFonts w:hint="eastAsia"/>
          <w:color w:val="auto"/>
        </w:rPr>
        <w:t>危险有害因素概述</w:t>
      </w:r>
    </w:p>
    <w:p w14:paraId="017BF28C">
      <w:pPr>
        <w:bidi w:val="0"/>
        <w:rPr>
          <w:rFonts w:hint="eastAsia"/>
          <w:color w:val="auto"/>
        </w:rPr>
      </w:pPr>
      <w:r>
        <w:rPr>
          <w:rFonts w:hint="eastAsia"/>
          <w:color w:val="auto"/>
        </w:rPr>
        <w:t>本单元可能发生的安全生产事故类型有：机械伤害、车辆伤害、物体打击、触电以及其他伤害等。</w:t>
      </w:r>
    </w:p>
    <w:p w14:paraId="29F62CD2">
      <w:pPr>
        <w:bidi w:val="0"/>
        <w:rPr>
          <w:rFonts w:hint="eastAsia"/>
          <w:color w:val="auto"/>
        </w:rPr>
      </w:pPr>
      <w:r>
        <w:rPr>
          <w:rFonts w:hint="eastAsia"/>
          <w:color w:val="auto"/>
        </w:rPr>
        <w:t>机械伤害的原因主要有以下几种：磁选机两侧无防护栏；磁选机运转时人员在设备两侧和下方工作或逗留；检修磁选机时未执行停、送电作业工作票，设备意外启动。</w:t>
      </w:r>
    </w:p>
    <w:p w14:paraId="054265E7">
      <w:pPr>
        <w:bidi w:val="0"/>
        <w:rPr>
          <w:rFonts w:hint="eastAsia"/>
          <w:color w:val="auto"/>
        </w:rPr>
      </w:pPr>
      <w:r>
        <w:rPr>
          <w:rFonts w:hint="eastAsia"/>
          <w:color w:val="auto"/>
        </w:rPr>
        <w:t>车辆伤害：员工清矿、矿车在倒矿过程中现场无人监护，造成车辆伤害。</w:t>
      </w:r>
    </w:p>
    <w:p w14:paraId="26BD9BDA">
      <w:pPr>
        <w:bidi w:val="0"/>
        <w:rPr>
          <w:rFonts w:hint="eastAsia"/>
          <w:color w:val="auto"/>
        </w:rPr>
      </w:pPr>
      <w:r>
        <w:rPr>
          <w:rFonts w:hint="eastAsia"/>
          <w:color w:val="auto"/>
        </w:rPr>
        <w:t>物体打击：高处作业，人员作业疏忽；无安全警示标志及安全隔离装置；高临边未设置安全设施，造成物体打击。</w:t>
      </w:r>
    </w:p>
    <w:p w14:paraId="0BC0FA57">
      <w:pPr>
        <w:bidi w:val="0"/>
        <w:rPr>
          <w:rFonts w:hint="eastAsia"/>
          <w:color w:val="auto"/>
        </w:rPr>
      </w:pPr>
      <w:r>
        <w:rPr>
          <w:rFonts w:hint="eastAsia"/>
          <w:color w:val="auto"/>
        </w:rPr>
        <w:t>触电：厂区电气线路布置及电控制板摆设不规范，电线接头裸露，易发生触电及火灾事故；配电室低压配电柜未标识，可能因误操作导致触电和设备事故；低压架空线及电气设备及装置不按规定进行定期检测；运转的电动机未按规定安装接地保护，如遇雷击、漏电、短路情况，易发生设备损坏和触电事故。</w:t>
      </w:r>
    </w:p>
    <w:p w14:paraId="399BDA8A">
      <w:pPr>
        <w:bidi w:val="0"/>
        <w:rPr>
          <w:rFonts w:hint="eastAsia"/>
          <w:color w:val="auto"/>
        </w:rPr>
      </w:pPr>
      <w:r>
        <w:rPr>
          <w:rFonts w:hint="eastAsia"/>
          <w:color w:val="auto"/>
        </w:rPr>
        <w:t>高处坠落：厂区内高于2m的平台边沿放置有物料、物品掉落。</w:t>
      </w:r>
    </w:p>
    <w:p w14:paraId="6F5D3173">
      <w:pPr>
        <w:bidi w:val="0"/>
        <w:rPr>
          <w:rFonts w:hint="eastAsia"/>
          <w:color w:val="auto"/>
        </w:rPr>
      </w:pPr>
      <w:r>
        <w:rPr>
          <w:rFonts w:hint="eastAsia"/>
          <w:color w:val="auto"/>
        </w:rPr>
        <w:t>其他伤害：人员长期接触高噪声环境，造成噪声性耳聋；车间地面油污、积水未及时清理，造成滑跌等。</w:t>
      </w:r>
    </w:p>
    <w:p w14:paraId="39A12C27">
      <w:pPr>
        <w:pStyle w:val="5"/>
        <w:bidi w:val="0"/>
        <w:rPr>
          <w:rFonts w:hint="eastAsia"/>
          <w:color w:val="auto"/>
        </w:rPr>
      </w:pPr>
      <w:r>
        <w:rPr>
          <w:rFonts w:hint="eastAsia"/>
          <w:color w:val="auto"/>
        </w:rPr>
        <w:t>5.2.3.2</w:t>
      </w:r>
      <w:r>
        <w:rPr>
          <w:rFonts w:hint="eastAsia"/>
          <w:color w:val="auto"/>
          <w:lang w:val="en-US" w:eastAsia="zh-CN"/>
        </w:rPr>
        <w:t xml:space="preserve"> </w:t>
      </w:r>
      <w:r>
        <w:rPr>
          <w:rFonts w:hint="eastAsia"/>
          <w:color w:val="auto"/>
        </w:rPr>
        <w:t>预先危险性分析（PHA）</w:t>
      </w:r>
    </w:p>
    <w:p w14:paraId="5EB387C1">
      <w:pPr>
        <w:pStyle w:val="18"/>
        <w:bidi w:val="0"/>
        <w:rPr>
          <w:rFonts w:hint="eastAsia"/>
          <w:color w:val="auto"/>
        </w:rPr>
      </w:pPr>
    </w:p>
    <w:p w14:paraId="5EFC791A">
      <w:pPr>
        <w:pStyle w:val="18"/>
        <w:bidi w:val="0"/>
        <w:rPr>
          <w:rFonts w:hint="eastAsia"/>
          <w:color w:val="auto"/>
        </w:rPr>
      </w:pPr>
    </w:p>
    <w:p w14:paraId="4CBEEB95">
      <w:pPr>
        <w:pStyle w:val="18"/>
        <w:bidi w:val="0"/>
        <w:rPr>
          <w:rFonts w:hint="eastAsia"/>
          <w:color w:val="auto"/>
        </w:rPr>
      </w:pPr>
    </w:p>
    <w:p w14:paraId="568BAFA3">
      <w:pPr>
        <w:pStyle w:val="18"/>
        <w:bidi w:val="0"/>
        <w:rPr>
          <w:color w:val="auto"/>
        </w:rPr>
      </w:pPr>
      <w:r>
        <w:rPr>
          <w:rFonts w:hint="eastAsia"/>
          <w:color w:val="auto"/>
        </w:rPr>
        <w:t>表5.2-3 磁选单元预先危险性分析表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17"/>
        <w:gridCol w:w="1917"/>
        <w:gridCol w:w="733"/>
        <w:gridCol w:w="717"/>
        <w:gridCol w:w="766"/>
        <w:gridCol w:w="984"/>
        <w:gridCol w:w="2336"/>
      </w:tblGrid>
      <w:tr w14:paraId="5DB7B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31" w:type="dxa"/>
            <w:noWrap w:val="0"/>
            <w:vAlign w:val="center"/>
          </w:tcPr>
          <w:p w14:paraId="2B48064A">
            <w:pPr>
              <w:pStyle w:val="19"/>
              <w:rPr>
                <w:rFonts w:hint="default" w:ascii="Times New Roman" w:hAnsi="Times New Roman" w:cs="Times New Roman"/>
                <w:b/>
                <w:bCs/>
                <w:color w:val="auto"/>
              </w:rPr>
            </w:pPr>
            <w:r>
              <w:rPr>
                <w:rFonts w:hint="default" w:ascii="Times New Roman" w:hAnsi="Times New Roman" w:cs="Times New Roman"/>
                <w:b/>
                <w:bCs/>
                <w:color w:val="auto"/>
              </w:rPr>
              <w:t>危险有害因素</w:t>
            </w:r>
          </w:p>
        </w:tc>
        <w:tc>
          <w:tcPr>
            <w:tcW w:w="1217" w:type="dxa"/>
            <w:noWrap w:val="0"/>
            <w:vAlign w:val="center"/>
          </w:tcPr>
          <w:p w14:paraId="61430200">
            <w:pPr>
              <w:pStyle w:val="19"/>
              <w:rPr>
                <w:rFonts w:hint="default" w:ascii="Times New Roman" w:hAnsi="Times New Roman" w:cs="Times New Roman"/>
                <w:b/>
                <w:bCs/>
                <w:color w:val="auto"/>
              </w:rPr>
            </w:pPr>
            <w:r>
              <w:rPr>
                <w:rFonts w:hint="default" w:ascii="Times New Roman" w:hAnsi="Times New Roman" w:cs="Times New Roman"/>
                <w:b/>
                <w:bCs/>
                <w:color w:val="auto"/>
              </w:rPr>
              <w:t>触发事件</w:t>
            </w:r>
          </w:p>
        </w:tc>
        <w:tc>
          <w:tcPr>
            <w:tcW w:w="1917" w:type="dxa"/>
            <w:noWrap w:val="0"/>
            <w:vAlign w:val="center"/>
          </w:tcPr>
          <w:p w14:paraId="1AC8A7EF">
            <w:pPr>
              <w:pStyle w:val="19"/>
              <w:rPr>
                <w:rFonts w:hint="default" w:ascii="Times New Roman" w:hAnsi="Times New Roman" w:cs="Times New Roman"/>
                <w:b/>
                <w:bCs/>
                <w:color w:val="auto"/>
              </w:rPr>
            </w:pPr>
            <w:r>
              <w:rPr>
                <w:rFonts w:hint="default" w:ascii="Times New Roman" w:hAnsi="Times New Roman" w:cs="Times New Roman"/>
                <w:b/>
                <w:bCs/>
                <w:color w:val="auto"/>
              </w:rPr>
              <w:t>形成事故原因</w:t>
            </w:r>
          </w:p>
        </w:tc>
        <w:tc>
          <w:tcPr>
            <w:tcW w:w="733" w:type="dxa"/>
            <w:noWrap w:val="0"/>
            <w:vAlign w:val="center"/>
          </w:tcPr>
          <w:p w14:paraId="4AE8836F">
            <w:pPr>
              <w:pStyle w:val="19"/>
              <w:rPr>
                <w:rFonts w:hint="default" w:ascii="Times New Roman" w:hAnsi="Times New Roman" w:cs="Times New Roman"/>
                <w:b/>
                <w:bCs/>
                <w:color w:val="auto"/>
              </w:rPr>
            </w:pPr>
            <w:r>
              <w:rPr>
                <w:rFonts w:hint="default" w:ascii="Times New Roman" w:hAnsi="Times New Roman" w:cs="Times New Roman"/>
                <w:b/>
                <w:bCs/>
                <w:color w:val="auto"/>
              </w:rPr>
              <w:t>事故模式</w:t>
            </w:r>
          </w:p>
        </w:tc>
        <w:tc>
          <w:tcPr>
            <w:tcW w:w="717" w:type="dxa"/>
            <w:noWrap w:val="0"/>
            <w:vAlign w:val="center"/>
          </w:tcPr>
          <w:p w14:paraId="5D5B044E">
            <w:pPr>
              <w:pStyle w:val="19"/>
              <w:rPr>
                <w:rFonts w:hint="default" w:ascii="Times New Roman" w:hAnsi="Times New Roman" w:cs="Times New Roman"/>
                <w:b/>
                <w:bCs/>
                <w:color w:val="auto"/>
              </w:rPr>
            </w:pPr>
            <w:r>
              <w:rPr>
                <w:rFonts w:hint="default" w:ascii="Times New Roman" w:hAnsi="Times New Roman" w:cs="Times New Roman"/>
                <w:b/>
                <w:bCs/>
                <w:color w:val="auto"/>
              </w:rPr>
              <w:t>事故后果</w:t>
            </w:r>
          </w:p>
        </w:tc>
        <w:tc>
          <w:tcPr>
            <w:tcW w:w="766" w:type="dxa"/>
            <w:noWrap w:val="0"/>
            <w:vAlign w:val="center"/>
          </w:tcPr>
          <w:p w14:paraId="4F99EFDF">
            <w:pPr>
              <w:pStyle w:val="19"/>
              <w:rPr>
                <w:rFonts w:hint="default" w:ascii="Times New Roman" w:hAnsi="Times New Roman" w:cs="Times New Roman"/>
                <w:b/>
                <w:bCs/>
                <w:color w:val="auto"/>
              </w:rPr>
            </w:pPr>
            <w:r>
              <w:rPr>
                <w:rFonts w:hint="default" w:ascii="Times New Roman" w:hAnsi="Times New Roman" w:cs="Times New Roman"/>
                <w:b/>
                <w:bCs/>
                <w:color w:val="auto"/>
              </w:rPr>
              <w:t>危险等级</w:t>
            </w:r>
          </w:p>
        </w:tc>
        <w:tc>
          <w:tcPr>
            <w:tcW w:w="984" w:type="dxa"/>
            <w:noWrap w:val="0"/>
            <w:vAlign w:val="center"/>
          </w:tcPr>
          <w:p w14:paraId="61B18664">
            <w:pPr>
              <w:pStyle w:val="19"/>
              <w:rPr>
                <w:rFonts w:hint="default" w:ascii="Times New Roman" w:hAnsi="Times New Roman" w:cs="Times New Roman"/>
                <w:b/>
                <w:bCs/>
                <w:color w:val="auto"/>
              </w:rPr>
            </w:pPr>
            <w:r>
              <w:rPr>
                <w:rFonts w:hint="default" w:ascii="Times New Roman" w:hAnsi="Times New Roman" w:cs="Times New Roman"/>
                <w:b/>
                <w:bCs/>
                <w:color w:val="auto"/>
              </w:rPr>
              <w:t>发生事故的概率等级</w:t>
            </w:r>
          </w:p>
        </w:tc>
        <w:tc>
          <w:tcPr>
            <w:tcW w:w="2336" w:type="dxa"/>
            <w:noWrap w:val="0"/>
            <w:vAlign w:val="center"/>
          </w:tcPr>
          <w:p w14:paraId="51BEE05A">
            <w:pPr>
              <w:pStyle w:val="19"/>
              <w:rPr>
                <w:rFonts w:hint="default" w:ascii="Times New Roman" w:hAnsi="Times New Roman" w:cs="Times New Roman"/>
                <w:b/>
                <w:bCs/>
                <w:color w:val="auto"/>
              </w:rPr>
            </w:pPr>
            <w:r>
              <w:rPr>
                <w:rFonts w:hint="default" w:ascii="Times New Roman" w:hAnsi="Times New Roman" w:cs="Times New Roman"/>
                <w:b/>
                <w:bCs/>
                <w:color w:val="auto"/>
              </w:rPr>
              <w:t>对策措施</w:t>
            </w:r>
          </w:p>
        </w:tc>
      </w:tr>
      <w:tr w14:paraId="7A18C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1" w:type="dxa"/>
            <w:noWrap w:val="0"/>
            <w:vAlign w:val="center"/>
          </w:tcPr>
          <w:p w14:paraId="75DC57F1">
            <w:pPr>
              <w:pStyle w:val="19"/>
              <w:rPr>
                <w:rFonts w:hint="default" w:ascii="Times New Roman" w:hAnsi="Times New Roman" w:cs="Times New Roman"/>
                <w:color w:val="auto"/>
              </w:rPr>
            </w:pPr>
            <w:r>
              <w:rPr>
                <w:rFonts w:hint="default" w:ascii="Times New Roman" w:hAnsi="Times New Roman" w:cs="Times New Roman"/>
                <w:color w:val="auto"/>
              </w:rPr>
              <w:t>其他伤害（滑跌</w:t>
            </w:r>
            <w:r>
              <w:rPr>
                <w:rFonts w:hint="eastAsia" w:cs="Times New Roman"/>
                <w:color w:val="auto"/>
                <w:lang w:eastAsia="zh-CN"/>
              </w:rPr>
              <w:t>、</w:t>
            </w:r>
            <w:r>
              <w:rPr>
                <w:rFonts w:hint="eastAsia"/>
                <w:color w:val="auto"/>
                <w:highlight w:val="none"/>
                <w:lang w:val="en-US" w:eastAsia="zh-CN"/>
              </w:rPr>
              <w:t>噪声</w:t>
            </w:r>
            <w:r>
              <w:rPr>
                <w:rFonts w:hint="default" w:ascii="Times New Roman" w:hAnsi="Times New Roman" w:cs="Times New Roman"/>
                <w:color w:val="auto"/>
              </w:rPr>
              <w:t>）</w:t>
            </w:r>
          </w:p>
        </w:tc>
        <w:tc>
          <w:tcPr>
            <w:tcW w:w="1217" w:type="dxa"/>
            <w:noWrap w:val="0"/>
            <w:vAlign w:val="center"/>
          </w:tcPr>
          <w:p w14:paraId="7D5D6323">
            <w:pPr>
              <w:pStyle w:val="19"/>
              <w:rPr>
                <w:rFonts w:hint="default" w:ascii="Times New Roman" w:hAnsi="Times New Roman" w:cs="Times New Roman"/>
                <w:color w:val="auto"/>
              </w:rPr>
            </w:pPr>
            <w:r>
              <w:rPr>
                <w:rFonts w:hint="default" w:ascii="Times New Roman" w:hAnsi="Times New Roman" w:cs="Times New Roman"/>
                <w:color w:val="auto"/>
              </w:rPr>
              <w:t>人体失稳</w:t>
            </w:r>
          </w:p>
        </w:tc>
        <w:tc>
          <w:tcPr>
            <w:tcW w:w="1917" w:type="dxa"/>
            <w:noWrap w:val="0"/>
            <w:vAlign w:val="center"/>
          </w:tcPr>
          <w:p w14:paraId="64C7BEF4">
            <w:pPr>
              <w:pStyle w:val="19"/>
              <w:jc w:val="both"/>
              <w:rPr>
                <w:rFonts w:hint="default" w:ascii="Times New Roman" w:hAnsi="Times New Roman" w:cs="Times New Roman"/>
                <w:color w:val="auto"/>
              </w:rPr>
            </w:pPr>
            <w:r>
              <w:rPr>
                <w:rFonts w:hint="default" w:ascii="Times New Roman" w:hAnsi="Times New Roman" w:cs="Times New Roman"/>
                <w:color w:val="auto"/>
              </w:rPr>
              <w:t>1、管理、防护不到位；</w:t>
            </w:r>
          </w:p>
          <w:p w14:paraId="37702041">
            <w:pPr>
              <w:pStyle w:val="19"/>
              <w:jc w:val="both"/>
              <w:rPr>
                <w:rFonts w:hint="default" w:ascii="Times New Roman" w:hAnsi="Times New Roman" w:cs="Times New Roman"/>
                <w:color w:val="auto"/>
              </w:rPr>
            </w:pPr>
            <w:r>
              <w:rPr>
                <w:rFonts w:hint="default" w:ascii="Times New Roman" w:hAnsi="Times New Roman" w:cs="Times New Roman"/>
                <w:color w:val="auto"/>
              </w:rPr>
              <w:t>2、操作地点不安全；</w:t>
            </w:r>
          </w:p>
          <w:p w14:paraId="5A9BAE9B">
            <w:pPr>
              <w:pStyle w:val="19"/>
              <w:jc w:val="both"/>
              <w:rPr>
                <w:rFonts w:hint="eastAsia" w:cs="Times New Roman"/>
                <w:color w:val="auto"/>
                <w:lang w:eastAsia="zh-CN"/>
              </w:rPr>
            </w:pPr>
            <w:r>
              <w:rPr>
                <w:rFonts w:hint="default" w:ascii="Times New Roman" w:hAnsi="Times New Roman" w:cs="Times New Roman"/>
                <w:color w:val="auto"/>
              </w:rPr>
              <w:t>3、地面湿滑。地面积水、油污未及时清理</w:t>
            </w:r>
            <w:r>
              <w:rPr>
                <w:rFonts w:hint="eastAsia" w:cs="Times New Roman"/>
                <w:color w:val="auto"/>
                <w:lang w:eastAsia="zh-CN"/>
              </w:rPr>
              <w:t>；</w:t>
            </w:r>
          </w:p>
          <w:p w14:paraId="66521A2C">
            <w:pPr>
              <w:pStyle w:val="19"/>
              <w:jc w:val="both"/>
              <w:rPr>
                <w:rFonts w:hint="eastAsia" w:cs="Times New Roman"/>
                <w:color w:val="auto"/>
                <w:lang w:eastAsia="zh-CN"/>
              </w:rPr>
            </w:pPr>
            <w:r>
              <w:rPr>
                <w:rFonts w:hint="eastAsia"/>
                <w:color w:val="auto"/>
                <w:highlight w:val="none"/>
                <w:lang w:val="en-US" w:eastAsia="zh-CN"/>
              </w:rPr>
              <w:t>4、未佩戴劳动防护用品。</w:t>
            </w:r>
          </w:p>
        </w:tc>
        <w:tc>
          <w:tcPr>
            <w:tcW w:w="733" w:type="dxa"/>
            <w:noWrap w:val="0"/>
            <w:vAlign w:val="center"/>
          </w:tcPr>
          <w:p w14:paraId="715CAC0E">
            <w:pPr>
              <w:pStyle w:val="19"/>
              <w:rPr>
                <w:rFonts w:hint="default" w:ascii="Times New Roman" w:hAnsi="Times New Roman" w:cs="Times New Roman"/>
                <w:color w:val="auto"/>
              </w:rPr>
            </w:pPr>
            <w:r>
              <w:rPr>
                <w:rFonts w:hint="default" w:ascii="Times New Roman" w:hAnsi="Times New Roman" w:cs="Times New Roman"/>
                <w:color w:val="auto"/>
              </w:rPr>
              <w:t>摔倒</w:t>
            </w:r>
          </w:p>
        </w:tc>
        <w:tc>
          <w:tcPr>
            <w:tcW w:w="717" w:type="dxa"/>
            <w:noWrap w:val="0"/>
            <w:vAlign w:val="center"/>
          </w:tcPr>
          <w:p w14:paraId="56595EEC">
            <w:pPr>
              <w:pStyle w:val="19"/>
              <w:rPr>
                <w:rFonts w:hint="default" w:ascii="Times New Roman" w:hAnsi="Times New Roman" w:cs="Times New Roman"/>
                <w:color w:val="auto"/>
              </w:rPr>
            </w:pPr>
            <w:r>
              <w:rPr>
                <w:rFonts w:hint="default" w:ascii="Times New Roman" w:hAnsi="Times New Roman" w:cs="Times New Roman"/>
                <w:color w:val="auto"/>
              </w:rPr>
              <w:t>人员受伤或死亡</w:t>
            </w:r>
          </w:p>
        </w:tc>
        <w:tc>
          <w:tcPr>
            <w:tcW w:w="766" w:type="dxa"/>
            <w:noWrap w:val="0"/>
            <w:vAlign w:val="center"/>
          </w:tcPr>
          <w:p w14:paraId="40D504BF">
            <w:pPr>
              <w:pStyle w:val="19"/>
              <w:rPr>
                <w:rFonts w:hint="default" w:ascii="Times New Roman" w:hAnsi="Times New Roman" w:cs="Times New Roman"/>
                <w:color w:val="auto"/>
              </w:rPr>
            </w:pPr>
            <w:r>
              <w:rPr>
                <w:rFonts w:hint="default" w:ascii="Times New Roman" w:hAnsi="Times New Roman" w:cs="Times New Roman"/>
                <w:color w:val="auto"/>
              </w:rPr>
              <w:t>Ⅱ</w:t>
            </w:r>
          </w:p>
        </w:tc>
        <w:tc>
          <w:tcPr>
            <w:tcW w:w="984" w:type="dxa"/>
            <w:noWrap w:val="0"/>
            <w:vAlign w:val="center"/>
          </w:tcPr>
          <w:p w14:paraId="6DE5B826">
            <w:pPr>
              <w:pStyle w:val="19"/>
              <w:rPr>
                <w:rFonts w:hint="default" w:ascii="Times New Roman" w:hAnsi="Times New Roman" w:cs="Times New Roman"/>
                <w:color w:val="auto"/>
              </w:rPr>
            </w:pPr>
            <w:r>
              <w:rPr>
                <w:rFonts w:hint="default" w:ascii="Times New Roman" w:hAnsi="Times New Roman" w:cs="Times New Roman"/>
                <w:color w:val="auto"/>
              </w:rPr>
              <w:t>B</w:t>
            </w:r>
          </w:p>
        </w:tc>
        <w:tc>
          <w:tcPr>
            <w:tcW w:w="2336" w:type="dxa"/>
            <w:noWrap w:val="0"/>
            <w:vAlign w:val="center"/>
          </w:tcPr>
          <w:p w14:paraId="4933DF44">
            <w:pPr>
              <w:pStyle w:val="19"/>
              <w:jc w:val="both"/>
              <w:rPr>
                <w:rFonts w:hint="default" w:ascii="Times New Roman" w:hAnsi="Times New Roman" w:cs="Times New Roman"/>
                <w:color w:val="auto"/>
              </w:rPr>
            </w:pPr>
            <w:r>
              <w:rPr>
                <w:rFonts w:hint="default" w:ascii="Times New Roman" w:hAnsi="Times New Roman" w:cs="Times New Roman"/>
                <w:color w:val="auto"/>
              </w:rPr>
              <w:t>1、增强安全意识，加强个体防护；</w:t>
            </w:r>
          </w:p>
          <w:p w14:paraId="749B89CC">
            <w:pPr>
              <w:pStyle w:val="19"/>
              <w:jc w:val="both"/>
              <w:rPr>
                <w:rFonts w:hint="default" w:ascii="Times New Roman" w:hAnsi="Times New Roman" w:cs="Times New Roman"/>
                <w:color w:val="auto"/>
              </w:rPr>
            </w:pPr>
            <w:r>
              <w:rPr>
                <w:rFonts w:hint="default" w:ascii="Times New Roman" w:hAnsi="Times New Roman" w:cs="Times New Roman"/>
                <w:color w:val="auto"/>
              </w:rPr>
              <w:t>2、检查作业场所的管理和防护措施；</w:t>
            </w:r>
          </w:p>
          <w:p w14:paraId="02E44672">
            <w:pPr>
              <w:pStyle w:val="19"/>
              <w:jc w:val="both"/>
              <w:rPr>
                <w:rFonts w:hint="default" w:ascii="Times New Roman" w:hAnsi="Times New Roman" w:cs="Times New Roman"/>
                <w:color w:val="auto"/>
              </w:rPr>
            </w:pPr>
            <w:r>
              <w:rPr>
                <w:rFonts w:hint="default" w:ascii="Times New Roman" w:hAnsi="Times New Roman" w:cs="Times New Roman"/>
                <w:color w:val="auto"/>
              </w:rPr>
              <w:t>3、设置警示标志，遵守操作规程。</w:t>
            </w:r>
          </w:p>
          <w:p w14:paraId="20343EA5">
            <w:pPr>
              <w:pStyle w:val="19"/>
              <w:jc w:val="both"/>
              <w:rPr>
                <w:rFonts w:hint="eastAsia" w:cs="Times New Roman"/>
                <w:color w:val="auto"/>
                <w:lang w:eastAsia="zh-CN"/>
              </w:rPr>
            </w:pPr>
            <w:r>
              <w:rPr>
                <w:rFonts w:hint="default" w:ascii="Times New Roman" w:hAnsi="Times New Roman" w:cs="Times New Roman"/>
                <w:color w:val="auto"/>
              </w:rPr>
              <w:t>4、梯子、平台和易滑倒操作通道的地面应有防滑措施</w:t>
            </w:r>
            <w:r>
              <w:rPr>
                <w:rFonts w:hint="eastAsia" w:cs="Times New Roman"/>
                <w:color w:val="auto"/>
                <w:lang w:eastAsia="zh-CN"/>
              </w:rPr>
              <w:t>；</w:t>
            </w:r>
          </w:p>
          <w:p w14:paraId="70097FB7">
            <w:pPr>
              <w:pStyle w:val="19"/>
              <w:jc w:val="both"/>
              <w:rPr>
                <w:rFonts w:hint="eastAsia" w:cs="Times New Roman"/>
                <w:color w:val="auto"/>
                <w:lang w:eastAsia="zh-CN"/>
              </w:rPr>
            </w:pPr>
            <w:r>
              <w:rPr>
                <w:rFonts w:hint="eastAsia"/>
                <w:color w:val="auto"/>
                <w:highlight w:val="none"/>
                <w:lang w:val="en-US" w:eastAsia="zh-CN"/>
              </w:rPr>
              <w:t>5、佩戴劳动防护用品。</w:t>
            </w:r>
          </w:p>
        </w:tc>
      </w:tr>
      <w:tr w14:paraId="67C92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1" w:type="dxa"/>
            <w:noWrap w:val="0"/>
            <w:vAlign w:val="center"/>
          </w:tcPr>
          <w:p w14:paraId="797172FC">
            <w:pPr>
              <w:pStyle w:val="19"/>
              <w:rPr>
                <w:rFonts w:hint="default" w:ascii="Times New Roman" w:hAnsi="Times New Roman" w:cs="Times New Roman"/>
                <w:color w:val="auto"/>
              </w:rPr>
            </w:pPr>
            <w:r>
              <w:rPr>
                <w:rFonts w:hint="default" w:ascii="Times New Roman" w:hAnsi="Times New Roman" w:cs="Times New Roman"/>
                <w:color w:val="auto"/>
              </w:rPr>
              <w:t>机械</w:t>
            </w:r>
          </w:p>
          <w:p w14:paraId="6F642DA4">
            <w:pPr>
              <w:pStyle w:val="19"/>
              <w:rPr>
                <w:rFonts w:hint="default" w:ascii="Times New Roman" w:hAnsi="Times New Roman" w:cs="Times New Roman"/>
                <w:color w:val="auto"/>
              </w:rPr>
            </w:pPr>
            <w:r>
              <w:rPr>
                <w:rFonts w:hint="default" w:ascii="Times New Roman" w:hAnsi="Times New Roman" w:cs="Times New Roman"/>
                <w:color w:val="auto"/>
              </w:rPr>
              <w:t>伤害</w:t>
            </w:r>
          </w:p>
        </w:tc>
        <w:tc>
          <w:tcPr>
            <w:tcW w:w="1217" w:type="dxa"/>
            <w:noWrap w:val="0"/>
            <w:vAlign w:val="center"/>
          </w:tcPr>
          <w:p w14:paraId="12943B0E">
            <w:pPr>
              <w:pStyle w:val="19"/>
              <w:rPr>
                <w:rFonts w:hint="default" w:ascii="Times New Roman" w:hAnsi="Times New Roman" w:cs="Times New Roman"/>
                <w:color w:val="auto"/>
              </w:rPr>
            </w:pPr>
            <w:r>
              <w:rPr>
                <w:rFonts w:hint="default" w:ascii="Times New Roman" w:hAnsi="Times New Roman" w:cs="Times New Roman"/>
                <w:color w:val="auto"/>
              </w:rPr>
              <w:t>人员接触机械设备运转部位</w:t>
            </w:r>
          </w:p>
        </w:tc>
        <w:tc>
          <w:tcPr>
            <w:tcW w:w="1917" w:type="dxa"/>
            <w:noWrap w:val="0"/>
            <w:vAlign w:val="center"/>
          </w:tcPr>
          <w:p w14:paraId="3642FA41">
            <w:pPr>
              <w:pStyle w:val="19"/>
              <w:jc w:val="both"/>
              <w:rPr>
                <w:rFonts w:hint="default" w:ascii="Times New Roman" w:hAnsi="Times New Roman" w:cs="Times New Roman"/>
                <w:color w:val="auto"/>
              </w:rPr>
            </w:pPr>
            <w:r>
              <w:rPr>
                <w:rFonts w:hint="default" w:ascii="Times New Roman" w:hAnsi="Times New Roman" w:cs="Times New Roman"/>
                <w:color w:val="auto"/>
              </w:rPr>
              <w:t>1、操作地点不安全；</w:t>
            </w:r>
          </w:p>
          <w:p w14:paraId="06AFAA5A">
            <w:pPr>
              <w:pStyle w:val="19"/>
              <w:jc w:val="both"/>
              <w:rPr>
                <w:rFonts w:hint="default" w:ascii="Times New Roman" w:hAnsi="Times New Roman" w:cs="Times New Roman"/>
                <w:color w:val="auto"/>
              </w:rPr>
            </w:pPr>
            <w:r>
              <w:rPr>
                <w:rFonts w:hint="default" w:ascii="Times New Roman" w:hAnsi="Times New Roman" w:cs="Times New Roman"/>
                <w:color w:val="auto"/>
              </w:rPr>
              <w:t>2、作业前安全检查、处理不到位；</w:t>
            </w:r>
          </w:p>
          <w:p w14:paraId="51250789">
            <w:pPr>
              <w:pStyle w:val="19"/>
              <w:jc w:val="both"/>
              <w:rPr>
                <w:rFonts w:hint="default" w:ascii="Times New Roman" w:hAnsi="Times New Roman" w:cs="Times New Roman"/>
                <w:color w:val="auto"/>
              </w:rPr>
            </w:pPr>
            <w:r>
              <w:rPr>
                <w:rFonts w:hint="default" w:ascii="Times New Roman" w:hAnsi="Times New Roman" w:cs="Times New Roman"/>
                <w:color w:val="auto"/>
              </w:rPr>
              <w:t>3、安全防护装置(罩)不全；</w:t>
            </w:r>
          </w:p>
          <w:p w14:paraId="244E32CF">
            <w:pPr>
              <w:pStyle w:val="19"/>
              <w:jc w:val="both"/>
              <w:rPr>
                <w:rFonts w:hint="default" w:ascii="Times New Roman" w:hAnsi="Times New Roman" w:cs="Times New Roman"/>
                <w:color w:val="auto"/>
              </w:rPr>
            </w:pPr>
            <w:r>
              <w:rPr>
                <w:rFonts w:hint="default" w:ascii="Times New Roman" w:hAnsi="Times New Roman" w:cs="Times New Roman"/>
                <w:color w:val="auto"/>
              </w:rPr>
              <w:t>4、操作不熟练。</w:t>
            </w:r>
          </w:p>
        </w:tc>
        <w:tc>
          <w:tcPr>
            <w:tcW w:w="733" w:type="dxa"/>
            <w:noWrap w:val="0"/>
            <w:vAlign w:val="center"/>
          </w:tcPr>
          <w:p w14:paraId="6E60CC80">
            <w:pPr>
              <w:pStyle w:val="19"/>
              <w:rPr>
                <w:rFonts w:hint="default" w:ascii="Times New Roman" w:hAnsi="Times New Roman" w:cs="Times New Roman"/>
                <w:color w:val="auto"/>
              </w:rPr>
            </w:pPr>
            <w:r>
              <w:rPr>
                <w:rFonts w:hint="default" w:ascii="Times New Roman" w:hAnsi="Times New Roman" w:cs="Times New Roman"/>
                <w:color w:val="auto"/>
              </w:rPr>
              <w:t>夹击碰撞剪切卷入等</w:t>
            </w:r>
          </w:p>
        </w:tc>
        <w:tc>
          <w:tcPr>
            <w:tcW w:w="717" w:type="dxa"/>
            <w:noWrap w:val="0"/>
            <w:vAlign w:val="center"/>
          </w:tcPr>
          <w:p w14:paraId="529A4B55">
            <w:pPr>
              <w:pStyle w:val="19"/>
              <w:rPr>
                <w:rFonts w:hint="default" w:ascii="Times New Roman" w:hAnsi="Times New Roman" w:cs="Times New Roman"/>
                <w:color w:val="auto"/>
              </w:rPr>
            </w:pPr>
            <w:r>
              <w:rPr>
                <w:rFonts w:hint="default" w:ascii="Times New Roman" w:hAnsi="Times New Roman" w:cs="Times New Roman"/>
                <w:color w:val="auto"/>
              </w:rPr>
              <w:t>人员受伤或死亡</w:t>
            </w:r>
          </w:p>
        </w:tc>
        <w:tc>
          <w:tcPr>
            <w:tcW w:w="766" w:type="dxa"/>
            <w:noWrap w:val="0"/>
            <w:vAlign w:val="center"/>
          </w:tcPr>
          <w:p w14:paraId="3DFDBD67">
            <w:pPr>
              <w:pStyle w:val="19"/>
              <w:rPr>
                <w:rFonts w:hint="default" w:ascii="Times New Roman" w:hAnsi="Times New Roman" w:cs="Times New Roman"/>
                <w:color w:val="auto"/>
              </w:rPr>
            </w:pPr>
            <w:r>
              <w:rPr>
                <w:rFonts w:hint="default" w:ascii="Times New Roman" w:hAnsi="Times New Roman" w:cs="Times New Roman"/>
                <w:color w:val="auto"/>
                <w:lang w:val="sq-AL"/>
              </w:rPr>
              <w:t>Ⅲ</w:t>
            </w:r>
          </w:p>
        </w:tc>
        <w:tc>
          <w:tcPr>
            <w:tcW w:w="984" w:type="dxa"/>
            <w:noWrap w:val="0"/>
            <w:vAlign w:val="center"/>
          </w:tcPr>
          <w:p w14:paraId="69868AFD">
            <w:pPr>
              <w:pStyle w:val="19"/>
              <w:rPr>
                <w:rFonts w:hint="default" w:ascii="Times New Roman" w:hAnsi="Times New Roman" w:cs="Times New Roman"/>
                <w:color w:val="auto"/>
              </w:rPr>
            </w:pPr>
            <w:r>
              <w:rPr>
                <w:rFonts w:hint="default" w:ascii="Times New Roman" w:hAnsi="Times New Roman" w:cs="Times New Roman"/>
                <w:color w:val="auto"/>
              </w:rPr>
              <w:t>C</w:t>
            </w:r>
          </w:p>
        </w:tc>
        <w:tc>
          <w:tcPr>
            <w:tcW w:w="2336" w:type="dxa"/>
            <w:noWrap w:val="0"/>
            <w:vAlign w:val="center"/>
          </w:tcPr>
          <w:p w14:paraId="29AAA66A">
            <w:pPr>
              <w:pStyle w:val="19"/>
              <w:jc w:val="both"/>
              <w:rPr>
                <w:rFonts w:hint="default" w:ascii="Times New Roman" w:hAnsi="Times New Roman" w:cs="Times New Roman"/>
                <w:color w:val="auto"/>
              </w:rPr>
            </w:pPr>
            <w:r>
              <w:rPr>
                <w:rFonts w:hint="default" w:ascii="Times New Roman" w:hAnsi="Times New Roman" w:cs="Times New Roman"/>
                <w:color w:val="auto"/>
              </w:rPr>
              <w:t>1、严格执行操作规程；</w:t>
            </w:r>
          </w:p>
          <w:p w14:paraId="2828951E">
            <w:pPr>
              <w:pStyle w:val="19"/>
              <w:jc w:val="both"/>
              <w:rPr>
                <w:rFonts w:hint="default" w:ascii="Times New Roman" w:hAnsi="Times New Roman" w:cs="Times New Roman"/>
                <w:color w:val="auto"/>
              </w:rPr>
            </w:pPr>
            <w:r>
              <w:rPr>
                <w:rFonts w:hint="default" w:ascii="Times New Roman" w:hAnsi="Times New Roman" w:cs="Times New Roman"/>
                <w:color w:val="auto"/>
              </w:rPr>
              <w:t>2、树立先安全后生产的观念，坚持工作前对工作面的安全处理；</w:t>
            </w:r>
          </w:p>
          <w:p w14:paraId="246D44AD">
            <w:pPr>
              <w:pStyle w:val="19"/>
              <w:jc w:val="both"/>
              <w:rPr>
                <w:rFonts w:hint="default" w:ascii="Times New Roman" w:hAnsi="Times New Roman" w:cs="Times New Roman"/>
                <w:color w:val="auto"/>
              </w:rPr>
            </w:pPr>
            <w:r>
              <w:rPr>
                <w:rFonts w:hint="default" w:ascii="Times New Roman" w:hAnsi="Times New Roman" w:cs="Times New Roman"/>
                <w:color w:val="auto"/>
              </w:rPr>
              <w:t>3、加强个人防护措施；</w:t>
            </w:r>
          </w:p>
          <w:p w14:paraId="269AB91A">
            <w:pPr>
              <w:pStyle w:val="19"/>
              <w:jc w:val="both"/>
              <w:rPr>
                <w:rFonts w:hint="default" w:ascii="Times New Roman" w:hAnsi="Times New Roman" w:cs="Times New Roman"/>
                <w:color w:val="auto"/>
              </w:rPr>
            </w:pPr>
            <w:r>
              <w:rPr>
                <w:rFonts w:hint="default" w:ascii="Times New Roman" w:hAnsi="Times New Roman" w:cs="Times New Roman"/>
                <w:color w:val="auto"/>
              </w:rPr>
              <w:t>4、完善配备机械安全装置。</w:t>
            </w:r>
          </w:p>
        </w:tc>
      </w:tr>
      <w:tr w14:paraId="363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1" w:type="dxa"/>
            <w:noWrap w:val="0"/>
            <w:vAlign w:val="center"/>
          </w:tcPr>
          <w:p w14:paraId="51788560">
            <w:pPr>
              <w:pStyle w:val="19"/>
              <w:rPr>
                <w:rFonts w:hint="default" w:ascii="Times New Roman" w:hAnsi="Times New Roman" w:cs="Times New Roman"/>
                <w:color w:val="auto"/>
              </w:rPr>
            </w:pPr>
            <w:r>
              <w:rPr>
                <w:rFonts w:hint="default" w:ascii="Times New Roman" w:hAnsi="Times New Roman" w:cs="Times New Roman"/>
                <w:color w:val="auto"/>
              </w:rPr>
              <w:t>触电</w:t>
            </w:r>
          </w:p>
        </w:tc>
        <w:tc>
          <w:tcPr>
            <w:tcW w:w="1217" w:type="dxa"/>
            <w:noWrap w:val="0"/>
            <w:vAlign w:val="center"/>
          </w:tcPr>
          <w:p w14:paraId="26214AA4">
            <w:pPr>
              <w:pStyle w:val="19"/>
              <w:rPr>
                <w:rFonts w:hint="default" w:ascii="Times New Roman" w:hAnsi="Times New Roman" w:cs="Times New Roman"/>
                <w:color w:val="auto"/>
              </w:rPr>
            </w:pPr>
            <w:r>
              <w:rPr>
                <w:rFonts w:hint="default" w:ascii="Times New Roman" w:hAnsi="Times New Roman" w:cs="Times New Roman"/>
                <w:color w:val="auto"/>
              </w:rPr>
              <w:t>接触漏电设备，电气短路、线路老化，无接地、接零保护，违章作业未穿戴劳动防护用品</w:t>
            </w:r>
          </w:p>
        </w:tc>
        <w:tc>
          <w:tcPr>
            <w:tcW w:w="1917" w:type="dxa"/>
            <w:noWrap w:val="0"/>
            <w:vAlign w:val="center"/>
          </w:tcPr>
          <w:p w14:paraId="333E4BAA">
            <w:pPr>
              <w:pStyle w:val="19"/>
              <w:jc w:val="both"/>
              <w:rPr>
                <w:rFonts w:hint="default" w:ascii="Times New Roman" w:hAnsi="Times New Roman" w:cs="Times New Roman"/>
                <w:color w:val="auto"/>
              </w:rPr>
            </w:pPr>
            <w:r>
              <w:rPr>
                <w:rFonts w:hint="default" w:ascii="Times New Roman" w:hAnsi="Times New Roman" w:cs="Times New Roman"/>
                <w:color w:val="auto"/>
              </w:rPr>
              <w:t>1、电气安全工作规程不完善；</w:t>
            </w:r>
          </w:p>
          <w:p w14:paraId="4814EED2">
            <w:pPr>
              <w:pStyle w:val="19"/>
              <w:jc w:val="both"/>
              <w:rPr>
                <w:rFonts w:hint="default" w:ascii="Times New Roman" w:hAnsi="Times New Roman" w:cs="Times New Roman"/>
                <w:color w:val="auto"/>
              </w:rPr>
            </w:pPr>
            <w:r>
              <w:rPr>
                <w:rFonts w:hint="default" w:ascii="Times New Roman" w:hAnsi="Times New Roman" w:cs="Times New Roman"/>
                <w:color w:val="auto"/>
              </w:rPr>
              <w:t>2、电工未达到100%持证上岗，操作不熟练；</w:t>
            </w:r>
          </w:p>
          <w:p w14:paraId="307C9BCD">
            <w:pPr>
              <w:pStyle w:val="19"/>
              <w:jc w:val="both"/>
              <w:rPr>
                <w:rFonts w:hint="default" w:ascii="Times New Roman" w:hAnsi="Times New Roman" w:cs="Times New Roman"/>
                <w:color w:val="auto"/>
              </w:rPr>
            </w:pPr>
            <w:r>
              <w:rPr>
                <w:rFonts w:hint="default" w:ascii="Times New Roman" w:hAnsi="Times New Roman" w:cs="Times New Roman"/>
                <w:color w:val="auto"/>
              </w:rPr>
              <w:t>3、个人防护用品穿戴不齐全；</w:t>
            </w:r>
          </w:p>
          <w:p w14:paraId="16DED763">
            <w:pPr>
              <w:pStyle w:val="19"/>
              <w:jc w:val="both"/>
              <w:rPr>
                <w:rFonts w:hint="default" w:ascii="Times New Roman" w:hAnsi="Times New Roman" w:cs="Times New Roman"/>
                <w:color w:val="auto"/>
              </w:rPr>
            </w:pPr>
            <w:r>
              <w:rPr>
                <w:rFonts w:hint="default" w:ascii="Times New Roman" w:hAnsi="Times New Roman" w:cs="Times New Roman"/>
                <w:color w:val="auto"/>
              </w:rPr>
              <w:t>4、电气裸露无防护罩，线路停送不严格，检修没严格执行工作票制度；</w:t>
            </w:r>
          </w:p>
          <w:p w14:paraId="34452E5F">
            <w:pPr>
              <w:pStyle w:val="19"/>
              <w:jc w:val="both"/>
              <w:rPr>
                <w:rFonts w:hint="default" w:ascii="Times New Roman" w:hAnsi="Times New Roman" w:cs="Times New Roman"/>
                <w:color w:val="auto"/>
              </w:rPr>
            </w:pPr>
            <w:r>
              <w:rPr>
                <w:rFonts w:hint="default" w:ascii="Times New Roman" w:hAnsi="Times New Roman" w:cs="Times New Roman"/>
                <w:color w:val="auto"/>
              </w:rPr>
              <w:t>5、熔断器任意代用；避雷装置不合格；</w:t>
            </w:r>
          </w:p>
          <w:p w14:paraId="4CA0136C">
            <w:pPr>
              <w:pStyle w:val="19"/>
              <w:jc w:val="both"/>
              <w:rPr>
                <w:rFonts w:hint="default" w:ascii="Times New Roman" w:hAnsi="Times New Roman" w:cs="Times New Roman"/>
                <w:color w:val="auto"/>
              </w:rPr>
            </w:pPr>
            <w:r>
              <w:rPr>
                <w:rFonts w:hint="default" w:ascii="Times New Roman" w:hAnsi="Times New Roman" w:cs="Times New Roman"/>
                <w:color w:val="auto"/>
              </w:rPr>
              <w:t>6、应急救援预案不落实。</w:t>
            </w:r>
          </w:p>
        </w:tc>
        <w:tc>
          <w:tcPr>
            <w:tcW w:w="733" w:type="dxa"/>
            <w:noWrap w:val="0"/>
            <w:vAlign w:val="center"/>
          </w:tcPr>
          <w:p w14:paraId="0B84582F">
            <w:pPr>
              <w:pStyle w:val="19"/>
              <w:rPr>
                <w:rFonts w:hint="default" w:ascii="Times New Roman" w:hAnsi="Times New Roman" w:cs="Times New Roman"/>
                <w:color w:val="auto"/>
              </w:rPr>
            </w:pPr>
            <w:r>
              <w:rPr>
                <w:rFonts w:hint="default" w:ascii="Times New Roman" w:hAnsi="Times New Roman" w:cs="Times New Roman"/>
                <w:color w:val="auto"/>
              </w:rPr>
              <w:t>电击电伤</w:t>
            </w:r>
          </w:p>
        </w:tc>
        <w:tc>
          <w:tcPr>
            <w:tcW w:w="717" w:type="dxa"/>
            <w:noWrap w:val="0"/>
            <w:vAlign w:val="center"/>
          </w:tcPr>
          <w:p w14:paraId="534F7136">
            <w:pPr>
              <w:pStyle w:val="19"/>
              <w:rPr>
                <w:rFonts w:hint="default" w:ascii="Times New Roman" w:hAnsi="Times New Roman" w:cs="Times New Roman"/>
                <w:color w:val="auto"/>
              </w:rPr>
            </w:pPr>
            <w:r>
              <w:rPr>
                <w:rFonts w:hint="default" w:ascii="Times New Roman" w:hAnsi="Times New Roman" w:cs="Times New Roman"/>
                <w:color w:val="auto"/>
              </w:rPr>
              <w:t>人员受伤或死亡</w:t>
            </w:r>
          </w:p>
        </w:tc>
        <w:tc>
          <w:tcPr>
            <w:tcW w:w="766" w:type="dxa"/>
            <w:noWrap w:val="0"/>
            <w:vAlign w:val="center"/>
          </w:tcPr>
          <w:p w14:paraId="41D9E8D0">
            <w:pPr>
              <w:pStyle w:val="19"/>
              <w:rPr>
                <w:rFonts w:hint="default" w:ascii="Times New Roman" w:hAnsi="Times New Roman" w:cs="Times New Roman"/>
                <w:color w:val="auto"/>
              </w:rPr>
            </w:pPr>
            <w:r>
              <w:rPr>
                <w:rFonts w:hint="default" w:ascii="Times New Roman" w:hAnsi="Times New Roman" w:cs="Times New Roman"/>
                <w:color w:val="auto"/>
                <w:lang w:val="sq-AL"/>
              </w:rPr>
              <w:t>Ⅲ</w:t>
            </w:r>
          </w:p>
        </w:tc>
        <w:tc>
          <w:tcPr>
            <w:tcW w:w="984" w:type="dxa"/>
            <w:noWrap w:val="0"/>
            <w:vAlign w:val="center"/>
          </w:tcPr>
          <w:p w14:paraId="0B8864FC">
            <w:pPr>
              <w:pStyle w:val="19"/>
              <w:rPr>
                <w:rFonts w:hint="default" w:ascii="Times New Roman" w:hAnsi="Times New Roman" w:cs="Times New Roman"/>
                <w:color w:val="auto"/>
              </w:rPr>
            </w:pPr>
            <w:r>
              <w:rPr>
                <w:rFonts w:hint="default" w:ascii="Times New Roman" w:hAnsi="Times New Roman" w:cs="Times New Roman"/>
                <w:color w:val="auto"/>
              </w:rPr>
              <w:t>D</w:t>
            </w:r>
          </w:p>
        </w:tc>
        <w:tc>
          <w:tcPr>
            <w:tcW w:w="2336" w:type="dxa"/>
            <w:noWrap w:val="0"/>
            <w:vAlign w:val="center"/>
          </w:tcPr>
          <w:p w14:paraId="2B556E6E">
            <w:pPr>
              <w:pStyle w:val="19"/>
              <w:jc w:val="both"/>
              <w:rPr>
                <w:rFonts w:hint="default" w:ascii="Times New Roman" w:hAnsi="Times New Roman" w:cs="Times New Roman"/>
                <w:color w:val="auto"/>
              </w:rPr>
            </w:pPr>
            <w:r>
              <w:rPr>
                <w:rFonts w:hint="default" w:ascii="Times New Roman" w:hAnsi="Times New Roman" w:cs="Times New Roman"/>
                <w:color w:val="auto"/>
              </w:rPr>
              <w:t>1、严格执行作业规程；</w:t>
            </w:r>
          </w:p>
          <w:p w14:paraId="75619562">
            <w:pPr>
              <w:pStyle w:val="19"/>
              <w:jc w:val="both"/>
              <w:rPr>
                <w:rFonts w:hint="default" w:ascii="Times New Roman" w:hAnsi="Times New Roman" w:cs="Times New Roman"/>
                <w:color w:val="auto"/>
              </w:rPr>
            </w:pPr>
            <w:r>
              <w:rPr>
                <w:rFonts w:hint="default" w:ascii="Times New Roman" w:hAnsi="Times New Roman" w:cs="Times New Roman"/>
                <w:color w:val="auto"/>
              </w:rPr>
              <w:t>2、定期检查电气线路及设备；</w:t>
            </w:r>
          </w:p>
          <w:p w14:paraId="3287E30A">
            <w:pPr>
              <w:pStyle w:val="19"/>
              <w:jc w:val="both"/>
              <w:rPr>
                <w:rFonts w:hint="default" w:ascii="Times New Roman" w:hAnsi="Times New Roman" w:cs="Times New Roman"/>
                <w:color w:val="auto"/>
              </w:rPr>
            </w:pPr>
            <w:r>
              <w:rPr>
                <w:rFonts w:hint="default" w:ascii="Times New Roman" w:hAnsi="Times New Roman" w:cs="Times New Roman"/>
                <w:color w:val="auto"/>
              </w:rPr>
              <w:t>3、作业人员100%持证上岗；</w:t>
            </w:r>
          </w:p>
          <w:p w14:paraId="6D7DCE3B">
            <w:pPr>
              <w:pStyle w:val="19"/>
              <w:jc w:val="both"/>
              <w:rPr>
                <w:rFonts w:hint="default" w:ascii="Times New Roman" w:hAnsi="Times New Roman" w:cs="Times New Roman"/>
                <w:color w:val="auto"/>
              </w:rPr>
            </w:pPr>
            <w:r>
              <w:rPr>
                <w:rFonts w:hint="default" w:ascii="Times New Roman" w:hAnsi="Times New Roman" w:cs="Times New Roman"/>
                <w:color w:val="auto"/>
              </w:rPr>
              <w:t>4、作业点悬挂显明的警示标志；</w:t>
            </w:r>
          </w:p>
          <w:p w14:paraId="2B7FCC2E">
            <w:pPr>
              <w:pStyle w:val="19"/>
              <w:jc w:val="both"/>
              <w:rPr>
                <w:rFonts w:hint="default" w:ascii="Times New Roman" w:hAnsi="Times New Roman" w:cs="Times New Roman"/>
                <w:color w:val="auto"/>
              </w:rPr>
            </w:pPr>
            <w:r>
              <w:rPr>
                <w:rFonts w:hint="default" w:ascii="Times New Roman" w:hAnsi="Times New Roman" w:cs="Times New Roman"/>
                <w:color w:val="auto"/>
              </w:rPr>
              <w:t>5、护用品穿戴齐全；</w:t>
            </w:r>
          </w:p>
          <w:p w14:paraId="043BB131">
            <w:pPr>
              <w:pStyle w:val="19"/>
              <w:jc w:val="both"/>
              <w:rPr>
                <w:rFonts w:hint="default" w:ascii="Times New Roman" w:hAnsi="Times New Roman" w:cs="Times New Roman"/>
                <w:color w:val="auto"/>
              </w:rPr>
            </w:pPr>
            <w:r>
              <w:rPr>
                <w:rFonts w:hint="default" w:ascii="Times New Roman" w:hAnsi="Times New Roman" w:cs="Times New Roman"/>
                <w:color w:val="auto"/>
              </w:rPr>
              <w:t>6、加强职工安全教育，不断提高职工安全素质，严禁无证上岗，严禁违章作业；</w:t>
            </w:r>
          </w:p>
          <w:p w14:paraId="1CECCD9E">
            <w:pPr>
              <w:pStyle w:val="19"/>
              <w:jc w:val="both"/>
              <w:rPr>
                <w:rFonts w:hint="default" w:ascii="Times New Roman" w:hAnsi="Times New Roman" w:cs="Times New Roman"/>
                <w:color w:val="auto"/>
              </w:rPr>
            </w:pPr>
            <w:r>
              <w:rPr>
                <w:rFonts w:hint="default" w:ascii="Times New Roman" w:hAnsi="Times New Roman" w:cs="Times New Roman"/>
                <w:color w:val="auto"/>
              </w:rPr>
              <w:t>7、严格执行劳动防护用品发放、使用管理制度。</w:t>
            </w:r>
          </w:p>
        </w:tc>
      </w:tr>
      <w:tr w14:paraId="6BD5C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1" w:type="dxa"/>
            <w:noWrap w:val="0"/>
            <w:vAlign w:val="center"/>
          </w:tcPr>
          <w:p w14:paraId="235AFAF6">
            <w:pPr>
              <w:pStyle w:val="19"/>
              <w:rPr>
                <w:rFonts w:hint="default" w:ascii="Times New Roman" w:hAnsi="Times New Roman" w:cs="Times New Roman"/>
                <w:color w:val="auto"/>
              </w:rPr>
            </w:pPr>
            <w:r>
              <w:rPr>
                <w:rFonts w:hint="default" w:ascii="Times New Roman" w:hAnsi="Times New Roman" w:cs="Times New Roman"/>
                <w:color w:val="auto"/>
              </w:rPr>
              <w:t>高处</w:t>
            </w:r>
          </w:p>
          <w:p w14:paraId="5D92A680">
            <w:pPr>
              <w:pStyle w:val="19"/>
              <w:rPr>
                <w:rFonts w:hint="default" w:ascii="Times New Roman" w:hAnsi="Times New Roman" w:cs="Times New Roman"/>
                <w:color w:val="auto"/>
              </w:rPr>
            </w:pPr>
            <w:r>
              <w:rPr>
                <w:rFonts w:hint="default" w:ascii="Times New Roman" w:hAnsi="Times New Roman" w:cs="Times New Roman"/>
                <w:color w:val="auto"/>
              </w:rPr>
              <w:t>坠落</w:t>
            </w:r>
          </w:p>
        </w:tc>
        <w:tc>
          <w:tcPr>
            <w:tcW w:w="1217" w:type="dxa"/>
            <w:noWrap w:val="0"/>
            <w:vAlign w:val="center"/>
          </w:tcPr>
          <w:p w14:paraId="324B66A9">
            <w:pPr>
              <w:pStyle w:val="19"/>
              <w:rPr>
                <w:rFonts w:hint="default" w:ascii="Times New Roman" w:hAnsi="Times New Roman" w:cs="Times New Roman"/>
                <w:color w:val="auto"/>
              </w:rPr>
            </w:pPr>
            <w:r>
              <w:rPr>
                <w:rFonts w:hint="default" w:ascii="Times New Roman" w:hAnsi="Times New Roman" w:cs="Times New Roman"/>
                <w:color w:val="auto"/>
              </w:rPr>
              <w:t>人体失稳、防护栏杆失效</w:t>
            </w:r>
          </w:p>
        </w:tc>
        <w:tc>
          <w:tcPr>
            <w:tcW w:w="1917" w:type="dxa"/>
            <w:noWrap w:val="0"/>
            <w:vAlign w:val="center"/>
          </w:tcPr>
          <w:p w14:paraId="61653585">
            <w:pPr>
              <w:pStyle w:val="19"/>
              <w:jc w:val="both"/>
              <w:rPr>
                <w:rFonts w:hint="default" w:ascii="Times New Roman" w:hAnsi="Times New Roman" w:cs="Times New Roman"/>
                <w:color w:val="auto"/>
              </w:rPr>
            </w:pPr>
            <w:r>
              <w:rPr>
                <w:rFonts w:hint="default" w:ascii="Times New Roman" w:hAnsi="Times New Roman" w:cs="Times New Roman"/>
                <w:color w:val="auto"/>
              </w:rPr>
              <w:t>1、管理、防护不到位；</w:t>
            </w:r>
          </w:p>
          <w:p w14:paraId="34EA0310">
            <w:pPr>
              <w:pStyle w:val="19"/>
              <w:jc w:val="both"/>
              <w:rPr>
                <w:rFonts w:hint="default" w:ascii="Times New Roman" w:hAnsi="Times New Roman" w:cs="Times New Roman"/>
                <w:color w:val="auto"/>
              </w:rPr>
            </w:pPr>
            <w:r>
              <w:rPr>
                <w:rFonts w:hint="default" w:ascii="Times New Roman" w:hAnsi="Times New Roman" w:cs="Times New Roman"/>
                <w:color w:val="auto"/>
              </w:rPr>
              <w:t>2、操作地点不安全；</w:t>
            </w:r>
          </w:p>
          <w:p w14:paraId="6C678D5E">
            <w:pPr>
              <w:pStyle w:val="19"/>
              <w:jc w:val="both"/>
              <w:rPr>
                <w:rFonts w:hint="default" w:ascii="Times New Roman" w:hAnsi="Times New Roman" w:cs="Times New Roman"/>
                <w:color w:val="auto"/>
              </w:rPr>
            </w:pPr>
            <w:r>
              <w:rPr>
                <w:rFonts w:hint="default" w:ascii="Times New Roman" w:hAnsi="Times New Roman" w:cs="Times New Roman"/>
                <w:color w:val="auto"/>
              </w:rPr>
              <w:t>3、狂风和低温。</w:t>
            </w:r>
          </w:p>
        </w:tc>
        <w:tc>
          <w:tcPr>
            <w:tcW w:w="733" w:type="dxa"/>
            <w:noWrap w:val="0"/>
            <w:vAlign w:val="center"/>
          </w:tcPr>
          <w:p w14:paraId="47B2A741">
            <w:pPr>
              <w:pStyle w:val="19"/>
              <w:rPr>
                <w:rFonts w:hint="default" w:ascii="Times New Roman" w:hAnsi="Times New Roman" w:cs="Times New Roman"/>
                <w:color w:val="auto"/>
              </w:rPr>
            </w:pPr>
            <w:r>
              <w:rPr>
                <w:rFonts w:hint="default" w:ascii="Times New Roman" w:hAnsi="Times New Roman" w:cs="Times New Roman"/>
                <w:color w:val="auto"/>
              </w:rPr>
              <w:t>坠落摔倒</w:t>
            </w:r>
          </w:p>
        </w:tc>
        <w:tc>
          <w:tcPr>
            <w:tcW w:w="717" w:type="dxa"/>
            <w:noWrap w:val="0"/>
            <w:vAlign w:val="center"/>
          </w:tcPr>
          <w:p w14:paraId="21B9EDD3">
            <w:pPr>
              <w:pStyle w:val="19"/>
              <w:rPr>
                <w:rFonts w:hint="default" w:ascii="Times New Roman" w:hAnsi="Times New Roman" w:cs="Times New Roman"/>
                <w:color w:val="auto"/>
              </w:rPr>
            </w:pPr>
            <w:r>
              <w:rPr>
                <w:rFonts w:hint="default" w:ascii="Times New Roman" w:hAnsi="Times New Roman" w:cs="Times New Roman"/>
                <w:color w:val="auto"/>
              </w:rPr>
              <w:t>人员受伤或死亡</w:t>
            </w:r>
          </w:p>
        </w:tc>
        <w:tc>
          <w:tcPr>
            <w:tcW w:w="766" w:type="dxa"/>
            <w:noWrap w:val="0"/>
            <w:vAlign w:val="center"/>
          </w:tcPr>
          <w:p w14:paraId="07F11735">
            <w:pPr>
              <w:pStyle w:val="19"/>
              <w:rPr>
                <w:rFonts w:hint="default" w:ascii="Times New Roman" w:hAnsi="Times New Roman" w:cs="Times New Roman"/>
                <w:color w:val="auto"/>
                <w:lang w:val="sq-AL"/>
              </w:rPr>
            </w:pPr>
            <w:r>
              <w:rPr>
                <w:rFonts w:hint="default" w:ascii="Times New Roman" w:hAnsi="Times New Roman" w:cs="Times New Roman"/>
                <w:color w:val="auto"/>
              </w:rPr>
              <w:t>Ⅱ</w:t>
            </w:r>
          </w:p>
        </w:tc>
        <w:tc>
          <w:tcPr>
            <w:tcW w:w="984" w:type="dxa"/>
            <w:noWrap w:val="0"/>
            <w:vAlign w:val="center"/>
          </w:tcPr>
          <w:p w14:paraId="54152C49">
            <w:pPr>
              <w:pStyle w:val="19"/>
              <w:rPr>
                <w:rFonts w:hint="default" w:ascii="Times New Roman" w:hAnsi="Times New Roman" w:cs="Times New Roman"/>
                <w:color w:val="auto"/>
              </w:rPr>
            </w:pPr>
            <w:r>
              <w:rPr>
                <w:rFonts w:hint="default" w:ascii="Times New Roman" w:hAnsi="Times New Roman" w:cs="Times New Roman"/>
                <w:color w:val="auto"/>
              </w:rPr>
              <w:t>B</w:t>
            </w:r>
          </w:p>
        </w:tc>
        <w:tc>
          <w:tcPr>
            <w:tcW w:w="2336" w:type="dxa"/>
            <w:noWrap w:val="0"/>
            <w:vAlign w:val="center"/>
          </w:tcPr>
          <w:p w14:paraId="0906E735">
            <w:pPr>
              <w:pStyle w:val="19"/>
              <w:jc w:val="both"/>
              <w:rPr>
                <w:rFonts w:hint="default" w:ascii="Times New Roman" w:hAnsi="Times New Roman" w:cs="Times New Roman"/>
                <w:color w:val="auto"/>
              </w:rPr>
            </w:pPr>
            <w:r>
              <w:rPr>
                <w:rFonts w:hint="default" w:ascii="Times New Roman" w:hAnsi="Times New Roman" w:cs="Times New Roman"/>
                <w:color w:val="auto"/>
              </w:rPr>
              <w:t>1、增强安全意识，加强个体防护；</w:t>
            </w:r>
          </w:p>
          <w:p w14:paraId="01A0DAFA">
            <w:pPr>
              <w:pStyle w:val="19"/>
              <w:jc w:val="both"/>
              <w:rPr>
                <w:rFonts w:hint="default" w:ascii="Times New Roman" w:hAnsi="Times New Roman" w:cs="Times New Roman"/>
                <w:color w:val="auto"/>
              </w:rPr>
            </w:pPr>
            <w:r>
              <w:rPr>
                <w:rFonts w:hint="default" w:ascii="Times New Roman" w:hAnsi="Times New Roman" w:cs="Times New Roman"/>
                <w:color w:val="auto"/>
              </w:rPr>
              <w:t>2、检查作业场所的管理和防护措施；</w:t>
            </w:r>
          </w:p>
          <w:p w14:paraId="69B97CEC">
            <w:pPr>
              <w:pStyle w:val="19"/>
              <w:jc w:val="both"/>
              <w:rPr>
                <w:rFonts w:hint="default" w:ascii="Times New Roman" w:hAnsi="Times New Roman" w:cs="Times New Roman"/>
                <w:color w:val="auto"/>
              </w:rPr>
            </w:pPr>
            <w:r>
              <w:rPr>
                <w:rFonts w:hint="default" w:ascii="Times New Roman" w:hAnsi="Times New Roman" w:cs="Times New Roman"/>
                <w:color w:val="auto"/>
              </w:rPr>
              <w:t>3、设置警示标志，遵守操作规程；</w:t>
            </w:r>
          </w:p>
          <w:p w14:paraId="2FFD4402">
            <w:pPr>
              <w:pStyle w:val="19"/>
              <w:jc w:val="both"/>
              <w:rPr>
                <w:rFonts w:hint="default" w:ascii="Times New Roman" w:hAnsi="Times New Roman" w:cs="Times New Roman"/>
                <w:color w:val="auto"/>
              </w:rPr>
            </w:pPr>
            <w:r>
              <w:rPr>
                <w:rFonts w:hint="default" w:ascii="Times New Roman" w:hAnsi="Times New Roman" w:cs="Times New Roman"/>
                <w:color w:val="auto"/>
              </w:rPr>
              <w:t>4、梯子、平台和易滑倒操作通道地面应有防滑措施；</w:t>
            </w:r>
          </w:p>
          <w:p w14:paraId="352BDBB5">
            <w:pPr>
              <w:pStyle w:val="19"/>
              <w:jc w:val="both"/>
              <w:rPr>
                <w:rFonts w:hint="default" w:ascii="Times New Roman" w:hAnsi="Times New Roman" w:cs="Times New Roman"/>
                <w:color w:val="auto"/>
              </w:rPr>
            </w:pPr>
            <w:r>
              <w:rPr>
                <w:rFonts w:hint="default" w:ascii="Times New Roman" w:hAnsi="Times New Roman" w:cs="Times New Roman"/>
                <w:color w:val="auto"/>
              </w:rPr>
              <w:t>5、采取防风和保温措施。</w:t>
            </w:r>
          </w:p>
        </w:tc>
      </w:tr>
      <w:tr w14:paraId="248CB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1" w:type="dxa"/>
            <w:noWrap w:val="0"/>
            <w:vAlign w:val="center"/>
          </w:tcPr>
          <w:p w14:paraId="1355D59F">
            <w:pPr>
              <w:pStyle w:val="19"/>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车辆伤害</w:t>
            </w:r>
          </w:p>
        </w:tc>
        <w:tc>
          <w:tcPr>
            <w:tcW w:w="1217" w:type="dxa"/>
            <w:noWrap w:val="0"/>
            <w:vAlign w:val="center"/>
          </w:tcPr>
          <w:p w14:paraId="058D0294">
            <w:pPr>
              <w:pStyle w:val="19"/>
              <w:ind w:firstLine="0" w:firstLineChars="0"/>
              <w:jc w:val="both"/>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kern w:val="2"/>
                <w:sz w:val="21"/>
                <w:szCs w:val="24"/>
                <w:lang w:val="en-US" w:eastAsia="zh-CN" w:bidi="ar-SA"/>
              </w:rPr>
              <w:t>清矿</w:t>
            </w:r>
            <w:r>
              <w:rPr>
                <w:rFonts w:hint="eastAsia" w:ascii="Times New Roman" w:hAnsi="Times New Roman" w:eastAsia="宋体" w:cs="Times New Roman"/>
                <w:color w:val="auto"/>
                <w:kern w:val="2"/>
                <w:sz w:val="21"/>
                <w:szCs w:val="24"/>
                <w:lang w:val="en-US" w:eastAsia="zh-CN" w:bidi="ar-SA"/>
              </w:rPr>
              <w:t>、</w:t>
            </w:r>
            <w:r>
              <w:rPr>
                <w:rFonts w:hint="default" w:ascii="Times New Roman" w:hAnsi="Times New Roman" w:eastAsia="宋体" w:cs="Times New Roman"/>
                <w:color w:val="auto"/>
                <w:kern w:val="2"/>
                <w:sz w:val="21"/>
                <w:szCs w:val="24"/>
                <w:lang w:val="en-US" w:eastAsia="zh-CN" w:bidi="ar-SA"/>
              </w:rPr>
              <w:t>倒矿</w:t>
            </w:r>
          </w:p>
        </w:tc>
        <w:tc>
          <w:tcPr>
            <w:tcW w:w="1917" w:type="dxa"/>
            <w:noWrap w:val="0"/>
            <w:vAlign w:val="center"/>
          </w:tcPr>
          <w:p w14:paraId="29527B4F">
            <w:pPr>
              <w:pStyle w:val="19"/>
              <w:ind w:firstLine="0" w:firstLineChars="0"/>
              <w:jc w:val="both"/>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kern w:val="2"/>
                <w:sz w:val="21"/>
                <w:szCs w:val="24"/>
                <w:lang w:val="en-US" w:eastAsia="zh-CN" w:bidi="ar-SA"/>
              </w:rPr>
              <w:t>员工清矿</w:t>
            </w:r>
            <w:r>
              <w:rPr>
                <w:rFonts w:hint="eastAsia" w:ascii="Times New Roman" w:hAnsi="Times New Roman" w:eastAsia="宋体" w:cs="Times New Roman"/>
                <w:color w:val="auto"/>
                <w:kern w:val="2"/>
                <w:sz w:val="21"/>
                <w:szCs w:val="24"/>
                <w:lang w:val="en-US" w:eastAsia="zh-CN" w:bidi="ar-SA"/>
              </w:rPr>
              <w:t>、</w:t>
            </w:r>
            <w:r>
              <w:rPr>
                <w:rFonts w:hint="default" w:ascii="Times New Roman" w:hAnsi="Times New Roman" w:eastAsia="宋体" w:cs="Times New Roman"/>
                <w:color w:val="auto"/>
                <w:kern w:val="2"/>
                <w:sz w:val="21"/>
                <w:szCs w:val="24"/>
                <w:lang w:val="en-US" w:eastAsia="zh-CN" w:bidi="ar-SA"/>
              </w:rPr>
              <w:t>矿车在倒矿过程中现场无人监护，造成车辆伤害。</w:t>
            </w:r>
          </w:p>
        </w:tc>
        <w:tc>
          <w:tcPr>
            <w:tcW w:w="733" w:type="dxa"/>
            <w:noWrap w:val="0"/>
            <w:vAlign w:val="center"/>
          </w:tcPr>
          <w:p w14:paraId="347AE657">
            <w:pPr>
              <w:pStyle w:val="19"/>
              <w:ind w:firstLine="0" w:firstLineChars="0"/>
              <w:jc w:val="both"/>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撞击</w:t>
            </w:r>
          </w:p>
          <w:p w14:paraId="6DCEE492">
            <w:pPr>
              <w:pStyle w:val="19"/>
              <w:ind w:firstLine="0" w:firstLineChars="0"/>
              <w:jc w:val="both"/>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跌倒</w:t>
            </w:r>
          </w:p>
        </w:tc>
        <w:tc>
          <w:tcPr>
            <w:tcW w:w="717" w:type="dxa"/>
            <w:noWrap w:val="0"/>
            <w:vAlign w:val="center"/>
          </w:tcPr>
          <w:p w14:paraId="614F5041">
            <w:pPr>
              <w:pStyle w:val="19"/>
              <w:ind w:firstLine="0" w:firstLineChars="0"/>
              <w:jc w:val="both"/>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kern w:val="2"/>
                <w:sz w:val="21"/>
                <w:szCs w:val="24"/>
                <w:lang w:val="en-US" w:eastAsia="zh-CN" w:bidi="ar-SA"/>
              </w:rPr>
              <w:t>人员受伤或死亡</w:t>
            </w:r>
          </w:p>
        </w:tc>
        <w:tc>
          <w:tcPr>
            <w:tcW w:w="766" w:type="dxa"/>
            <w:noWrap w:val="0"/>
            <w:vAlign w:val="center"/>
          </w:tcPr>
          <w:p w14:paraId="3C42C7D3">
            <w:pPr>
              <w:pStyle w:val="19"/>
              <w:ind w:firstLine="0" w:firstLineChars="0"/>
              <w:rPr>
                <w:rFonts w:hint="default" w:ascii="Times New Roman" w:hAnsi="Times New Roman" w:cs="Times New Roman"/>
                <w:color w:val="auto"/>
              </w:rPr>
            </w:pPr>
            <w:r>
              <w:rPr>
                <w:rFonts w:hint="default" w:ascii="Times New Roman" w:hAnsi="Times New Roman" w:cs="Times New Roman"/>
                <w:color w:val="auto"/>
              </w:rPr>
              <w:t>Ⅱ</w:t>
            </w:r>
          </w:p>
        </w:tc>
        <w:tc>
          <w:tcPr>
            <w:tcW w:w="984" w:type="dxa"/>
            <w:noWrap w:val="0"/>
            <w:vAlign w:val="center"/>
          </w:tcPr>
          <w:p w14:paraId="33F0060E">
            <w:pPr>
              <w:pStyle w:val="19"/>
              <w:ind w:firstLine="0" w:firstLineChars="0"/>
              <w:rPr>
                <w:rFonts w:hint="default" w:ascii="Times New Roman" w:hAnsi="Times New Roman" w:cs="Times New Roman"/>
                <w:color w:val="auto"/>
              </w:rPr>
            </w:pPr>
            <w:r>
              <w:rPr>
                <w:rFonts w:hint="default" w:ascii="Times New Roman" w:hAnsi="Times New Roman" w:cs="Times New Roman"/>
                <w:color w:val="auto"/>
              </w:rPr>
              <w:t>B</w:t>
            </w:r>
          </w:p>
        </w:tc>
        <w:tc>
          <w:tcPr>
            <w:tcW w:w="2336" w:type="dxa"/>
            <w:noWrap w:val="0"/>
            <w:vAlign w:val="center"/>
          </w:tcPr>
          <w:p w14:paraId="038C8F49">
            <w:pPr>
              <w:pStyle w:val="19"/>
              <w:numPr>
                <w:ilvl w:val="0"/>
                <w:numId w:val="1"/>
              </w:numPr>
              <w:jc w:val="both"/>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kern w:val="2"/>
                <w:sz w:val="21"/>
                <w:szCs w:val="24"/>
                <w:lang w:val="en-US" w:eastAsia="zh-CN" w:bidi="ar-SA"/>
              </w:rPr>
              <w:t>员工清矿</w:t>
            </w:r>
            <w:r>
              <w:rPr>
                <w:rFonts w:hint="eastAsia" w:ascii="Times New Roman" w:hAnsi="Times New Roman" w:eastAsia="宋体" w:cs="Times New Roman"/>
                <w:color w:val="auto"/>
                <w:kern w:val="2"/>
                <w:sz w:val="21"/>
                <w:szCs w:val="24"/>
                <w:lang w:val="en-US" w:eastAsia="zh-CN" w:bidi="ar-SA"/>
              </w:rPr>
              <w:t>、</w:t>
            </w:r>
            <w:r>
              <w:rPr>
                <w:rFonts w:hint="default" w:ascii="Times New Roman" w:hAnsi="Times New Roman" w:eastAsia="宋体" w:cs="Times New Roman"/>
                <w:color w:val="auto"/>
                <w:kern w:val="2"/>
                <w:sz w:val="21"/>
                <w:szCs w:val="24"/>
                <w:lang w:val="en-US" w:eastAsia="zh-CN" w:bidi="ar-SA"/>
              </w:rPr>
              <w:t>矿车在倒矿过程中现场</w:t>
            </w:r>
            <w:r>
              <w:rPr>
                <w:rFonts w:hint="eastAsia" w:ascii="Times New Roman" w:hAnsi="Times New Roman" w:eastAsia="宋体" w:cs="Times New Roman"/>
                <w:color w:val="auto"/>
                <w:kern w:val="2"/>
                <w:sz w:val="21"/>
                <w:szCs w:val="24"/>
                <w:lang w:val="en-US" w:eastAsia="zh-CN" w:bidi="ar-SA"/>
              </w:rPr>
              <w:t>需有</w:t>
            </w:r>
            <w:r>
              <w:rPr>
                <w:rFonts w:hint="default" w:ascii="Times New Roman" w:hAnsi="Times New Roman" w:eastAsia="宋体" w:cs="Times New Roman"/>
                <w:color w:val="auto"/>
                <w:kern w:val="2"/>
                <w:sz w:val="21"/>
                <w:szCs w:val="24"/>
                <w:lang w:val="en-US" w:eastAsia="zh-CN" w:bidi="ar-SA"/>
              </w:rPr>
              <w:t>人监护。</w:t>
            </w:r>
          </w:p>
          <w:p w14:paraId="634224A8">
            <w:pPr>
              <w:pStyle w:val="19"/>
              <w:numPr>
                <w:ilvl w:val="0"/>
                <w:numId w:val="1"/>
              </w:numPr>
              <w:jc w:val="both"/>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做好车辆的管理工作。</w:t>
            </w:r>
          </w:p>
        </w:tc>
      </w:tr>
      <w:tr w14:paraId="750D6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1" w:type="dxa"/>
            <w:noWrap w:val="0"/>
            <w:vAlign w:val="center"/>
          </w:tcPr>
          <w:p w14:paraId="485F1869">
            <w:pPr>
              <w:pStyle w:val="19"/>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物体打击</w:t>
            </w:r>
          </w:p>
        </w:tc>
        <w:tc>
          <w:tcPr>
            <w:tcW w:w="1217" w:type="dxa"/>
            <w:noWrap w:val="0"/>
            <w:vAlign w:val="center"/>
          </w:tcPr>
          <w:p w14:paraId="535D852B">
            <w:pPr>
              <w:pStyle w:val="19"/>
              <w:ind w:firstLine="0" w:firstLineChars="0"/>
              <w:jc w:val="both"/>
              <w:rPr>
                <w:rFonts w:hint="default" w:ascii="Times New Roman" w:hAnsi="Times New Roman" w:cs="Times New Roman"/>
                <w:color w:val="auto"/>
              </w:rPr>
            </w:pPr>
            <w:r>
              <w:rPr>
                <w:rFonts w:hint="eastAsia" w:ascii="Times New Roman" w:hAnsi="Times New Roman" w:eastAsia="宋体" w:cs="Times New Roman"/>
                <w:color w:val="auto"/>
                <w:kern w:val="2"/>
                <w:sz w:val="21"/>
                <w:szCs w:val="24"/>
                <w:lang w:val="en-US" w:eastAsia="zh-CN" w:bidi="ar-SA"/>
              </w:rPr>
              <w:t>高处作业检维修物料、工具坠落打击人体</w:t>
            </w:r>
          </w:p>
        </w:tc>
        <w:tc>
          <w:tcPr>
            <w:tcW w:w="1917" w:type="dxa"/>
            <w:noWrap w:val="0"/>
            <w:vAlign w:val="center"/>
          </w:tcPr>
          <w:p w14:paraId="338BBE69">
            <w:pPr>
              <w:pStyle w:val="19"/>
              <w:jc w:val="both"/>
              <w:rPr>
                <w:rFonts w:hint="default"/>
                <w:color w:val="auto"/>
              </w:rPr>
            </w:pPr>
            <w:r>
              <w:rPr>
                <w:rFonts w:hint="default"/>
                <w:color w:val="auto"/>
              </w:rPr>
              <w:t>1、</w:t>
            </w:r>
            <w:r>
              <w:rPr>
                <w:rFonts w:hint="eastAsia"/>
                <w:color w:val="auto"/>
                <w:lang w:eastAsia="zh-CN"/>
              </w:rPr>
              <w:t>高处作业</w:t>
            </w:r>
            <w:r>
              <w:rPr>
                <w:rFonts w:hint="default"/>
                <w:color w:val="auto"/>
              </w:rPr>
              <w:t>，人员作业疏忽；</w:t>
            </w:r>
          </w:p>
          <w:p w14:paraId="178E4A5A">
            <w:pPr>
              <w:pStyle w:val="19"/>
              <w:jc w:val="both"/>
              <w:rPr>
                <w:rFonts w:hint="default"/>
                <w:color w:val="auto"/>
              </w:rPr>
            </w:pPr>
            <w:r>
              <w:rPr>
                <w:rFonts w:hint="default"/>
                <w:color w:val="auto"/>
              </w:rPr>
              <w:t>2、无安全警示标志</w:t>
            </w:r>
            <w:r>
              <w:rPr>
                <w:rFonts w:hint="eastAsia"/>
                <w:color w:val="auto"/>
                <w:lang w:eastAsia="zh-CN"/>
              </w:rPr>
              <w:t>及安全隔离装置</w:t>
            </w:r>
            <w:r>
              <w:rPr>
                <w:rFonts w:hint="default"/>
                <w:color w:val="auto"/>
              </w:rPr>
              <w:t>。</w:t>
            </w:r>
          </w:p>
          <w:p w14:paraId="6FD654BC">
            <w:pPr>
              <w:pStyle w:val="19"/>
              <w:ind w:firstLine="0" w:firstLineChars="0"/>
              <w:jc w:val="both"/>
              <w:rPr>
                <w:rFonts w:hint="default" w:ascii="Times New Roman" w:hAnsi="Times New Roman" w:cs="Times New Roman"/>
                <w:color w:val="auto"/>
              </w:rPr>
            </w:pPr>
            <w:r>
              <w:rPr>
                <w:rFonts w:hint="default"/>
                <w:color w:val="auto"/>
              </w:rPr>
              <w:t>3、</w:t>
            </w:r>
            <w:r>
              <w:rPr>
                <w:rFonts w:hint="eastAsia"/>
                <w:color w:val="auto"/>
                <w:lang w:eastAsia="zh-CN"/>
              </w:rPr>
              <w:t>高</w:t>
            </w:r>
            <w:r>
              <w:rPr>
                <w:rFonts w:hint="default"/>
                <w:color w:val="auto"/>
              </w:rPr>
              <w:t>临边未设置安全设施。</w:t>
            </w:r>
          </w:p>
        </w:tc>
        <w:tc>
          <w:tcPr>
            <w:tcW w:w="733" w:type="dxa"/>
            <w:noWrap w:val="0"/>
            <w:vAlign w:val="center"/>
          </w:tcPr>
          <w:p w14:paraId="747D81CF">
            <w:pPr>
              <w:pStyle w:val="19"/>
              <w:ind w:firstLine="0" w:firstLineChars="0"/>
              <w:rPr>
                <w:rFonts w:hint="default" w:ascii="Times New Roman" w:hAnsi="Times New Roman" w:cs="Times New Roman"/>
                <w:color w:val="auto"/>
              </w:rPr>
            </w:pPr>
            <w:r>
              <w:rPr>
                <w:rFonts w:hint="eastAsia" w:ascii="Times New Roman" w:hAnsi="Times New Roman" w:eastAsia="宋体" w:cs="Times New Roman"/>
                <w:color w:val="auto"/>
                <w:kern w:val="2"/>
                <w:sz w:val="21"/>
                <w:szCs w:val="24"/>
                <w:lang w:val="en-US" w:eastAsia="zh-CN" w:bidi="ar-SA"/>
              </w:rPr>
              <w:t>高速物体打击人体</w:t>
            </w:r>
          </w:p>
        </w:tc>
        <w:tc>
          <w:tcPr>
            <w:tcW w:w="717" w:type="dxa"/>
            <w:noWrap w:val="0"/>
            <w:vAlign w:val="center"/>
          </w:tcPr>
          <w:p w14:paraId="20176E8B">
            <w:pPr>
              <w:pStyle w:val="19"/>
              <w:ind w:firstLine="0" w:firstLineChars="0"/>
              <w:rPr>
                <w:rFonts w:hint="default" w:ascii="Times New Roman" w:hAnsi="Times New Roman" w:cs="Times New Roman"/>
                <w:color w:val="auto"/>
              </w:rPr>
            </w:pPr>
            <w:r>
              <w:rPr>
                <w:rFonts w:hint="default"/>
                <w:color w:val="auto"/>
              </w:rPr>
              <w:t>人员伤亡</w:t>
            </w:r>
          </w:p>
        </w:tc>
        <w:tc>
          <w:tcPr>
            <w:tcW w:w="766" w:type="dxa"/>
            <w:noWrap w:val="0"/>
            <w:vAlign w:val="center"/>
          </w:tcPr>
          <w:p w14:paraId="6BE68904">
            <w:pPr>
              <w:pStyle w:val="19"/>
              <w:ind w:firstLine="0" w:firstLineChars="0"/>
              <w:rPr>
                <w:rFonts w:hint="default" w:ascii="Times New Roman" w:hAnsi="Times New Roman" w:cs="Times New Roman"/>
                <w:color w:val="auto"/>
              </w:rPr>
            </w:pPr>
            <w:r>
              <w:rPr>
                <w:rFonts w:hint="default"/>
                <w:color w:val="auto"/>
              </w:rPr>
              <w:t>Ⅱ</w:t>
            </w:r>
          </w:p>
        </w:tc>
        <w:tc>
          <w:tcPr>
            <w:tcW w:w="984" w:type="dxa"/>
            <w:noWrap w:val="0"/>
            <w:vAlign w:val="center"/>
          </w:tcPr>
          <w:p w14:paraId="06E47A0E">
            <w:pPr>
              <w:pStyle w:val="19"/>
              <w:ind w:firstLine="0" w:firstLineChars="0"/>
              <w:rPr>
                <w:rFonts w:hint="default" w:ascii="Times New Roman" w:hAnsi="Times New Roman" w:cs="Times New Roman"/>
                <w:color w:val="auto"/>
              </w:rPr>
            </w:pPr>
            <w:r>
              <w:rPr>
                <w:rFonts w:hint="default"/>
                <w:color w:val="auto"/>
              </w:rPr>
              <w:t>C</w:t>
            </w:r>
          </w:p>
        </w:tc>
        <w:tc>
          <w:tcPr>
            <w:tcW w:w="2336" w:type="dxa"/>
            <w:noWrap w:val="0"/>
            <w:vAlign w:val="center"/>
          </w:tcPr>
          <w:p w14:paraId="4F66B9CF">
            <w:pPr>
              <w:pStyle w:val="19"/>
              <w:jc w:val="both"/>
              <w:rPr>
                <w:rFonts w:hint="default"/>
                <w:color w:val="auto"/>
              </w:rPr>
            </w:pPr>
            <w:r>
              <w:rPr>
                <w:rFonts w:hint="default"/>
                <w:color w:val="auto"/>
              </w:rPr>
              <w:t>1、</w:t>
            </w:r>
            <w:r>
              <w:rPr>
                <w:rFonts w:hint="eastAsia"/>
                <w:color w:val="auto"/>
                <w:lang w:eastAsia="zh-CN"/>
              </w:rPr>
              <w:t>高平台</w:t>
            </w:r>
            <w:r>
              <w:rPr>
                <w:rFonts w:hint="default"/>
                <w:color w:val="auto"/>
              </w:rPr>
              <w:t>过程中，作业人员要专心作业；</w:t>
            </w:r>
          </w:p>
          <w:p w14:paraId="40755B5D">
            <w:pPr>
              <w:pStyle w:val="19"/>
              <w:jc w:val="both"/>
              <w:rPr>
                <w:rFonts w:hint="default"/>
                <w:color w:val="auto"/>
              </w:rPr>
            </w:pPr>
            <w:r>
              <w:rPr>
                <w:rFonts w:hint="default"/>
                <w:color w:val="auto"/>
              </w:rPr>
              <w:t>2、</w:t>
            </w:r>
            <w:r>
              <w:rPr>
                <w:rFonts w:hint="eastAsia"/>
                <w:color w:val="auto"/>
                <w:lang w:eastAsia="zh-CN"/>
              </w:rPr>
              <w:t>高处作业下</w:t>
            </w:r>
            <w:r>
              <w:rPr>
                <w:rFonts w:hint="default"/>
                <w:color w:val="auto"/>
              </w:rPr>
              <w:t>部设置明显安全警示标志</w:t>
            </w:r>
            <w:r>
              <w:rPr>
                <w:rFonts w:hint="eastAsia"/>
                <w:color w:val="auto"/>
                <w:lang w:eastAsia="zh-CN"/>
              </w:rPr>
              <w:t>及隔离装置</w:t>
            </w:r>
            <w:r>
              <w:rPr>
                <w:rFonts w:hint="default"/>
                <w:color w:val="auto"/>
              </w:rPr>
              <w:t>；</w:t>
            </w:r>
          </w:p>
          <w:p w14:paraId="0CB9BA41">
            <w:pPr>
              <w:pStyle w:val="19"/>
              <w:ind w:firstLine="0" w:firstLineChars="0"/>
              <w:jc w:val="both"/>
              <w:rPr>
                <w:rFonts w:hint="default" w:ascii="Times New Roman" w:hAnsi="Times New Roman" w:cs="Times New Roman"/>
                <w:color w:val="auto"/>
              </w:rPr>
            </w:pPr>
            <w:r>
              <w:rPr>
                <w:rFonts w:hint="default"/>
                <w:color w:val="auto"/>
              </w:rPr>
              <w:t>3、</w:t>
            </w:r>
            <w:r>
              <w:rPr>
                <w:rFonts w:hint="eastAsia"/>
                <w:color w:val="auto"/>
                <w:lang w:eastAsia="zh-CN"/>
              </w:rPr>
              <w:t>高临边处设置踢脚板或其他安全设施</w:t>
            </w:r>
            <w:r>
              <w:rPr>
                <w:rFonts w:hint="default"/>
                <w:color w:val="auto"/>
              </w:rPr>
              <w:t>。</w:t>
            </w:r>
          </w:p>
        </w:tc>
      </w:tr>
    </w:tbl>
    <w:p w14:paraId="2F2CA296">
      <w:pPr>
        <w:bidi w:val="0"/>
        <w:rPr>
          <w:rFonts w:hint="eastAsia"/>
          <w:color w:val="auto"/>
        </w:rPr>
      </w:pPr>
      <w:r>
        <w:rPr>
          <w:rFonts w:hint="eastAsia"/>
          <w:color w:val="auto"/>
        </w:rPr>
        <w:t>通过PHA分析，本单元无重大危险有害因素，但对存在的危险有害因素仍须引起重视和采取措施加以防范。</w:t>
      </w:r>
    </w:p>
    <w:p w14:paraId="79176A53">
      <w:pPr>
        <w:bidi w:val="0"/>
        <w:rPr>
          <w:rFonts w:hint="eastAsia"/>
          <w:color w:val="auto"/>
        </w:rPr>
      </w:pPr>
      <w:r>
        <w:rPr>
          <w:rFonts w:hint="eastAsia"/>
          <w:color w:val="auto"/>
        </w:rPr>
        <w:t>本单元预先危险性等级系数按下式确定：</w:t>
      </w:r>
    </w:p>
    <w:p w14:paraId="66A79A4B">
      <w:pPr>
        <w:bidi w:val="0"/>
        <w:rPr>
          <w:rFonts w:hint="eastAsia"/>
          <w:color w:val="auto"/>
        </w:rPr>
      </w:pPr>
      <w:r>
        <w:rPr>
          <w:rFonts w:hint="eastAsia"/>
          <w:color w:val="auto"/>
        </w:rPr>
        <w:t>W=∑（P×K）/∑K</w:t>
      </w:r>
    </w:p>
    <w:p w14:paraId="3202CDD9">
      <w:pPr>
        <w:bidi w:val="0"/>
        <w:rPr>
          <w:rFonts w:hint="eastAsia"/>
          <w:color w:val="auto"/>
        </w:rPr>
      </w:pPr>
      <w:r>
        <w:rPr>
          <w:rFonts w:hint="eastAsia"/>
          <w:color w:val="auto"/>
        </w:rPr>
        <w:t>式中：W—系统（单元）预先危险性等级系数；</w:t>
      </w:r>
    </w:p>
    <w:p w14:paraId="41E47B2F">
      <w:pPr>
        <w:bidi w:val="0"/>
        <w:rPr>
          <w:rFonts w:hint="eastAsia"/>
          <w:color w:val="auto"/>
        </w:rPr>
      </w:pPr>
      <w:r>
        <w:rPr>
          <w:rFonts w:hint="eastAsia"/>
          <w:color w:val="auto"/>
        </w:rPr>
        <w:t>P—分析项目的危险性等级系数；</w:t>
      </w:r>
    </w:p>
    <w:p w14:paraId="1AF9AB7E">
      <w:pPr>
        <w:bidi w:val="0"/>
        <w:rPr>
          <w:rFonts w:hint="eastAsia"/>
          <w:color w:val="auto"/>
        </w:rPr>
      </w:pPr>
      <w:r>
        <w:rPr>
          <w:rFonts w:hint="eastAsia"/>
          <w:color w:val="auto"/>
        </w:rPr>
        <w:t>K—分析项目发生事故的概率系数。</w:t>
      </w:r>
    </w:p>
    <w:p w14:paraId="09ED4287">
      <w:pPr>
        <w:bidi w:val="0"/>
        <w:rPr>
          <w:rFonts w:hint="eastAsia"/>
          <w:color w:val="auto"/>
        </w:rPr>
      </w:pPr>
      <w:r>
        <w:rPr>
          <w:rFonts w:hint="eastAsia"/>
          <w:color w:val="auto"/>
        </w:rPr>
        <w:t>W=（2×0.10+4×0.20+4×0.30+4×0.10+2×0.10+2×0.10+2×0.20）/（0.10+0.20+0.30+0.10+0.10+0.10+0.20）=3.09</w:t>
      </w:r>
    </w:p>
    <w:p w14:paraId="6A2A41F1">
      <w:pPr>
        <w:bidi w:val="0"/>
        <w:rPr>
          <w:rFonts w:hint="eastAsia"/>
          <w:color w:val="auto"/>
        </w:rPr>
      </w:pPr>
      <w:r>
        <w:rPr>
          <w:rFonts w:hint="eastAsia"/>
          <w:color w:val="auto"/>
        </w:rPr>
        <w:t>预先危险性分析结论：本单元预先危险性等级系数为Ⅲ级，系统危险程度为很危险。</w:t>
      </w:r>
    </w:p>
    <w:p w14:paraId="5E13784E">
      <w:pPr>
        <w:pStyle w:val="5"/>
        <w:bidi w:val="0"/>
        <w:rPr>
          <w:rFonts w:hint="eastAsia"/>
          <w:color w:val="auto"/>
        </w:rPr>
      </w:pPr>
      <w:r>
        <w:rPr>
          <w:rFonts w:hint="eastAsia"/>
          <w:color w:val="auto"/>
        </w:rPr>
        <w:t>5.2.3.3 评价子单元小结</w:t>
      </w:r>
    </w:p>
    <w:p w14:paraId="196890AB">
      <w:pPr>
        <w:bidi w:val="0"/>
        <w:rPr>
          <w:rFonts w:hint="eastAsia"/>
          <w:color w:val="auto"/>
        </w:rPr>
      </w:pPr>
      <w:r>
        <w:rPr>
          <w:rFonts w:hint="eastAsia"/>
          <w:color w:val="auto"/>
        </w:rPr>
        <w:t>通过定性分析，本单元机械设备较多，电路复杂，若防护装置不全，易造成机械伤害及触电事故，故需做好机械设备及电路的维修保养工作，避免人员伤害事故的发生。</w:t>
      </w:r>
    </w:p>
    <w:p w14:paraId="541858D7">
      <w:pPr>
        <w:pStyle w:val="4"/>
        <w:bidi w:val="0"/>
        <w:rPr>
          <w:rFonts w:hint="default"/>
          <w:color w:val="auto"/>
          <w:lang w:val="en-US" w:eastAsia="zh-CN"/>
        </w:rPr>
      </w:pPr>
      <w:bookmarkStart w:id="191" w:name="_Toc14403"/>
      <w:r>
        <w:rPr>
          <w:rFonts w:hint="eastAsia"/>
          <w:color w:val="auto"/>
          <w:lang w:val="en-US" w:eastAsia="zh-CN"/>
        </w:rPr>
        <w:t>5.2.4 重选系统评价子单元</w:t>
      </w:r>
      <w:bookmarkEnd w:id="191"/>
    </w:p>
    <w:p w14:paraId="79235B40">
      <w:pPr>
        <w:pStyle w:val="5"/>
        <w:bidi w:val="0"/>
        <w:rPr>
          <w:rFonts w:hint="eastAsia"/>
          <w:color w:val="auto"/>
        </w:rPr>
      </w:pPr>
      <w:r>
        <w:rPr>
          <w:rFonts w:hint="eastAsia"/>
          <w:color w:val="auto"/>
        </w:rPr>
        <w:t>5.2.</w:t>
      </w:r>
      <w:r>
        <w:rPr>
          <w:rFonts w:hint="eastAsia"/>
          <w:color w:val="auto"/>
          <w:lang w:val="en-US" w:eastAsia="zh-CN"/>
        </w:rPr>
        <w:t>4</w:t>
      </w:r>
      <w:r>
        <w:rPr>
          <w:rFonts w:hint="eastAsia"/>
          <w:color w:val="auto"/>
        </w:rPr>
        <w:t>.1 危险有害因素概述</w:t>
      </w:r>
    </w:p>
    <w:p w14:paraId="6657905F">
      <w:pPr>
        <w:bidi w:val="0"/>
        <w:rPr>
          <w:rFonts w:hint="eastAsia"/>
          <w:color w:val="auto"/>
        </w:rPr>
      </w:pPr>
      <w:r>
        <w:rPr>
          <w:rFonts w:hint="eastAsia"/>
          <w:color w:val="auto"/>
        </w:rPr>
        <w:t>本单元可能发生的安全生产事故类型有：机械伤害、物体打击、触电以及其他伤害等。</w:t>
      </w:r>
    </w:p>
    <w:p w14:paraId="7B6F457C">
      <w:pPr>
        <w:bidi w:val="0"/>
        <w:rPr>
          <w:rFonts w:hint="eastAsia"/>
          <w:color w:val="auto"/>
        </w:rPr>
      </w:pPr>
      <w:r>
        <w:rPr>
          <w:rFonts w:hint="eastAsia"/>
          <w:color w:val="auto"/>
        </w:rPr>
        <w:t>机械伤害：</w:t>
      </w:r>
      <w:r>
        <w:rPr>
          <w:rFonts w:hint="eastAsia"/>
          <w:color w:val="auto"/>
          <w:lang w:val="en-US" w:eastAsia="zh-CN"/>
        </w:rPr>
        <w:t>摇床、螺旋溜槽等</w:t>
      </w:r>
      <w:r>
        <w:rPr>
          <w:rFonts w:hint="eastAsia"/>
          <w:color w:val="auto"/>
        </w:rPr>
        <w:t>设备可能因为机械设备零、部件作旋转运动、直线运动等造成机械伤害。</w:t>
      </w:r>
    </w:p>
    <w:p w14:paraId="551B94FD">
      <w:pPr>
        <w:bidi w:val="0"/>
        <w:rPr>
          <w:rFonts w:hint="eastAsia"/>
          <w:color w:val="auto"/>
        </w:rPr>
      </w:pPr>
      <w:r>
        <w:rPr>
          <w:rFonts w:hint="eastAsia"/>
          <w:color w:val="auto"/>
        </w:rPr>
        <w:t>物体打击：高处作业，人员作业疏忽；无安全警示标志及安全隔离装置；高临边未设置安全设施，造成物体打击。</w:t>
      </w:r>
    </w:p>
    <w:p w14:paraId="2F5BD575">
      <w:pPr>
        <w:bidi w:val="0"/>
        <w:rPr>
          <w:rFonts w:hint="eastAsia"/>
          <w:color w:val="auto"/>
        </w:rPr>
      </w:pPr>
      <w:r>
        <w:rPr>
          <w:rFonts w:hint="eastAsia"/>
          <w:color w:val="auto"/>
        </w:rPr>
        <w:t>触电：厂区电气线路布置及电控制板摆设不规范，电线接头裸露，易发生触电及火灾事故；配电室低压配电柜未标识，可能因误操作导致触电和设备事故；低压架空线及电气设备及装置不按规定进行定期检测；运转的电动机未按规定安装接地保护，如遇雷击、漏电、短路情况，易发生设备损坏和触电事故。</w:t>
      </w:r>
    </w:p>
    <w:p w14:paraId="07A01CED">
      <w:pPr>
        <w:bidi w:val="0"/>
        <w:rPr>
          <w:rFonts w:hint="eastAsia"/>
          <w:color w:val="auto"/>
        </w:rPr>
      </w:pPr>
      <w:r>
        <w:rPr>
          <w:rFonts w:hint="eastAsia"/>
          <w:color w:val="auto"/>
        </w:rPr>
        <w:t>高处坠落：厂区内高于2m的平台边沿放置有物料、物品掉落。</w:t>
      </w:r>
    </w:p>
    <w:p w14:paraId="3A9EE4D0">
      <w:pPr>
        <w:bidi w:val="0"/>
        <w:rPr>
          <w:rFonts w:hint="eastAsia"/>
          <w:color w:val="auto"/>
        </w:rPr>
      </w:pPr>
      <w:r>
        <w:rPr>
          <w:rFonts w:hint="eastAsia"/>
          <w:color w:val="auto"/>
        </w:rPr>
        <w:t>其他伤害：人员长期接触高噪声环境，造成噪声性耳聋；车间地面油污、积水未及时清理，造成滑跌等。</w:t>
      </w:r>
    </w:p>
    <w:p w14:paraId="3C17588B">
      <w:pPr>
        <w:pStyle w:val="5"/>
        <w:bidi w:val="0"/>
        <w:rPr>
          <w:rFonts w:hint="eastAsia"/>
          <w:color w:val="auto"/>
        </w:rPr>
      </w:pPr>
      <w:r>
        <w:rPr>
          <w:rFonts w:hint="eastAsia"/>
          <w:color w:val="auto"/>
        </w:rPr>
        <w:t>5.2.</w:t>
      </w:r>
      <w:r>
        <w:rPr>
          <w:rFonts w:hint="eastAsia"/>
          <w:color w:val="auto"/>
          <w:lang w:val="en-US" w:eastAsia="zh-CN"/>
        </w:rPr>
        <w:t>4</w:t>
      </w:r>
      <w:r>
        <w:rPr>
          <w:rFonts w:hint="eastAsia"/>
          <w:color w:val="auto"/>
        </w:rPr>
        <w:t>.2</w:t>
      </w:r>
      <w:r>
        <w:rPr>
          <w:rFonts w:hint="eastAsia"/>
          <w:color w:val="auto"/>
          <w:lang w:val="en-US" w:eastAsia="zh-CN"/>
        </w:rPr>
        <w:t xml:space="preserve"> </w:t>
      </w:r>
      <w:r>
        <w:rPr>
          <w:rFonts w:hint="eastAsia"/>
          <w:color w:val="auto"/>
        </w:rPr>
        <w:t>预先危险性分析（PHA）</w:t>
      </w:r>
    </w:p>
    <w:p w14:paraId="0B8204C0">
      <w:pPr>
        <w:pStyle w:val="18"/>
        <w:bidi w:val="0"/>
        <w:rPr>
          <w:rFonts w:hint="eastAsia"/>
          <w:color w:val="auto"/>
        </w:rPr>
      </w:pPr>
    </w:p>
    <w:p w14:paraId="6F0A40AB">
      <w:pPr>
        <w:pStyle w:val="18"/>
        <w:bidi w:val="0"/>
        <w:rPr>
          <w:rFonts w:hint="eastAsia"/>
          <w:color w:val="auto"/>
        </w:rPr>
      </w:pPr>
    </w:p>
    <w:p w14:paraId="29A85F1C">
      <w:pPr>
        <w:pStyle w:val="18"/>
        <w:bidi w:val="0"/>
        <w:rPr>
          <w:rFonts w:hint="eastAsia"/>
          <w:color w:val="auto"/>
        </w:rPr>
      </w:pPr>
    </w:p>
    <w:p w14:paraId="72D771D8">
      <w:pPr>
        <w:pStyle w:val="18"/>
        <w:bidi w:val="0"/>
        <w:rPr>
          <w:rFonts w:hint="eastAsia"/>
          <w:color w:val="auto"/>
        </w:rPr>
      </w:pPr>
    </w:p>
    <w:p w14:paraId="44034D00">
      <w:pPr>
        <w:pStyle w:val="18"/>
        <w:bidi w:val="0"/>
        <w:rPr>
          <w:rFonts w:hint="eastAsia"/>
          <w:color w:val="auto"/>
        </w:rPr>
      </w:pPr>
    </w:p>
    <w:p w14:paraId="246C5499">
      <w:pPr>
        <w:pStyle w:val="18"/>
        <w:bidi w:val="0"/>
        <w:rPr>
          <w:rFonts w:hint="eastAsia"/>
          <w:color w:val="auto"/>
        </w:rPr>
      </w:pPr>
    </w:p>
    <w:p w14:paraId="0F0E65FA">
      <w:pPr>
        <w:pStyle w:val="18"/>
        <w:bidi w:val="0"/>
        <w:rPr>
          <w:rFonts w:hint="eastAsia"/>
          <w:color w:val="auto"/>
        </w:rPr>
      </w:pPr>
    </w:p>
    <w:p w14:paraId="6CF3DB5A">
      <w:pPr>
        <w:pStyle w:val="18"/>
        <w:bidi w:val="0"/>
        <w:rPr>
          <w:color w:val="auto"/>
        </w:rPr>
      </w:pPr>
      <w:r>
        <w:rPr>
          <w:rFonts w:hint="eastAsia"/>
          <w:color w:val="auto"/>
        </w:rPr>
        <w:t>表5.2-</w:t>
      </w:r>
      <w:r>
        <w:rPr>
          <w:rFonts w:hint="eastAsia"/>
          <w:color w:val="auto"/>
          <w:lang w:val="en-US" w:eastAsia="zh-CN"/>
        </w:rPr>
        <w:t>4</w:t>
      </w:r>
      <w:r>
        <w:rPr>
          <w:rFonts w:hint="eastAsia"/>
          <w:color w:val="auto"/>
        </w:rPr>
        <w:t xml:space="preserve"> </w:t>
      </w:r>
      <w:r>
        <w:rPr>
          <w:rFonts w:hint="eastAsia"/>
          <w:color w:val="auto"/>
          <w:lang w:val="en-US" w:eastAsia="zh-CN"/>
        </w:rPr>
        <w:t>重</w:t>
      </w:r>
      <w:r>
        <w:rPr>
          <w:rFonts w:hint="eastAsia"/>
          <w:color w:val="auto"/>
        </w:rPr>
        <w:t>选单元预先危险性分析表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881"/>
        <w:gridCol w:w="2253"/>
        <w:gridCol w:w="733"/>
        <w:gridCol w:w="717"/>
        <w:gridCol w:w="766"/>
        <w:gridCol w:w="984"/>
        <w:gridCol w:w="2336"/>
      </w:tblGrid>
      <w:tr w14:paraId="0214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731" w:type="dxa"/>
            <w:noWrap w:val="0"/>
            <w:vAlign w:val="center"/>
          </w:tcPr>
          <w:p w14:paraId="5EB7221A">
            <w:pPr>
              <w:pStyle w:val="19"/>
              <w:rPr>
                <w:rFonts w:hint="default" w:ascii="Times New Roman" w:hAnsi="Times New Roman" w:cs="Times New Roman"/>
                <w:b/>
                <w:bCs/>
                <w:color w:val="auto"/>
              </w:rPr>
            </w:pPr>
            <w:r>
              <w:rPr>
                <w:rFonts w:hint="default" w:ascii="Times New Roman" w:hAnsi="Times New Roman" w:cs="Times New Roman"/>
                <w:b/>
                <w:bCs/>
                <w:color w:val="auto"/>
              </w:rPr>
              <w:t>危险有害因素</w:t>
            </w:r>
          </w:p>
        </w:tc>
        <w:tc>
          <w:tcPr>
            <w:tcW w:w="881" w:type="dxa"/>
            <w:noWrap w:val="0"/>
            <w:vAlign w:val="center"/>
          </w:tcPr>
          <w:p w14:paraId="5C4E010C">
            <w:pPr>
              <w:pStyle w:val="19"/>
              <w:rPr>
                <w:rFonts w:hint="default" w:ascii="Times New Roman" w:hAnsi="Times New Roman" w:cs="Times New Roman"/>
                <w:b/>
                <w:bCs/>
                <w:color w:val="auto"/>
              </w:rPr>
            </w:pPr>
            <w:r>
              <w:rPr>
                <w:rFonts w:hint="default" w:ascii="Times New Roman" w:hAnsi="Times New Roman" w:cs="Times New Roman"/>
                <w:b/>
                <w:bCs/>
                <w:color w:val="auto"/>
              </w:rPr>
              <w:t>触发事件</w:t>
            </w:r>
          </w:p>
        </w:tc>
        <w:tc>
          <w:tcPr>
            <w:tcW w:w="2253" w:type="dxa"/>
            <w:noWrap w:val="0"/>
            <w:vAlign w:val="center"/>
          </w:tcPr>
          <w:p w14:paraId="49AE72F6">
            <w:pPr>
              <w:pStyle w:val="19"/>
              <w:rPr>
                <w:rFonts w:hint="default" w:ascii="Times New Roman" w:hAnsi="Times New Roman" w:cs="Times New Roman"/>
                <w:b/>
                <w:bCs/>
                <w:color w:val="auto"/>
              </w:rPr>
            </w:pPr>
            <w:r>
              <w:rPr>
                <w:rFonts w:hint="default" w:ascii="Times New Roman" w:hAnsi="Times New Roman" w:cs="Times New Roman"/>
                <w:b/>
                <w:bCs/>
                <w:color w:val="auto"/>
              </w:rPr>
              <w:t>形成事故原因</w:t>
            </w:r>
          </w:p>
        </w:tc>
        <w:tc>
          <w:tcPr>
            <w:tcW w:w="733" w:type="dxa"/>
            <w:noWrap w:val="0"/>
            <w:vAlign w:val="center"/>
          </w:tcPr>
          <w:p w14:paraId="72DD0911">
            <w:pPr>
              <w:pStyle w:val="19"/>
              <w:rPr>
                <w:rFonts w:hint="default" w:ascii="Times New Roman" w:hAnsi="Times New Roman" w:cs="Times New Roman"/>
                <w:b/>
                <w:bCs/>
                <w:color w:val="auto"/>
              </w:rPr>
            </w:pPr>
            <w:r>
              <w:rPr>
                <w:rFonts w:hint="default" w:ascii="Times New Roman" w:hAnsi="Times New Roman" w:cs="Times New Roman"/>
                <w:b/>
                <w:bCs/>
                <w:color w:val="auto"/>
              </w:rPr>
              <w:t>事故模式</w:t>
            </w:r>
          </w:p>
        </w:tc>
        <w:tc>
          <w:tcPr>
            <w:tcW w:w="717" w:type="dxa"/>
            <w:noWrap w:val="0"/>
            <w:vAlign w:val="center"/>
          </w:tcPr>
          <w:p w14:paraId="6523423D">
            <w:pPr>
              <w:pStyle w:val="19"/>
              <w:rPr>
                <w:rFonts w:hint="default" w:ascii="Times New Roman" w:hAnsi="Times New Roman" w:cs="Times New Roman"/>
                <w:b/>
                <w:bCs/>
                <w:color w:val="auto"/>
              </w:rPr>
            </w:pPr>
            <w:r>
              <w:rPr>
                <w:rFonts w:hint="default" w:ascii="Times New Roman" w:hAnsi="Times New Roman" w:cs="Times New Roman"/>
                <w:b/>
                <w:bCs/>
                <w:color w:val="auto"/>
              </w:rPr>
              <w:t>事故后果</w:t>
            </w:r>
          </w:p>
        </w:tc>
        <w:tc>
          <w:tcPr>
            <w:tcW w:w="766" w:type="dxa"/>
            <w:noWrap w:val="0"/>
            <w:vAlign w:val="center"/>
          </w:tcPr>
          <w:p w14:paraId="583440CE">
            <w:pPr>
              <w:pStyle w:val="19"/>
              <w:rPr>
                <w:rFonts w:hint="default" w:ascii="Times New Roman" w:hAnsi="Times New Roman" w:cs="Times New Roman"/>
                <w:b/>
                <w:bCs/>
                <w:color w:val="auto"/>
              </w:rPr>
            </w:pPr>
            <w:r>
              <w:rPr>
                <w:rFonts w:hint="default" w:ascii="Times New Roman" w:hAnsi="Times New Roman" w:cs="Times New Roman"/>
                <w:b/>
                <w:bCs/>
                <w:color w:val="auto"/>
              </w:rPr>
              <w:t>危险等级</w:t>
            </w:r>
          </w:p>
        </w:tc>
        <w:tc>
          <w:tcPr>
            <w:tcW w:w="984" w:type="dxa"/>
            <w:noWrap w:val="0"/>
            <w:vAlign w:val="center"/>
          </w:tcPr>
          <w:p w14:paraId="06B36D6E">
            <w:pPr>
              <w:pStyle w:val="19"/>
              <w:rPr>
                <w:rFonts w:hint="default" w:ascii="Times New Roman" w:hAnsi="Times New Roman" w:cs="Times New Roman"/>
                <w:b/>
                <w:bCs/>
                <w:color w:val="auto"/>
              </w:rPr>
            </w:pPr>
            <w:r>
              <w:rPr>
                <w:rFonts w:hint="default" w:ascii="Times New Roman" w:hAnsi="Times New Roman" w:cs="Times New Roman"/>
                <w:b/>
                <w:bCs/>
                <w:color w:val="auto"/>
              </w:rPr>
              <w:t>发生事故的概率等级</w:t>
            </w:r>
          </w:p>
        </w:tc>
        <w:tc>
          <w:tcPr>
            <w:tcW w:w="2336" w:type="dxa"/>
            <w:noWrap w:val="0"/>
            <w:vAlign w:val="center"/>
          </w:tcPr>
          <w:p w14:paraId="0E30EC67">
            <w:pPr>
              <w:pStyle w:val="19"/>
              <w:rPr>
                <w:rFonts w:hint="default" w:ascii="Times New Roman" w:hAnsi="Times New Roman" w:cs="Times New Roman"/>
                <w:b/>
                <w:bCs/>
                <w:color w:val="auto"/>
              </w:rPr>
            </w:pPr>
            <w:r>
              <w:rPr>
                <w:rFonts w:hint="default" w:ascii="Times New Roman" w:hAnsi="Times New Roman" w:cs="Times New Roman"/>
                <w:b/>
                <w:bCs/>
                <w:color w:val="auto"/>
              </w:rPr>
              <w:t>对策措施</w:t>
            </w:r>
          </w:p>
        </w:tc>
      </w:tr>
      <w:tr w14:paraId="668AC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1" w:type="dxa"/>
            <w:noWrap w:val="0"/>
            <w:vAlign w:val="center"/>
          </w:tcPr>
          <w:p w14:paraId="741100FE">
            <w:pPr>
              <w:pStyle w:val="19"/>
              <w:rPr>
                <w:rFonts w:hint="default" w:ascii="Times New Roman" w:hAnsi="Times New Roman" w:cs="Times New Roman"/>
                <w:color w:val="auto"/>
              </w:rPr>
            </w:pPr>
            <w:r>
              <w:rPr>
                <w:rFonts w:hint="default" w:ascii="Times New Roman" w:hAnsi="Times New Roman" w:cs="Times New Roman"/>
                <w:color w:val="auto"/>
              </w:rPr>
              <w:t>其他伤害（滑跌</w:t>
            </w:r>
            <w:r>
              <w:rPr>
                <w:rFonts w:hint="eastAsia" w:ascii="Times New Roman" w:hAnsi="Times New Roman" w:cs="Times New Roman"/>
                <w:color w:val="auto"/>
                <w:lang w:eastAsia="zh-CN"/>
              </w:rPr>
              <w:t>、</w:t>
            </w:r>
            <w:r>
              <w:rPr>
                <w:rFonts w:hint="eastAsia"/>
                <w:color w:val="auto"/>
                <w:highlight w:val="none"/>
                <w:lang w:val="en-US" w:eastAsia="zh-CN"/>
              </w:rPr>
              <w:t>噪声</w:t>
            </w:r>
            <w:r>
              <w:rPr>
                <w:rFonts w:hint="default" w:ascii="Times New Roman" w:hAnsi="Times New Roman" w:cs="Times New Roman"/>
                <w:color w:val="auto"/>
              </w:rPr>
              <w:t>）</w:t>
            </w:r>
          </w:p>
        </w:tc>
        <w:tc>
          <w:tcPr>
            <w:tcW w:w="881" w:type="dxa"/>
            <w:noWrap w:val="0"/>
            <w:vAlign w:val="center"/>
          </w:tcPr>
          <w:p w14:paraId="132B3F6E">
            <w:pPr>
              <w:pStyle w:val="19"/>
              <w:rPr>
                <w:rFonts w:hint="default" w:ascii="Times New Roman" w:hAnsi="Times New Roman" w:cs="Times New Roman"/>
                <w:color w:val="auto"/>
              </w:rPr>
            </w:pPr>
            <w:r>
              <w:rPr>
                <w:rFonts w:hint="default" w:ascii="Times New Roman" w:hAnsi="Times New Roman" w:cs="Times New Roman"/>
                <w:color w:val="auto"/>
              </w:rPr>
              <w:t>人体失稳</w:t>
            </w:r>
          </w:p>
        </w:tc>
        <w:tc>
          <w:tcPr>
            <w:tcW w:w="2253" w:type="dxa"/>
            <w:noWrap w:val="0"/>
            <w:vAlign w:val="center"/>
          </w:tcPr>
          <w:p w14:paraId="0C98B3B6">
            <w:pPr>
              <w:pStyle w:val="19"/>
              <w:jc w:val="both"/>
              <w:rPr>
                <w:rFonts w:hint="default" w:ascii="Times New Roman" w:hAnsi="Times New Roman" w:cs="Times New Roman"/>
                <w:color w:val="auto"/>
              </w:rPr>
            </w:pPr>
            <w:r>
              <w:rPr>
                <w:rFonts w:hint="default" w:ascii="Times New Roman" w:hAnsi="Times New Roman" w:cs="Times New Roman"/>
                <w:color w:val="auto"/>
              </w:rPr>
              <w:t>1、管理、防护不到位；</w:t>
            </w:r>
          </w:p>
          <w:p w14:paraId="4DF2E3C7">
            <w:pPr>
              <w:pStyle w:val="19"/>
              <w:jc w:val="both"/>
              <w:rPr>
                <w:rFonts w:hint="default" w:ascii="Times New Roman" w:hAnsi="Times New Roman" w:cs="Times New Roman"/>
                <w:color w:val="auto"/>
              </w:rPr>
            </w:pPr>
            <w:r>
              <w:rPr>
                <w:rFonts w:hint="default" w:ascii="Times New Roman" w:hAnsi="Times New Roman" w:cs="Times New Roman"/>
                <w:color w:val="auto"/>
              </w:rPr>
              <w:t>2、操作地点不安全；</w:t>
            </w:r>
          </w:p>
          <w:p w14:paraId="2DEE0E51">
            <w:pPr>
              <w:pStyle w:val="19"/>
              <w:jc w:val="both"/>
              <w:rPr>
                <w:rFonts w:hint="eastAsia" w:ascii="Times New Roman" w:hAnsi="Times New Roman" w:cs="Times New Roman"/>
                <w:color w:val="auto"/>
                <w:lang w:eastAsia="zh-CN"/>
              </w:rPr>
            </w:pPr>
            <w:r>
              <w:rPr>
                <w:rFonts w:hint="default" w:ascii="Times New Roman" w:hAnsi="Times New Roman" w:cs="Times New Roman"/>
                <w:color w:val="auto"/>
              </w:rPr>
              <w:t>3、地面湿滑。地面积水、油污未及时清理</w:t>
            </w:r>
            <w:r>
              <w:rPr>
                <w:rFonts w:hint="eastAsia" w:ascii="Times New Roman" w:hAnsi="Times New Roman" w:cs="Times New Roman"/>
                <w:color w:val="auto"/>
                <w:lang w:eastAsia="zh-CN"/>
              </w:rPr>
              <w:t>；</w:t>
            </w:r>
          </w:p>
          <w:p w14:paraId="117A3C2A">
            <w:pPr>
              <w:pStyle w:val="19"/>
              <w:jc w:val="both"/>
              <w:rPr>
                <w:rFonts w:hint="eastAsia" w:ascii="Times New Roman" w:hAnsi="Times New Roman" w:cs="Times New Roman"/>
                <w:color w:val="auto"/>
                <w:lang w:eastAsia="zh-CN"/>
              </w:rPr>
            </w:pPr>
            <w:r>
              <w:rPr>
                <w:rFonts w:hint="eastAsia"/>
                <w:color w:val="auto"/>
                <w:highlight w:val="none"/>
                <w:lang w:val="en-US" w:eastAsia="zh-CN"/>
              </w:rPr>
              <w:t>4、未佩戴劳动防护用品。</w:t>
            </w:r>
          </w:p>
        </w:tc>
        <w:tc>
          <w:tcPr>
            <w:tcW w:w="733" w:type="dxa"/>
            <w:noWrap w:val="0"/>
            <w:vAlign w:val="center"/>
          </w:tcPr>
          <w:p w14:paraId="784FF3C4">
            <w:pPr>
              <w:pStyle w:val="19"/>
              <w:rPr>
                <w:rFonts w:hint="default" w:ascii="Times New Roman" w:hAnsi="Times New Roman" w:cs="Times New Roman"/>
                <w:color w:val="auto"/>
              </w:rPr>
            </w:pPr>
            <w:r>
              <w:rPr>
                <w:rFonts w:hint="default" w:ascii="Times New Roman" w:hAnsi="Times New Roman" w:cs="Times New Roman"/>
                <w:color w:val="auto"/>
              </w:rPr>
              <w:t>摔倒</w:t>
            </w:r>
          </w:p>
        </w:tc>
        <w:tc>
          <w:tcPr>
            <w:tcW w:w="717" w:type="dxa"/>
            <w:noWrap w:val="0"/>
            <w:vAlign w:val="center"/>
          </w:tcPr>
          <w:p w14:paraId="3DB6593C">
            <w:pPr>
              <w:pStyle w:val="19"/>
              <w:rPr>
                <w:rFonts w:hint="default" w:ascii="Times New Roman" w:hAnsi="Times New Roman" w:cs="Times New Roman"/>
                <w:color w:val="auto"/>
              </w:rPr>
            </w:pPr>
            <w:r>
              <w:rPr>
                <w:rFonts w:hint="default" w:ascii="Times New Roman" w:hAnsi="Times New Roman" w:cs="Times New Roman"/>
                <w:color w:val="auto"/>
              </w:rPr>
              <w:t>人员受伤或死亡</w:t>
            </w:r>
          </w:p>
        </w:tc>
        <w:tc>
          <w:tcPr>
            <w:tcW w:w="766" w:type="dxa"/>
            <w:noWrap w:val="0"/>
            <w:vAlign w:val="center"/>
          </w:tcPr>
          <w:p w14:paraId="2E3CDE2B">
            <w:pPr>
              <w:pStyle w:val="19"/>
              <w:rPr>
                <w:rFonts w:hint="default" w:ascii="Times New Roman" w:hAnsi="Times New Roman" w:cs="Times New Roman"/>
                <w:color w:val="auto"/>
              </w:rPr>
            </w:pPr>
            <w:r>
              <w:rPr>
                <w:rFonts w:hint="default" w:ascii="Times New Roman" w:hAnsi="Times New Roman" w:cs="Times New Roman"/>
                <w:color w:val="auto"/>
              </w:rPr>
              <w:t>Ⅱ</w:t>
            </w:r>
          </w:p>
        </w:tc>
        <w:tc>
          <w:tcPr>
            <w:tcW w:w="984" w:type="dxa"/>
            <w:noWrap w:val="0"/>
            <w:vAlign w:val="center"/>
          </w:tcPr>
          <w:p w14:paraId="2EE082AF">
            <w:pPr>
              <w:pStyle w:val="19"/>
              <w:rPr>
                <w:rFonts w:hint="default" w:ascii="Times New Roman" w:hAnsi="Times New Roman" w:cs="Times New Roman"/>
                <w:color w:val="auto"/>
              </w:rPr>
            </w:pPr>
            <w:r>
              <w:rPr>
                <w:rFonts w:hint="default" w:ascii="Times New Roman" w:hAnsi="Times New Roman" w:cs="Times New Roman"/>
                <w:color w:val="auto"/>
              </w:rPr>
              <w:t>B</w:t>
            </w:r>
          </w:p>
        </w:tc>
        <w:tc>
          <w:tcPr>
            <w:tcW w:w="2336" w:type="dxa"/>
            <w:noWrap w:val="0"/>
            <w:vAlign w:val="center"/>
          </w:tcPr>
          <w:p w14:paraId="043F2567">
            <w:pPr>
              <w:pStyle w:val="19"/>
              <w:jc w:val="both"/>
              <w:rPr>
                <w:rFonts w:hint="default" w:ascii="Times New Roman" w:hAnsi="Times New Roman" w:cs="Times New Roman"/>
                <w:color w:val="auto"/>
              </w:rPr>
            </w:pPr>
            <w:r>
              <w:rPr>
                <w:rFonts w:hint="default" w:ascii="Times New Roman" w:hAnsi="Times New Roman" w:cs="Times New Roman"/>
                <w:color w:val="auto"/>
              </w:rPr>
              <w:t>1、增强安全意识，加强个体防护；</w:t>
            </w:r>
          </w:p>
          <w:p w14:paraId="66075431">
            <w:pPr>
              <w:pStyle w:val="19"/>
              <w:jc w:val="both"/>
              <w:rPr>
                <w:rFonts w:hint="default" w:ascii="Times New Roman" w:hAnsi="Times New Roman" w:cs="Times New Roman"/>
                <w:color w:val="auto"/>
              </w:rPr>
            </w:pPr>
            <w:r>
              <w:rPr>
                <w:rFonts w:hint="default" w:ascii="Times New Roman" w:hAnsi="Times New Roman" w:cs="Times New Roman"/>
                <w:color w:val="auto"/>
              </w:rPr>
              <w:t>2、检查作业场所的管理和防护措施；</w:t>
            </w:r>
          </w:p>
          <w:p w14:paraId="5A1D00CB">
            <w:pPr>
              <w:pStyle w:val="19"/>
              <w:jc w:val="both"/>
              <w:rPr>
                <w:rFonts w:hint="default" w:ascii="Times New Roman" w:hAnsi="Times New Roman" w:cs="Times New Roman"/>
                <w:color w:val="auto"/>
              </w:rPr>
            </w:pPr>
            <w:r>
              <w:rPr>
                <w:rFonts w:hint="default" w:ascii="Times New Roman" w:hAnsi="Times New Roman" w:cs="Times New Roman"/>
                <w:color w:val="auto"/>
              </w:rPr>
              <w:t>3、设置警示标志，遵守操作规程。</w:t>
            </w:r>
          </w:p>
          <w:p w14:paraId="1C897941">
            <w:pPr>
              <w:pStyle w:val="19"/>
              <w:jc w:val="both"/>
              <w:rPr>
                <w:rFonts w:hint="eastAsia" w:ascii="Times New Roman" w:hAnsi="Times New Roman" w:cs="Times New Roman"/>
                <w:color w:val="auto"/>
                <w:lang w:eastAsia="zh-CN"/>
              </w:rPr>
            </w:pPr>
            <w:r>
              <w:rPr>
                <w:rFonts w:hint="default" w:ascii="Times New Roman" w:hAnsi="Times New Roman" w:cs="Times New Roman"/>
                <w:color w:val="auto"/>
              </w:rPr>
              <w:t>4、梯子、平台和易滑倒操作通道的地面应有防滑措施</w:t>
            </w:r>
            <w:r>
              <w:rPr>
                <w:rFonts w:hint="eastAsia" w:ascii="Times New Roman" w:hAnsi="Times New Roman" w:cs="Times New Roman"/>
                <w:color w:val="auto"/>
                <w:lang w:eastAsia="zh-CN"/>
              </w:rPr>
              <w:t>；</w:t>
            </w:r>
          </w:p>
          <w:p w14:paraId="15C0DA0F">
            <w:pPr>
              <w:pStyle w:val="19"/>
              <w:jc w:val="both"/>
              <w:rPr>
                <w:rFonts w:hint="eastAsia" w:ascii="Times New Roman" w:hAnsi="Times New Roman" w:cs="Times New Roman"/>
                <w:color w:val="auto"/>
                <w:lang w:eastAsia="zh-CN"/>
              </w:rPr>
            </w:pPr>
            <w:r>
              <w:rPr>
                <w:rFonts w:hint="eastAsia"/>
                <w:color w:val="auto"/>
                <w:highlight w:val="none"/>
                <w:lang w:val="en-US" w:eastAsia="zh-CN"/>
              </w:rPr>
              <w:t>5、佩戴劳动防护用品。</w:t>
            </w:r>
          </w:p>
        </w:tc>
      </w:tr>
      <w:tr w14:paraId="2FFF0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1" w:type="dxa"/>
            <w:noWrap w:val="0"/>
            <w:vAlign w:val="center"/>
          </w:tcPr>
          <w:p w14:paraId="59158538">
            <w:pPr>
              <w:pStyle w:val="19"/>
              <w:rPr>
                <w:rFonts w:hint="default" w:ascii="Times New Roman" w:hAnsi="Times New Roman" w:cs="Times New Roman"/>
                <w:color w:val="auto"/>
              </w:rPr>
            </w:pPr>
            <w:r>
              <w:rPr>
                <w:rFonts w:hint="default" w:ascii="Times New Roman" w:hAnsi="Times New Roman" w:cs="Times New Roman"/>
                <w:color w:val="auto"/>
              </w:rPr>
              <w:t>机械</w:t>
            </w:r>
          </w:p>
          <w:p w14:paraId="1CB4C439">
            <w:pPr>
              <w:pStyle w:val="19"/>
              <w:rPr>
                <w:rFonts w:hint="default" w:ascii="Times New Roman" w:hAnsi="Times New Roman" w:cs="Times New Roman"/>
                <w:color w:val="auto"/>
              </w:rPr>
            </w:pPr>
            <w:r>
              <w:rPr>
                <w:rFonts w:hint="default" w:ascii="Times New Roman" w:hAnsi="Times New Roman" w:cs="Times New Roman"/>
                <w:color w:val="auto"/>
              </w:rPr>
              <w:t>伤害</w:t>
            </w:r>
          </w:p>
        </w:tc>
        <w:tc>
          <w:tcPr>
            <w:tcW w:w="881" w:type="dxa"/>
            <w:noWrap w:val="0"/>
            <w:vAlign w:val="center"/>
          </w:tcPr>
          <w:p w14:paraId="2A0A3974">
            <w:pPr>
              <w:pStyle w:val="19"/>
              <w:rPr>
                <w:rFonts w:hint="default" w:ascii="Times New Roman" w:hAnsi="Times New Roman" w:cs="Times New Roman"/>
                <w:color w:val="auto"/>
              </w:rPr>
            </w:pPr>
            <w:r>
              <w:rPr>
                <w:rFonts w:hint="default" w:ascii="Times New Roman" w:hAnsi="Times New Roman" w:cs="Times New Roman"/>
                <w:color w:val="auto"/>
              </w:rPr>
              <w:t>人员接触机械设备运转部位</w:t>
            </w:r>
          </w:p>
        </w:tc>
        <w:tc>
          <w:tcPr>
            <w:tcW w:w="2253" w:type="dxa"/>
            <w:noWrap w:val="0"/>
            <w:vAlign w:val="center"/>
          </w:tcPr>
          <w:p w14:paraId="73B154A8">
            <w:pPr>
              <w:pStyle w:val="19"/>
              <w:jc w:val="both"/>
              <w:rPr>
                <w:rFonts w:hint="default" w:ascii="Times New Roman" w:hAnsi="Times New Roman" w:cs="Times New Roman"/>
                <w:color w:val="auto"/>
              </w:rPr>
            </w:pPr>
            <w:r>
              <w:rPr>
                <w:rFonts w:hint="default" w:ascii="Times New Roman" w:hAnsi="Times New Roman" w:cs="Times New Roman"/>
                <w:color w:val="auto"/>
              </w:rPr>
              <w:t>1、操作地点不安全；</w:t>
            </w:r>
          </w:p>
          <w:p w14:paraId="46777535">
            <w:pPr>
              <w:pStyle w:val="19"/>
              <w:jc w:val="both"/>
              <w:rPr>
                <w:rFonts w:hint="default" w:ascii="Times New Roman" w:hAnsi="Times New Roman" w:cs="Times New Roman"/>
                <w:color w:val="auto"/>
              </w:rPr>
            </w:pPr>
            <w:r>
              <w:rPr>
                <w:rFonts w:hint="default" w:ascii="Times New Roman" w:hAnsi="Times New Roman" w:cs="Times New Roman"/>
                <w:color w:val="auto"/>
              </w:rPr>
              <w:t>2、作业前安全检查、处理不到位；</w:t>
            </w:r>
          </w:p>
          <w:p w14:paraId="7DEF61EC">
            <w:pPr>
              <w:pStyle w:val="19"/>
              <w:jc w:val="both"/>
              <w:rPr>
                <w:rFonts w:hint="default" w:ascii="Times New Roman" w:hAnsi="Times New Roman" w:cs="Times New Roman"/>
                <w:color w:val="auto"/>
              </w:rPr>
            </w:pPr>
            <w:r>
              <w:rPr>
                <w:rFonts w:hint="default" w:ascii="Times New Roman" w:hAnsi="Times New Roman" w:cs="Times New Roman"/>
                <w:color w:val="auto"/>
              </w:rPr>
              <w:t>3、安全防护装置(罩)不全；</w:t>
            </w:r>
          </w:p>
          <w:p w14:paraId="2C7928BA">
            <w:pPr>
              <w:pStyle w:val="19"/>
              <w:jc w:val="both"/>
              <w:rPr>
                <w:rFonts w:hint="default" w:ascii="Times New Roman" w:hAnsi="Times New Roman" w:cs="Times New Roman"/>
                <w:color w:val="auto"/>
              </w:rPr>
            </w:pPr>
            <w:r>
              <w:rPr>
                <w:rFonts w:hint="default" w:ascii="Times New Roman" w:hAnsi="Times New Roman" w:cs="Times New Roman"/>
                <w:color w:val="auto"/>
              </w:rPr>
              <w:t>4、操作不熟练。</w:t>
            </w:r>
          </w:p>
        </w:tc>
        <w:tc>
          <w:tcPr>
            <w:tcW w:w="733" w:type="dxa"/>
            <w:noWrap w:val="0"/>
            <w:vAlign w:val="center"/>
          </w:tcPr>
          <w:p w14:paraId="5802B03E">
            <w:pPr>
              <w:pStyle w:val="19"/>
              <w:rPr>
                <w:rFonts w:hint="default" w:ascii="Times New Roman" w:hAnsi="Times New Roman" w:cs="Times New Roman"/>
                <w:color w:val="auto"/>
              </w:rPr>
            </w:pPr>
            <w:r>
              <w:rPr>
                <w:rFonts w:hint="default" w:ascii="Times New Roman" w:hAnsi="Times New Roman" w:cs="Times New Roman"/>
                <w:color w:val="auto"/>
              </w:rPr>
              <w:t>夹击碰撞剪切卷入等</w:t>
            </w:r>
          </w:p>
        </w:tc>
        <w:tc>
          <w:tcPr>
            <w:tcW w:w="717" w:type="dxa"/>
            <w:noWrap w:val="0"/>
            <w:vAlign w:val="center"/>
          </w:tcPr>
          <w:p w14:paraId="7AB52446">
            <w:pPr>
              <w:pStyle w:val="19"/>
              <w:rPr>
                <w:rFonts w:hint="default" w:ascii="Times New Roman" w:hAnsi="Times New Roman" w:cs="Times New Roman"/>
                <w:color w:val="auto"/>
              </w:rPr>
            </w:pPr>
            <w:r>
              <w:rPr>
                <w:rFonts w:hint="default" w:ascii="Times New Roman" w:hAnsi="Times New Roman" w:cs="Times New Roman"/>
                <w:color w:val="auto"/>
              </w:rPr>
              <w:t>人员受伤或死亡</w:t>
            </w:r>
          </w:p>
        </w:tc>
        <w:tc>
          <w:tcPr>
            <w:tcW w:w="766" w:type="dxa"/>
            <w:noWrap w:val="0"/>
            <w:vAlign w:val="center"/>
          </w:tcPr>
          <w:p w14:paraId="7BE2FB2C">
            <w:pPr>
              <w:pStyle w:val="19"/>
              <w:rPr>
                <w:rFonts w:hint="default" w:ascii="Times New Roman" w:hAnsi="Times New Roman" w:cs="Times New Roman"/>
                <w:color w:val="auto"/>
              </w:rPr>
            </w:pPr>
            <w:r>
              <w:rPr>
                <w:rFonts w:hint="default" w:ascii="Times New Roman" w:hAnsi="Times New Roman" w:cs="Times New Roman"/>
                <w:color w:val="auto"/>
                <w:lang w:val="sq-AL"/>
              </w:rPr>
              <w:t>Ⅲ</w:t>
            </w:r>
          </w:p>
        </w:tc>
        <w:tc>
          <w:tcPr>
            <w:tcW w:w="984" w:type="dxa"/>
            <w:noWrap w:val="0"/>
            <w:vAlign w:val="center"/>
          </w:tcPr>
          <w:p w14:paraId="25396DF1">
            <w:pPr>
              <w:pStyle w:val="19"/>
              <w:rPr>
                <w:rFonts w:hint="default" w:ascii="Times New Roman" w:hAnsi="Times New Roman" w:cs="Times New Roman"/>
                <w:color w:val="auto"/>
              </w:rPr>
            </w:pPr>
            <w:r>
              <w:rPr>
                <w:rFonts w:hint="default" w:ascii="Times New Roman" w:hAnsi="Times New Roman" w:cs="Times New Roman"/>
                <w:color w:val="auto"/>
              </w:rPr>
              <w:t>C</w:t>
            </w:r>
          </w:p>
        </w:tc>
        <w:tc>
          <w:tcPr>
            <w:tcW w:w="2336" w:type="dxa"/>
            <w:noWrap w:val="0"/>
            <w:vAlign w:val="center"/>
          </w:tcPr>
          <w:p w14:paraId="69C99654">
            <w:pPr>
              <w:pStyle w:val="19"/>
              <w:jc w:val="both"/>
              <w:rPr>
                <w:rFonts w:hint="default" w:ascii="Times New Roman" w:hAnsi="Times New Roman" w:cs="Times New Roman"/>
                <w:color w:val="auto"/>
              </w:rPr>
            </w:pPr>
            <w:r>
              <w:rPr>
                <w:rFonts w:hint="default" w:ascii="Times New Roman" w:hAnsi="Times New Roman" w:cs="Times New Roman"/>
                <w:color w:val="auto"/>
              </w:rPr>
              <w:t>1、严格执行操作规程；</w:t>
            </w:r>
          </w:p>
          <w:p w14:paraId="3C972F67">
            <w:pPr>
              <w:pStyle w:val="19"/>
              <w:jc w:val="both"/>
              <w:rPr>
                <w:rFonts w:hint="default" w:ascii="Times New Roman" w:hAnsi="Times New Roman" w:cs="Times New Roman"/>
                <w:color w:val="auto"/>
              </w:rPr>
            </w:pPr>
            <w:r>
              <w:rPr>
                <w:rFonts w:hint="default" w:ascii="Times New Roman" w:hAnsi="Times New Roman" w:cs="Times New Roman"/>
                <w:color w:val="auto"/>
              </w:rPr>
              <w:t>2、树立先安全后生产的观念，坚持工作前对工作面的安全处理；</w:t>
            </w:r>
          </w:p>
          <w:p w14:paraId="5C2F872A">
            <w:pPr>
              <w:pStyle w:val="19"/>
              <w:jc w:val="both"/>
              <w:rPr>
                <w:rFonts w:hint="default" w:ascii="Times New Roman" w:hAnsi="Times New Roman" w:cs="Times New Roman"/>
                <w:color w:val="auto"/>
              </w:rPr>
            </w:pPr>
            <w:r>
              <w:rPr>
                <w:rFonts w:hint="default" w:ascii="Times New Roman" w:hAnsi="Times New Roman" w:cs="Times New Roman"/>
                <w:color w:val="auto"/>
              </w:rPr>
              <w:t>3、加强个人防护措施；</w:t>
            </w:r>
          </w:p>
          <w:p w14:paraId="78261AD7">
            <w:pPr>
              <w:pStyle w:val="19"/>
              <w:jc w:val="both"/>
              <w:rPr>
                <w:rFonts w:hint="default" w:ascii="Times New Roman" w:hAnsi="Times New Roman" w:cs="Times New Roman"/>
                <w:color w:val="auto"/>
              </w:rPr>
            </w:pPr>
            <w:r>
              <w:rPr>
                <w:rFonts w:hint="default" w:ascii="Times New Roman" w:hAnsi="Times New Roman" w:cs="Times New Roman"/>
                <w:color w:val="auto"/>
              </w:rPr>
              <w:t>4、完善配备机械安全装置。</w:t>
            </w:r>
          </w:p>
        </w:tc>
      </w:tr>
      <w:tr w14:paraId="72891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1" w:type="dxa"/>
            <w:noWrap w:val="0"/>
            <w:vAlign w:val="center"/>
          </w:tcPr>
          <w:p w14:paraId="3B0AD56E">
            <w:pPr>
              <w:pStyle w:val="19"/>
              <w:rPr>
                <w:rFonts w:hint="default" w:ascii="Times New Roman" w:hAnsi="Times New Roman" w:cs="Times New Roman"/>
                <w:color w:val="auto"/>
              </w:rPr>
            </w:pPr>
            <w:r>
              <w:rPr>
                <w:rFonts w:hint="default" w:ascii="Times New Roman" w:hAnsi="Times New Roman" w:cs="Times New Roman"/>
                <w:color w:val="auto"/>
              </w:rPr>
              <w:t>触电</w:t>
            </w:r>
          </w:p>
        </w:tc>
        <w:tc>
          <w:tcPr>
            <w:tcW w:w="881" w:type="dxa"/>
            <w:noWrap w:val="0"/>
            <w:vAlign w:val="center"/>
          </w:tcPr>
          <w:p w14:paraId="707339F0">
            <w:pPr>
              <w:pStyle w:val="19"/>
              <w:rPr>
                <w:rFonts w:hint="default" w:ascii="Times New Roman" w:hAnsi="Times New Roman" w:cs="Times New Roman"/>
                <w:color w:val="auto"/>
              </w:rPr>
            </w:pPr>
            <w:r>
              <w:rPr>
                <w:rFonts w:hint="default" w:ascii="Times New Roman" w:hAnsi="Times New Roman" w:cs="Times New Roman"/>
                <w:color w:val="auto"/>
              </w:rPr>
              <w:t>接触漏电设备，电气短路、线路老化，无接地、接零保护，违章作业未穿戴劳动防护用品</w:t>
            </w:r>
          </w:p>
        </w:tc>
        <w:tc>
          <w:tcPr>
            <w:tcW w:w="2253" w:type="dxa"/>
            <w:noWrap w:val="0"/>
            <w:vAlign w:val="center"/>
          </w:tcPr>
          <w:p w14:paraId="00E7DE90">
            <w:pPr>
              <w:pStyle w:val="19"/>
              <w:jc w:val="both"/>
              <w:rPr>
                <w:rFonts w:hint="default" w:ascii="Times New Roman" w:hAnsi="Times New Roman" w:cs="Times New Roman"/>
                <w:color w:val="auto"/>
              </w:rPr>
            </w:pPr>
            <w:r>
              <w:rPr>
                <w:rFonts w:hint="default" w:ascii="Times New Roman" w:hAnsi="Times New Roman" w:cs="Times New Roman"/>
                <w:color w:val="auto"/>
              </w:rPr>
              <w:t>1、电气安全工作规程不完善；</w:t>
            </w:r>
          </w:p>
          <w:p w14:paraId="124714A9">
            <w:pPr>
              <w:pStyle w:val="19"/>
              <w:jc w:val="both"/>
              <w:rPr>
                <w:rFonts w:hint="default" w:ascii="Times New Roman" w:hAnsi="Times New Roman" w:cs="Times New Roman"/>
                <w:color w:val="auto"/>
              </w:rPr>
            </w:pPr>
            <w:r>
              <w:rPr>
                <w:rFonts w:hint="default" w:ascii="Times New Roman" w:hAnsi="Times New Roman" w:cs="Times New Roman"/>
                <w:color w:val="auto"/>
              </w:rPr>
              <w:t>2、电工未达到100%持证上岗，操作不熟练；</w:t>
            </w:r>
          </w:p>
          <w:p w14:paraId="00793632">
            <w:pPr>
              <w:pStyle w:val="19"/>
              <w:jc w:val="both"/>
              <w:rPr>
                <w:rFonts w:hint="default" w:ascii="Times New Roman" w:hAnsi="Times New Roman" w:cs="Times New Roman"/>
                <w:color w:val="auto"/>
              </w:rPr>
            </w:pPr>
            <w:r>
              <w:rPr>
                <w:rFonts w:hint="default" w:ascii="Times New Roman" w:hAnsi="Times New Roman" w:cs="Times New Roman"/>
                <w:color w:val="auto"/>
              </w:rPr>
              <w:t>3、个人防护用品穿戴不齐全；</w:t>
            </w:r>
          </w:p>
          <w:p w14:paraId="1552B624">
            <w:pPr>
              <w:pStyle w:val="19"/>
              <w:jc w:val="both"/>
              <w:rPr>
                <w:rFonts w:hint="default" w:ascii="Times New Roman" w:hAnsi="Times New Roman" w:cs="Times New Roman"/>
                <w:color w:val="auto"/>
              </w:rPr>
            </w:pPr>
            <w:r>
              <w:rPr>
                <w:rFonts w:hint="default" w:ascii="Times New Roman" w:hAnsi="Times New Roman" w:cs="Times New Roman"/>
                <w:color w:val="auto"/>
              </w:rPr>
              <w:t>4、电气裸露无防护罩，线路停送不严格，检修没严格执行工作票制度；</w:t>
            </w:r>
          </w:p>
          <w:p w14:paraId="0228225D">
            <w:pPr>
              <w:pStyle w:val="19"/>
              <w:jc w:val="both"/>
              <w:rPr>
                <w:rFonts w:hint="default" w:ascii="Times New Roman" w:hAnsi="Times New Roman" w:cs="Times New Roman"/>
                <w:color w:val="auto"/>
              </w:rPr>
            </w:pPr>
            <w:r>
              <w:rPr>
                <w:rFonts w:hint="default" w:ascii="Times New Roman" w:hAnsi="Times New Roman" w:cs="Times New Roman"/>
                <w:color w:val="auto"/>
              </w:rPr>
              <w:t>5、熔断器任意代用；避雷装置不合格；</w:t>
            </w:r>
          </w:p>
          <w:p w14:paraId="0893DE68">
            <w:pPr>
              <w:pStyle w:val="19"/>
              <w:jc w:val="both"/>
              <w:rPr>
                <w:rFonts w:hint="default" w:ascii="Times New Roman" w:hAnsi="Times New Roman" w:cs="Times New Roman"/>
                <w:color w:val="auto"/>
              </w:rPr>
            </w:pPr>
            <w:r>
              <w:rPr>
                <w:rFonts w:hint="default" w:ascii="Times New Roman" w:hAnsi="Times New Roman" w:cs="Times New Roman"/>
                <w:color w:val="auto"/>
              </w:rPr>
              <w:t>6、应急救援预案不落实。</w:t>
            </w:r>
          </w:p>
        </w:tc>
        <w:tc>
          <w:tcPr>
            <w:tcW w:w="733" w:type="dxa"/>
            <w:noWrap w:val="0"/>
            <w:vAlign w:val="center"/>
          </w:tcPr>
          <w:p w14:paraId="5BF10657">
            <w:pPr>
              <w:pStyle w:val="19"/>
              <w:rPr>
                <w:rFonts w:hint="default" w:ascii="Times New Roman" w:hAnsi="Times New Roman" w:cs="Times New Roman"/>
                <w:color w:val="auto"/>
              </w:rPr>
            </w:pPr>
            <w:r>
              <w:rPr>
                <w:rFonts w:hint="default" w:ascii="Times New Roman" w:hAnsi="Times New Roman" w:cs="Times New Roman"/>
                <w:color w:val="auto"/>
              </w:rPr>
              <w:t>电击电伤</w:t>
            </w:r>
          </w:p>
        </w:tc>
        <w:tc>
          <w:tcPr>
            <w:tcW w:w="717" w:type="dxa"/>
            <w:noWrap w:val="0"/>
            <w:vAlign w:val="center"/>
          </w:tcPr>
          <w:p w14:paraId="175B05AE">
            <w:pPr>
              <w:pStyle w:val="19"/>
              <w:rPr>
                <w:rFonts w:hint="default" w:ascii="Times New Roman" w:hAnsi="Times New Roman" w:cs="Times New Roman"/>
                <w:color w:val="auto"/>
              </w:rPr>
            </w:pPr>
            <w:r>
              <w:rPr>
                <w:rFonts w:hint="default" w:ascii="Times New Roman" w:hAnsi="Times New Roman" w:cs="Times New Roman"/>
                <w:color w:val="auto"/>
              </w:rPr>
              <w:t>人员受伤或死亡</w:t>
            </w:r>
          </w:p>
        </w:tc>
        <w:tc>
          <w:tcPr>
            <w:tcW w:w="766" w:type="dxa"/>
            <w:noWrap w:val="0"/>
            <w:vAlign w:val="center"/>
          </w:tcPr>
          <w:p w14:paraId="22590E16">
            <w:pPr>
              <w:pStyle w:val="19"/>
              <w:rPr>
                <w:rFonts w:hint="default" w:ascii="Times New Roman" w:hAnsi="Times New Roman" w:cs="Times New Roman"/>
                <w:color w:val="auto"/>
              </w:rPr>
            </w:pPr>
            <w:r>
              <w:rPr>
                <w:rFonts w:hint="default" w:ascii="Times New Roman" w:hAnsi="Times New Roman" w:cs="Times New Roman"/>
                <w:color w:val="auto"/>
                <w:lang w:val="sq-AL"/>
              </w:rPr>
              <w:t>Ⅲ</w:t>
            </w:r>
          </w:p>
        </w:tc>
        <w:tc>
          <w:tcPr>
            <w:tcW w:w="984" w:type="dxa"/>
            <w:noWrap w:val="0"/>
            <w:vAlign w:val="center"/>
          </w:tcPr>
          <w:p w14:paraId="3C21B5BC">
            <w:pPr>
              <w:pStyle w:val="19"/>
              <w:rPr>
                <w:rFonts w:hint="default" w:ascii="Times New Roman" w:hAnsi="Times New Roman" w:cs="Times New Roman"/>
                <w:color w:val="auto"/>
              </w:rPr>
            </w:pPr>
            <w:r>
              <w:rPr>
                <w:rFonts w:hint="default" w:ascii="Times New Roman" w:hAnsi="Times New Roman" w:cs="Times New Roman"/>
                <w:color w:val="auto"/>
              </w:rPr>
              <w:t>D</w:t>
            </w:r>
          </w:p>
        </w:tc>
        <w:tc>
          <w:tcPr>
            <w:tcW w:w="2336" w:type="dxa"/>
            <w:noWrap w:val="0"/>
            <w:vAlign w:val="center"/>
          </w:tcPr>
          <w:p w14:paraId="3A4FDDA2">
            <w:pPr>
              <w:pStyle w:val="19"/>
              <w:jc w:val="both"/>
              <w:rPr>
                <w:rFonts w:hint="default" w:ascii="Times New Roman" w:hAnsi="Times New Roman" w:cs="Times New Roman"/>
                <w:color w:val="auto"/>
              </w:rPr>
            </w:pPr>
            <w:r>
              <w:rPr>
                <w:rFonts w:hint="default" w:ascii="Times New Roman" w:hAnsi="Times New Roman" w:cs="Times New Roman"/>
                <w:color w:val="auto"/>
              </w:rPr>
              <w:t>1、严格执行作业规程；</w:t>
            </w:r>
          </w:p>
          <w:p w14:paraId="064357C4">
            <w:pPr>
              <w:pStyle w:val="19"/>
              <w:jc w:val="both"/>
              <w:rPr>
                <w:rFonts w:hint="default" w:ascii="Times New Roman" w:hAnsi="Times New Roman" w:cs="Times New Roman"/>
                <w:color w:val="auto"/>
              </w:rPr>
            </w:pPr>
            <w:r>
              <w:rPr>
                <w:rFonts w:hint="default" w:ascii="Times New Roman" w:hAnsi="Times New Roman" w:cs="Times New Roman"/>
                <w:color w:val="auto"/>
              </w:rPr>
              <w:t>2、定期检查电气线路及设备；</w:t>
            </w:r>
          </w:p>
          <w:p w14:paraId="278A217F">
            <w:pPr>
              <w:pStyle w:val="19"/>
              <w:jc w:val="both"/>
              <w:rPr>
                <w:rFonts w:hint="default" w:ascii="Times New Roman" w:hAnsi="Times New Roman" w:cs="Times New Roman"/>
                <w:color w:val="auto"/>
              </w:rPr>
            </w:pPr>
            <w:r>
              <w:rPr>
                <w:rFonts w:hint="default" w:ascii="Times New Roman" w:hAnsi="Times New Roman" w:cs="Times New Roman"/>
                <w:color w:val="auto"/>
              </w:rPr>
              <w:t>3、作业人员100%持证上岗；</w:t>
            </w:r>
          </w:p>
          <w:p w14:paraId="2C94A2CA">
            <w:pPr>
              <w:pStyle w:val="19"/>
              <w:jc w:val="both"/>
              <w:rPr>
                <w:rFonts w:hint="default" w:ascii="Times New Roman" w:hAnsi="Times New Roman" w:cs="Times New Roman"/>
                <w:color w:val="auto"/>
              </w:rPr>
            </w:pPr>
            <w:r>
              <w:rPr>
                <w:rFonts w:hint="default" w:ascii="Times New Roman" w:hAnsi="Times New Roman" w:cs="Times New Roman"/>
                <w:color w:val="auto"/>
              </w:rPr>
              <w:t>4、作业点悬挂显明的警示标志；</w:t>
            </w:r>
          </w:p>
          <w:p w14:paraId="2BCC9AE7">
            <w:pPr>
              <w:pStyle w:val="19"/>
              <w:jc w:val="both"/>
              <w:rPr>
                <w:rFonts w:hint="default" w:ascii="Times New Roman" w:hAnsi="Times New Roman" w:cs="Times New Roman"/>
                <w:color w:val="auto"/>
              </w:rPr>
            </w:pPr>
            <w:r>
              <w:rPr>
                <w:rFonts w:hint="default" w:ascii="Times New Roman" w:hAnsi="Times New Roman" w:cs="Times New Roman"/>
                <w:color w:val="auto"/>
              </w:rPr>
              <w:t>5、护用品穿戴齐全；</w:t>
            </w:r>
          </w:p>
          <w:p w14:paraId="69B5E98D">
            <w:pPr>
              <w:pStyle w:val="19"/>
              <w:jc w:val="both"/>
              <w:rPr>
                <w:rFonts w:hint="default" w:ascii="Times New Roman" w:hAnsi="Times New Roman" w:cs="Times New Roman"/>
                <w:color w:val="auto"/>
              </w:rPr>
            </w:pPr>
            <w:r>
              <w:rPr>
                <w:rFonts w:hint="default" w:ascii="Times New Roman" w:hAnsi="Times New Roman" w:cs="Times New Roman"/>
                <w:color w:val="auto"/>
              </w:rPr>
              <w:t>6、加强职工安全教育，不断提高职工安全素质，严禁无证上岗，严禁违章作业；</w:t>
            </w:r>
          </w:p>
          <w:p w14:paraId="43894815">
            <w:pPr>
              <w:pStyle w:val="19"/>
              <w:jc w:val="both"/>
              <w:rPr>
                <w:rFonts w:hint="default" w:ascii="Times New Roman" w:hAnsi="Times New Roman" w:cs="Times New Roman"/>
                <w:color w:val="auto"/>
              </w:rPr>
            </w:pPr>
            <w:r>
              <w:rPr>
                <w:rFonts w:hint="default" w:ascii="Times New Roman" w:hAnsi="Times New Roman" w:cs="Times New Roman"/>
                <w:color w:val="auto"/>
              </w:rPr>
              <w:t>7、严格执行劳动防护用品发放、使用管理制度。</w:t>
            </w:r>
          </w:p>
        </w:tc>
      </w:tr>
      <w:tr w14:paraId="2B482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1" w:type="dxa"/>
            <w:noWrap w:val="0"/>
            <w:vAlign w:val="center"/>
          </w:tcPr>
          <w:p w14:paraId="38AF80D1">
            <w:pPr>
              <w:pStyle w:val="19"/>
              <w:rPr>
                <w:rFonts w:hint="default" w:ascii="Times New Roman" w:hAnsi="Times New Roman" w:cs="Times New Roman"/>
                <w:color w:val="auto"/>
              </w:rPr>
            </w:pPr>
            <w:r>
              <w:rPr>
                <w:rFonts w:hint="default" w:ascii="Times New Roman" w:hAnsi="Times New Roman" w:cs="Times New Roman"/>
                <w:color w:val="auto"/>
              </w:rPr>
              <w:t>高处</w:t>
            </w:r>
          </w:p>
          <w:p w14:paraId="541EA5BF">
            <w:pPr>
              <w:pStyle w:val="19"/>
              <w:rPr>
                <w:rFonts w:hint="default" w:ascii="Times New Roman" w:hAnsi="Times New Roman" w:cs="Times New Roman"/>
                <w:color w:val="auto"/>
              </w:rPr>
            </w:pPr>
            <w:r>
              <w:rPr>
                <w:rFonts w:hint="default" w:ascii="Times New Roman" w:hAnsi="Times New Roman" w:cs="Times New Roman"/>
                <w:color w:val="auto"/>
              </w:rPr>
              <w:t>坠落</w:t>
            </w:r>
          </w:p>
        </w:tc>
        <w:tc>
          <w:tcPr>
            <w:tcW w:w="881" w:type="dxa"/>
            <w:noWrap w:val="0"/>
            <w:vAlign w:val="center"/>
          </w:tcPr>
          <w:p w14:paraId="53B4774E">
            <w:pPr>
              <w:pStyle w:val="19"/>
              <w:rPr>
                <w:rFonts w:hint="default" w:ascii="Times New Roman" w:hAnsi="Times New Roman" w:cs="Times New Roman"/>
                <w:color w:val="auto"/>
              </w:rPr>
            </w:pPr>
            <w:r>
              <w:rPr>
                <w:rFonts w:hint="default" w:ascii="Times New Roman" w:hAnsi="Times New Roman" w:cs="Times New Roman"/>
                <w:color w:val="auto"/>
              </w:rPr>
              <w:t>人体失稳、防护栏杆失效</w:t>
            </w:r>
          </w:p>
        </w:tc>
        <w:tc>
          <w:tcPr>
            <w:tcW w:w="2253" w:type="dxa"/>
            <w:noWrap w:val="0"/>
            <w:vAlign w:val="center"/>
          </w:tcPr>
          <w:p w14:paraId="29FCFFDF">
            <w:pPr>
              <w:pStyle w:val="19"/>
              <w:jc w:val="both"/>
              <w:rPr>
                <w:rFonts w:hint="default" w:ascii="Times New Roman" w:hAnsi="Times New Roman" w:cs="Times New Roman"/>
                <w:color w:val="auto"/>
              </w:rPr>
            </w:pPr>
            <w:r>
              <w:rPr>
                <w:rFonts w:hint="default" w:ascii="Times New Roman" w:hAnsi="Times New Roman" w:cs="Times New Roman"/>
                <w:color w:val="auto"/>
              </w:rPr>
              <w:t>1、管理、防护不到位；</w:t>
            </w:r>
          </w:p>
          <w:p w14:paraId="51F6DEF6">
            <w:pPr>
              <w:pStyle w:val="19"/>
              <w:jc w:val="both"/>
              <w:rPr>
                <w:rFonts w:hint="default" w:ascii="Times New Roman" w:hAnsi="Times New Roman" w:cs="Times New Roman"/>
                <w:color w:val="auto"/>
              </w:rPr>
            </w:pPr>
            <w:r>
              <w:rPr>
                <w:rFonts w:hint="default" w:ascii="Times New Roman" w:hAnsi="Times New Roman" w:cs="Times New Roman"/>
                <w:color w:val="auto"/>
              </w:rPr>
              <w:t>2、操作地点不安全；</w:t>
            </w:r>
          </w:p>
          <w:p w14:paraId="3757D7B1">
            <w:pPr>
              <w:pStyle w:val="19"/>
              <w:jc w:val="both"/>
              <w:rPr>
                <w:rFonts w:hint="default" w:ascii="Times New Roman" w:hAnsi="Times New Roman" w:cs="Times New Roman"/>
                <w:color w:val="auto"/>
              </w:rPr>
            </w:pPr>
            <w:r>
              <w:rPr>
                <w:rFonts w:hint="default" w:ascii="Times New Roman" w:hAnsi="Times New Roman" w:cs="Times New Roman"/>
                <w:color w:val="auto"/>
              </w:rPr>
              <w:t>3、狂风和低温。</w:t>
            </w:r>
          </w:p>
        </w:tc>
        <w:tc>
          <w:tcPr>
            <w:tcW w:w="733" w:type="dxa"/>
            <w:noWrap w:val="0"/>
            <w:vAlign w:val="center"/>
          </w:tcPr>
          <w:p w14:paraId="0ACBF1AF">
            <w:pPr>
              <w:pStyle w:val="19"/>
              <w:rPr>
                <w:rFonts w:hint="default" w:ascii="Times New Roman" w:hAnsi="Times New Roman" w:cs="Times New Roman"/>
                <w:color w:val="auto"/>
              </w:rPr>
            </w:pPr>
            <w:r>
              <w:rPr>
                <w:rFonts w:hint="default" w:ascii="Times New Roman" w:hAnsi="Times New Roman" w:cs="Times New Roman"/>
                <w:color w:val="auto"/>
              </w:rPr>
              <w:t>坠落摔倒</w:t>
            </w:r>
          </w:p>
        </w:tc>
        <w:tc>
          <w:tcPr>
            <w:tcW w:w="717" w:type="dxa"/>
            <w:noWrap w:val="0"/>
            <w:vAlign w:val="center"/>
          </w:tcPr>
          <w:p w14:paraId="34BB4155">
            <w:pPr>
              <w:pStyle w:val="19"/>
              <w:rPr>
                <w:rFonts w:hint="default" w:ascii="Times New Roman" w:hAnsi="Times New Roman" w:cs="Times New Roman"/>
                <w:color w:val="auto"/>
              </w:rPr>
            </w:pPr>
            <w:r>
              <w:rPr>
                <w:rFonts w:hint="default" w:ascii="Times New Roman" w:hAnsi="Times New Roman" w:cs="Times New Roman"/>
                <w:color w:val="auto"/>
              </w:rPr>
              <w:t>人员受伤或死亡</w:t>
            </w:r>
          </w:p>
        </w:tc>
        <w:tc>
          <w:tcPr>
            <w:tcW w:w="766" w:type="dxa"/>
            <w:noWrap w:val="0"/>
            <w:vAlign w:val="center"/>
          </w:tcPr>
          <w:p w14:paraId="426EAF4E">
            <w:pPr>
              <w:pStyle w:val="19"/>
              <w:rPr>
                <w:rFonts w:hint="default" w:ascii="Times New Roman" w:hAnsi="Times New Roman" w:cs="Times New Roman"/>
                <w:color w:val="auto"/>
                <w:lang w:val="sq-AL"/>
              </w:rPr>
            </w:pPr>
            <w:r>
              <w:rPr>
                <w:rFonts w:hint="default" w:ascii="Times New Roman" w:hAnsi="Times New Roman" w:cs="Times New Roman"/>
                <w:color w:val="auto"/>
              </w:rPr>
              <w:t>Ⅱ</w:t>
            </w:r>
          </w:p>
        </w:tc>
        <w:tc>
          <w:tcPr>
            <w:tcW w:w="984" w:type="dxa"/>
            <w:noWrap w:val="0"/>
            <w:vAlign w:val="center"/>
          </w:tcPr>
          <w:p w14:paraId="3663E39A">
            <w:pPr>
              <w:pStyle w:val="19"/>
              <w:rPr>
                <w:rFonts w:hint="default" w:ascii="Times New Roman" w:hAnsi="Times New Roman" w:cs="Times New Roman"/>
                <w:color w:val="auto"/>
              </w:rPr>
            </w:pPr>
            <w:r>
              <w:rPr>
                <w:rFonts w:hint="default" w:ascii="Times New Roman" w:hAnsi="Times New Roman" w:cs="Times New Roman"/>
                <w:color w:val="auto"/>
              </w:rPr>
              <w:t>B</w:t>
            </w:r>
          </w:p>
        </w:tc>
        <w:tc>
          <w:tcPr>
            <w:tcW w:w="2336" w:type="dxa"/>
            <w:noWrap w:val="0"/>
            <w:vAlign w:val="center"/>
          </w:tcPr>
          <w:p w14:paraId="7E243EFB">
            <w:pPr>
              <w:pStyle w:val="19"/>
              <w:jc w:val="both"/>
              <w:rPr>
                <w:rFonts w:hint="default" w:ascii="Times New Roman" w:hAnsi="Times New Roman" w:cs="Times New Roman"/>
                <w:color w:val="auto"/>
              </w:rPr>
            </w:pPr>
            <w:r>
              <w:rPr>
                <w:rFonts w:hint="default" w:ascii="Times New Roman" w:hAnsi="Times New Roman" w:cs="Times New Roman"/>
                <w:color w:val="auto"/>
              </w:rPr>
              <w:t>1、增强安全意识，加强个体防护；</w:t>
            </w:r>
          </w:p>
          <w:p w14:paraId="7C28A798">
            <w:pPr>
              <w:pStyle w:val="19"/>
              <w:jc w:val="both"/>
              <w:rPr>
                <w:rFonts w:hint="default" w:ascii="Times New Roman" w:hAnsi="Times New Roman" w:cs="Times New Roman"/>
                <w:color w:val="auto"/>
              </w:rPr>
            </w:pPr>
            <w:r>
              <w:rPr>
                <w:rFonts w:hint="default" w:ascii="Times New Roman" w:hAnsi="Times New Roman" w:cs="Times New Roman"/>
                <w:color w:val="auto"/>
              </w:rPr>
              <w:t>2、检查作业场所的管理和防护措施；</w:t>
            </w:r>
          </w:p>
          <w:p w14:paraId="78A1B3C6">
            <w:pPr>
              <w:pStyle w:val="19"/>
              <w:jc w:val="both"/>
              <w:rPr>
                <w:rFonts w:hint="default" w:ascii="Times New Roman" w:hAnsi="Times New Roman" w:cs="Times New Roman"/>
                <w:color w:val="auto"/>
              </w:rPr>
            </w:pPr>
            <w:r>
              <w:rPr>
                <w:rFonts w:hint="default" w:ascii="Times New Roman" w:hAnsi="Times New Roman" w:cs="Times New Roman"/>
                <w:color w:val="auto"/>
              </w:rPr>
              <w:t>3、设置警示标志，遵守操作规程；</w:t>
            </w:r>
          </w:p>
          <w:p w14:paraId="450429CA">
            <w:pPr>
              <w:pStyle w:val="19"/>
              <w:jc w:val="both"/>
              <w:rPr>
                <w:rFonts w:hint="default" w:ascii="Times New Roman" w:hAnsi="Times New Roman" w:cs="Times New Roman"/>
                <w:color w:val="auto"/>
              </w:rPr>
            </w:pPr>
            <w:r>
              <w:rPr>
                <w:rFonts w:hint="default" w:ascii="Times New Roman" w:hAnsi="Times New Roman" w:cs="Times New Roman"/>
                <w:color w:val="auto"/>
              </w:rPr>
              <w:t>4、梯子、平台和易滑倒操作通道地面应有防滑措施；</w:t>
            </w:r>
          </w:p>
          <w:p w14:paraId="7A0E1195">
            <w:pPr>
              <w:pStyle w:val="19"/>
              <w:jc w:val="both"/>
              <w:rPr>
                <w:rFonts w:hint="default" w:ascii="Times New Roman" w:hAnsi="Times New Roman" w:cs="Times New Roman"/>
                <w:color w:val="auto"/>
              </w:rPr>
            </w:pPr>
            <w:r>
              <w:rPr>
                <w:rFonts w:hint="default" w:ascii="Times New Roman" w:hAnsi="Times New Roman" w:cs="Times New Roman"/>
                <w:color w:val="auto"/>
              </w:rPr>
              <w:t>5、采取防风和保温措施。</w:t>
            </w:r>
          </w:p>
        </w:tc>
      </w:tr>
      <w:tr w14:paraId="7EF73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1" w:type="dxa"/>
            <w:noWrap w:val="0"/>
            <w:vAlign w:val="center"/>
          </w:tcPr>
          <w:p w14:paraId="0C34067D">
            <w:pPr>
              <w:pStyle w:val="19"/>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物体打击</w:t>
            </w:r>
          </w:p>
        </w:tc>
        <w:tc>
          <w:tcPr>
            <w:tcW w:w="881" w:type="dxa"/>
            <w:noWrap w:val="0"/>
            <w:vAlign w:val="center"/>
          </w:tcPr>
          <w:p w14:paraId="651EA3C9">
            <w:pPr>
              <w:pStyle w:val="19"/>
              <w:ind w:firstLine="0" w:firstLineChars="0"/>
              <w:jc w:val="both"/>
              <w:rPr>
                <w:rFonts w:hint="default" w:ascii="Times New Roman" w:hAnsi="Times New Roman" w:cs="Times New Roman"/>
                <w:color w:val="auto"/>
              </w:rPr>
            </w:pPr>
            <w:r>
              <w:rPr>
                <w:rFonts w:hint="eastAsia" w:ascii="Times New Roman" w:hAnsi="Times New Roman" w:eastAsia="宋体" w:cs="Times New Roman"/>
                <w:color w:val="auto"/>
                <w:kern w:val="2"/>
                <w:sz w:val="21"/>
                <w:szCs w:val="24"/>
                <w:lang w:val="en-US" w:eastAsia="zh-CN" w:bidi="ar-SA"/>
              </w:rPr>
              <w:t>高处作业检维修物料、工具坠落打击人体</w:t>
            </w:r>
          </w:p>
        </w:tc>
        <w:tc>
          <w:tcPr>
            <w:tcW w:w="2253" w:type="dxa"/>
            <w:noWrap w:val="0"/>
            <w:vAlign w:val="center"/>
          </w:tcPr>
          <w:p w14:paraId="31DD3792">
            <w:pPr>
              <w:pStyle w:val="19"/>
              <w:jc w:val="both"/>
              <w:rPr>
                <w:rFonts w:hint="default"/>
                <w:color w:val="auto"/>
              </w:rPr>
            </w:pPr>
            <w:r>
              <w:rPr>
                <w:rFonts w:hint="default"/>
                <w:color w:val="auto"/>
              </w:rPr>
              <w:t>1、</w:t>
            </w:r>
            <w:r>
              <w:rPr>
                <w:rFonts w:hint="eastAsia"/>
                <w:color w:val="auto"/>
                <w:lang w:eastAsia="zh-CN"/>
              </w:rPr>
              <w:t>高处作业</w:t>
            </w:r>
            <w:r>
              <w:rPr>
                <w:rFonts w:hint="default"/>
                <w:color w:val="auto"/>
              </w:rPr>
              <w:t>，人员作业疏忽；</w:t>
            </w:r>
          </w:p>
          <w:p w14:paraId="7695B618">
            <w:pPr>
              <w:pStyle w:val="19"/>
              <w:jc w:val="both"/>
              <w:rPr>
                <w:rFonts w:hint="default"/>
                <w:color w:val="auto"/>
              </w:rPr>
            </w:pPr>
            <w:r>
              <w:rPr>
                <w:rFonts w:hint="default"/>
                <w:color w:val="auto"/>
              </w:rPr>
              <w:t>2、无安全警示标志</w:t>
            </w:r>
            <w:r>
              <w:rPr>
                <w:rFonts w:hint="eastAsia"/>
                <w:color w:val="auto"/>
                <w:lang w:eastAsia="zh-CN"/>
              </w:rPr>
              <w:t>及安全隔离装置</w:t>
            </w:r>
            <w:r>
              <w:rPr>
                <w:rFonts w:hint="default"/>
                <w:color w:val="auto"/>
              </w:rPr>
              <w:t>。</w:t>
            </w:r>
          </w:p>
          <w:p w14:paraId="0FBFA2A2">
            <w:pPr>
              <w:pStyle w:val="19"/>
              <w:ind w:firstLine="0" w:firstLineChars="0"/>
              <w:jc w:val="both"/>
              <w:rPr>
                <w:rFonts w:hint="default" w:ascii="Times New Roman" w:hAnsi="Times New Roman" w:cs="Times New Roman"/>
                <w:color w:val="auto"/>
              </w:rPr>
            </w:pPr>
            <w:r>
              <w:rPr>
                <w:rFonts w:hint="default"/>
                <w:color w:val="auto"/>
              </w:rPr>
              <w:t>3、</w:t>
            </w:r>
            <w:r>
              <w:rPr>
                <w:rFonts w:hint="eastAsia"/>
                <w:color w:val="auto"/>
                <w:lang w:eastAsia="zh-CN"/>
              </w:rPr>
              <w:t>高</w:t>
            </w:r>
            <w:r>
              <w:rPr>
                <w:rFonts w:hint="default"/>
                <w:color w:val="auto"/>
              </w:rPr>
              <w:t>临边未设置安全设施。</w:t>
            </w:r>
          </w:p>
        </w:tc>
        <w:tc>
          <w:tcPr>
            <w:tcW w:w="733" w:type="dxa"/>
            <w:noWrap w:val="0"/>
            <w:vAlign w:val="center"/>
          </w:tcPr>
          <w:p w14:paraId="6454548D">
            <w:pPr>
              <w:pStyle w:val="19"/>
              <w:ind w:firstLine="0" w:firstLineChars="0"/>
              <w:rPr>
                <w:rFonts w:hint="default" w:ascii="Times New Roman" w:hAnsi="Times New Roman" w:cs="Times New Roman"/>
                <w:color w:val="auto"/>
              </w:rPr>
            </w:pPr>
            <w:r>
              <w:rPr>
                <w:rFonts w:hint="eastAsia" w:ascii="Times New Roman" w:hAnsi="Times New Roman" w:eastAsia="宋体" w:cs="Times New Roman"/>
                <w:color w:val="auto"/>
                <w:kern w:val="2"/>
                <w:sz w:val="21"/>
                <w:szCs w:val="24"/>
                <w:lang w:val="en-US" w:eastAsia="zh-CN" w:bidi="ar-SA"/>
              </w:rPr>
              <w:t>高速物体打击人体</w:t>
            </w:r>
          </w:p>
        </w:tc>
        <w:tc>
          <w:tcPr>
            <w:tcW w:w="717" w:type="dxa"/>
            <w:noWrap w:val="0"/>
            <w:vAlign w:val="center"/>
          </w:tcPr>
          <w:p w14:paraId="128A3D42">
            <w:pPr>
              <w:pStyle w:val="19"/>
              <w:ind w:firstLine="0" w:firstLineChars="0"/>
              <w:rPr>
                <w:rFonts w:hint="default" w:ascii="Times New Roman" w:hAnsi="Times New Roman" w:cs="Times New Roman"/>
                <w:color w:val="auto"/>
              </w:rPr>
            </w:pPr>
            <w:r>
              <w:rPr>
                <w:rFonts w:hint="default"/>
                <w:color w:val="auto"/>
              </w:rPr>
              <w:t>人员伤亡</w:t>
            </w:r>
          </w:p>
        </w:tc>
        <w:tc>
          <w:tcPr>
            <w:tcW w:w="766" w:type="dxa"/>
            <w:noWrap w:val="0"/>
            <w:vAlign w:val="center"/>
          </w:tcPr>
          <w:p w14:paraId="620036F7">
            <w:pPr>
              <w:pStyle w:val="19"/>
              <w:ind w:firstLine="0" w:firstLineChars="0"/>
              <w:rPr>
                <w:rFonts w:hint="default" w:ascii="Times New Roman" w:hAnsi="Times New Roman" w:cs="Times New Roman"/>
                <w:color w:val="auto"/>
              </w:rPr>
            </w:pPr>
            <w:r>
              <w:rPr>
                <w:rFonts w:hint="default"/>
                <w:color w:val="auto"/>
              </w:rPr>
              <w:t>Ⅱ</w:t>
            </w:r>
          </w:p>
        </w:tc>
        <w:tc>
          <w:tcPr>
            <w:tcW w:w="984" w:type="dxa"/>
            <w:noWrap w:val="0"/>
            <w:vAlign w:val="center"/>
          </w:tcPr>
          <w:p w14:paraId="704F51DB">
            <w:pPr>
              <w:pStyle w:val="19"/>
              <w:ind w:firstLine="0" w:firstLineChars="0"/>
              <w:rPr>
                <w:rFonts w:hint="default" w:ascii="Times New Roman" w:hAnsi="Times New Roman" w:cs="Times New Roman"/>
                <w:color w:val="auto"/>
              </w:rPr>
            </w:pPr>
            <w:r>
              <w:rPr>
                <w:rFonts w:hint="default"/>
                <w:color w:val="auto"/>
              </w:rPr>
              <w:t>C</w:t>
            </w:r>
          </w:p>
        </w:tc>
        <w:tc>
          <w:tcPr>
            <w:tcW w:w="2336" w:type="dxa"/>
            <w:noWrap w:val="0"/>
            <w:vAlign w:val="center"/>
          </w:tcPr>
          <w:p w14:paraId="6C75402F">
            <w:pPr>
              <w:pStyle w:val="19"/>
              <w:jc w:val="both"/>
              <w:rPr>
                <w:rFonts w:hint="default"/>
                <w:color w:val="auto"/>
              </w:rPr>
            </w:pPr>
            <w:r>
              <w:rPr>
                <w:rFonts w:hint="default"/>
                <w:color w:val="auto"/>
              </w:rPr>
              <w:t>1、</w:t>
            </w:r>
            <w:r>
              <w:rPr>
                <w:rFonts w:hint="eastAsia"/>
                <w:color w:val="auto"/>
                <w:lang w:eastAsia="zh-CN"/>
              </w:rPr>
              <w:t>高平台</w:t>
            </w:r>
            <w:r>
              <w:rPr>
                <w:rFonts w:hint="default"/>
                <w:color w:val="auto"/>
              </w:rPr>
              <w:t>过程中，作业人员要专心作业；</w:t>
            </w:r>
          </w:p>
          <w:p w14:paraId="5E9B5C71">
            <w:pPr>
              <w:pStyle w:val="19"/>
              <w:jc w:val="both"/>
              <w:rPr>
                <w:rFonts w:hint="default"/>
                <w:color w:val="auto"/>
              </w:rPr>
            </w:pPr>
            <w:r>
              <w:rPr>
                <w:rFonts w:hint="default"/>
                <w:color w:val="auto"/>
              </w:rPr>
              <w:t>2、</w:t>
            </w:r>
            <w:r>
              <w:rPr>
                <w:rFonts w:hint="eastAsia"/>
                <w:color w:val="auto"/>
                <w:lang w:eastAsia="zh-CN"/>
              </w:rPr>
              <w:t>高处作业下</w:t>
            </w:r>
            <w:r>
              <w:rPr>
                <w:rFonts w:hint="default"/>
                <w:color w:val="auto"/>
              </w:rPr>
              <w:t>部设置明显安全警示标志</w:t>
            </w:r>
            <w:r>
              <w:rPr>
                <w:rFonts w:hint="eastAsia"/>
                <w:color w:val="auto"/>
                <w:lang w:eastAsia="zh-CN"/>
              </w:rPr>
              <w:t>及隔离装置</w:t>
            </w:r>
            <w:r>
              <w:rPr>
                <w:rFonts w:hint="default"/>
                <w:color w:val="auto"/>
              </w:rPr>
              <w:t>；</w:t>
            </w:r>
          </w:p>
          <w:p w14:paraId="11141E24">
            <w:pPr>
              <w:pStyle w:val="19"/>
              <w:ind w:firstLine="0" w:firstLineChars="0"/>
              <w:jc w:val="both"/>
              <w:rPr>
                <w:rFonts w:hint="default" w:ascii="Times New Roman" w:hAnsi="Times New Roman" w:cs="Times New Roman"/>
                <w:color w:val="auto"/>
              </w:rPr>
            </w:pPr>
            <w:r>
              <w:rPr>
                <w:rFonts w:hint="default"/>
                <w:color w:val="auto"/>
              </w:rPr>
              <w:t>3、</w:t>
            </w:r>
            <w:r>
              <w:rPr>
                <w:rFonts w:hint="eastAsia"/>
                <w:color w:val="auto"/>
                <w:lang w:eastAsia="zh-CN"/>
              </w:rPr>
              <w:t>高临边处设置踢脚板或其他安全设施</w:t>
            </w:r>
            <w:r>
              <w:rPr>
                <w:rFonts w:hint="default"/>
                <w:color w:val="auto"/>
              </w:rPr>
              <w:t>。</w:t>
            </w:r>
          </w:p>
        </w:tc>
      </w:tr>
    </w:tbl>
    <w:p w14:paraId="13BA3A23">
      <w:pPr>
        <w:bidi w:val="0"/>
        <w:rPr>
          <w:rFonts w:hint="eastAsia"/>
          <w:color w:val="auto"/>
        </w:rPr>
      </w:pPr>
      <w:r>
        <w:rPr>
          <w:rFonts w:hint="eastAsia"/>
          <w:color w:val="auto"/>
        </w:rPr>
        <w:t>通过PHA分析，本单元无重大危险有害因素，但对存在的危险有害因素仍须引起重视和采取措施加以防范。</w:t>
      </w:r>
    </w:p>
    <w:p w14:paraId="17BE391C">
      <w:pPr>
        <w:bidi w:val="0"/>
        <w:rPr>
          <w:rFonts w:hint="eastAsia"/>
          <w:color w:val="auto"/>
        </w:rPr>
      </w:pPr>
      <w:r>
        <w:rPr>
          <w:rFonts w:hint="eastAsia"/>
          <w:color w:val="auto"/>
        </w:rPr>
        <w:t>本单元预先危险性等级系数按下式确定：</w:t>
      </w:r>
    </w:p>
    <w:p w14:paraId="0B0D23BE">
      <w:pPr>
        <w:bidi w:val="0"/>
        <w:rPr>
          <w:rFonts w:hint="eastAsia"/>
          <w:color w:val="auto"/>
        </w:rPr>
      </w:pPr>
      <w:r>
        <w:rPr>
          <w:rFonts w:hint="eastAsia"/>
          <w:color w:val="auto"/>
        </w:rPr>
        <w:t>W=∑（P×K）/∑K</w:t>
      </w:r>
    </w:p>
    <w:p w14:paraId="0E410882">
      <w:pPr>
        <w:bidi w:val="0"/>
        <w:rPr>
          <w:rFonts w:hint="eastAsia"/>
          <w:color w:val="auto"/>
        </w:rPr>
      </w:pPr>
      <w:r>
        <w:rPr>
          <w:rFonts w:hint="eastAsia"/>
          <w:color w:val="auto"/>
        </w:rPr>
        <w:t>式中：W—系统（单元）预先危险性等级系数；</w:t>
      </w:r>
    </w:p>
    <w:p w14:paraId="0FA713AF">
      <w:pPr>
        <w:bidi w:val="0"/>
        <w:rPr>
          <w:rFonts w:hint="eastAsia"/>
          <w:color w:val="auto"/>
        </w:rPr>
      </w:pPr>
      <w:r>
        <w:rPr>
          <w:rFonts w:hint="eastAsia"/>
          <w:color w:val="auto"/>
        </w:rPr>
        <w:t>P—分析项目的危险性等级系数；</w:t>
      </w:r>
    </w:p>
    <w:p w14:paraId="1633C46B">
      <w:pPr>
        <w:bidi w:val="0"/>
        <w:rPr>
          <w:rFonts w:hint="eastAsia"/>
          <w:color w:val="auto"/>
        </w:rPr>
      </w:pPr>
      <w:r>
        <w:rPr>
          <w:rFonts w:hint="eastAsia"/>
          <w:color w:val="auto"/>
        </w:rPr>
        <w:t>K—分析项目发生事故的概率系数。</w:t>
      </w:r>
    </w:p>
    <w:p w14:paraId="7400B47A">
      <w:pPr>
        <w:bidi w:val="0"/>
        <w:rPr>
          <w:rFonts w:hint="default" w:eastAsia="宋体"/>
          <w:color w:val="auto"/>
          <w:lang w:val="en-US" w:eastAsia="zh-CN"/>
        </w:rPr>
      </w:pPr>
      <w:r>
        <w:rPr>
          <w:rFonts w:hint="eastAsia"/>
          <w:color w:val="auto"/>
        </w:rPr>
        <w:t>W=（2×0.10+4×0.20+4×0.30+4×0.10+2×0.10+2×0.20）/（0.10+0.20+0.30+0.10+0.10+0.20）=</w:t>
      </w:r>
      <w:r>
        <w:rPr>
          <w:rFonts w:hint="eastAsia"/>
          <w:color w:val="auto"/>
          <w:lang w:val="en-US" w:eastAsia="zh-CN"/>
        </w:rPr>
        <w:t>2.2</w:t>
      </w:r>
    </w:p>
    <w:p w14:paraId="13942E3D">
      <w:pPr>
        <w:bidi w:val="0"/>
        <w:rPr>
          <w:rFonts w:hint="eastAsia"/>
          <w:color w:val="auto"/>
        </w:rPr>
      </w:pPr>
      <w:r>
        <w:rPr>
          <w:rFonts w:hint="eastAsia"/>
          <w:color w:val="auto"/>
        </w:rPr>
        <w:t>预先危险性分析结论：本单元预先危险性等级系数为</w:t>
      </w:r>
      <w:r>
        <w:rPr>
          <w:rFonts w:hint="default"/>
          <w:color w:val="auto"/>
        </w:rPr>
        <w:t>Ⅱ</w:t>
      </w:r>
      <w:r>
        <w:rPr>
          <w:rFonts w:hint="eastAsia"/>
          <w:color w:val="auto"/>
        </w:rPr>
        <w:t>级，系统危险程度为</w:t>
      </w:r>
      <w:r>
        <w:rPr>
          <w:rFonts w:hint="eastAsia"/>
          <w:color w:val="auto"/>
          <w:lang w:val="en-US" w:eastAsia="zh-CN"/>
        </w:rPr>
        <w:t>比较</w:t>
      </w:r>
      <w:r>
        <w:rPr>
          <w:rFonts w:hint="eastAsia"/>
          <w:color w:val="auto"/>
        </w:rPr>
        <w:t>危险。</w:t>
      </w:r>
    </w:p>
    <w:p w14:paraId="674536FF">
      <w:pPr>
        <w:pStyle w:val="5"/>
        <w:bidi w:val="0"/>
        <w:rPr>
          <w:rFonts w:hint="eastAsia"/>
          <w:color w:val="auto"/>
        </w:rPr>
      </w:pPr>
      <w:r>
        <w:rPr>
          <w:rFonts w:hint="eastAsia"/>
          <w:color w:val="auto"/>
        </w:rPr>
        <w:t>5.2.</w:t>
      </w:r>
      <w:r>
        <w:rPr>
          <w:rFonts w:hint="eastAsia"/>
          <w:color w:val="auto"/>
          <w:lang w:val="en-US" w:eastAsia="zh-CN"/>
        </w:rPr>
        <w:t>4</w:t>
      </w:r>
      <w:r>
        <w:rPr>
          <w:rFonts w:hint="eastAsia"/>
          <w:color w:val="auto"/>
        </w:rPr>
        <w:t>.3 评价子单元小结</w:t>
      </w:r>
    </w:p>
    <w:p w14:paraId="773274DE">
      <w:pPr>
        <w:bidi w:val="0"/>
        <w:rPr>
          <w:rFonts w:hint="eastAsia"/>
          <w:color w:val="auto"/>
        </w:rPr>
      </w:pPr>
      <w:r>
        <w:rPr>
          <w:rFonts w:hint="eastAsia"/>
          <w:color w:val="auto"/>
        </w:rPr>
        <w:t>通过定性分析，本单元机械设备较多，电路复杂，若防护装置不全，易造成机械伤害及触电事故，故需做好机械设备及电路的维修保养工作，避免人员伤害事故的发生。</w:t>
      </w:r>
    </w:p>
    <w:p w14:paraId="0E00CCA5">
      <w:pPr>
        <w:pStyle w:val="4"/>
        <w:bidi w:val="0"/>
        <w:rPr>
          <w:rFonts w:hint="default"/>
          <w:color w:val="auto"/>
        </w:rPr>
      </w:pPr>
      <w:bookmarkStart w:id="192" w:name="_Toc14030"/>
      <w:bookmarkStart w:id="193" w:name="_Toc5603"/>
      <w:r>
        <w:rPr>
          <w:rFonts w:hint="default"/>
          <w:color w:val="auto"/>
        </w:rPr>
        <w:t>5.2.</w:t>
      </w:r>
      <w:r>
        <w:rPr>
          <w:rFonts w:hint="eastAsia"/>
          <w:color w:val="auto"/>
          <w:lang w:val="en-US" w:eastAsia="zh-CN"/>
        </w:rPr>
        <w:t xml:space="preserve">5 </w:t>
      </w:r>
      <w:r>
        <w:rPr>
          <w:rFonts w:hint="default"/>
          <w:color w:val="auto"/>
        </w:rPr>
        <w:t>机械伤害事故树分析</w:t>
      </w:r>
      <w:bookmarkEnd w:id="192"/>
      <w:bookmarkEnd w:id="193"/>
    </w:p>
    <w:p w14:paraId="53F89E52">
      <w:pPr>
        <w:pStyle w:val="9"/>
        <w:pageBreakBefore w:val="0"/>
        <w:widowControl w:val="0"/>
        <w:kinsoku/>
        <w:wordWrap/>
        <w:overflowPunct/>
        <w:topLinePunct w:val="0"/>
        <w:autoSpaceDE/>
        <w:autoSpaceDN/>
        <w:bidi w:val="0"/>
        <w:adjustRightInd/>
        <w:snapToGrid/>
        <w:spacing w:line="500" w:lineRule="exact"/>
        <w:ind w:firstLine="560"/>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一、机械伤害事故的分析及预防</w:t>
      </w:r>
    </w:p>
    <w:p w14:paraId="07EE8BEC">
      <w:pPr>
        <w:pStyle w:val="9"/>
        <w:pageBreakBefore w:val="0"/>
        <w:widowControl w:val="0"/>
        <w:kinsoku/>
        <w:wordWrap/>
        <w:overflowPunct/>
        <w:topLinePunct w:val="0"/>
        <w:autoSpaceDE/>
        <w:autoSpaceDN/>
        <w:bidi w:val="0"/>
        <w:adjustRightInd/>
        <w:snapToGrid/>
        <w:spacing w:line="500" w:lineRule="exact"/>
        <w:ind w:firstLine="560"/>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机械伤害是机械设备运行过程中常见的事故之一，指机械设备与工具引起的绞、碾、碰、割、戳、切等伤害，即刀具飞出伤人，手或身体其他部位卷入，手或其他部位被刀具碰伤，被设备的转动机构缠住等造成的伤害。已列入其他事故类别的机械设备造成的机械伤害除外，如车辆、起重设备和压力容器等造成的伤害。</w:t>
      </w:r>
    </w:p>
    <w:p w14:paraId="2B94088C">
      <w:pPr>
        <w:pStyle w:val="9"/>
        <w:pageBreakBefore w:val="0"/>
        <w:widowControl w:val="0"/>
        <w:kinsoku/>
        <w:wordWrap/>
        <w:overflowPunct/>
        <w:topLinePunct w:val="0"/>
        <w:autoSpaceDE/>
        <w:autoSpaceDN/>
        <w:bidi w:val="0"/>
        <w:adjustRightInd/>
        <w:snapToGrid/>
        <w:spacing w:line="500" w:lineRule="exact"/>
        <w:ind w:firstLine="560"/>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选矿过程中的主要设备有磁选机、磨矿机、皮带运输机等。所有这些机械设备在使用过程中，由于机械设备运动（静止）部件、工具、加工件直接与人体接触引起夹击、碰撞、剪切、卷入、绞、碾、割、刺等伤害。</w:t>
      </w:r>
    </w:p>
    <w:p w14:paraId="2ACF153D">
      <w:pPr>
        <w:pStyle w:val="9"/>
        <w:pageBreakBefore w:val="0"/>
        <w:widowControl w:val="0"/>
        <w:kinsoku/>
        <w:wordWrap/>
        <w:overflowPunct/>
        <w:topLinePunct w:val="0"/>
        <w:autoSpaceDE/>
        <w:autoSpaceDN/>
        <w:bidi w:val="0"/>
        <w:adjustRightInd/>
        <w:snapToGrid/>
        <w:spacing w:line="500" w:lineRule="exact"/>
        <w:ind w:firstLine="560"/>
        <w:textAlignment w:val="auto"/>
        <w:rPr>
          <w:rFonts w:hint="eastAsia"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rPr>
        <w:t>滚筒磁选机机械伤害风险源</w:t>
      </w:r>
      <w:r>
        <w:rPr>
          <w:rFonts w:hint="eastAsia" w:ascii="Times New Roman" w:hAnsi="Times New Roman" w:cs="Times New Roman"/>
          <w:color w:val="auto"/>
          <w:sz w:val="28"/>
          <w:szCs w:val="28"/>
          <w:lang w:eastAsia="zh-CN"/>
        </w:rPr>
        <w:t>：滚筒表面及边缘的卷入/碾压风险，滚筒轴及轴承的旋转伤害；外露旋转部件的卷入风险，传动部件的断裂/脱落风险；进料/出料装置的挤压风险，机架与滚筒的间隙剪切风险；启动/停机阶段的意外运动，违章操作导致的直接接触，维护不当引发的部件失效。</w:t>
      </w:r>
    </w:p>
    <w:p w14:paraId="3BD6F9A7">
      <w:pPr>
        <w:pStyle w:val="9"/>
        <w:pageBreakBefore w:val="0"/>
        <w:widowControl w:val="0"/>
        <w:kinsoku/>
        <w:wordWrap/>
        <w:overflowPunct/>
        <w:topLinePunct w:val="0"/>
        <w:autoSpaceDE/>
        <w:autoSpaceDN/>
        <w:bidi w:val="0"/>
        <w:adjustRightInd/>
        <w:snapToGrid/>
        <w:spacing w:line="500" w:lineRule="exact"/>
        <w:ind w:firstLine="560"/>
        <w:textAlignment w:val="auto"/>
        <w:rPr>
          <w:rFonts w:hint="eastAsia"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rPr>
        <w:t>球磨机机械伤害风险源</w:t>
      </w:r>
      <w:r>
        <w:rPr>
          <w:rFonts w:hint="eastAsia" w:ascii="Times New Roman" w:hAnsi="Times New Roman" w:cs="Times New Roman"/>
          <w:color w:val="auto"/>
          <w:sz w:val="28"/>
          <w:szCs w:val="28"/>
          <w:lang w:eastAsia="zh-CN"/>
        </w:rPr>
        <w:t>：</w:t>
      </w:r>
      <w:r>
        <w:rPr>
          <w:rFonts w:hint="default" w:ascii="Times New Roman" w:hAnsi="Times New Roman" w:eastAsia="宋体" w:cs="Times New Roman"/>
          <w:color w:val="auto"/>
          <w:sz w:val="28"/>
          <w:szCs w:val="28"/>
        </w:rPr>
        <w:t>旋转部件（电机、减速器、联轴器、传动轴等）的</w:t>
      </w:r>
      <w:r>
        <w:rPr>
          <w:rFonts w:hint="eastAsia" w:ascii="Times New Roman" w:hAnsi="Times New Roman" w:cs="Times New Roman"/>
          <w:color w:val="auto"/>
          <w:sz w:val="28"/>
          <w:szCs w:val="28"/>
          <w:lang w:eastAsia="zh-CN"/>
        </w:rPr>
        <w:t>“</w:t>
      </w:r>
      <w:r>
        <w:rPr>
          <w:rFonts w:hint="default" w:ascii="Times New Roman" w:hAnsi="Times New Roman" w:eastAsia="宋体" w:cs="Times New Roman"/>
          <w:color w:val="auto"/>
          <w:sz w:val="28"/>
          <w:szCs w:val="28"/>
        </w:rPr>
        <w:t>卷入与绞伤</w:t>
      </w:r>
      <w:r>
        <w:rPr>
          <w:rFonts w:hint="eastAsia" w:ascii="Times New Roman" w:hAnsi="Times New Roman" w:cs="Times New Roman"/>
          <w:color w:val="auto"/>
          <w:sz w:val="28"/>
          <w:szCs w:val="28"/>
          <w:lang w:eastAsia="zh-CN"/>
        </w:rPr>
        <w:t>”</w:t>
      </w:r>
      <w:r>
        <w:rPr>
          <w:rFonts w:hint="default" w:ascii="Times New Roman" w:hAnsi="Times New Roman" w:eastAsia="宋体" w:cs="Times New Roman"/>
          <w:color w:val="auto"/>
          <w:sz w:val="28"/>
          <w:szCs w:val="28"/>
        </w:rPr>
        <w:t>风险</w:t>
      </w:r>
      <w:r>
        <w:rPr>
          <w:rFonts w:hint="eastAsia" w:ascii="Times New Roman" w:hAnsi="Times New Roman" w:cs="Times New Roman"/>
          <w:color w:val="auto"/>
          <w:sz w:val="28"/>
          <w:szCs w:val="28"/>
          <w:lang w:eastAsia="zh-CN"/>
        </w:rPr>
        <w:t>，运动部件的“挤压与剪切”风险，部件“脱落与飞出”的撞击风险，维护检修过程中的“突发风险”，设备失衡与振动的“次生伤害”。</w:t>
      </w:r>
    </w:p>
    <w:p w14:paraId="2B2FFBE7">
      <w:pPr>
        <w:pStyle w:val="9"/>
        <w:pageBreakBefore w:val="0"/>
        <w:widowControl w:val="0"/>
        <w:kinsoku/>
        <w:wordWrap/>
        <w:overflowPunct/>
        <w:topLinePunct w:val="0"/>
        <w:autoSpaceDE/>
        <w:autoSpaceDN/>
        <w:bidi w:val="0"/>
        <w:adjustRightInd/>
        <w:snapToGrid/>
        <w:spacing w:line="500" w:lineRule="exact"/>
        <w:ind w:firstLine="560"/>
        <w:textAlignment w:val="auto"/>
        <w:rPr>
          <w:rFonts w:hint="eastAsia"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rPr>
        <w:t>皮带运输机机械伤害风险源</w:t>
      </w:r>
      <w:r>
        <w:rPr>
          <w:rFonts w:hint="eastAsia" w:ascii="Times New Roman" w:hAnsi="Times New Roman" w:cs="Times New Roman"/>
          <w:color w:val="auto"/>
          <w:sz w:val="28"/>
          <w:szCs w:val="28"/>
          <w:lang w:eastAsia="zh-CN"/>
        </w:rPr>
        <w:t>：</w:t>
      </w:r>
      <w:r>
        <w:rPr>
          <w:rFonts w:hint="default" w:ascii="Times New Roman" w:hAnsi="Times New Roman" w:eastAsia="宋体" w:cs="Times New Roman"/>
          <w:color w:val="auto"/>
          <w:sz w:val="28"/>
          <w:szCs w:val="28"/>
        </w:rPr>
        <w:t>皮带运输机的驱动、传动及转向部件多为旋转结构，易导致人员肢体、衣物被卷入，造成严重伤害。输送带的持续运动与固定结构之间会形成</w:t>
      </w:r>
      <w:r>
        <w:rPr>
          <w:rFonts w:hint="eastAsia" w:ascii="Times New Roman" w:hAnsi="Times New Roman" w:cs="Times New Roman"/>
          <w:color w:val="auto"/>
          <w:sz w:val="28"/>
          <w:szCs w:val="28"/>
          <w:lang w:eastAsia="zh-CN"/>
        </w:rPr>
        <w:t>“</w:t>
      </w:r>
      <w:r>
        <w:rPr>
          <w:rFonts w:hint="default" w:ascii="Times New Roman" w:hAnsi="Times New Roman" w:eastAsia="宋体" w:cs="Times New Roman"/>
          <w:color w:val="auto"/>
          <w:sz w:val="28"/>
          <w:szCs w:val="28"/>
        </w:rPr>
        <w:t>挤压间隙</w:t>
      </w:r>
      <w:r>
        <w:rPr>
          <w:rFonts w:hint="eastAsia" w:ascii="Times New Roman" w:hAnsi="Times New Roman" w:cs="Times New Roman"/>
          <w:color w:val="auto"/>
          <w:sz w:val="28"/>
          <w:szCs w:val="28"/>
          <w:lang w:eastAsia="zh-CN"/>
        </w:rPr>
        <w:t>”</w:t>
      </w:r>
      <w:r>
        <w:rPr>
          <w:rFonts w:hint="default" w:ascii="Times New Roman" w:hAnsi="Times New Roman" w:eastAsia="宋体" w:cs="Times New Roman"/>
          <w:color w:val="auto"/>
          <w:sz w:val="28"/>
          <w:szCs w:val="28"/>
        </w:rPr>
        <w:t>或</w:t>
      </w:r>
      <w:r>
        <w:rPr>
          <w:rFonts w:hint="eastAsia" w:ascii="Times New Roman" w:hAnsi="Times New Roman" w:cs="Times New Roman"/>
          <w:color w:val="auto"/>
          <w:sz w:val="28"/>
          <w:szCs w:val="28"/>
          <w:lang w:eastAsia="zh-CN"/>
        </w:rPr>
        <w:t>“</w:t>
      </w:r>
      <w:r>
        <w:rPr>
          <w:rFonts w:hint="default" w:ascii="Times New Roman" w:hAnsi="Times New Roman" w:eastAsia="宋体" w:cs="Times New Roman"/>
          <w:color w:val="auto"/>
          <w:sz w:val="28"/>
          <w:szCs w:val="28"/>
        </w:rPr>
        <w:t>剪切面</w:t>
      </w:r>
      <w:r>
        <w:rPr>
          <w:rFonts w:hint="eastAsia" w:ascii="Times New Roman" w:hAnsi="Times New Roman" w:cs="Times New Roman"/>
          <w:color w:val="auto"/>
          <w:sz w:val="28"/>
          <w:szCs w:val="28"/>
          <w:lang w:eastAsia="zh-CN"/>
        </w:rPr>
        <w:t>”</w:t>
      </w:r>
      <w:r>
        <w:rPr>
          <w:rFonts w:hint="default" w:ascii="Times New Roman" w:hAnsi="Times New Roman" w:eastAsia="宋体" w:cs="Times New Roman"/>
          <w:color w:val="auto"/>
          <w:sz w:val="28"/>
          <w:szCs w:val="28"/>
        </w:rPr>
        <w:t>，导致肢体被夹伤、切割。物料输送时可能因设备故障或操作不当导致物料飞溅、坠落，或设备部件脱落，造成撞击伤害。在设备启停、检修、清洁等操作环节，因操作不规范或防护缺失，易引发机械伤害。输送带长期运行后可能因安装偏差、托辊磨损等出现跑偏，或设备整体失衡，引发次生风险</w:t>
      </w:r>
      <w:r>
        <w:rPr>
          <w:rFonts w:hint="eastAsia" w:ascii="Times New Roman" w:hAnsi="Times New Roman" w:cs="Times New Roman"/>
          <w:color w:val="auto"/>
          <w:sz w:val="28"/>
          <w:szCs w:val="28"/>
          <w:lang w:eastAsia="zh-CN"/>
        </w:rPr>
        <w:t>。</w:t>
      </w:r>
    </w:p>
    <w:p w14:paraId="467E2163">
      <w:pPr>
        <w:pStyle w:val="9"/>
        <w:pageBreakBefore w:val="0"/>
        <w:widowControl w:val="0"/>
        <w:kinsoku/>
        <w:wordWrap/>
        <w:overflowPunct/>
        <w:topLinePunct w:val="0"/>
        <w:autoSpaceDE/>
        <w:autoSpaceDN/>
        <w:bidi w:val="0"/>
        <w:adjustRightInd/>
        <w:snapToGrid/>
        <w:spacing w:line="500" w:lineRule="exact"/>
        <w:ind w:firstLine="560"/>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选矿厂机械设备使用较多且密集，因此有针对性地对机械设备操作过程中出现的事故进行分析，采取有效的措施进行预防，大大改善机械设备操作的安全状况，可避免或减少机械伤害事故的发生，加强对从业人员的人身保护，促进企业的健康发展。</w:t>
      </w:r>
    </w:p>
    <w:p w14:paraId="5A5A984F">
      <w:pPr>
        <w:pStyle w:val="9"/>
        <w:pageBreakBefore w:val="0"/>
        <w:widowControl w:val="0"/>
        <w:kinsoku/>
        <w:wordWrap/>
        <w:overflowPunct/>
        <w:topLinePunct w:val="0"/>
        <w:autoSpaceDE/>
        <w:autoSpaceDN/>
        <w:bidi w:val="0"/>
        <w:adjustRightInd/>
        <w:snapToGrid/>
        <w:spacing w:line="500" w:lineRule="exact"/>
        <w:ind w:firstLine="560"/>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二、机械伤害事故的事故树的确定</w:t>
      </w:r>
    </w:p>
    <w:p w14:paraId="448A6C19">
      <w:pPr>
        <w:pStyle w:val="9"/>
        <w:pageBreakBefore w:val="0"/>
        <w:widowControl w:val="0"/>
        <w:kinsoku/>
        <w:wordWrap/>
        <w:overflowPunct/>
        <w:topLinePunct w:val="0"/>
        <w:autoSpaceDE/>
        <w:autoSpaceDN/>
        <w:bidi w:val="0"/>
        <w:adjustRightInd/>
        <w:snapToGrid/>
        <w:spacing w:line="500" w:lineRule="exact"/>
        <w:ind w:firstLine="560"/>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从安全系统工程学的角度来看，造成机械伤害的原因可以从人、机、环境3个方面进行分析。人、机、环境3个方面中的任何1个出现缺陷，都有可能引起机械伤害事故。</w:t>
      </w:r>
    </w:p>
    <w:p w14:paraId="35EF5F2E">
      <w:pPr>
        <w:pStyle w:val="9"/>
        <w:pageBreakBefore w:val="0"/>
        <w:widowControl w:val="0"/>
        <w:kinsoku/>
        <w:wordWrap/>
        <w:overflowPunct/>
        <w:topLinePunct w:val="0"/>
        <w:autoSpaceDE/>
        <w:autoSpaceDN/>
        <w:bidi w:val="0"/>
        <w:adjustRightInd/>
        <w:snapToGrid/>
        <w:spacing w:line="500" w:lineRule="exact"/>
        <w:ind w:firstLine="560"/>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下面采用事故树分析方法，对机械伤害事故的影响因素进行分析。分析以作业人员遭受机械伤害作为事故树的顶上事件T，发生机械伤害事故的基本影响因素为X，根据事件间的逻辑关系，构造出机械伤害事故的事故树，该事故树共包含10个基本事件。详见图5-1机械伤害事故的事故树图。</w:t>
      </w:r>
    </w:p>
    <w:p w14:paraId="5678CF4B">
      <w:pPr>
        <w:pStyle w:val="9"/>
        <w:pageBreakBefore w:val="0"/>
        <w:widowControl w:val="0"/>
        <w:kinsoku/>
        <w:wordWrap/>
        <w:overflowPunct/>
        <w:topLinePunct w:val="0"/>
        <w:autoSpaceDE/>
        <w:autoSpaceDN/>
        <w:bidi w:val="0"/>
        <w:adjustRightInd/>
        <w:snapToGrid/>
        <w:spacing w:line="500" w:lineRule="exact"/>
        <w:ind w:firstLine="560"/>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T=ABC=(X</w:t>
      </w:r>
      <w:r>
        <w:rPr>
          <w:rFonts w:hint="default" w:ascii="Times New Roman" w:hAnsi="Times New Roman" w:eastAsia="宋体" w:cs="Times New Roman"/>
          <w:color w:val="auto"/>
          <w:sz w:val="28"/>
          <w:szCs w:val="28"/>
          <w:vertAlign w:val="subscript"/>
        </w:rPr>
        <w:t>1</w:t>
      </w:r>
      <w:r>
        <w:rPr>
          <w:rFonts w:hint="default" w:ascii="Times New Roman" w:hAnsi="Times New Roman" w:eastAsia="宋体" w:cs="Times New Roman"/>
          <w:color w:val="auto"/>
          <w:sz w:val="28"/>
          <w:szCs w:val="28"/>
        </w:rPr>
        <w:t>+X</w:t>
      </w:r>
      <w:r>
        <w:rPr>
          <w:rFonts w:hint="default" w:ascii="Times New Roman" w:hAnsi="Times New Roman" w:eastAsia="宋体" w:cs="Times New Roman"/>
          <w:color w:val="auto"/>
          <w:sz w:val="28"/>
          <w:szCs w:val="28"/>
          <w:vertAlign w:val="subscript"/>
        </w:rPr>
        <w:t>2</w:t>
      </w:r>
      <w:r>
        <w:rPr>
          <w:rFonts w:hint="default" w:ascii="Times New Roman" w:hAnsi="Times New Roman" w:eastAsia="宋体" w:cs="Times New Roman"/>
          <w:color w:val="auto"/>
          <w:sz w:val="28"/>
          <w:szCs w:val="28"/>
        </w:rPr>
        <w:t>+X</w:t>
      </w:r>
      <w:r>
        <w:rPr>
          <w:rFonts w:hint="default" w:ascii="Times New Roman" w:hAnsi="Times New Roman" w:eastAsia="宋体" w:cs="Times New Roman"/>
          <w:color w:val="auto"/>
          <w:sz w:val="28"/>
          <w:szCs w:val="28"/>
          <w:vertAlign w:val="subscript"/>
        </w:rPr>
        <w:t>3</w:t>
      </w:r>
      <w:r>
        <w:rPr>
          <w:rFonts w:hint="default" w:ascii="Times New Roman" w:hAnsi="Times New Roman" w:eastAsia="宋体" w:cs="Times New Roman"/>
          <w:color w:val="auto"/>
          <w:sz w:val="28"/>
          <w:szCs w:val="28"/>
        </w:rPr>
        <w:t>)(X</w:t>
      </w:r>
      <w:r>
        <w:rPr>
          <w:rFonts w:hint="default" w:ascii="Times New Roman" w:hAnsi="Times New Roman" w:eastAsia="宋体" w:cs="Times New Roman"/>
          <w:color w:val="auto"/>
          <w:sz w:val="28"/>
          <w:szCs w:val="28"/>
          <w:vertAlign w:val="subscript"/>
        </w:rPr>
        <w:t>4</w:t>
      </w:r>
      <w:r>
        <w:rPr>
          <w:rFonts w:hint="default" w:ascii="Times New Roman" w:hAnsi="Times New Roman" w:eastAsia="宋体" w:cs="Times New Roman"/>
          <w:color w:val="auto"/>
          <w:sz w:val="28"/>
          <w:szCs w:val="28"/>
        </w:rPr>
        <w:t>+X</w:t>
      </w:r>
      <w:r>
        <w:rPr>
          <w:rFonts w:hint="default" w:ascii="Times New Roman" w:hAnsi="Times New Roman" w:eastAsia="宋体" w:cs="Times New Roman"/>
          <w:color w:val="auto"/>
          <w:sz w:val="28"/>
          <w:szCs w:val="28"/>
          <w:vertAlign w:val="subscript"/>
        </w:rPr>
        <w:t>5</w:t>
      </w:r>
      <w:r>
        <w:rPr>
          <w:rFonts w:hint="default" w:ascii="Times New Roman" w:hAnsi="Times New Roman" w:eastAsia="宋体" w:cs="Times New Roman"/>
          <w:color w:val="auto"/>
          <w:sz w:val="28"/>
          <w:szCs w:val="28"/>
        </w:rPr>
        <w:t>+X</w:t>
      </w:r>
      <w:r>
        <w:rPr>
          <w:rFonts w:hint="default" w:ascii="Times New Roman" w:hAnsi="Times New Roman" w:eastAsia="宋体" w:cs="Times New Roman"/>
          <w:color w:val="auto"/>
          <w:sz w:val="28"/>
          <w:szCs w:val="28"/>
          <w:vertAlign w:val="subscript"/>
        </w:rPr>
        <w:t>6</w:t>
      </w:r>
      <w:r>
        <w:rPr>
          <w:rFonts w:hint="default" w:ascii="Times New Roman" w:hAnsi="Times New Roman" w:eastAsia="宋体" w:cs="Times New Roman"/>
          <w:color w:val="auto"/>
          <w:sz w:val="28"/>
          <w:szCs w:val="28"/>
        </w:rPr>
        <w:t>+X</w:t>
      </w:r>
      <w:r>
        <w:rPr>
          <w:rFonts w:hint="default" w:ascii="Times New Roman" w:hAnsi="Times New Roman" w:eastAsia="宋体" w:cs="Times New Roman"/>
          <w:color w:val="auto"/>
          <w:sz w:val="28"/>
          <w:szCs w:val="28"/>
          <w:vertAlign w:val="subscript"/>
        </w:rPr>
        <w:t>7</w:t>
      </w:r>
      <w:r>
        <w:rPr>
          <w:rFonts w:hint="default" w:ascii="Times New Roman" w:hAnsi="Times New Roman" w:eastAsia="宋体" w:cs="Times New Roman"/>
          <w:color w:val="auto"/>
          <w:sz w:val="28"/>
          <w:szCs w:val="28"/>
        </w:rPr>
        <w:t>)(X</w:t>
      </w:r>
      <w:r>
        <w:rPr>
          <w:rFonts w:hint="default" w:ascii="Times New Roman" w:hAnsi="Times New Roman" w:eastAsia="宋体" w:cs="Times New Roman"/>
          <w:color w:val="auto"/>
          <w:sz w:val="28"/>
          <w:szCs w:val="28"/>
          <w:vertAlign w:val="subscript"/>
        </w:rPr>
        <w:t>8</w:t>
      </w:r>
      <w:r>
        <w:rPr>
          <w:rFonts w:hint="default" w:ascii="Times New Roman" w:hAnsi="Times New Roman" w:eastAsia="宋体" w:cs="Times New Roman"/>
          <w:color w:val="auto"/>
          <w:sz w:val="28"/>
          <w:szCs w:val="28"/>
        </w:rPr>
        <w:t>+X</w:t>
      </w:r>
      <w:r>
        <w:rPr>
          <w:rFonts w:hint="default" w:ascii="Times New Roman" w:hAnsi="Times New Roman" w:eastAsia="宋体" w:cs="Times New Roman"/>
          <w:color w:val="auto"/>
          <w:sz w:val="28"/>
          <w:szCs w:val="28"/>
          <w:vertAlign w:val="subscript"/>
        </w:rPr>
        <w:t>9</w:t>
      </w:r>
      <w:r>
        <w:rPr>
          <w:rFonts w:hint="default" w:ascii="Times New Roman" w:hAnsi="Times New Roman" w:eastAsia="宋体" w:cs="Times New Roman"/>
          <w:color w:val="auto"/>
          <w:sz w:val="28"/>
          <w:szCs w:val="28"/>
        </w:rPr>
        <w:t>+X</w:t>
      </w:r>
      <w:r>
        <w:rPr>
          <w:rFonts w:hint="default" w:ascii="Times New Roman" w:hAnsi="Times New Roman" w:eastAsia="宋体" w:cs="Times New Roman"/>
          <w:color w:val="auto"/>
          <w:sz w:val="28"/>
          <w:szCs w:val="28"/>
          <w:vertAlign w:val="subscript"/>
        </w:rPr>
        <w:t>10</w:t>
      </w:r>
      <w:r>
        <w:rPr>
          <w:rFonts w:hint="default" w:ascii="Times New Roman" w:hAnsi="Times New Roman" w:eastAsia="宋体" w:cs="Times New Roman"/>
          <w:color w:val="auto"/>
          <w:sz w:val="28"/>
          <w:szCs w:val="28"/>
        </w:rPr>
        <w:t>)</w:t>
      </w:r>
    </w:p>
    <w:p w14:paraId="70DC220B">
      <w:pPr>
        <w:pStyle w:val="9"/>
        <w:pageBreakBefore w:val="0"/>
        <w:widowControl w:val="0"/>
        <w:kinsoku/>
        <w:wordWrap/>
        <w:overflowPunct/>
        <w:topLinePunct w:val="0"/>
        <w:autoSpaceDE/>
        <w:autoSpaceDN/>
        <w:bidi w:val="0"/>
        <w:adjustRightInd/>
        <w:snapToGrid/>
        <w:spacing w:line="500" w:lineRule="exact"/>
        <w:ind w:firstLine="560"/>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将上式展开后，可以得到36组最小割集，整理如下表所示：</w:t>
      </w:r>
    </w:p>
    <w:p w14:paraId="66AF6C01">
      <w:pPr>
        <w:pStyle w:val="18"/>
        <w:bidi w:val="0"/>
        <w:rPr>
          <w:rFonts w:hint="default"/>
          <w:color w:val="auto"/>
        </w:rPr>
      </w:pPr>
      <w:r>
        <w:rPr>
          <w:rFonts w:hint="default"/>
          <w:color w:val="auto"/>
        </w:rPr>
        <w:t>表5</w:t>
      </w:r>
      <w:r>
        <w:rPr>
          <w:rFonts w:hint="default"/>
          <w:color w:val="auto"/>
          <w:lang w:val="en-US" w:eastAsia="zh-CN"/>
        </w:rPr>
        <w:t>.2</w:t>
      </w:r>
      <w:r>
        <w:rPr>
          <w:rFonts w:hint="default"/>
          <w:color w:val="auto"/>
        </w:rPr>
        <w:t>-</w:t>
      </w:r>
      <w:r>
        <w:rPr>
          <w:rFonts w:hint="eastAsia"/>
          <w:color w:val="auto"/>
          <w:lang w:val="en-US" w:eastAsia="zh-CN"/>
        </w:rPr>
        <w:t>5</w:t>
      </w:r>
      <w:r>
        <w:rPr>
          <w:rFonts w:hint="default"/>
          <w:color w:val="auto"/>
          <w:lang w:val="en-US" w:eastAsia="zh-CN"/>
        </w:rPr>
        <w:t xml:space="preserve"> </w:t>
      </w:r>
      <w:r>
        <w:rPr>
          <w:rFonts w:hint="default"/>
          <w:color w:val="auto"/>
        </w:rPr>
        <w:t>机械伤害事故树最小割集表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6"/>
        <w:gridCol w:w="2556"/>
        <w:gridCol w:w="2409"/>
        <w:gridCol w:w="2366"/>
      </w:tblGrid>
      <w:tr w14:paraId="1EB22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6" w:type="dxa"/>
            <w:noWrap w:val="0"/>
            <w:vAlign w:val="center"/>
          </w:tcPr>
          <w:p w14:paraId="45BE57EE">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1</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1</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4</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8</w:t>
            </w:r>
            <w:r>
              <w:rPr>
                <w:rFonts w:hint="default" w:ascii="Times New Roman" w:hAnsi="Times New Roman" w:eastAsia="宋体" w:cs="Times New Roman"/>
                <w:color w:val="auto"/>
                <w:kern w:val="0"/>
                <w:sz w:val="21"/>
                <w:szCs w:val="21"/>
                <w:lang w:val="fr-FR"/>
              </w:rPr>
              <w:t>}</w:t>
            </w:r>
          </w:p>
        </w:tc>
        <w:tc>
          <w:tcPr>
            <w:tcW w:w="2556" w:type="dxa"/>
            <w:noWrap w:val="0"/>
            <w:vAlign w:val="center"/>
          </w:tcPr>
          <w:p w14:paraId="6BB334F8">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10</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3</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5</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8</w:t>
            </w:r>
            <w:r>
              <w:rPr>
                <w:rFonts w:hint="default" w:ascii="Times New Roman" w:hAnsi="Times New Roman" w:eastAsia="宋体" w:cs="Times New Roman"/>
                <w:color w:val="auto"/>
                <w:kern w:val="0"/>
                <w:sz w:val="21"/>
                <w:szCs w:val="21"/>
                <w:lang w:val="fr-FR"/>
              </w:rPr>
              <w:t>}</w:t>
            </w:r>
          </w:p>
        </w:tc>
        <w:tc>
          <w:tcPr>
            <w:tcW w:w="2409" w:type="dxa"/>
            <w:noWrap w:val="0"/>
            <w:vAlign w:val="center"/>
          </w:tcPr>
          <w:p w14:paraId="11D28462">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19</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2</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6</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9</w:t>
            </w:r>
            <w:r>
              <w:rPr>
                <w:rFonts w:hint="default" w:ascii="Times New Roman" w:hAnsi="Times New Roman" w:eastAsia="宋体" w:cs="Times New Roman"/>
                <w:color w:val="auto"/>
                <w:kern w:val="0"/>
                <w:sz w:val="21"/>
                <w:szCs w:val="21"/>
                <w:lang w:val="fr-FR"/>
              </w:rPr>
              <w:t>}</w:t>
            </w:r>
          </w:p>
        </w:tc>
        <w:tc>
          <w:tcPr>
            <w:tcW w:w="2366" w:type="dxa"/>
            <w:noWrap w:val="0"/>
            <w:vAlign w:val="center"/>
          </w:tcPr>
          <w:p w14:paraId="37E84171">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28</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1</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7</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10</w:t>
            </w:r>
            <w:r>
              <w:rPr>
                <w:rFonts w:hint="default" w:ascii="Times New Roman" w:hAnsi="Times New Roman" w:eastAsia="宋体" w:cs="Times New Roman"/>
                <w:color w:val="auto"/>
                <w:kern w:val="0"/>
                <w:sz w:val="21"/>
                <w:szCs w:val="21"/>
                <w:lang w:val="fr-FR"/>
              </w:rPr>
              <w:t>}</w:t>
            </w:r>
          </w:p>
        </w:tc>
      </w:tr>
      <w:tr w14:paraId="03B7A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6" w:type="dxa"/>
            <w:noWrap w:val="0"/>
            <w:vAlign w:val="center"/>
          </w:tcPr>
          <w:p w14:paraId="7F09C717">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2</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1</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5</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8</w:t>
            </w:r>
            <w:r>
              <w:rPr>
                <w:rFonts w:hint="default" w:ascii="Times New Roman" w:hAnsi="Times New Roman" w:eastAsia="宋体" w:cs="Times New Roman"/>
                <w:color w:val="auto"/>
                <w:kern w:val="0"/>
                <w:sz w:val="21"/>
                <w:szCs w:val="21"/>
                <w:lang w:val="fr-FR"/>
              </w:rPr>
              <w:t>}</w:t>
            </w:r>
          </w:p>
        </w:tc>
        <w:tc>
          <w:tcPr>
            <w:tcW w:w="2556" w:type="dxa"/>
            <w:noWrap w:val="0"/>
            <w:vAlign w:val="center"/>
          </w:tcPr>
          <w:p w14:paraId="32AA5C10">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11</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3</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6</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8</w:t>
            </w:r>
            <w:r>
              <w:rPr>
                <w:rFonts w:hint="default" w:ascii="Times New Roman" w:hAnsi="Times New Roman" w:eastAsia="宋体" w:cs="Times New Roman"/>
                <w:color w:val="auto"/>
                <w:kern w:val="0"/>
                <w:sz w:val="21"/>
                <w:szCs w:val="21"/>
                <w:lang w:val="fr-FR"/>
              </w:rPr>
              <w:t>}</w:t>
            </w:r>
          </w:p>
        </w:tc>
        <w:tc>
          <w:tcPr>
            <w:tcW w:w="2409" w:type="dxa"/>
            <w:noWrap w:val="0"/>
            <w:vAlign w:val="center"/>
          </w:tcPr>
          <w:p w14:paraId="692CB884">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20</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2</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7</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9</w:t>
            </w:r>
            <w:r>
              <w:rPr>
                <w:rFonts w:hint="default" w:ascii="Times New Roman" w:hAnsi="Times New Roman" w:eastAsia="宋体" w:cs="Times New Roman"/>
                <w:color w:val="auto"/>
                <w:kern w:val="0"/>
                <w:sz w:val="21"/>
                <w:szCs w:val="21"/>
                <w:lang w:val="fr-FR"/>
              </w:rPr>
              <w:t>}</w:t>
            </w:r>
          </w:p>
        </w:tc>
        <w:tc>
          <w:tcPr>
            <w:tcW w:w="2366" w:type="dxa"/>
            <w:noWrap w:val="0"/>
            <w:vAlign w:val="center"/>
          </w:tcPr>
          <w:p w14:paraId="18B364FD">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29</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2</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4</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10</w:t>
            </w:r>
            <w:r>
              <w:rPr>
                <w:rFonts w:hint="default" w:ascii="Times New Roman" w:hAnsi="Times New Roman" w:eastAsia="宋体" w:cs="Times New Roman"/>
                <w:color w:val="auto"/>
                <w:kern w:val="0"/>
                <w:sz w:val="21"/>
                <w:szCs w:val="21"/>
                <w:lang w:val="fr-FR"/>
              </w:rPr>
              <w:t>}</w:t>
            </w:r>
          </w:p>
        </w:tc>
      </w:tr>
      <w:tr w14:paraId="404E3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6" w:type="dxa"/>
            <w:noWrap w:val="0"/>
            <w:vAlign w:val="center"/>
          </w:tcPr>
          <w:p w14:paraId="7B004D4B">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3</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1</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6</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8</w:t>
            </w:r>
            <w:r>
              <w:rPr>
                <w:rFonts w:hint="default" w:ascii="Times New Roman" w:hAnsi="Times New Roman" w:eastAsia="宋体" w:cs="Times New Roman"/>
                <w:color w:val="auto"/>
                <w:kern w:val="0"/>
                <w:sz w:val="21"/>
                <w:szCs w:val="21"/>
                <w:lang w:val="fr-FR"/>
              </w:rPr>
              <w:t>}</w:t>
            </w:r>
          </w:p>
        </w:tc>
        <w:tc>
          <w:tcPr>
            <w:tcW w:w="2556" w:type="dxa"/>
            <w:noWrap w:val="0"/>
            <w:vAlign w:val="center"/>
          </w:tcPr>
          <w:p w14:paraId="19B5E246">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12</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3</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7</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8</w:t>
            </w:r>
            <w:r>
              <w:rPr>
                <w:rFonts w:hint="default" w:ascii="Times New Roman" w:hAnsi="Times New Roman" w:eastAsia="宋体" w:cs="Times New Roman"/>
                <w:color w:val="auto"/>
                <w:kern w:val="0"/>
                <w:sz w:val="21"/>
                <w:szCs w:val="21"/>
                <w:lang w:val="fr-FR"/>
              </w:rPr>
              <w:t>}</w:t>
            </w:r>
          </w:p>
        </w:tc>
        <w:tc>
          <w:tcPr>
            <w:tcW w:w="2409" w:type="dxa"/>
            <w:noWrap w:val="0"/>
            <w:vAlign w:val="center"/>
          </w:tcPr>
          <w:p w14:paraId="2E7EEF74">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21</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3</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4</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9</w:t>
            </w:r>
            <w:r>
              <w:rPr>
                <w:rFonts w:hint="default" w:ascii="Times New Roman" w:hAnsi="Times New Roman" w:eastAsia="宋体" w:cs="Times New Roman"/>
                <w:color w:val="auto"/>
                <w:kern w:val="0"/>
                <w:sz w:val="21"/>
                <w:szCs w:val="21"/>
                <w:lang w:val="fr-FR"/>
              </w:rPr>
              <w:t>}</w:t>
            </w:r>
          </w:p>
        </w:tc>
        <w:tc>
          <w:tcPr>
            <w:tcW w:w="2366" w:type="dxa"/>
            <w:noWrap w:val="0"/>
            <w:vAlign w:val="center"/>
          </w:tcPr>
          <w:p w14:paraId="1DB36A3E">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30</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2</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5</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10</w:t>
            </w:r>
            <w:r>
              <w:rPr>
                <w:rFonts w:hint="default" w:ascii="Times New Roman" w:hAnsi="Times New Roman" w:eastAsia="宋体" w:cs="Times New Roman"/>
                <w:color w:val="auto"/>
                <w:kern w:val="0"/>
                <w:sz w:val="21"/>
                <w:szCs w:val="21"/>
                <w:lang w:val="fr-FR"/>
              </w:rPr>
              <w:t>}</w:t>
            </w:r>
          </w:p>
        </w:tc>
      </w:tr>
      <w:tr w14:paraId="2F87F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6" w:type="dxa"/>
            <w:noWrap w:val="0"/>
            <w:vAlign w:val="center"/>
          </w:tcPr>
          <w:p w14:paraId="7E4509FB">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4</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1</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7</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8</w:t>
            </w:r>
            <w:r>
              <w:rPr>
                <w:rFonts w:hint="default" w:ascii="Times New Roman" w:hAnsi="Times New Roman" w:eastAsia="宋体" w:cs="Times New Roman"/>
                <w:color w:val="auto"/>
                <w:kern w:val="0"/>
                <w:sz w:val="21"/>
                <w:szCs w:val="21"/>
                <w:lang w:val="fr-FR"/>
              </w:rPr>
              <w:t>}</w:t>
            </w:r>
          </w:p>
        </w:tc>
        <w:tc>
          <w:tcPr>
            <w:tcW w:w="2556" w:type="dxa"/>
            <w:noWrap w:val="0"/>
            <w:vAlign w:val="center"/>
          </w:tcPr>
          <w:p w14:paraId="08BE834D">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13</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1</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4</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9</w:t>
            </w:r>
            <w:r>
              <w:rPr>
                <w:rFonts w:hint="default" w:ascii="Times New Roman" w:hAnsi="Times New Roman" w:eastAsia="宋体" w:cs="Times New Roman"/>
                <w:color w:val="auto"/>
                <w:kern w:val="0"/>
                <w:sz w:val="21"/>
                <w:szCs w:val="21"/>
                <w:lang w:val="fr-FR"/>
              </w:rPr>
              <w:t>}</w:t>
            </w:r>
          </w:p>
        </w:tc>
        <w:tc>
          <w:tcPr>
            <w:tcW w:w="2409" w:type="dxa"/>
            <w:noWrap w:val="0"/>
            <w:vAlign w:val="center"/>
          </w:tcPr>
          <w:p w14:paraId="219B64DD">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22</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3</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5</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9</w:t>
            </w:r>
            <w:r>
              <w:rPr>
                <w:rFonts w:hint="default" w:ascii="Times New Roman" w:hAnsi="Times New Roman" w:eastAsia="宋体" w:cs="Times New Roman"/>
                <w:color w:val="auto"/>
                <w:kern w:val="0"/>
                <w:sz w:val="21"/>
                <w:szCs w:val="21"/>
                <w:lang w:val="fr-FR"/>
              </w:rPr>
              <w:t>}</w:t>
            </w:r>
          </w:p>
        </w:tc>
        <w:tc>
          <w:tcPr>
            <w:tcW w:w="2366" w:type="dxa"/>
            <w:noWrap w:val="0"/>
            <w:vAlign w:val="center"/>
          </w:tcPr>
          <w:p w14:paraId="38431639">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31</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2</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6</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10</w:t>
            </w:r>
            <w:r>
              <w:rPr>
                <w:rFonts w:hint="default" w:ascii="Times New Roman" w:hAnsi="Times New Roman" w:eastAsia="宋体" w:cs="Times New Roman"/>
                <w:color w:val="auto"/>
                <w:kern w:val="0"/>
                <w:sz w:val="21"/>
                <w:szCs w:val="21"/>
                <w:lang w:val="fr-FR"/>
              </w:rPr>
              <w:t>}</w:t>
            </w:r>
          </w:p>
        </w:tc>
      </w:tr>
      <w:tr w14:paraId="55147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6" w:type="dxa"/>
            <w:noWrap w:val="0"/>
            <w:vAlign w:val="center"/>
          </w:tcPr>
          <w:p w14:paraId="6A4AB020">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5</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2</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4</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8</w:t>
            </w:r>
            <w:r>
              <w:rPr>
                <w:rFonts w:hint="default" w:ascii="Times New Roman" w:hAnsi="Times New Roman" w:eastAsia="宋体" w:cs="Times New Roman"/>
                <w:color w:val="auto"/>
                <w:kern w:val="0"/>
                <w:sz w:val="21"/>
                <w:szCs w:val="21"/>
                <w:lang w:val="fr-FR"/>
              </w:rPr>
              <w:t>}</w:t>
            </w:r>
          </w:p>
        </w:tc>
        <w:tc>
          <w:tcPr>
            <w:tcW w:w="2556" w:type="dxa"/>
            <w:noWrap w:val="0"/>
            <w:vAlign w:val="center"/>
          </w:tcPr>
          <w:p w14:paraId="615343E6">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14</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1</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5</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9</w:t>
            </w:r>
            <w:r>
              <w:rPr>
                <w:rFonts w:hint="default" w:ascii="Times New Roman" w:hAnsi="Times New Roman" w:eastAsia="宋体" w:cs="Times New Roman"/>
                <w:color w:val="auto"/>
                <w:kern w:val="0"/>
                <w:sz w:val="21"/>
                <w:szCs w:val="21"/>
                <w:lang w:val="fr-FR"/>
              </w:rPr>
              <w:t>}</w:t>
            </w:r>
          </w:p>
        </w:tc>
        <w:tc>
          <w:tcPr>
            <w:tcW w:w="2409" w:type="dxa"/>
            <w:noWrap w:val="0"/>
            <w:vAlign w:val="center"/>
          </w:tcPr>
          <w:p w14:paraId="3FAEF9A6">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23</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3</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6</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9</w:t>
            </w:r>
            <w:r>
              <w:rPr>
                <w:rFonts w:hint="default" w:ascii="Times New Roman" w:hAnsi="Times New Roman" w:eastAsia="宋体" w:cs="Times New Roman"/>
                <w:color w:val="auto"/>
                <w:kern w:val="0"/>
                <w:sz w:val="21"/>
                <w:szCs w:val="21"/>
                <w:lang w:val="fr-FR"/>
              </w:rPr>
              <w:t>}</w:t>
            </w:r>
          </w:p>
        </w:tc>
        <w:tc>
          <w:tcPr>
            <w:tcW w:w="2366" w:type="dxa"/>
            <w:noWrap w:val="0"/>
            <w:vAlign w:val="center"/>
          </w:tcPr>
          <w:p w14:paraId="058D32E8">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32</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2</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7</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10</w:t>
            </w:r>
            <w:r>
              <w:rPr>
                <w:rFonts w:hint="default" w:ascii="Times New Roman" w:hAnsi="Times New Roman" w:eastAsia="宋体" w:cs="Times New Roman"/>
                <w:color w:val="auto"/>
                <w:kern w:val="0"/>
                <w:sz w:val="21"/>
                <w:szCs w:val="21"/>
                <w:lang w:val="fr-FR"/>
              </w:rPr>
              <w:t>}</w:t>
            </w:r>
          </w:p>
        </w:tc>
      </w:tr>
      <w:tr w14:paraId="03D2E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6" w:type="dxa"/>
            <w:noWrap w:val="0"/>
            <w:vAlign w:val="center"/>
          </w:tcPr>
          <w:p w14:paraId="0A71F788">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6</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2</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5</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8</w:t>
            </w:r>
            <w:r>
              <w:rPr>
                <w:rFonts w:hint="default" w:ascii="Times New Roman" w:hAnsi="Times New Roman" w:eastAsia="宋体" w:cs="Times New Roman"/>
                <w:color w:val="auto"/>
                <w:kern w:val="0"/>
                <w:sz w:val="21"/>
                <w:szCs w:val="21"/>
                <w:lang w:val="fr-FR"/>
              </w:rPr>
              <w:t>}</w:t>
            </w:r>
          </w:p>
        </w:tc>
        <w:tc>
          <w:tcPr>
            <w:tcW w:w="2556" w:type="dxa"/>
            <w:noWrap w:val="0"/>
            <w:vAlign w:val="center"/>
          </w:tcPr>
          <w:p w14:paraId="0FF41629">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15</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1</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6</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9</w:t>
            </w:r>
            <w:r>
              <w:rPr>
                <w:rFonts w:hint="default" w:ascii="Times New Roman" w:hAnsi="Times New Roman" w:eastAsia="宋体" w:cs="Times New Roman"/>
                <w:color w:val="auto"/>
                <w:kern w:val="0"/>
                <w:sz w:val="21"/>
                <w:szCs w:val="21"/>
                <w:lang w:val="fr-FR"/>
              </w:rPr>
              <w:t>}</w:t>
            </w:r>
          </w:p>
        </w:tc>
        <w:tc>
          <w:tcPr>
            <w:tcW w:w="2409" w:type="dxa"/>
            <w:noWrap w:val="0"/>
            <w:vAlign w:val="center"/>
          </w:tcPr>
          <w:p w14:paraId="1378D2A9">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24</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3</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7</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9</w:t>
            </w:r>
            <w:r>
              <w:rPr>
                <w:rFonts w:hint="default" w:ascii="Times New Roman" w:hAnsi="Times New Roman" w:eastAsia="宋体" w:cs="Times New Roman"/>
                <w:color w:val="auto"/>
                <w:kern w:val="0"/>
                <w:sz w:val="21"/>
                <w:szCs w:val="21"/>
                <w:lang w:val="fr-FR"/>
              </w:rPr>
              <w:t>}</w:t>
            </w:r>
          </w:p>
        </w:tc>
        <w:tc>
          <w:tcPr>
            <w:tcW w:w="2366" w:type="dxa"/>
            <w:noWrap w:val="0"/>
            <w:vAlign w:val="center"/>
          </w:tcPr>
          <w:p w14:paraId="08E6C802">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33</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3</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4</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10</w:t>
            </w:r>
            <w:r>
              <w:rPr>
                <w:rFonts w:hint="default" w:ascii="Times New Roman" w:hAnsi="Times New Roman" w:eastAsia="宋体" w:cs="Times New Roman"/>
                <w:color w:val="auto"/>
                <w:kern w:val="0"/>
                <w:sz w:val="21"/>
                <w:szCs w:val="21"/>
                <w:lang w:val="fr-FR"/>
              </w:rPr>
              <w:t>}</w:t>
            </w:r>
          </w:p>
        </w:tc>
      </w:tr>
      <w:tr w14:paraId="4B1BC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6" w:type="dxa"/>
            <w:noWrap w:val="0"/>
            <w:vAlign w:val="center"/>
          </w:tcPr>
          <w:p w14:paraId="03CB9FB1">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7</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2</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6</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8</w:t>
            </w:r>
            <w:r>
              <w:rPr>
                <w:rFonts w:hint="default" w:ascii="Times New Roman" w:hAnsi="Times New Roman" w:eastAsia="宋体" w:cs="Times New Roman"/>
                <w:color w:val="auto"/>
                <w:kern w:val="0"/>
                <w:sz w:val="21"/>
                <w:szCs w:val="21"/>
                <w:lang w:val="fr-FR"/>
              </w:rPr>
              <w:t>}</w:t>
            </w:r>
          </w:p>
        </w:tc>
        <w:tc>
          <w:tcPr>
            <w:tcW w:w="2556" w:type="dxa"/>
            <w:noWrap w:val="0"/>
            <w:vAlign w:val="center"/>
          </w:tcPr>
          <w:p w14:paraId="2EE64A49">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16</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1</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7</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9</w:t>
            </w:r>
            <w:r>
              <w:rPr>
                <w:rFonts w:hint="default" w:ascii="Times New Roman" w:hAnsi="Times New Roman" w:eastAsia="宋体" w:cs="Times New Roman"/>
                <w:color w:val="auto"/>
                <w:kern w:val="0"/>
                <w:sz w:val="21"/>
                <w:szCs w:val="21"/>
                <w:lang w:val="fr-FR"/>
              </w:rPr>
              <w:t>}</w:t>
            </w:r>
          </w:p>
        </w:tc>
        <w:tc>
          <w:tcPr>
            <w:tcW w:w="2409" w:type="dxa"/>
            <w:noWrap w:val="0"/>
            <w:vAlign w:val="center"/>
          </w:tcPr>
          <w:p w14:paraId="42A1A96B">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25</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1</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4</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10</w:t>
            </w:r>
            <w:r>
              <w:rPr>
                <w:rFonts w:hint="default" w:ascii="Times New Roman" w:hAnsi="Times New Roman" w:eastAsia="宋体" w:cs="Times New Roman"/>
                <w:color w:val="auto"/>
                <w:kern w:val="0"/>
                <w:sz w:val="21"/>
                <w:szCs w:val="21"/>
                <w:lang w:val="fr-FR"/>
              </w:rPr>
              <w:t>}</w:t>
            </w:r>
          </w:p>
        </w:tc>
        <w:tc>
          <w:tcPr>
            <w:tcW w:w="2366" w:type="dxa"/>
            <w:noWrap w:val="0"/>
            <w:vAlign w:val="center"/>
          </w:tcPr>
          <w:p w14:paraId="29B8DCE6">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33</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3</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5</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10</w:t>
            </w:r>
            <w:r>
              <w:rPr>
                <w:rFonts w:hint="default" w:ascii="Times New Roman" w:hAnsi="Times New Roman" w:eastAsia="宋体" w:cs="Times New Roman"/>
                <w:color w:val="auto"/>
                <w:kern w:val="0"/>
                <w:sz w:val="21"/>
                <w:szCs w:val="21"/>
                <w:lang w:val="fr-FR"/>
              </w:rPr>
              <w:t>}</w:t>
            </w:r>
          </w:p>
        </w:tc>
      </w:tr>
      <w:tr w14:paraId="74B2A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6" w:type="dxa"/>
            <w:noWrap w:val="0"/>
            <w:vAlign w:val="center"/>
          </w:tcPr>
          <w:p w14:paraId="5C9DFC69">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8</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2</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7</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8</w:t>
            </w:r>
            <w:r>
              <w:rPr>
                <w:rFonts w:hint="default" w:ascii="Times New Roman" w:hAnsi="Times New Roman" w:eastAsia="宋体" w:cs="Times New Roman"/>
                <w:color w:val="auto"/>
                <w:kern w:val="0"/>
                <w:sz w:val="21"/>
                <w:szCs w:val="21"/>
                <w:lang w:val="fr-FR"/>
              </w:rPr>
              <w:t>}</w:t>
            </w:r>
          </w:p>
        </w:tc>
        <w:tc>
          <w:tcPr>
            <w:tcW w:w="2556" w:type="dxa"/>
            <w:noWrap w:val="0"/>
            <w:vAlign w:val="center"/>
          </w:tcPr>
          <w:p w14:paraId="35B277FC">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17</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2</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4</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9</w:t>
            </w:r>
            <w:r>
              <w:rPr>
                <w:rFonts w:hint="default" w:ascii="Times New Roman" w:hAnsi="Times New Roman" w:eastAsia="宋体" w:cs="Times New Roman"/>
                <w:color w:val="auto"/>
                <w:kern w:val="0"/>
                <w:sz w:val="21"/>
                <w:szCs w:val="21"/>
                <w:lang w:val="fr-FR"/>
              </w:rPr>
              <w:t>}</w:t>
            </w:r>
          </w:p>
        </w:tc>
        <w:tc>
          <w:tcPr>
            <w:tcW w:w="2409" w:type="dxa"/>
            <w:noWrap w:val="0"/>
            <w:vAlign w:val="center"/>
          </w:tcPr>
          <w:p w14:paraId="51BF1451">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26</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1</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5</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10</w:t>
            </w:r>
            <w:r>
              <w:rPr>
                <w:rFonts w:hint="default" w:ascii="Times New Roman" w:hAnsi="Times New Roman" w:eastAsia="宋体" w:cs="Times New Roman"/>
                <w:color w:val="auto"/>
                <w:kern w:val="0"/>
                <w:sz w:val="21"/>
                <w:szCs w:val="21"/>
                <w:lang w:val="fr-FR"/>
              </w:rPr>
              <w:t>}</w:t>
            </w:r>
          </w:p>
        </w:tc>
        <w:tc>
          <w:tcPr>
            <w:tcW w:w="2366" w:type="dxa"/>
            <w:noWrap w:val="0"/>
            <w:vAlign w:val="center"/>
          </w:tcPr>
          <w:p w14:paraId="20FDDD84">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33</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3</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6</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10</w:t>
            </w:r>
            <w:r>
              <w:rPr>
                <w:rFonts w:hint="default" w:ascii="Times New Roman" w:hAnsi="Times New Roman" w:eastAsia="宋体" w:cs="Times New Roman"/>
                <w:color w:val="auto"/>
                <w:kern w:val="0"/>
                <w:sz w:val="21"/>
                <w:szCs w:val="21"/>
                <w:lang w:val="fr-FR"/>
              </w:rPr>
              <w:t>}</w:t>
            </w:r>
          </w:p>
        </w:tc>
      </w:tr>
      <w:tr w14:paraId="01615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6" w:type="dxa"/>
            <w:noWrap w:val="0"/>
            <w:vAlign w:val="center"/>
          </w:tcPr>
          <w:p w14:paraId="5CABFEDD">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9</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3</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4</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8</w:t>
            </w:r>
            <w:r>
              <w:rPr>
                <w:rFonts w:hint="default" w:ascii="Times New Roman" w:hAnsi="Times New Roman" w:eastAsia="宋体" w:cs="Times New Roman"/>
                <w:color w:val="auto"/>
                <w:kern w:val="0"/>
                <w:sz w:val="21"/>
                <w:szCs w:val="21"/>
                <w:lang w:val="fr-FR"/>
              </w:rPr>
              <w:t>}</w:t>
            </w:r>
          </w:p>
        </w:tc>
        <w:tc>
          <w:tcPr>
            <w:tcW w:w="2556" w:type="dxa"/>
            <w:noWrap w:val="0"/>
            <w:vAlign w:val="center"/>
          </w:tcPr>
          <w:p w14:paraId="70953B60">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18</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2</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5</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9</w:t>
            </w:r>
            <w:r>
              <w:rPr>
                <w:rFonts w:hint="default" w:ascii="Times New Roman" w:hAnsi="Times New Roman" w:eastAsia="宋体" w:cs="Times New Roman"/>
                <w:color w:val="auto"/>
                <w:kern w:val="0"/>
                <w:sz w:val="21"/>
                <w:szCs w:val="21"/>
                <w:lang w:val="fr-FR"/>
              </w:rPr>
              <w:t>}</w:t>
            </w:r>
          </w:p>
        </w:tc>
        <w:tc>
          <w:tcPr>
            <w:tcW w:w="2409" w:type="dxa"/>
            <w:noWrap w:val="0"/>
            <w:vAlign w:val="center"/>
          </w:tcPr>
          <w:p w14:paraId="0EB9F434">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27</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1</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6</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10</w:t>
            </w:r>
            <w:r>
              <w:rPr>
                <w:rFonts w:hint="default" w:ascii="Times New Roman" w:hAnsi="Times New Roman" w:eastAsia="宋体" w:cs="Times New Roman"/>
                <w:color w:val="auto"/>
                <w:kern w:val="0"/>
                <w:sz w:val="21"/>
                <w:szCs w:val="21"/>
                <w:lang w:val="fr-FR"/>
              </w:rPr>
              <w:t>}</w:t>
            </w:r>
          </w:p>
        </w:tc>
        <w:tc>
          <w:tcPr>
            <w:tcW w:w="2366" w:type="dxa"/>
            <w:noWrap w:val="0"/>
            <w:vAlign w:val="center"/>
          </w:tcPr>
          <w:p w14:paraId="290CAFC3">
            <w:pPr>
              <w:spacing w:line="300" w:lineRule="exact"/>
              <w:ind w:firstLine="0" w:firstLineChars="0"/>
              <w:jc w:val="center"/>
              <w:rPr>
                <w:rFonts w:hint="default" w:ascii="Times New Roman" w:hAnsi="Times New Roman" w:eastAsia="宋体" w:cs="Times New Roman"/>
                <w:color w:val="auto"/>
                <w:kern w:val="0"/>
                <w:sz w:val="21"/>
                <w:szCs w:val="21"/>
                <w:lang w:val="fr-FR"/>
              </w:rPr>
            </w:pPr>
            <w:r>
              <w:rPr>
                <w:rFonts w:hint="default" w:ascii="Times New Roman" w:hAnsi="Times New Roman" w:eastAsia="宋体" w:cs="Times New Roman"/>
                <w:color w:val="auto"/>
                <w:kern w:val="0"/>
                <w:sz w:val="21"/>
                <w:szCs w:val="21"/>
                <w:lang w:val="fr-FR"/>
              </w:rPr>
              <w:t>K</w:t>
            </w:r>
            <w:r>
              <w:rPr>
                <w:rFonts w:hint="default" w:ascii="Times New Roman" w:hAnsi="Times New Roman" w:eastAsia="宋体" w:cs="Times New Roman"/>
                <w:color w:val="auto"/>
                <w:kern w:val="0"/>
                <w:sz w:val="21"/>
                <w:szCs w:val="21"/>
                <w:vertAlign w:val="subscript"/>
                <w:lang w:val="fr-FR"/>
              </w:rPr>
              <w:t>33</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3</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7</w:t>
            </w:r>
            <w:r>
              <w:rPr>
                <w:rFonts w:hint="default" w:ascii="Times New Roman" w:hAnsi="Times New Roman" w:eastAsia="宋体" w:cs="Times New Roman"/>
                <w:color w:val="auto"/>
                <w:kern w:val="0"/>
                <w:sz w:val="21"/>
                <w:szCs w:val="21"/>
                <w:lang w:val="fr-FR"/>
              </w:rPr>
              <w:t>，X</w:t>
            </w:r>
            <w:r>
              <w:rPr>
                <w:rFonts w:hint="default" w:ascii="Times New Roman" w:hAnsi="Times New Roman" w:eastAsia="宋体" w:cs="Times New Roman"/>
                <w:color w:val="auto"/>
                <w:kern w:val="0"/>
                <w:sz w:val="21"/>
                <w:szCs w:val="21"/>
                <w:vertAlign w:val="subscript"/>
                <w:lang w:val="fr-FR"/>
              </w:rPr>
              <w:t>10</w:t>
            </w:r>
            <w:r>
              <w:rPr>
                <w:rFonts w:hint="default" w:ascii="Times New Roman" w:hAnsi="Times New Roman" w:eastAsia="宋体" w:cs="Times New Roman"/>
                <w:color w:val="auto"/>
                <w:kern w:val="0"/>
                <w:sz w:val="21"/>
                <w:szCs w:val="21"/>
                <w:lang w:val="fr-FR"/>
              </w:rPr>
              <w:t>}</w:t>
            </w:r>
          </w:p>
        </w:tc>
      </w:tr>
    </w:tbl>
    <w:p w14:paraId="79535F69">
      <w:pPr>
        <w:pStyle w:val="9"/>
        <w:keepNext w:val="0"/>
        <w:keepLines w:val="0"/>
        <w:pageBreakBefore w:val="0"/>
        <w:widowControl w:val="0"/>
        <w:kinsoku/>
        <w:wordWrap/>
        <w:overflowPunct/>
        <w:topLinePunct w:val="0"/>
        <w:autoSpaceDE/>
        <w:autoSpaceDN/>
        <w:bidi w:val="0"/>
        <w:adjustRightInd/>
        <w:snapToGrid/>
        <w:spacing w:line="500" w:lineRule="exact"/>
        <w:ind w:firstLine="561"/>
        <w:textAlignment w:val="auto"/>
        <w:rPr>
          <w:rFonts w:hint="default" w:ascii="Times New Roman" w:hAnsi="Times New Roman" w:eastAsia="宋体" w:cs="Times New Roman"/>
          <w:color w:val="auto"/>
          <w:sz w:val="28"/>
        </w:rPr>
      </w:pPr>
      <w:r>
        <w:rPr>
          <w:rFonts w:hint="default" w:ascii="Times New Roman" w:hAnsi="Times New Roman" w:eastAsia="宋体" w:cs="Times New Roman"/>
          <w:color w:val="auto"/>
          <w:sz w:val="28"/>
          <w:szCs w:val="28"/>
        </w:rPr>
        <w:t>最小割集代表了顶上事件（机械伤害）发生的路径数量，每1组最小割集由不同的基本事件组成。不同的基本事件在36组割集中出现的频率大小反映了该基本事件在机械伤害事故中的重要程度。</w:t>
      </w:r>
    </w:p>
    <w:p w14:paraId="3332F088">
      <w:pPr>
        <w:pStyle w:val="18"/>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8"/>
        </w:rPr>
      </w:pPr>
      <w:r>
        <w:rPr>
          <w:rFonts w:hint="default" w:ascii="Times New Roman" w:hAnsi="Times New Roman" w:eastAsia="宋体" w:cs="Times New Roman"/>
          <w:snapToGrid w:val="0"/>
          <w:color w:val="auto"/>
          <w:kern w:val="0"/>
          <w:sz w:val="28"/>
          <w:szCs w:val="28"/>
        </w:rPr>
        <w:drawing>
          <wp:inline distT="0" distB="0" distL="114300" distR="114300">
            <wp:extent cx="5604510" cy="4404360"/>
            <wp:effectExtent l="0" t="0" r="15240" b="1524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3"/>
                    <a:stretch>
                      <a:fillRect/>
                    </a:stretch>
                  </pic:blipFill>
                  <pic:spPr>
                    <a:xfrm>
                      <a:off x="0" y="0"/>
                      <a:ext cx="5604510" cy="4404360"/>
                    </a:xfrm>
                    <a:prstGeom prst="rect">
                      <a:avLst/>
                    </a:prstGeom>
                    <a:noFill/>
                    <a:ln>
                      <a:noFill/>
                    </a:ln>
                  </pic:spPr>
                </pic:pic>
              </a:graphicData>
            </a:graphic>
          </wp:inline>
        </w:drawing>
      </w:r>
    </w:p>
    <w:p w14:paraId="3F2F1FE1">
      <w:pPr>
        <w:pStyle w:val="18"/>
        <w:bidi w:val="0"/>
        <w:rPr>
          <w:rFonts w:hint="default"/>
          <w:color w:val="auto"/>
        </w:rPr>
      </w:pPr>
      <w:r>
        <w:rPr>
          <w:rFonts w:hint="default"/>
          <w:color w:val="auto"/>
        </w:rPr>
        <w:t>图5</w:t>
      </w:r>
      <w:r>
        <w:rPr>
          <w:rFonts w:hint="default"/>
          <w:color w:val="auto"/>
          <w:lang w:val="en-US" w:eastAsia="zh-CN"/>
        </w:rPr>
        <w:t>.2</w:t>
      </w:r>
      <w:r>
        <w:rPr>
          <w:rFonts w:hint="default"/>
          <w:color w:val="auto"/>
        </w:rPr>
        <w:t>-1</w:t>
      </w:r>
      <w:r>
        <w:rPr>
          <w:rFonts w:hint="default"/>
          <w:color w:val="auto"/>
          <w:lang w:val="en-US" w:eastAsia="zh-CN"/>
        </w:rPr>
        <w:t xml:space="preserve"> </w:t>
      </w:r>
      <w:r>
        <w:rPr>
          <w:rFonts w:hint="default"/>
          <w:color w:val="auto"/>
        </w:rPr>
        <w:t>机械伤害事故的事故树图</w:t>
      </w:r>
    </w:p>
    <w:p w14:paraId="02C6CFB3">
      <w:pPr>
        <w:pageBreakBefore w:val="0"/>
        <w:widowControl w:val="0"/>
        <w:kinsoku/>
        <w:wordWrap/>
        <w:overflowPunct/>
        <w:topLinePunct w:val="0"/>
        <w:autoSpaceDE/>
        <w:autoSpaceDN/>
        <w:bidi w:val="0"/>
        <w:adjustRightInd/>
        <w:snapToGrid/>
        <w:spacing w:line="500" w:lineRule="exact"/>
        <w:ind w:firstLine="560"/>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1、最小径集的计算</w:t>
      </w:r>
    </w:p>
    <w:p w14:paraId="26F02DE3">
      <w:pPr>
        <w:pageBreakBefore w:val="0"/>
        <w:widowControl w:val="0"/>
        <w:kinsoku/>
        <w:wordWrap/>
        <w:overflowPunct/>
        <w:topLinePunct w:val="0"/>
        <w:autoSpaceDE/>
        <w:autoSpaceDN/>
        <w:bidi w:val="0"/>
        <w:adjustRightInd/>
        <w:snapToGrid/>
        <w:spacing w:line="500" w:lineRule="exact"/>
        <w:ind w:firstLine="560"/>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将事故树中的逻辑与门变成逻辑或门、逻辑或门变成逻辑与门，并将全部事件符号加上，这样事故树就变成了防止机械伤害事故的成功树。求出成功树的最小割集，即是所求事故树的最小径集。</w:t>
      </w:r>
    </w:p>
    <w:p w14:paraId="1B68E346">
      <w:pPr>
        <w:pageBreakBefore w:val="0"/>
        <w:widowControl w:val="0"/>
        <w:kinsoku/>
        <w:wordWrap/>
        <w:overflowPunct/>
        <w:topLinePunct w:val="0"/>
        <w:autoSpaceDE/>
        <w:autoSpaceDN/>
        <w:bidi w:val="0"/>
        <w:adjustRightInd/>
        <w:snapToGrid/>
        <w:spacing w:line="500" w:lineRule="exact"/>
        <w:ind w:firstLine="560"/>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成功树的最小割集求解如下:</w:t>
      </w:r>
    </w:p>
    <w:p w14:paraId="48576B12">
      <w:pPr>
        <w:bidi w:val="0"/>
        <w:rPr>
          <w:rFonts w:hint="default"/>
          <w:color w:val="auto"/>
        </w:rPr>
      </w:pPr>
      <w:r>
        <w:rPr>
          <w:rFonts w:hint="default"/>
          <w:color w:val="auto"/>
        </w:rPr>
        <w:t>T´=A´+B´+C´=X</w:t>
      </w:r>
      <w:r>
        <w:rPr>
          <w:rFonts w:hint="default"/>
          <w:color w:val="auto"/>
          <w:vertAlign w:val="subscript"/>
        </w:rPr>
        <w:t>1</w:t>
      </w:r>
      <w:r>
        <w:rPr>
          <w:rFonts w:hint="default"/>
          <w:color w:val="auto"/>
        </w:rPr>
        <w:t>´X</w:t>
      </w:r>
      <w:r>
        <w:rPr>
          <w:rFonts w:hint="default" w:ascii="Times New Roman" w:hAnsi="Times New Roman" w:eastAsia="宋体"/>
          <w:color w:val="auto"/>
          <w:vertAlign w:val="subscript"/>
        </w:rPr>
        <w:t>2</w:t>
      </w:r>
      <w:r>
        <w:rPr>
          <w:rFonts w:hint="default"/>
          <w:color w:val="auto"/>
        </w:rPr>
        <w:t>´X</w:t>
      </w:r>
      <w:r>
        <w:rPr>
          <w:rFonts w:hint="default" w:ascii="Times New Roman" w:hAnsi="Times New Roman" w:eastAsia="宋体"/>
          <w:color w:val="auto"/>
          <w:vertAlign w:val="subscript"/>
        </w:rPr>
        <w:t>3</w:t>
      </w:r>
      <w:r>
        <w:rPr>
          <w:rFonts w:hint="default"/>
          <w:color w:val="auto"/>
        </w:rPr>
        <w:t>´+X</w:t>
      </w:r>
      <w:r>
        <w:rPr>
          <w:rFonts w:hint="default" w:ascii="Times New Roman" w:hAnsi="Times New Roman" w:eastAsia="宋体"/>
          <w:color w:val="auto"/>
          <w:vertAlign w:val="subscript"/>
        </w:rPr>
        <w:t>4</w:t>
      </w:r>
      <w:r>
        <w:rPr>
          <w:rFonts w:hint="default"/>
          <w:color w:val="auto"/>
        </w:rPr>
        <w:t>´X</w:t>
      </w:r>
      <w:r>
        <w:rPr>
          <w:rFonts w:hint="default" w:ascii="Times New Roman" w:hAnsi="Times New Roman" w:eastAsia="宋体"/>
          <w:color w:val="auto"/>
          <w:vertAlign w:val="subscript"/>
        </w:rPr>
        <w:t>5</w:t>
      </w:r>
      <w:r>
        <w:rPr>
          <w:rFonts w:hint="default"/>
          <w:color w:val="auto"/>
        </w:rPr>
        <w:t>´X</w:t>
      </w:r>
      <w:r>
        <w:rPr>
          <w:rFonts w:hint="default" w:ascii="Times New Roman" w:hAnsi="Times New Roman" w:eastAsia="宋体"/>
          <w:color w:val="auto"/>
          <w:vertAlign w:val="subscript"/>
        </w:rPr>
        <w:t>6</w:t>
      </w:r>
      <w:r>
        <w:rPr>
          <w:rFonts w:hint="default"/>
          <w:color w:val="auto"/>
        </w:rPr>
        <w:t>´X</w:t>
      </w:r>
      <w:r>
        <w:rPr>
          <w:rFonts w:hint="default" w:ascii="Times New Roman" w:hAnsi="Times New Roman" w:eastAsia="宋体"/>
          <w:color w:val="auto"/>
          <w:vertAlign w:val="subscript"/>
        </w:rPr>
        <w:t>7</w:t>
      </w:r>
      <w:r>
        <w:rPr>
          <w:rFonts w:hint="default"/>
          <w:color w:val="auto"/>
        </w:rPr>
        <w:t>´+X</w:t>
      </w:r>
      <w:r>
        <w:rPr>
          <w:rFonts w:hint="default" w:ascii="Times New Roman" w:hAnsi="Times New Roman" w:eastAsia="宋体"/>
          <w:color w:val="auto"/>
          <w:vertAlign w:val="subscript"/>
        </w:rPr>
        <w:t>8</w:t>
      </w:r>
      <w:r>
        <w:rPr>
          <w:rFonts w:hint="default"/>
          <w:color w:val="auto"/>
        </w:rPr>
        <w:t>´X</w:t>
      </w:r>
      <w:r>
        <w:rPr>
          <w:rFonts w:hint="default" w:ascii="Times New Roman" w:hAnsi="Times New Roman" w:eastAsia="宋体"/>
          <w:color w:val="auto"/>
          <w:vertAlign w:val="subscript"/>
        </w:rPr>
        <w:t>9</w:t>
      </w:r>
      <w:r>
        <w:rPr>
          <w:rFonts w:hint="default"/>
          <w:color w:val="auto"/>
        </w:rPr>
        <w:t>´X</w:t>
      </w:r>
      <w:r>
        <w:rPr>
          <w:rFonts w:hint="default" w:ascii="Times New Roman" w:hAnsi="Times New Roman" w:eastAsia="宋体"/>
          <w:color w:val="auto"/>
          <w:vertAlign w:val="subscript"/>
        </w:rPr>
        <w:t>10</w:t>
      </w:r>
      <w:r>
        <w:rPr>
          <w:rFonts w:hint="default"/>
          <w:color w:val="auto"/>
        </w:rPr>
        <w:t>´</w:t>
      </w:r>
    </w:p>
    <w:p w14:paraId="73D56017">
      <w:pPr>
        <w:bidi w:val="0"/>
        <w:rPr>
          <w:rFonts w:hint="default"/>
          <w:color w:val="auto"/>
        </w:rPr>
      </w:pPr>
      <w:r>
        <w:rPr>
          <w:rFonts w:hint="default"/>
          <w:color w:val="auto"/>
        </w:rPr>
        <w:t>由上式可得，机械伤害事故的成功树的最小径集有3组:</w:t>
      </w:r>
    </w:p>
    <w:p w14:paraId="750B8599">
      <w:pPr>
        <w:bidi w:val="0"/>
        <w:rPr>
          <w:rFonts w:hint="default"/>
          <w:color w:val="auto"/>
        </w:rPr>
      </w:pPr>
      <w:r>
        <w:rPr>
          <w:rFonts w:hint="default"/>
          <w:color w:val="auto"/>
        </w:rPr>
        <w:t>2、最小割集的计算</w:t>
      </w:r>
    </w:p>
    <w:p w14:paraId="79E18F88">
      <w:pPr>
        <w:bidi w:val="0"/>
        <w:rPr>
          <w:rFonts w:hint="default"/>
          <w:color w:val="auto"/>
        </w:rPr>
      </w:pPr>
      <w:r>
        <w:rPr>
          <w:rFonts w:hint="default"/>
          <w:color w:val="auto"/>
        </w:rPr>
        <w:t>事故树表明了影响顶上事件T的10个基本事件的相互逻辑关系。根据事故树分析方法，通过求其最小割集，可以定性地确定基本事件对顶上事件的影响程度。</w:t>
      </w:r>
    </w:p>
    <w:p w14:paraId="79CB9879">
      <w:pPr>
        <w:bidi w:val="0"/>
        <w:rPr>
          <w:rFonts w:hint="eastAsia" w:eastAsia="宋体"/>
          <w:color w:val="auto"/>
          <w:lang w:eastAsia="zh-CN"/>
        </w:rPr>
      </w:pPr>
      <w:r>
        <w:rPr>
          <w:rFonts w:hint="default"/>
          <w:color w:val="auto"/>
        </w:rPr>
        <w:t>事故树的最小割集求解如下</w:t>
      </w:r>
      <w:r>
        <w:rPr>
          <w:rFonts w:hint="eastAsia"/>
          <w:color w:val="auto"/>
          <w:lang w:eastAsia="zh-CN"/>
        </w:rPr>
        <w:t>：</w:t>
      </w:r>
    </w:p>
    <w:p w14:paraId="46B14723">
      <w:pPr>
        <w:bidi w:val="0"/>
        <w:rPr>
          <w:rFonts w:hint="default"/>
          <w:color w:val="auto"/>
        </w:rPr>
      </w:pPr>
      <w:r>
        <w:rPr>
          <w:rFonts w:hint="default"/>
          <w:color w:val="auto"/>
        </w:rPr>
        <w:t>P1={X</w:t>
      </w:r>
      <w:r>
        <w:rPr>
          <w:rFonts w:hint="default" w:ascii="Times New Roman" w:hAnsi="Times New Roman" w:eastAsia="宋体"/>
          <w:color w:val="auto"/>
          <w:vertAlign w:val="subscript"/>
        </w:rPr>
        <w:t>1</w:t>
      </w:r>
      <w:r>
        <w:rPr>
          <w:rFonts w:hint="default"/>
          <w:color w:val="auto"/>
        </w:rPr>
        <w:t>´X</w:t>
      </w:r>
      <w:r>
        <w:rPr>
          <w:rFonts w:hint="default" w:ascii="Times New Roman" w:hAnsi="Times New Roman" w:eastAsia="宋体"/>
          <w:color w:val="auto"/>
          <w:vertAlign w:val="subscript"/>
        </w:rPr>
        <w:t>2</w:t>
      </w:r>
      <w:r>
        <w:rPr>
          <w:rFonts w:hint="default"/>
          <w:color w:val="auto"/>
        </w:rPr>
        <w:t>´X</w:t>
      </w:r>
      <w:r>
        <w:rPr>
          <w:rFonts w:hint="default" w:ascii="Times New Roman" w:hAnsi="Times New Roman" w:eastAsia="宋体"/>
          <w:color w:val="auto"/>
          <w:vertAlign w:val="subscript"/>
        </w:rPr>
        <w:t>3</w:t>
      </w:r>
      <w:r>
        <w:rPr>
          <w:rFonts w:hint="default"/>
          <w:color w:val="auto"/>
        </w:rPr>
        <w:t>´}</w:t>
      </w:r>
    </w:p>
    <w:p w14:paraId="23FD80F4">
      <w:pPr>
        <w:bidi w:val="0"/>
        <w:rPr>
          <w:rFonts w:hint="default"/>
          <w:color w:val="auto"/>
        </w:rPr>
      </w:pPr>
      <w:r>
        <w:rPr>
          <w:rFonts w:hint="default"/>
          <w:color w:val="auto"/>
        </w:rPr>
        <w:t>P2={X</w:t>
      </w:r>
      <w:r>
        <w:rPr>
          <w:rFonts w:hint="default" w:ascii="Times New Roman" w:hAnsi="Times New Roman" w:eastAsia="宋体"/>
          <w:color w:val="auto"/>
          <w:vertAlign w:val="subscript"/>
        </w:rPr>
        <w:t>4</w:t>
      </w:r>
      <w:r>
        <w:rPr>
          <w:rFonts w:hint="default"/>
          <w:color w:val="auto"/>
        </w:rPr>
        <w:t>´X</w:t>
      </w:r>
      <w:r>
        <w:rPr>
          <w:rFonts w:hint="default" w:ascii="Times New Roman" w:hAnsi="Times New Roman" w:eastAsia="宋体"/>
          <w:color w:val="auto"/>
          <w:vertAlign w:val="subscript"/>
        </w:rPr>
        <w:t>5</w:t>
      </w:r>
      <w:r>
        <w:rPr>
          <w:rFonts w:hint="default"/>
          <w:color w:val="auto"/>
        </w:rPr>
        <w:t>´X</w:t>
      </w:r>
      <w:r>
        <w:rPr>
          <w:rFonts w:hint="default" w:ascii="Times New Roman" w:hAnsi="Times New Roman" w:eastAsia="宋体"/>
          <w:color w:val="auto"/>
          <w:vertAlign w:val="subscript"/>
        </w:rPr>
        <w:t>6</w:t>
      </w:r>
      <w:r>
        <w:rPr>
          <w:rFonts w:hint="default"/>
          <w:color w:val="auto"/>
        </w:rPr>
        <w:t>´X</w:t>
      </w:r>
      <w:r>
        <w:rPr>
          <w:rFonts w:hint="default" w:ascii="Times New Roman" w:hAnsi="Times New Roman" w:eastAsia="宋体"/>
          <w:color w:val="auto"/>
          <w:vertAlign w:val="subscript"/>
        </w:rPr>
        <w:t>7</w:t>
      </w:r>
      <w:r>
        <w:rPr>
          <w:rFonts w:hint="default"/>
          <w:color w:val="auto"/>
        </w:rPr>
        <w:t>´}</w:t>
      </w:r>
    </w:p>
    <w:p w14:paraId="21E65BDC">
      <w:pPr>
        <w:bidi w:val="0"/>
        <w:rPr>
          <w:rFonts w:hint="default"/>
          <w:color w:val="auto"/>
        </w:rPr>
      </w:pPr>
      <w:r>
        <w:rPr>
          <w:rFonts w:hint="default"/>
          <w:color w:val="auto"/>
        </w:rPr>
        <w:t>P3={X</w:t>
      </w:r>
      <w:r>
        <w:rPr>
          <w:rFonts w:hint="default" w:ascii="Times New Roman" w:hAnsi="Times New Roman" w:eastAsia="宋体"/>
          <w:color w:val="auto"/>
          <w:vertAlign w:val="subscript"/>
        </w:rPr>
        <w:t>8</w:t>
      </w:r>
      <w:r>
        <w:rPr>
          <w:rFonts w:hint="default"/>
          <w:color w:val="auto"/>
        </w:rPr>
        <w:t>´X</w:t>
      </w:r>
      <w:r>
        <w:rPr>
          <w:rFonts w:hint="default" w:ascii="Times New Roman" w:hAnsi="Times New Roman" w:eastAsia="宋体"/>
          <w:color w:val="auto"/>
          <w:vertAlign w:val="subscript"/>
        </w:rPr>
        <w:t>9</w:t>
      </w:r>
      <w:r>
        <w:rPr>
          <w:rFonts w:hint="default"/>
          <w:color w:val="auto"/>
        </w:rPr>
        <w:t>´X</w:t>
      </w:r>
      <w:r>
        <w:rPr>
          <w:rFonts w:hint="default" w:ascii="Times New Roman" w:hAnsi="Times New Roman" w:eastAsia="宋体"/>
          <w:color w:val="auto"/>
          <w:vertAlign w:val="subscript"/>
        </w:rPr>
        <w:t>10</w:t>
      </w:r>
      <w:r>
        <w:rPr>
          <w:rFonts w:hint="default"/>
          <w:color w:val="auto"/>
        </w:rPr>
        <w:t>´}</w:t>
      </w:r>
    </w:p>
    <w:p w14:paraId="7ECE3EBF">
      <w:pPr>
        <w:bidi w:val="0"/>
        <w:rPr>
          <w:rFonts w:hint="default"/>
          <w:color w:val="auto"/>
        </w:rPr>
      </w:pPr>
      <w:r>
        <w:rPr>
          <w:rFonts w:hint="default"/>
          <w:color w:val="auto"/>
        </w:rPr>
        <w:t>3、结构重要度的计算</w:t>
      </w:r>
    </w:p>
    <w:p w14:paraId="13B2284C">
      <w:pPr>
        <w:bidi w:val="0"/>
        <w:rPr>
          <w:rFonts w:hint="default"/>
          <w:color w:val="auto"/>
        </w:rPr>
      </w:pPr>
      <w:r>
        <w:rPr>
          <w:rFonts w:hint="default"/>
          <w:color w:val="auto"/>
        </w:rPr>
        <w:t>结构重要度分析是分析基本事件对顶事件的影响程度，为改进系统安全性提供了重要的信息。利用基本事件的结构重要度系数可以较准确地判定基本事件的结构重要度顺序，但较繁琐。一般利用事故树的最小割集或最小径集来判断基本事件的结构重要度。</w:t>
      </w:r>
    </w:p>
    <w:p w14:paraId="14CF94D3">
      <w:pPr>
        <w:bidi w:val="0"/>
        <w:rPr>
          <w:rFonts w:hint="default"/>
          <w:color w:val="auto"/>
        </w:rPr>
      </w:pPr>
      <w:r>
        <w:rPr>
          <w:rFonts w:hint="default"/>
          <w:color w:val="auto"/>
        </w:rPr>
        <w:t>对机械伤害事故树的36个最小割集进行分析，可知基本事件的结构重要度排序是:</w:t>
      </w:r>
    </w:p>
    <w:p w14:paraId="309BF967">
      <w:pPr>
        <w:bidi w:val="0"/>
        <w:rPr>
          <w:rFonts w:hint="default"/>
          <w:color w:val="auto"/>
        </w:rPr>
      </w:pPr>
      <w:r>
        <w:rPr>
          <w:rFonts w:hint="default"/>
          <w:color w:val="auto"/>
        </w:rPr>
        <w:t>I(1)=I(2)=I(3)=I(8)=I(9)=I(10)&gt;I(4)=I(5)=I(6)=I(7)</w:t>
      </w:r>
    </w:p>
    <w:p w14:paraId="59233EB5">
      <w:pPr>
        <w:bidi w:val="0"/>
        <w:rPr>
          <w:rFonts w:hint="default"/>
          <w:color w:val="auto"/>
        </w:rPr>
      </w:pPr>
      <w:r>
        <w:rPr>
          <w:rFonts w:hint="default"/>
          <w:color w:val="auto"/>
        </w:rPr>
        <w:t>4、机械伤害事故发生的原因及预防措施</w:t>
      </w:r>
    </w:p>
    <w:p w14:paraId="3A5C46C6">
      <w:pPr>
        <w:bidi w:val="0"/>
        <w:rPr>
          <w:rFonts w:hint="default"/>
          <w:color w:val="auto"/>
        </w:rPr>
      </w:pPr>
      <w:r>
        <w:rPr>
          <w:rFonts w:hint="default"/>
          <w:color w:val="auto"/>
        </w:rPr>
        <w:t>机械伤害事故的原因分析：</w:t>
      </w:r>
    </w:p>
    <w:p w14:paraId="4E293CDD">
      <w:pPr>
        <w:bidi w:val="0"/>
        <w:rPr>
          <w:rFonts w:hint="default"/>
          <w:color w:val="auto"/>
        </w:rPr>
      </w:pPr>
      <w:r>
        <w:rPr>
          <w:rFonts w:hint="default"/>
          <w:color w:val="auto"/>
        </w:rPr>
        <w:t>每1个最小割集都表示顶上事件发生的一种可能。综合机械伤害事故的36组最小割集，可以得出机械伤害事故的原因有如下几方面：</w:t>
      </w:r>
    </w:p>
    <w:p w14:paraId="22809ADE">
      <w:pPr>
        <w:pageBreakBefore w:val="0"/>
        <w:widowControl w:val="0"/>
        <w:kinsoku/>
        <w:wordWrap/>
        <w:overflowPunct/>
        <w:topLinePunct w:val="0"/>
        <w:autoSpaceDE/>
        <w:autoSpaceDN/>
        <w:bidi w:val="0"/>
        <w:adjustRightInd/>
        <w:snapToGrid/>
        <w:spacing w:line="500" w:lineRule="exact"/>
        <w:ind w:firstLine="560"/>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1）违章作业，操作者不按规程进行操作。违章作业一般都是因作业人员缺乏安全知识，心存侥幸造成的，认为一次违章不一定会造成事故。检修、检查机械时，忽视安全措施；在线检修时，未采取必要的预防措施，如未断电作业、电源处未悬挂警示牌等；不小心进入机械危险部位或是未与操作人员联系，盲目接触机械危险部位。</w:t>
      </w:r>
    </w:p>
    <w:p w14:paraId="24E0C431">
      <w:pPr>
        <w:bidi w:val="0"/>
        <w:rPr>
          <w:rFonts w:hint="default"/>
          <w:color w:val="auto"/>
        </w:rPr>
      </w:pPr>
      <w:r>
        <w:rPr>
          <w:rFonts w:hint="default"/>
          <w:color w:val="auto"/>
        </w:rPr>
        <w:t>（2）安全防护设施不健全或形同虚设，主要有以下几种情况：一是无安全防护设施；二是机械设备安全防护设施损坏；三是机械设备安全防护设施被拆除；四是作业人员未按要求使用劳动防护用品。</w:t>
      </w:r>
    </w:p>
    <w:p w14:paraId="68496F8E">
      <w:pPr>
        <w:bidi w:val="0"/>
        <w:rPr>
          <w:rFonts w:hint="default"/>
          <w:color w:val="auto"/>
        </w:rPr>
      </w:pPr>
      <w:r>
        <w:rPr>
          <w:rFonts w:hint="default"/>
          <w:color w:val="auto"/>
        </w:rPr>
        <w:t>（3）误触开关或违章开机。操作者操作时注意力不集中或思想过于紧张而发生误操作，操作者业务技术素质低，操作不熟练，缺乏正规的专业培训以及监督检查不够。</w:t>
      </w:r>
    </w:p>
    <w:p w14:paraId="7C38879C">
      <w:pPr>
        <w:bidi w:val="0"/>
        <w:rPr>
          <w:rFonts w:hint="default"/>
          <w:color w:val="auto"/>
        </w:rPr>
      </w:pPr>
      <w:r>
        <w:rPr>
          <w:rFonts w:hint="default"/>
          <w:color w:val="auto"/>
          <w:lang w:eastAsia="zh-CN"/>
        </w:rPr>
        <w:t>（</w:t>
      </w:r>
      <w:r>
        <w:rPr>
          <w:rFonts w:hint="default"/>
          <w:color w:val="auto"/>
          <w:lang w:val="en-US" w:eastAsia="zh-CN"/>
        </w:rPr>
        <w:t>4</w:t>
      </w:r>
      <w:r>
        <w:rPr>
          <w:rFonts w:hint="default"/>
          <w:color w:val="auto"/>
          <w:lang w:eastAsia="zh-CN"/>
        </w:rPr>
        <w:t>）</w:t>
      </w:r>
      <w:r>
        <w:rPr>
          <w:rFonts w:hint="default"/>
          <w:color w:val="auto"/>
        </w:rPr>
        <w:t>安全生产意识淡薄，安全管理机制不健全。</w:t>
      </w:r>
    </w:p>
    <w:p w14:paraId="21A781FB">
      <w:pPr>
        <w:bidi w:val="0"/>
        <w:rPr>
          <w:rFonts w:hint="default"/>
          <w:color w:val="auto"/>
        </w:rPr>
      </w:pPr>
      <w:r>
        <w:rPr>
          <w:rFonts w:hint="default"/>
          <w:color w:val="auto"/>
        </w:rPr>
        <w:t>预防措施：</w:t>
      </w:r>
    </w:p>
    <w:p w14:paraId="74488B51">
      <w:pPr>
        <w:bidi w:val="0"/>
        <w:rPr>
          <w:rFonts w:hint="default"/>
          <w:color w:val="auto"/>
        </w:rPr>
      </w:pPr>
      <w:r>
        <w:rPr>
          <w:rFonts w:hint="default"/>
          <w:color w:val="auto"/>
        </w:rPr>
        <w:t>最小径集表明，1个最小径集中所包含的基本事件都不发生，就可以防止顶上事件发生。从机械伤害事故的成功树的3组最小径集，可以得出预防机械伤害事故的有效措施，最大限度地保证机械设备操作的安全。</w:t>
      </w:r>
    </w:p>
    <w:p w14:paraId="3DE48858">
      <w:pPr>
        <w:bidi w:val="0"/>
        <w:rPr>
          <w:rFonts w:hint="default"/>
          <w:color w:val="auto"/>
        </w:rPr>
      </w:pPr>
      <w:r>
        <w:rPr>
          <w:rFonts w:hint="default"/>
          <w:color w:val="auto"/>
        </w:rPr>
        <w:t>（1）检修、检查机械设备时，必须落实各项安全措施。</w:t>
      </w:r>
    </w:p>
    <w:p w14:paraId="66F47026">
      <w:pPr>
        <w:bidi w:val="0"/>
        <w:rPr>
          <w:rFonts w:hint="default"/>
          <w:color w:val="auto"/>
        </w:rPr>
      </w:pPr>
      <w:r>
        <w:rPr>
          <w:rFonts w:hint="default"/>
          <w:color w:val="auto"/>
        </w:rPr>
        <w:t>（2）对各种机械的传动带、明齿轮、接近地面的联轴节、皮带轮、飞轮等易伤人体的部位都必须有完好的防护设施。</w:t>
      </w:r>
    </w:p>
    <w:p w14:paraId="570C009D">
      <w:pPr>
        <w:bidi w:val="0"/>
        <w:rPr>
          <w:rFonts w:hint="default"/>
          <w:color w:val="auto"/>
        </w:rPr>
      </w:pPr>
      <w:r>
        <w:rPr>
          <w:rFonts w:hint="default"/>
          <w:color w:val="auto"/>
        </w:rPr>
        <w:t>（3）合理布置各种电源开关并设置明确标志，防止误启动设备发生伤人事故。对人孔、投料口、绞笼井等部位应设置警示牌、护栏及盖板等，防止操作人员发生误动作。</w:t>
      </w:r>
    </w:p>
    <w:p w14:paraId="2091D3DC">
      <w:pPr>
        <w:bidi w:val="0"/>
        <w:rPr>
          <w:rFonts w:ascii="Times New Roman" w:hAnsi="Times New Roman" w:eastAsia="宋体" w:cs="Times New Roman"/>
          <w:color w:val="auto"/>
          <w:sz w:val="28"/>
        </w:rPr>
      </w:pPr>
      <w:r>
        <w:rPr>
          <w:rFonts w:hint="default" w:ascii="Times New Roman" w:hAnsi="Times New Roman" w:eastAsia="宋体" w:cs="Times New Roman"/>
          <w:color w:val="auto"/>
          <w:sz w:val="28"/>
          <w:szCs w:val="28"/>
        </w:rPr>
        <w:t>（4）提高机械操作人员的技能和增强作业人员的安全意识，必须经过严格的专业技术培训，考试合格后方可岗，严格遵守相关规定。</w:t>
      </w:r>
    </w:p>
    <w:p w14:paraId="29A6D6D0">
      <w:pPr>
        <w:pStyle w:val="4"/>
        <w:bidi w:val="0"/>
        <w:rPr>
          <w:rFonts w:hint="eastAsia"/>
          <w:color w:val="auto"/>
        </w:rPr>
      </w:pPr>
      <w:bookmarkStart w:id="194" w:name="_Toc17181"/>
      <w:r>
        <w:rPr>
          <w:rFonts w:hint="eastAsia"/>
          <w:color w:val="auto"/>
        </w:rPr>
        <w:t>5.2.</w:t>
      </w:r>
      <w:r>
        <w:rPr>
          <w:rFonts w:hint="eastAsia"/>
          <w:color w:val="auto"/>
          <w:lang w:val="en-US" w:eastAsia="zh-CN"/>
        </w:rPr>
        <w:t xml:space="preserve">6 </w:t>
      </w:r>
      <w:r>
        <w:rPr>
          <w:rFonts w:hint="eastAsia"/>
          <w:color w:val="auto"/>
        </w:rPr>
        <w:t>回水系统评价子单元</w:t>
      </w:r>
      <w:bookmarkEnd w:id="194"/>
    </w:p>
    <w:p w14:paraId="5404EDE0">
      <w:pPr>
        <w:pStyle w:val="5"/>
        <w:bidi w:val="0"/>
        <w:rPr>
          <w:rFonts w:hint="eastAsia"/>
          <w:color w:val="auto"/>
        </w:rPr>
      </w:pPr>
      <w:r>
        <w:rPr>
          <w:rFonts w:hint="eastAsia"/>
          <w:color w:val="auto"/>
        </w:rPr>
        <w:t>5.2.</w:t>
      </w:r>
      <w:r>
        <w:rPr>
          <w:rFonts w:hint="eastAsia"/>
          <w:color w:val="auto"/>
          <w:lang w:val="en-US" w:eastAsia="zh-CN"/>
        </w:rPr>
        <w:t>6</w:t>
      </w:r>
      <w:r>
        <w:rPr>
          <w:rFonts w:hint="eastAsia"/>
          <w:color w:val="auto"/>
        </w:rPr>
        <w:t>.1</w:t>
      </w:r>
      <w:r>
        <w:rPr>
          <w:rFonts w:hint="eastAsia"/>
          <w:color w:val="auto"/>
          <w:lang w:val="en-US" w:eastAsia="zh-CN"/>
        </w:rPr>
        <w:t xml:space="preserve"> </w:t>
      </w:r>
      <w:r>
        <w:rPr>
          <w:rFonts w:hint="eastAsia"/>
          <w:color w:val="auto"/>
        </w:rPr>
        <w:t>危险有害因素概述</w:t>
      </w:r>
    </w:p>
    <w:p w14:paraId="5BD5A437">
      <w:pPr>
        <w:bidi w:val="0"/>
        <w:rPr>
          <w:rFonts w:hint="eastAsia"/>
          <w:color w:val="auto"/>
        </w:rPr>
      </w:pPr>
      <w:r>
        <w:rPr>
          <w:rFonts w:hint="eastAsia"/>
          <w:color w:val="auto"/>
        </w:rPr>
        <w:t>项目在厂区设有</w:t>
      </w:r>
      <w:r>
        <w:rPr>
          <w:rFonts w:hint="eastAsia"/>
          <w:color w:val="auto"/>
          <w:lang w:val="en-US" w:eastAsia="zh-CN"/>
        </w:rPr>
        <w:t>高位</w:t>
      </w:r>
      <w:r>
        <w:rPr>
          <w:rFonts w:hint="eastAsia"/>
          <w:color w:val="auto"/>
        </w:rPr>
        <w:t>水池，配备回水泵，如果</w:t>
      </w:r>
      <w:r>
        <w:rPr>
          <w:rFonts w:hint="eastAsia"/>
          <w:color w:val="auto"/>
          <w:lang w:val="en-US" w:eastAsia="zh-CN"/>
        </w:rPr>
        <w:t>高位</w:t>
      </w:r>
      <w:r>
        <w:rPr>
          <w:rFonts w:hint="eastAsia"/>
          <w:color w:val="auto"/>
        </w:rPr>
        <w:t>水池安全设施、安全警示牌等缺失、不完善，则可能发生淹溺事故。若回水泵配电线路老化、带电部分裸露、未进行接地、接零保护以及漏电保护等则可能发生触电事故。若接触使用回水泵或对其检维修时操作不当可能发生机械伤害事故。</w:t>
      </w:r>
    </w:p>
    <w:p w14:paraId="6522C76F">
      <w:pPr>
        <w:pStyle w:val="5"/>
        <w:bidi w:val="0"/>
        <w:rPr>
          <w:rFonts w:hint="eastAsia"/>
          <w:color w:val="auto"/>
        </w:rPr>
      </w:pPr>
      <w:r>
        <w:rPr>
          <w:rFonts w:hint="eastAsia"/>
          <w:color w:val="auto"/>
        </w:rPr>
        <w:t>5.2.</w:t>
      </w:r>
      <w:r>
        <w:rPr>
          <w:rFonts w:hint="eastAsia"/>
          <w:color w:val="auto"/>
          <w:lang w:val="en-US" w:eastAsia="zh-CN"/>
        </w:rPr>
        <w:t>6</w:t>
      </w:r>
      <w:r>
        <w:rPr>
          <w:rFonts w:hint="eastAsia"/>
          <w:color w:val="auto"/>
        </w:rPr>
        <w:t>.2</w:t>
      </w:r>
      <w:r>
        <w:rPr>
          <w:rFonts w:hint="eastAsia"/>
          <w:color w:val="auto"/>
          <w:lang w:val="en-US" w:eastAsia="zh-CN"/>
        </w:rPr>
        <w:t xml:space="preserve"> </w:t>
      </w:r>
      <w:r>
        <w:rPr>
          <w:rFonts w:hint="eastAsia"/>
          <w:color w:val="auto"/>
        </w:rPr>
        <w:t>预先危险性分析（PHA）</w:t>
      </w:r>
    </w:p>
    <w:p w14:paraId="448D1364">
      <w:pPr>
        <w:pStyle w:val="18"/>
        <w:bidi w:val="0"/>
        <w:rPr>
          <w:rFonts w:hint="eastAsia"/>
          <w:color w:val="auto"/>
        </w:rPr>
      </w:pPr>
    </w:p>
    <w:p w14:paraId="365FD40F">
      <w:pPr>
        <w:pStyle w:val="18"/>
        <w:bidi w:val="0"/>
        <w:rPr>
          <w:color w:val="auto"/>
        </w:rPr>
      </w:pPr>
      <w:r>
        <w:rPr>
          <w:rFonts w:hint="eastAsia"/>
          <w:color w:val="auto"/>
        </w:rPr>
        <w:t>表5.2-</w:t>
      </w:r>
      <w:r>
        <w:rPr>
          <w:rFonts w:hint="eastAsia"/>
          <w:color w:val="auto"/>
          <w:lang w:val="en-US" w:eastAsia="zh-CN"/>
        </w:rPr>
        <w:t>6</w:t>
      </w:r>
      <w:r>
        <w:rPr>
          <w:rFonts w:hint="eastAsia"/>
          <w:color w:val="auto"/>
        </w:rPr>
        <w:t xml:space="preserve"> </w:t>
      </w:r>
      <w:r>
        <w:rPr>
          <w:rFonts w:hint="eastAsia"/>
          <w:color w:val="auto"/>
          <w:lang w:val="en-US" w:eastAsia="zh-CN"/>
        </w:rPr>
        <w:t xml:space="preserve"> </w:t>
      </w:r>
      <w:r>
        <w:rPr>
          <w:rFonts w:hint="eastAsia"/>
          <w:color w:val="auto"/>
        </w:rPr>
        <w:t>回水系统预先危险性分析表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069"/>
        <w:gridCol w:w="2306"/>
        <w:gridCol w:w="750"/>
        <w:gridCol w:w="683"/>
        <w:gridCol w:w="700"/>
        <w:gridCol w:w="900"/>
        <w:gridCol w:w="2247"/>
      </w:tblGrid>
      <w:tr w14:paraId="222AA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01" w:type="dxa"/>
            <w:noWrap w:val="0"/>
            <w:vAlign w:val="center"/>
          </w:tcPr>
          <w:p w14:paraId="49D97A41">
            <w:pPr>
              <w:pStyle w:val="19"/>
              <w:rPr>
                <w:rFonts w:hint="default" w:ascii="Times New Roman" w:hAnsi="Times New Roman" w:cs="Times New Roman"/>
                <w:b/>
                <w:bCs/>
                <w:color w:val="auto"/>
              </w:rPr>
            </w:pPr>
            <w:bookmarkStart w:id="195" w:name="_Toc492820538"/>
            <w:bookmarkStart w:id="196" w:name="_Toc23640"/>
            <w:r>
              <w:rPr>
                <w:rFonts w:hint="default" w:ascii="Times New Roman" w:hAnsi="Times New Roman" w:cs="Times New Roman"/>
                <w:b/>
                <w:bCs/>
                <w:color w:val="auto"/>
              </w:rPr>
              <w:t>危险有害因素</w:t>
            </w:r>
          </w:p>
        </w:tc>
        <w:tc>
          <w:tcPr>
            <w:tcW w:w="1069" w:type="dxa"/>
            <w:noWrap w:val="0"/>
            <w:vAlign w:val="center"/>
          </w:tcPr>
          <w:p w14:paraId="5C550252">
            <w:pPr>
              <w:pStyle w:val="19"/>
              <w:rPr>
                <w:rFonts w:hint="default" w:ascii="Times New Roman" w:hAnsi="Times New Roman" w:cs="Times New Roman"/>
                <w:b/>
                <w:bCs/>
                <w:color w:val="auto"/>
              </w:rPr>
            </w:pPr>
            <w:r>
              <w:rPr>
                <w:rFonts w:hint="default" w:ascii="Times New Roman" w:hAnsi="Times New Roman" w:cs="Times New Roman"/>
                <w:b/>
                <w:bCs/>
                <w:color w:val="auto"/>
              </w:rPr>
              <w:t>触发事件</w:t>
            </w:r>
          </w:p>
        </w:tc>
        <w:tc>
          <w:tcPr>
            <w:tcW w:w="2306" w:type="dxa"/>
            <w:noWrap w:val="0"/>
            <w:vAlign w:val="center"/>
          </w:tcPr>
          <w:p w14:paraId="3835346A">
            <w:pPr>
              <w:pStyle w:val="19"/>
              <w:rPr>
                <w:rFonts w:hint="default" w:ascii="Times New Roman" w:hAnsi="Times New Roman" w:cs="Times New Roman"/>
                <w:b/>
                <w:bCs/>
                <w:color w:val="auto"/>
              </w:rPr>
            </w:pPr>
            <w:r>
              <w:rPr>
                <w:rFonts w:hint="default" w:ascii="Times New Roman" w:hAnsi="Times New Roman" w:cs="Times New Roman"/>
                <w:b/>
                <w:bCs/>
                <w:color w:val="auto"/>
              </w:rPr>
              <w:t>形成事故原因</w:t>
            </w:r>
          </w:p>
        </w:tc>
        <w:tc>
          <w:tcPr>
            <w:tcW w:w="750" w:type="dxa"/>
            <w:noWrap w:val="0"/>
            <w:vAlign w:val="center"/>
          </w:tcPr>
          <w:p w14:paraId="3791CF82">
            <w:pPr>
              <w:pStyle w:val="19"/>
              <w:rPr>
                <w:rFonts w:hint="default" w:ascii="Times New Roman" w:hAnsi="Times New Roman" w:cs="Times New Roman"/>
                <w:b/>
                <w:bCs/>
                <w:color w:val="auto"/>
              </w:rPr>
            </w:pPr>
            <w:r>
              <w:rPr>
                <w:rFonts w:hint="default" w:ascii="Times New Roman" w:hAnsi="Times New Roman" w:cs="Times New Roman"/>
                <w:b/>
                <w:bCs/>
                <w:color w:val="auto"/>
              </w:rPr>
              <w:t>事故模式</w:t>
            </w:r>
          </w:p>
        </w:tc>
        <w:tc>
          <w:tcPr>
            <w:tcW w:w="683" w:type="dxa"/>
            <w:noWrap w:val="0"/>
            <w:vAlign w:val="center"/>
          </w:tcPr>
          <w:p w14:paraId="0F6E54A3">
            <w:pPr>
              <w:pStyle w:val="19"/>
              <w:rPr>
                <w:rFonts w:hint="default" w:ascii="Times New Roman" w:hAnsi="Times New Roman" w:cs="Times New Roman"/>
                <w:b/>
                <w:bCs/>
                <w:color w:val="auto"/>
              </w:rPr>
            </w:pPr>
            <w:r>
              <w:rPr>
                <w:rFonts w:hint="default" w:ascii="Times New Roman" w:hAnsi="Times New Roman" w:cs="Times New Roman"/>
                <w:b/>
                <w:bCs/>
                <w:color w:val="auto"/>
              </w:rPr>
              <w:t>事故后果</w:t>
            </w:r>
          </w:p>
        </w:tc>
        <w:tc>
          <w:tcPr>
            <w:tcW w:w="700" w:type="dxa"/>
            <w:noWrap w:val="0"/>
            <w:vAlign w:val="center"/>
          </w:tcPr>
          <w:p w14:paraId="4E06CBA4">
            <w:pPr>
              <w:pStyle w:val="19"/>
              <w:rPr>
                <w:rFonts w:hint="default" w:ascii="Times New Roman" w:hAnsi="Times New Roman" w:cs="Times New Roman"/>
                <w:b/>
                <w:bCs/>
                <w:color w:val="auto"/>
              </w:rPr>
            </w:pPr>
            <w:r>
              <w:rPr>
                <w:rFonts w:hint="default" w:ascii="Times New Roman" w:hAnsi="Times New Roman" w:cs="Times New Roman"/>
                <w:b/>
                <w:bCs/>
                <w:color w:val="auto"/>
              </w:rPr>
              <w:t>危险等级</w:t>
            </w:r>
          </w:p>
        </w:tc>
        <w:tc>
          <w:tcPr>
            <w:tcW w:w="900" w:type="dxa"/>
            <w:noWrap w:val="0"/>
            <w:vAlign w:val="center"/>
          </w:tcPr>
          <w:p w14:paraId="5670FB8E">
            <w:pPr>
              <w:pStyle w:val="19"/>
              <w:rPr>
                <w:rFonts w:hint="default" w:ascii="Times New Roman" w:hAnsi="Times New Roman" w:cs="Times New Roman"/>
                <w:b/>
                <w:bCs/>
                <w:color w:val="auto"/>
              </w:rPr>
            </w:pPr>
            <w:r>
              <w:rPr>
                <w:rFonts w:hint="default" w:ascii="Times New Roman" w:hAnsi="Times New Roman" w:cs="Times New Roman"/>
                <w:b/>
                <w:bCs/>
                <w:color w:val="auto"/>
              </w:rPr>
              <w:t>发生事故的概率等级</w:t>
            </w:r>
          </w:p>
        </w:tc>
        <w:tc>
          <w:tcPr>
            <w:tcW w:w="2247" w:type="dxa"/>
            <w:noWrap w:val="0"/>
            <w:vAlign w:val="center"/>
          </w:tcPr>
          <w:p w14:paraId="1BC73125">
            <w:pPr>
              <w:pStyle w:val="19"/>
              <w:rPr>
                <w:rFonts w:hint="default" w:ascii="Times New Roman" w:hAnsi="Times New Roman" w:cs="Times New Roman"/>
                <w:b/>
                <w:bCs/>
                <w:color w:val="auto"/>
              </w:rPr>
            </w:pPr>
            <w:r>
              <w:rPr>
                <w:rFonts w:hint="default" w:ascii="Times New Roman" w:hAnsi="Times New Roman" w:cs="Times New Roman"/>
                <w:b/>
                <w:bCs/>
                <w:color w:val="auto"/>
              </w:rPr>
              <w:t>对策措施</w:t>
            </w:r>
          </w:p>
        </w:tc>
      </w:tr>
      <w:tr w14:paraId="37CCC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14:paraId="77DB22B3">
            <w:pPr>
              <w:pStyle w:val="19"/>
              <w:rPr>
                <w:rFonts w:hint="default" w:ascii="Times New Roman" w:hAnsi="Times New Roman" w:cs="Times New Roman"/>
                <w:color w:val="auto"/>
              </w:rPr>
            </w:pPr>
            <w:r>
              <w:rPr>
                <w:rFonts w:hint="default" w:ascii="Times New Roman" w:hAnsi="Times New Roman" w:cs="Times New Roman"/>
                <w:color w:val="auto"/>
              </w:rPr>
              <w:t>触电</w:t>
            </w:r>
          </w:p>
        </w:tc>
        <w:tc>
          <w:tcPr>
            <w:tcW w:w="1069" w:type="dxa"/>
            <w:noWrap w:val="0"/>
            <w:vAlign w:val="center"/>
          </w:tcPr>
          <w:p w14:paraId="12750D43">
            <w:pPr>
              <w:pStyle w:val="19"/>
              <w:rPr>
                <w:rFonts w:hint="default" w:ascii="Times New Roman" w:hAnsi="Times New Roman" w:cs="Times New Roman"/>
                <w:color w:val="auto"/>
              </w:rPr>
            </w:pPr>
            <w:r>
              <w:rPr>
                <w:rFonts w:hint="default" w:ascii="Times New Roman" w:hAnsi="Times New Roman" w:cs="Times New Roman"/>
                <w:color w:val="auto"/>
              </w:rPr>
              <w:t>接触漏电设备；电气短路、老化，无接地、接零保护；违章作业，未穿戴劳动防护用品</w:t>
            </w:r>
          </w:p>
        </w:tc>
        <w:tc>
          <w:tcPr>
            <w:tcW w:w="2306" w:type="dxa"/>
            <w:noWrap w:val="0"/>
            <w:vAlign w:val="center"/>
          </w:tcPr>
          <w:p w14:paraId="2F10C832">
            <w:pPr>
              <w:pStyle w:val="19"/>
              <w:jc w:val="both"/>
              <w:rPr>
                <w:rFonts w:hint="default" w:ascii="Times New Roman" w:hAnsi="Times New Roman" w:cs="Times New Roman"/>
                <w:color w:val="auto"/>
              </w:rPr>
            </w:pPr>
            <w:r>
              <w:rPr>
                <w:rFonts w:hint="default" w:ascii="Times New Roman" w:hAnsi="Times New Roman" w:cs="Times New Roman"/>
                <w:color w:val="auto"/>
              </w:rPr>
              <w:t>1、电气安全工作规程不完善；</w:t>
            </w:r>
          </w:p>
          <w:p w14:paraId="73600D35">
            <w:pPr>
              <w:pStyle w:val="19"/>
              <w:jc w:val="both"/>
              <w:rPr>
                <w:rFonts w:hint="default" w:ascii="Times New Roman" w:hAnsi="Times New Roman" w:cs="Times New Roman"/>
                <w:color w:val="auto"/>
              </w:rPr>
            </w:pPr>
            <w:r>
              <w:rPr>
                <w:rFonts w:hint="default" w:ascii="Times New Roman" w:hAnsi="Times New Roman" w:cs="Times New Roman"/>
                <w:color w:val="auto"/>
              </w:rPr>
              <w:t>2、电工无证上岗，操作不熟练；</w:t>
            </w:r>
          </w:p>
          <w:p w14:paraId="2CE3ACDA">
            <w:pPr>
              <w:pStyle w:val="19"/>
              <w:jc w:val="both"/>
              <w:rPr>
                <w:rFonts w:hint="default" w:ascii="Times New Roman" w:hAnsi="Times New Roman" w:cs="Times New Roman"/>
                <w:color w:val="auto"/>
              </w:rPr>
            </w:pPr>
            <w:r>
              <w:rPr>
                <w:rFonts w:hint="default" w:ascii="Times New Roman" w:hAnsi="Times New Roman" w:cs="Times New Roman"/>
                <w:color w:val="auto"/>
              </w:rPr>
              <w:t>3、个人防护用品穿戴不齐全，或防护用品绝缘性能不良；</w:t>
            </w:r>
          </w:p>
          <w:p w14:paraId="5A833846">
            <w:pPr>
              <w:pStyle w:val="19"/>
              <w:jc w:val="both"/>
              <w:rPr>
                <w:rFonts w:hint="default" w:ascii="Times New Roman" w:hAnsi="Times New Roman" w:cs="Times New Roman"/>
                <w:color w:val="auto"/>
              </w:rPr>
            </w:pPr>
            <w:r>
              <w:rPr>
                <w:rFonts w:hint="default" w:ascii="Times New Roman" w:hAnsi="Times New Roman" w:cs="Times New Roman"/>
                <w:color w:val="auto"/>
              </w:rPr>
              <w:t>4、电气线路无接地、接零保护，线路老化、绝缘不良未及时维护；</w:t>
            </w:r>
            <w:r>
              <w:rPr>
                <w:rFonts w:hint="default" w:ascii="Times New Roman" w:hAnsi="Times New Roman" w:cs="Times New Roman"/>
                <w:color w:val="auto"/>
              </w:rPr>
              <w:br w:type="textWrapping"/>
            </w:r>
            <w:r>
              <w:rPr>
                <w:rFonts w:hint="default" w:ascii="Times New Roman" w:hAnsi="Times New Roman" w:cs="Times New Roman"/>
                <w:color w:val="auto"/>
              </w:rPr>
              <w:t>5、线路停送电不严格，检修未严格执行工作票制度；</w:t>
            </w:r>
          </w:p>
          <w:p w14:paraId="7C2030E2">
            <w:pPr>
              <w:pStyle w:val="19"/>
              <w:jc w:val="both"/>
              <w:rPr>
                <w:rFonts w:hint="default" w:ascii="Times New Roman" w:hAnsi="Times New Roman" w:cs="Times New Roman"/>
                <w:color w:val="auto"/>
              </w:rPr>
            </w:pPr>
            <w:r>
              <w:rPr>
                <w:rFonts w:hint="default" w:ascii="Times New Roman" w:hAnsi="Times New Roman" w:cs="Times New Roman"/>
                <w:color w:val="auto"/>
              </w:rPr>
              <w:t>6、作业人员违章作业。</w:t>
            </w:r>
          </w:p>
        </w:tc>
        <w:tc>
          <w:tcPr>
            <w:tcW w:w="750" w:type="dxa"/>
            <w:noWrap w:val="0"/>
            <w:vAlign w:val="center"/>
          </w:tcPr>
          <w:p w14:paraId="410B3A37">
            <w:pPr>
              <w:pStyle w:val="19"/>
              <w:rPr>
                <w:rFonts w:hint="default" w:ascii="Times New Roman" w:hAnsi="Times New Roman" w:cs="Times New Roman"/>
                <w:color w:val="auto"/>
              </w:rPr>
            </w:pPr>
            <w:r>
              <w:rPr>
                <w:rFonts w:hint="default" w:ascii="Times New Roman" w:hAnsi="Times New Roman" w:cs="Times New Roman"/>
                <w:color w:val="auto"/>
              </w:rPr>
              <w:t>电击电伤</w:t>
            </w:r>
          </w:p>
        </w:tc>
        <w:tc>
          <w:tcPr>
            <w:tcW w:w="683" w:type="dxa"/>
            <w:noWrap w:val="0"/>
            <w:vAlign w:val="center"/>
          </w:tcPr>
          <w:p w14:paraId="5C370B3F">
            <w:pPr>
              <w:pStyle w:val="19"/>
              <w:rPr>
                <w:rFonts w:hint="default" w:ascii="Times New Roman" w:hAnsi="Times New Roman" w:cs="Times New Roman"/>
                <w:color w:val="auto"/>
              </w:rPr>
            </w:pPr>
            <w:r>
              <w:rPr>
                <w:rFonts w:hint="default" w:ascii="Times New Roman" w:hAnsi="Times New Roman" w:cs="Times New Roman"/>
                <w:color w:val="auto"/>
              </w:rPr>
              <w:t>人员伤亡</w:t>
            </w:r>
          </w:p>
        </w:tc>
        <w:tc>
          <w:tcPr>
            <w:tcW w:w="700" w:type="dxa"/>
            <w:noWrap w:val="0"/>
            <w:vAlign w:val="center"/>
          </w:tcPr>
          <w:p w14:paraId="3F57A279">
            <w:pPr>
              <w:pStyle w:val="19"/>
              <w:rPr>
                <w:rFonts w:hint="default" w:ascii="Times New Roman" w:hAnsi="Times New Roman" w:cs="Times New Roman"/>
                <w:color w:val="auto"/>
              </w:rPr>
            </w:pPr>
            <w:r>
              <w:rPr>
                <w:rFonts w:hint="default" w:ascii="Times New Roman" w:hAnsi="Times New Roman" w:cs="Times New Roman"/>
                <w:color w:val="auto"/>
              </w:rPr>
              <w:t>Ⅲ</w:t>
            </w:r>
          </w:p>
        </w:tc>
        <w:tc>
          <w:tcPr>
            <w:tcW w:w="900" w:type="dxa"/>
            <w:noWrap w:val="0"/>
            <w:vAlign w:val="center"/>
          </w:tcPr>
          <w:p w14:paraId="3D723003">
            <w:pPr>
              <w:pStyle w:val="19"/>
              <w:rPr>
                <w:rFonts w:hint="default" w:ascii="Times New Roman" w:hAnsi="Times New Roman" w:cs="Times New Roman"/>
                <w:color w:val="auto"/>
              </w:rPr>
            </w:pPr>
            <w:r>
              <w:rPr>
                <w:rFonts w:hint="default" w:ascii="Times New Roman" w:hAnsi="Times New Roman" w:cs="Times New Roman"/>
                <w:color w:val="auto"/>
              </w:rPr>
              <w:t>C</w:t>
            </w:r>
          </w:p>
        </w:tc>
        <w:tc>
          <w:tcPr>
            <w:tcW w:w="2247" w:type="dxa"/>
            <w:noWrap w:val="0"/>
            <w:vAlign w:val="center"/>
          </w:tcPr>
          <w:p w14:paraId="562B3AC2">
            <w:pPr>
              <w:pStyle w:val="19"/>
              <w:jc w:val="both"/>
              <w:rPr>
                <w:rFonts w:hint="default" w:ascii="Times New Roman" w:hAnsi="Times New Roman" w:cs="Times New Roman"/>
                <w:color w:val="auto"/>
              </w:rPr>
            </w:pPr>
            <w:r>
              <w:rPr>
                <w:rFonts w:hint="default" w:ascii="Times New Roman" w:hAnsi="Times New Roman" w:cs="Times New Roman"/>
                <w:color w:val="auto"/>
              </w:rPr>
              <w:t>1、严格执行作业规程；</w:t>
            </w:r>
          </w:p>
          <w:p w14:paraId="06F011D6">
            <w:pPr>
              <w:pStyle w:val="19"/>
              <w:jc w:val="both"/>
              <w:rPr>
                <w:rFonts w:hint="default" w:ascii="Times New Roman" w:hAnsi="Times New Roman" w:cs="Times New Roman"/>
                <w:color w:val="auto"/>
              </w:rPr>
            </w:pPr>
            <w:r>
              <w:rPr>
                <w:rFonts w:hint="default" w:ascii="Times New Roman" w:hAnsi="Times New Roman" w:cs="Times New Roman"/>
                <w:color w:val="auto"/>
              </w:rPr>
              <w:t>2、作业人员100%持证上岗；</w:t>
            </w:r>
          </w:p>
          <w:p w14:paraId="07FC8C26">
            <w:pPr>
              <w:pStyle w:val="19"/>
              <w:jc w:val="both"/>
              <w:rPr>
                <w:rFonts w:hint="default" w:ascii="Times New Roman" w:hAnsi="Times New Roman" w:cs="Times New Roman"/>
                <w:color w:val="auto"/>
              </w:rPr>
            </w:pPr>
            <w:r>
              <w:rPr>
                <w:rFonts w:hint="default" w:ascii="Times New Roman" w:hAnsi="Times New Roman" w:cs="Times New Roman"/>
                <w:color w:val="auto"/>
              </w:rPr>
              <w:t>3、防护用品定期检验，穿戴齐全；</w:t>
            </w:r>
          </w:p>
          <w:p w14:paraId="7A34BFF9">
            <w:pPr>
              <w:pStyle w:val="19"/>
              <w:jc w:val="both"/>
              <w:rPr>
                <w:rFonts w:hint="default" w:ascii="Times New Roman" w:hAnsi="Times New Roman" w:cs="Times New Roman"/>
                <w:color w:val="auto"/>
              </w:rPr>
            </w:pPr>
            <w:r>
              <w:rPr>
                <w:rFonts w:hint="default" w:ascii="Times New Roman" w:hAnsi="Times New Roman" w:cs="Times New Roman"/>
                <w:color w:val="auto"/>
              </w:rPr>
              <w:t>4、定期检查电气线路及设备；</w:t>
            </w:r>
          </w:p>
          <w:p w14:paraId="0EBF2E6E">
            <w:pPr>
              <w:pStyle w:val="19"/>
              <w:jc w:val="both"/>
              <w:rPr>
                <w:rFonts w:hint="default" w:ascii="Times New Roman" w:hAnsi="Times New Roman" w:cs="Times New Roman"/>
                <w:color w:val="auto"/>
              </w:rPr>
            </w:pPr>
            <w:r>
              <w:rPr>
                <w:rFonts w:hint="default" w:ascii="Times New Roman" w:hAnsi="Times New Roman" w:cs="Times New Roman"/>
                <w:color w:val="auto"/>
              </w:rPr>
              <w:t>5、作业点悬挂显明的警示标志，落实动电工作票制度。</w:t>
            </w:r>
          </w:p>
          <w:p w14:paraId="07A17AE4">
            <w:pPr>
              <w:pStyle w:val="19"/>
              <w:jc w:val="both"/>
              <w:rPr>
                <w:rFonts w:hint="default" w:ascii="Times New Roman" w:hAnsi="Times New Roman" w:cs="Times New Roman"/>
                <w:color w:val="auto"/>
              </w:rPr>
            </w:pPr>
            <w:r>
              <w:rPr>
                <w:rFonts w:hint="default" w:ascii="Times New Roman" w:hAnsi="Times New Roman" w:cs="Times New Roman"/>
                <w:color w:val="auto"/>
              </w:rPr>
              <w:t>6、加强职工安全教育，不断提高职工安全素质，严禁无证上岗，严禁违章作业；</w:t>
            </w:r>
          </w:p>
        </w:tc>
      </w:tr>
      <w:tr w14:paraId="31D8B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14:paraId="435B020F">
            <w:pPr>
              <w:pStyle w:val="19"/>
              <w:rPr>
                <w:rFonts w:hint="default" w:ascii="Times New Roman" w:hAnsi="Times New Roman" w:cs="Times New Roman"/>
                <w:color w:val="auto"/>
              </w:rPr>
            </w:pPr>
            <w:r>
              <w:rPr>
                <w:rFonts w:hint="default" w:ascii="Times New Roman" w:hAnsi="Times New Roman" w:cs="Times New Roman"/>
                <w:color w:val="auto"/>
              </w:rPr>
              <w:t>淹溺</w:t>
            </w:r>
          </w:p>
        </w:tc>
        <w:tc>
          <w:tcPr>
            <w:tcW w:w="1069" w:type="dxa"/>
            <w:noWrap w:val="0"/>
            <w:vAlign w:val="center"/>
          </w:tcPr>
          <w:p w14:paraId="18BB7383">
            <w:pPr>
              <w:pStyle w:val="19"/>
              <w:rPr>
                <w:rFonts w:hint="default" w:ascii="Times New Roman" w:hAnsi="Times New Roman" w:eastAsia="宋体" w:cs="Times New Roman"/>
                <w:color w:val="auto"/>
                <w:lang w:eastAsia="zh-CN"/>
              </w:rPr>
            </w:pPr>
            <w:r>
              <w:rPr>
                <w:rFonts w:hint="default" w:ascii="Times New Roman" w:hAnsi="Times New Roman" w:cs="Times New Roman"/>
                <w:color w:val="auto"/>
              </w:rPr>
              <w:t>作业人员不慎跌入</w:t>
            </w:r>
            <w:r>
              <w:rPr>
                <w:rFonts w:hint="eastAsia" w:ascii="Times New Roman" w:hAnsi="Times New Roman" w:cs="Times New Roman"/>
                <w:color w:val="auto"/>
                <w:lang w:val="en-US" w:eastAsia="zh-CN"/>
              </w:rPr>
              <w:t>回水</w:t>
            </w:r>
            <w:r>
              <w:rPr>
                <w:rFonts w:hint="default" w:ascii="Times New Roman" w:hAnsi="Times New Roman" w:cs="Times New Roman"/>
                <w:color w:val="auto"/>
                <w:lang w:eastAsia="zh-CN"/>
              </w:rPr>
              <w:t>池</w:t>
            </w:r>
          </w:p>
        </w:tc>
        <w:tc>
          <w:tcPr>
            <w:tcW w:w="2306" w:type="dxa"/>
            <w:noWrap w:val="0"/>
            <w:vAlign w:val="center"/>
          </w:tcPr>
          <w:p w14:paraId="1A0BA4C5">
            <w:pPr>
              <w:pStyle w:val="19"/>
              <w:jc w:val="both"/>
              <w:rPr>
                <w:rFonts w:hint="default" w:ascii="Times New Roman" w:hAnsi="Times New Roman" w:cs="Times New Roman"/>
                <w:color w:val="auto"/>
              </w:rPr>
            </w:pPr>
            <w:r>
              <w:rPr>
                <w:rFonts w:hint="default" w:ascii="Times New Roman" w:hAnsi="Times New Roman" w:cs="Times New Roman"/>
                <w:color w:val="auto"/>
              </w:rPr>
              <w:t>1、</w:t>
            </w:r>
            <w:r>
              <w:rPr>
                <w:rFonts w:hint="eastAsia"/>
                <w:color w:val="auto"/>
                <w:lang w:val="en-US" w:eastAsia="zh-CN"/>
              </w:rPr>
              <w:t>高位</w:t>
            </w:r>
            <w:r>
              <w:rPr>
                <w:rFonts w:hint="eastAsia"/>
                <w:color w:val="auto"/>
              </w:rPr>
              <w:t>水池</w:t>
            </w:r>
            <w:r>
              <w:rPr>
                <w:rFonts w:hint="default" w:ascii="Times New Roman" w:hAnsi="Times New Roman" w:cs="Times New Roman"/>
                <w:color w:val="auto"/>
              </w:rPr>
              <w:t>无安全防护设施及安全警示标志；</w:t>
            </w:r>
          </w:p>
          <w:p w14:paraId="5A57BFAE">
            <w:pPr>
              <w:pStyle w:val="19"/>
              <w:jc w:val="both"/>
              <w:rPr>
                <w:rFonts w:hint="default" w:ascii="Times New Roman" w:hAnsi="Times New Roman" w:cs="Times New Roman"/>
                <w:color w:val="auto"/>
              </w:rPr>
            </w:pPr>
            <w:r>
              <w:rPr>
                <w:rFonts w:hint="default" w:ascii="Times New Roman" w:hAnsi="Times New Roman" w:cs="Times New Roman"/>
                <w:color w:val="auto"/>
              </w:rPr>
              <w:t>2、作业人员身体状况不良，酒后作业等。</w:t>
            </w:r>
          </w:p>
        </w:tc>
        <w:tc>
          <w:tcPr>
            <w:tcW w:w="750" w:type="dxa"/>
            <w:noWrap w:val="0"/>
            <w:vAlign w:val="center"/>
          </w:tcPr>
          <w:p w14:paraId="7FC29B26">
            <w:pPr>
              <w:pStyle w:val="19"/>
              <w:rPr>
                <w:rFonts w:hint="default" w:ascii="Times New Roman" w:hAnsi="Times New Roman" w:cs="Times New Roman"/>
                <w:color w:val="auto"/>
              </w:rPr>
            </w:pPr>
            <w:r>
              <w:rPr>
                <w:rFonts w:hint="default" w:ascii="Times New Roman" w:hAnsi="Times New Roman" w:cs="Times New Roman"/>
                <w:color w:val="auto"/>
              </w:rPr>
              <w:t>淹溺</w:t>
            </w:r>
          </w:p>
        </w:tc>
        <w:tc>
          <w:tcPr>
            <w:tcW w:w="683" w:type="dxa"/>
            <w:noWrap w:val="0"/>
            <w:vAlign w:val="center"/>
          </w:tcPr>
          <w:p w14:paraId="68DE7263">
            <w:pPr>
              <w:pStyle w:val="19"/>
              <w:rPr>
                <w:rFonts w:hint="default" w:ascii="Times New Roman" w:hAnsi="Times New Roman" w:cs="Times New Roman"/>
                <w:color w:val="auto"/>
              </w:rPr>
            </w:pPr>
            <w:r>
              <w:rPr>
                <w:rFonts w:hint="default" w:ascii="Times New Roman" w:hAnsi="Times New Roman" w:cs="Times New Roman"/>
                <w:color w:val="auto"/>
              </w:rPr>
              <w:t>人员伤亡</w:t>
            </w:r>
          </w:p>
        </w:tc>
        <w:tc>
          <w:tcPr>
            <w:tcW w:w="700" w:type="dxa"/>
            <w:noWrap w:val="0"/>
            <w:vAlign w:val="center"/>
          </w:tcPr>
          <w:p w14:paraId="3B9423E6">
            <w:pPr>
              <w:pStyle w:val="19"/>
              <w:rPr>
                <w:rFonts w:hint="default" w:ascii="Times New Roman" w:hAnsi="Times New Roman" w:cs="Times New Roman"/>
                <w:color w:val="auto"/>
              </w:rPr>
            </w:pPr>
            <w:r>
              <w:rPr>
                <w:rFonts w:hint="default" w:ascii="Times New Roman" w:hAnsi="Times New Roman" w:cs="Times New Roman"/>
                <w:color w:val="auto"/>
              </w:rPr>
              <w:t>Ⅲ</w:t>
            </w:r>
          </w:p>
        </w:tc>
        <w:tc>
          <w:tcPr>
            <w:tcW w:w="900" w:type="dxa"/>
            <w:noWrap w:val="0"/>
            <w:vAlign w:val="center"/>
          </w:tcPr>
          <w:p w14:paraId="1490483E">
            <w:pPr>
              <w:pStyle w:val="19"/>
              <w:rPr>
                <w:rFonts w:hint="default" w:ascii="Times New Roman" w:hAnsi="Times New Roman" w:cs="Times New Roman"/>
                <w:color w:val="auto"/>
              </w:rPr>
            </w:pPr>
            <w:r>
              <w:rPr>
                <w:rFonts w:hint="default" w:ascii="Times New Roman" w:hAnsi="Times New Roman" w:cs="Times New Roman"/>
                <w:color w:val="auto"/>
              </w:rPr>
              <w:t>B</w:t>
            </w:r>
          </w:p>
        </w:tc>
        <w:tc>
          <w:tcPr>
            <w:tcW w:w="2247" w:type="dxa"/>
            <w:noWrap w:val="0"/>
            <w:vAlign w:val="center"/>
          </w:tcPr>
          <w:p w14:paraId="253191F5">
            <w:pPr>
              <w:pStyle w:val="19"/>
              <w:jc w:val="both"/>
              <w:rPr>
                <w:rFonts w:hint="default" w:ascii="Times New Roman" w:hAnsi="Times New Roman" w:cs="Times New Roman"/>
                <w:color w:val="auto"/>
              </w:rPr>
            </w:pPr>
            <w:r>
              <w:rPr>
                <w:rFonts w:hint="default" w:ascii="Times New Roman" w:hAnsi="Times New Roman" w:cs="Times New Roman"/>
                <w:color w:val="auto"/>
              </w:rPr>
              <w:t>1、</w:t>
            </w:r>
            <w:r>
              <w:rPr>
                <w:rFonts w:hint="eastAsia"/>
                <w:color w:val="auto"/>
                <w:lang w:val="en-US" w:eastAsia="zh-CN"/>
              </w:rPr>
              <w:t>高位</w:t>
            </w:r>
            <w:r>
              <w:rPr>
                <w:rFonts w:hint="eastAsia"/>
                <w:color w:val="auto"/>
              </w:rPr>
              <w:t>水池</w:t>
            </w:r>
            <w:r>
              <w:rPr>
                <w:rFonts w:hint="default" w:ascii="Times New Roman" w:hAnsi="Times New Roman" w:cs="Times New Roman"/>
                <w:color w:val="auto"/>
              </w:rPr>
              <w:t>按相关规范设置安全防护设施并悬挂警示牌；</w:t>
            </w:r>
          </w:p>
          <w:p w14:paraId="38E9D714">
            <w:pPr>
              <w:pStyle w:val="19"/>
              <w:jc w:val="both"/>
              <w:rPr>
                <w:rFonts w:hint="default" w:ascii="Times New Roman" w:hAnsi="Times New Roman" w:cs="Times New Roman"/>
                <w:color w:val="auto"/>
              </w:rPr>
            </w:pPr>
            <w:r>
              <w:rPr>
                <w:rFonts w:hint="default" w:ascii="Times New Roman" w:hAnsi="Times New Roman" w:cs="Times New Roman"/>
                <w:color w:val="auto"/>
              </w:rPr>
              <w:t>2、加强员工安全知识培训，严禁违章作业，严禁酒后作业。</w:t>
            </w:r>
          </w:p>
        </w:tc>
      </w:tr>
      <w:tr w14:paraId="1B90A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14:paraId="219AD2F2">
            <w:pPr>
              <w:spacing w:line="300" w:lineRule="exact"/>
              <w:ind w:firstLine="0" w:firstLineChars="0"/>
              <w:jc w:val="center"/>
              <w:rPr>
                <w:rFonts w:hint="default" w:ascii="Times New Roman" w:hAnsi="Times New Roman" w:cs="Times New Roman"/>
                <w:color w:val="auto"/>
              </w:rPr>
            </w:pPr>
            <w:r>
              <w:rPr>
                <w:rFonts w:cs="Times New Roman"/>
                <w:color w:val="auto"/>
                <w:sz w:val="21"/>
              </w:rPr>
              <w:t>机械伤害</w:t>
            </w:r>
          </w:p>
        </w:tc>
        <w:tc>
          <w:tcPr>
            <w:tcW w:w="1069" w:type="dxa"/>
            <w:noWrap w:val="0"/>
            <w:vAlign w:val="center"/>
          </w:tcPr>
          <w:p w14:paraId="31D81753">
            <w:pPr>
              <w:spacing w:line="300" w:lineRule="exact"/>
              <w:ind w:firstLine="0" w:firstLineChars="0"/>
              <w:jc w:val="center"/>
              <w:rPr>
                <w:rFonts w:hint="default" w:ascii="Times New Roman" w:hAnsi="Times New Roman" w:cs="Times New Roman"/>
                <w:color w:val="auto"/>
              </w:rPr>
            </w:pPr>
            <w:r>
              <w:rPr>
                <w:rFonts w:cs="Times New Roman"/>
                <w:color w:val="auto"/>
                <w:sz w:val="21"/>
              </w:rPr>
              <w:t>人员接触机械设备运转部位</w:t>
            </w:r>
          </w:p>
        </w:tc>
        <w:tc>
          <w:tcPr>
            <w:tcW w:w="2306" w:type="dxa"/>
            <w:noWrap w:val="0"/>
            <w:vAlign w:val="center"/>
          </w:tcPr>
          <w:p w14:paraId="039A38CC">
            <w:pPr>
              <w:spacing w:line="300" w:lineRule="exact"/>
              <w:ind w:firstLine="0" w:firstLineChars="0"/>
              <w:rPr>
                <w:rFonts w:cs="Times New Roman"/>
                <w:color w:val="auto"/>
                <w:sz w:val="21"/>
              </w:rPr>
            </w:pPr>
            <w:r>
              <w:rPr>
                <w:rFonts w:cs="Times New Roman"/>
                <w:color w:val="auto"/>
                <w:sz w:val="21"/>
              </w:rPr>
              <w:t>1、操作地点不安全；</w:t>
            </w:r>
          </w:p>
          <w:p w14:paraId="2547CA99">
            <w:pPr>
              <w:spacing w:line="300" w:lineRule="exact"/>
              <w:ind w:firstLine="0" w:firstLineChars="0"/>
              <w:rPr>
                <w:rFonts w:cs="Times New Roman"/>
                <w:color w:val="auto"/>
                <w:sz w:val="21"/>
              </w:rPr>
            </w:pPr>
            <w:r>
              <w:rPr>
                <w:rFonts w:cs="Times New Roman"/>
                <w:color w:val="auto"/>
                <w:sz w:val="21"/>
              </w:rPr>
              <w:t>2、作业前安全检查、处理不到位；</w:t>
            </w:r>
          </w:p>
          <w:p w14:paraId="46CCE9AB">
            <w:pPr>
              <w:spacing w:line="300" w:lineRule="exact"/>
              <w:ind w:firstLine="0" w:firstLineChars="0"/>
              <w:rPr>
                <w:rFonts w:cs="Times New Roman"/>
                <w:color w:val="auto"/>
                <w:sz w:val="21"/>
              </w:rPr>
            </w:pPr>
            <w:r>
              <w:rPr>
                <w:rFonts w:cs="Times New Roman"/>
                <w:color w:val="auto"/>
                <w:sz w:val="21"/>
              </w:rPr>
              <w:t>3、安全防护装置(罩)不全；</w:t>
            </w:r>
          </w:p>
          <w:p w14:paraId="299D57FB">
            <w:pPr>
              <w:spacing w:line="300" w:lineRule="exact"/>
              <w:ind w:firstLine="0" w:firstLineChars="0"/>
              <w:rPr>
                <w:rFonts w:cs="Times New Roman"/>
                <w:color w:val="auto"/>
                <w:sz w:val="21"/>
              </w:rPr>
            </w:pPr>
            <w:r>
              <w:rPr>
                <w:rFonts w:cs="Times New Roman"/>
                <w:color w:val="auto"/>
                <w:sz w:val="21"/>
              </w:rPr>
              <w:t>4、操作不熟练；</w:t>
            </w:r>
          </w:p>
          <w:p w14:paraId="2E1155BF">
            <w:pPr>
              <w:spacing w:line="300" w:lineRule="exact"/>
              <w:ind w:firstLine="0" w:firstLineChars="0"/>
              <w:rPr>
                <w:rFonts w:hint="default" w:ascii="Times New Roman" w:hAnsi="Times New Roman" w:cs="Times New Roman"/>
                <w:color w:val="auto"/>
              </w:rPr>
            </w:pPr>
            <w:r>
              <w:rPr>
                <w:rFonts w:cs="Times New Roman"/>
                <w:color w:val="auto"/>
                <w:sz w:val="21"/>
              </w:rPr>
              <w:t>5、狂风和低温。</w:t>
            </w:r>
          </w:p>
        </w:tc>
        <w:tc>
          <w:tcPr>
            <w:tcW w:w="750" w:type="dxa"/>
            <w:noWrap w:val="0"/>
            <w:vAlign w:val="center"/>
          </w:tcPr>
          <w:p w14:paraId="5344B30D">
            <w:pPr>
              <w:spacing w:line="300" w:lineRule="exact"/>
              <w:ind w:firstLine="0" w:firstLineChars="0"/>
              <w:jc w:val="center"/>
              <w:rPr>
                <w:rFonts w:hint="default" w:ascii="Times New Roman" w:hAnsi="Times New Roman" w:cs="Times New Roman"/>
                <w:color w:val="auto"/>
              </w:rPr>
            </w:pPr>
            <w:r>
              <w:rPr>
                <w:rFonts w:cs="Times New Roman"/>
                <w:color w:val="auto"/>
                <w:sz w:val="21"/>
              </w:rPr>
              <w:t>夹击碰撞剪切卷入绞等</w:t>
            </w:r>
          </w:p>
        </w:tc>
        <w:tc>
          <w:tcPr>
            <w:tcW w:w="683" w:type="dxa"/>
            <w:noWrap w:val="0"/>
            <w:vAlign w:val="center"/>
          </w:tcPr>
          <w:p w14:paraId="48B4C0A5">
            <w:pPr>
              <w:spacing w:line="300" w:lineRule="exact"/>
              <w:ind w:firstLine="0" w:firstLineChars="0"/>
              <w:jc w:val="center"/>
              <w:rPr>
                <w:rFonts w:hint="default" w:ascii="Times New Roman" w:hAnsi="Times New Roman" w:cs="Times New Roman"/>
                <w:color w:val="auto"/>
              </w:rPr>
            </w:pPr>
            <w:r>
              <w:rPr>
                <w:rFonts w:cs="Times New Roman"/>
                <w:color w:val="auto"/>
                <w:sz w:val="21"/>
              </w:rPr>
              <w:t>人员受伤或死亡</w:t>
            </w:r>
          </w:p>
        </w:tc>
        <w:tc>
          <w:tcPr>
            <w:tcW w:w="700" w:type="dxa"/>
            <w:noWrap w:val="0"/>
            <w:vAlign w:val="center"/>
          </w:tcPr>
          <w:p w14:paraId="00E550D5">
            <w:pPr>
              <w:spacing w:line="300" w:lineRule="exact"/>
              <w:ind w:firstLine="0" w:firstLineChars="0"/>
              <w:jc w:val="center"/>
              <w:rPr>
                <w:rFonts w:hint="default" w:ascii="Times New Roman" w:hAnsi="Times New Roman" w:cs="Times New Roman"/>
                <w:color w:val="auto"/>
              </w:rPr>
            </w:pPr>
            <w:r>
              <w:rPr>
                <w:rFonts w:cs="Times New Roman"/>
                <w:color w:val="auto"/>
                <w:sz w:val="21"/>
              </w:rPr>
              <w:t>Ⅲ</w:t>
            </w:r>
          </w:p>
        </w:tc>
        <w:tc>
          <w:tcPr>
            <w:tcW w:w="900" w:type="dxa"/>
            <w:noWrap w:val="0"/>
            <w:vAlign w:val="center"/>
          </w:tcPr>
          <w:p w14:paraId="639B01F9">
            <w:pPr>
              <w:spacing w:line="300" w:lineRule="exact"/>
              <w:ind w:firstLine="0" w:firstLineChars="0"/>
              <w:jc w:val="center"/>
              <w:rPr>
                <w:rFonts w:hint="default" w:ascii="Times New Roman" w:hAnsi="Times New Roman" w:cs="Times New Roman"/>
                <w:color w:val="auto"/>
              </w:rPr>
            </w:pPr>
            <w:r>
              <w:rPr>
                <w:rFonts w:cs="Times New Roman"/>
                <w:color w:val="auto"/>
                <w:sz w:val="21"/>
              </w:rPr>
              <w:t>B</w:t>
            </w:r>
          </w:p>
        </w:tc>
        <w:tc>
          <w:tcPr>
            <w:tcW w:w="2247" w:type="dxa"/>
            <w:noWrap w:val="0"/>
            <w:vAlign w:val="center"/>
          </w:tcPr>
          <w:p w14:paraId="7809FFDF">
            <w:pPr>
              <w:spacing w:line="300" w:lineRule="exact"/>
              <w:ind w:firstLine="0" w:firstLineChars="0"/>
              <w:rPr>
                <w:rFonts w:cs="Times New Roman"/>
                <w:color w:val="auto"/>
                <w:sz w:val="21"/>
              </w:rPr>
            </w:pPr>
            <w:r>
              <w:rPr>
                <w:rFonts w:cs="Times New Roman"/>
                <w:color w:val="auto"/>
                <w:sz w:val="21"/>
              </w:rPr>
              <w:t>1、严格执行操作规程；</w:t>
            </w:r>
          </w:p>
          <w:p w14:paraId="2F0333B1">
            <w:pPr>
              <w:spacing w:line="300" w:lineRule="exact"/>
              <w:ind w:firstLine="0" w:firstLineChars="0"/>
              <w:rPr>
                <w:rFonts w:cs="Times New Roman"/>
                <w:color w:val="auto"/>
                <w:sz w:val="21"/>
              </w:rPr>
            </w:pPr>
            <w:r>
              <w:rPr>
                <w:rFonts w:cs="Times New Roman"/>
                <w:color w:val="auto"/>
                <w:sz w:val="21"/>
              </w:rPr>
              <w:t>2、树立先安全后生产的观念，坚持工作前对工作面的安全处理；</w:t>
            </w:r>
          </w:p>
          <w:p w14:paraId="3AA71139">
            <w:pPr>
              <w:spacing w:line="300" w:lineRule="exact"/>
              <w:ind w:firstLine="0" w:firstLineChars="0"/>
              <w:rPr>
                <w:rFonts w:cs="Times New Roman"/>
                <w:color w:val="auto"/>
                <w:sz w:val="21"/>
              </w:rPr>
            </w:pPr>
            <w:r>
              <w:rPr>
                <w:rFonts w:cs="Times New Roman"/>
                <w:color w:val="auto"/>
                <w:sz w:val="21"/>
              </w:rPr>
              <w:t>3、加强个人防护措施；</w:t>
            </w:r>
          </w:p>
          <w:p w14:paraId="46986B6B">
            <w:pPr>
              <w:spacing w:line="300" w:lineRule="exact"/>
              <w:ind w:firstLine="0" w:firstLineChars="0"/>
              <w:rPr>
                <w:rFonts w:cs="Times New Roman"/>
                <w:color w:val="auto"/>
                <w:sz w:val="21"/>
              </w:rPr>
            </w:pPr>
            <w:r>
              <w:rPr>
                <w:rFonts w:cs="Times New Roman"/>
                <w:color w:val="auto"/>
                <w:sz w:val="21"/>
              </w:rPr>
              <w:t>4、完善配备机械安全装置；</w:t>
            </w:r>
          </w:p>
          <w:p w14:paraId="0BAAB839">
            <w:pPr>
              <w:spacing w:line="300" w:lineRule="exact"/>
              <w:ind w:firstLine="0" w:firstLineChars="0"/>
              <w:rPr>
                <w:rFonts w:hint="default" w:ascii="Times New Roman" w:hAnsi="Times New Roman" w:cs="Times New Roman"/>
                <w:color w:val="auto"/>
              </w:rPr>
            </w:pPr>
            <w:r>
              <w:rPr>
                <w:rFonts w:cs="Times New Roman"/>
                <w:color w:val="auto"/>
                <w:sz w:val="21"/>
              </w:rPr>
              <w:t>5、采取防风和保温措施。</w:t>
            </w:r>
          </w:p>
        </w:tc>
      </w:tr>
      <w:bookmarkEnd w:id="195"/>
      <w:bookmarkEnd w:id="196"/>
    </w:tbl>
    <w:p w14:paraId="4D94F506">
      <w:pPr>
        <w:bidi w:val="0"/>
        <w:rPr>
          <w:rFonts w:hint="eastAsia"/>
          <w:color w:val="auto"/>
        </w:rPr>
      </w:pPr>
      <w:r>
        <w:rPr>
          <w:rFonts w:hint="eastAsia"/>
          <w:color w:val="auto"/>
        </w:rPr>
        <w:t>本单元预先危险性等级系数按下式确定：</w:t>
      </w:r>
    </w:p>
    <w:p w14:paraId="5C1EA20B">
      <w:pPr>
        <w:bidi w:val="0"/>
        <w:rPr>
          <w:rFonts w:hint="eastAsia"/>
          <w:color w:val="auto"/>
        </w:rPr>
      </w:pPr>
      <w:r>
        <w:rPr>
          <w:rFonts w:hint="eastAsia"/>
          <w:color w:val="auto"/>
        </w:rPr>
        <w:t>W=∑（P×K）/∑K</w:t>
      </w:r>
    </w:p>
    <w:p w14:paraId="6F5490E1">
      <w:pPr>
        <w:bidi w:val="0"/>
        <w:rPr>
          <w:rFonts w:hint="eastAsia"/>
          <w:color w:val="auto"/>
        </w:rPr>
      </w:pPr>
      <w:r>
        <w:rPr>
          <w:rFonts w:hint="eastAsia"/>
          <w:color w:val="auto"/>
        </w:rPr>
        <w:t>式中：W—系统（单元）预先危险性等级系数；</w:t>
      </w:r>
    </w:p>
    <w:p w14:paraId="7A8CAAC3">
      <w:pPr>
        <w:bidi w:val="0"/>
        <w:rPr>
          <w:rFonts w:hint="eastAsia"/>
          <w:color w:val="auto"/>
        </w:rPr>
      </w:pPr>
      <w:r>
        <w:rPr>
          <w:rFonts w:hint="eastAsia"/>
          <w:color w:val="auto"/>
        </w:rPr>
        <w:t>P—分析项目的危险性等级系数；</w:t>
      </w:r>
    </w:p>
    <w:p w14:paraId="492AD340">
      <w:pPr>
        <w:bidi w:val="0"/>
        <w:rPr>
          <w:rFonts w:hint="eastAsia"/>
          <w:color w:val="auto"/>
        </w:rPr>
      </w:pPr>
      <w:r>
        <w:rPr>
          <w:rFonts w:hint="eastAsia"/>
          <w:color w:val="auto"/>
        </w:rPr>
        <w:t>K—分析项目发生事故的概率系数。</w:t>
      </w:r>
    </w:p>
    <w:p w14:paraId="24E0CCE9">
      <w:pPr>
        <w:bidi w:val="0"/>
        <w:rPr>
          <w:rFonts w:hint="eastAsia"/>
          <w:color w:val="auto"/>
        </w:rPr>
      </w:pPr>
      <w:r>
        <w:rPr>
          <w:rFonts w:hint="eastAsia"/>
          <w:color w:val="auto"/>
        </w:rPr>
        <w:t>W=（4×0.10+4×0.20+4×0.10）/（0.10+0.20+0.10）=4</w:t>
      </w:r>
    </w:p>
    <w:p w14:paraId="629B4CF2">
      <w:pPr>
        <w:bidi w:val="0"/>
        <w:rPr>
          <w:rFonts w:hint="eastAsia"/>
          <w:color w:val="auto"/>
        </w:rPr>
      </w:pPr>
      <w:r>
        <w:rPr>
          <w:rFonts w:hint="eastAsia"/>
          <w:color w:val="auto"/>
        </w:rPr>
        <w:t>预先危险性分析结论：本单元预先危险性等级系数为Ⅲ级，系统危险程度为很危险。</w:t>
      </w:r>
    </w:p>
    <w:p w14:paraId="1E51E92B">
      <w:pPr>
        <w:pStyle w:val="5"/>
        <w:bidi w:val="0"/>
        <w:rPr>
          <w:rFonts w:hint="eastAsia"/>
          <w:color w:val="auto"/>
        </w:rPr>
      </w:pPr>
      <w:r>
        <w:rPr>
          <w:rFonts w:hint="eastAsia"/>
          <w:color w:val="auto"/>
        </w:rPr>
        <w:t>5.2.</w:t>
      </w:r>
      <w:r>
        <w:rPr>
          <w:rFonts w:hint="eastAsia"/>
          <w:color w:val="auto"/>
          <w:lang w:val="en-US" w:eastAsia="zh-CN"/>
        </w:rPr>
        <w:t>6</w:t>
      </w:r>
      <w:r>
        <w:rPr>
          <w:rFonts w:hint="eastAsia"/>
          <w:color w:val="auto"/>
        </w:rPr>
        <w:t>.3 评价子单元小结</w:t>
      </w:r>
    </w:p>
    <w:p w14:paraId="1EA151E0">
      <w:pPr>
        <w:bidi w:val="0"/>
        <w:rPr>
          <w:rFonts w:hint="eastAsia"/>
          <w:color w:val="auto"/>
        </w:rPr>
      </w:pPr>
      <w:r>
        <w:rPr>
          <w:rFonts w:hint="eastAsia"/>
          <w:color w:val="auto"/>
        </w:rPr>
        <w:t>经PHA预先危险性分析，本单元存在的危险有害因素等级为Ⅲ级，可能导致事故的发生，造成人员伤亡或财产损失，必须立即采取措施进行控制。</w:t>
      </w:r>
    </w:p>
    <w:p w14:paraId="08F9E86C">
      <w:pPr>
        <w:pStyle w:val="4"/>
        <w:bidi w:val="0"/>
        <w:rPr>
          <w:rFonts w:hint="eastAsia"/>
          <w:color w:val="auto"/>
        </w:rPr>
      </w:pPr>
      <w:bookmarkStart w:id="197" w:name="_Toc21386"/>
      <w:r>
        <w:rPr>
          <w:rFonts w:hint="eastAsia"/>
          <w:color w:val="auto"/>
        </w:rPr>
        <w:t>5.2.</w:t>
      </w:r>
      <w:r>
        <w:rPr>
          <w:rFonts w:hint="eastAsia"/>
          <w:color w:val="auto"/>
          <w:lang w:val="en-US" w:eastAsia="zh-CN"/>
        </w:rPr>
        <w:t xml:space="preserve">7 </w:t>
      </w:r>
      <w:r>
        <w:rPr>
          <w:rFonts w:hint="eastAsia"/>
          <w:color w:val="auto"/>
        </w:rPr>
        <w:t>脱水系统评价子单元</w:t>
      </w:r>
      <w:bookmarkEnd w:id="197"/>
    </w:p>
    <w:p w14:paraId="22117FED">
      <w:pPr>
        <w:pStyle w:val="5"/>
        <w:bidi w:val="0"/>
        <w:rPr>
          <w:rFonts w:hint="eastAsia"/>
          <w:color w:val="auto"/>
        </w:rPr>
      </w:pPr>
      <w:r>
        <w:rPr>
          <w:rFonts w:hint="eastAsia"/>
          <w:color w:val="auto"/>
        </w:rPr>
        <w:t>5.2.</w:t>
      </w:r>
      <w:r>
        <w:rPr>
          <w:rFonts w:hint="eastAsia"/>
          <w:color w:val="auto"/>
          <w:lang w:val="en-US" w:eastAsia="zh-CN"/>
        </w:rPr>
        <w:t>7</w:t>
      </w:r>
      <w:r>
        <w:rPr>
          <w:rFonts w:hint="eastAsia"/>
          <w:color w:val="auto"/>
        </w:rPr>
        <w:t>.1</w:t>
      </w:r>
      <w:r>
        <w:rPr>
          <w:rFonts w:hint="eastAsia"/>
          <w:color w:val="auto"/>
          <w:lang w:val="en-US" w:eastAsia="zh-CN"/>
        </w:rPr>
        <w:t xml:space="preserve"> </w:t>
      </w:r>
      <w:r>
        <w:rPr>
          <w:rFonts w:hint="eastAsia"/>
          <w:color w:val="auto"/>
        </w:rPr>
        <w:t>危险有害因素概述</w:t>
      </w:r>
    </w:p>
    <w:p w14:paraId="53078B80">
      <w:pPr>
        <w:bidi w:val="0"/>
        <w:rPr>
          <w:rFonts w:hint="eastAsia"/>
          <w:color w:val="auto"/>
        </w:rPr>
      </w:pPr>
      <w:r>
        <w:rPr>
          <w:rFonts w:hint="eastAsia"/>
          <w:color w:val="auto"/>
        </w:rPr>
        <w:t>本单元可能发生的安全生产事故类型有：机械伤害、高处坠落、触电、淹溺。</w:t>
      </w:r>
    </w:p>
    <w:p w14:paraId="45AFE44A">
      <w:pPr>
        <w:bidi w:val="0"/>
        <w:rPr>
          <w:rFonts w:hint="eastAsia"/>
          <w:color w:val="auto"/>
        </w:rPr>
      </w:pPr>
      <w:r>
        <w:rPr>
          <w:rFonts w:hint="eastAsia"/>
          <w:color w:val="auto"/>
        </w:rPr>
        <w:t>机械伤害：压滤机传动部位，无防护装置；</w:t>
      </w:r>
    </w:p>
    <w:p w14:paraId="5529C40F">
      <w:pPr>
        <w:bidi w:val="0"/>
        <w:rPr>
          <w:rFonts w:hint="eastAsia"/>
          <w:color w:val="auto"/>
        </w:rPr>
      </w:pPr>
      <w:r>
        <w:rPr>
          <w:rFonts w:hint="eastAsia"/>
          <w:color w:val="auto"/>
        </w:rPr>
        <w:t>高处坠落：脱水车间作业地点有一定高度又未设防护拦，或防护栏杆不符合GB4053.3的规定，将会造成高处坠落；</w:t>
      </w:r>
    </w:p>
    <w:p w14:paraId="0B7A69EE">
      <w:pPr>
        <w:bidi w:val="0"/>
        <w:rPr>
          <w:rFonts w:hint="eastAsia"/>
          <w:color w:val="auto"/>
        </w:rPr>
      </w:pPr>
      <w:r>
        <w:rPr>
          <w:rFonts w:hint="eastAsia"/>
          <w:color w:val="auto"/>
        </w:rPr>
        <w:t>触电：厂区电气线路布置及电控制板摆设不规范，电线接头裸露，易发生触电及火灾事故；配电室低压配电柜未标识，可能因误操作导致触电和设备事故；低压架空线及电气设备及装置不按规定进行定期检测；运转的电动机未按规定安装接地保护，如遇雷击、漏电、短路情况，易发生设备损坏和触电事故。</w:t>
      </w:r>
    </w:p>
    <w:p w14:paraId="2DB1CEEA">
      <w:pPr>
        <w:bidi w:val="0"/>
        <w:rPr>
          <w:rFonts w:hint="eastAsia"/>
          <w:color w:val="auto"/>
        </w:rPr>
      </w:pPr>
      <w:r>
        <w:rPr>
          <w:rFonts w:hint="eastAsia"/>
          <w:color w:val="auto"/>
        </w:rPr>
        <w:t>淹溺：作业人员不慎跌入沉淀池，可能会发生淹溺事故。</w:t>
      </w:r>
    </w:p>
    <w:p w14:paraId="0BDE8A2E">
      <w:pPr>
        <w:pStyle w:val="5"/>
        <w:bidi w:val="0"/>
        <w:rPr>
          <w:rFonts w:hint="eastAsia"/>
          <w:color w:val="auto"/>
        </w:rPr>
      </w:pPr>
      <w:r>
        <w:rPr>
          <w:rFonts w:hint="eastAsia"/>
          <w:color w:val="auto"/>
        </w:rPr>
        <w:t>5.2.</w:t>
      </w:r>
      <w:r>
        <w:rPr>
          <w:rFonts w:hint="eastAsia"/>
          <w:color w:val="auto"/>
          <w:lang w:val="en-US" w:eastAsia="zh-CN"/>
        </w:rPr>
        <w:t>7</w:t>
      </w:r>
      <w:r>
        <w:rPr>
          <w:rFonts w:hint="eastAsia"/>
          <w:color w:val="auto"/>
        </w:rPr>
        <w:t>.2</w:t>
      </w:r>
      <w:r>
        <w:rPr>
          <w:rFonts w:hint="eastAsia"/>
          <w:color w:val="auto"/>
          <w:lang w:val="en-US" w:eastAsia="zh-CN"/>
        </w:rPr>
        <w:t xml:space="preserve"> </w:t>
      </w:r>
      <w:r>
        <w:rPr>
          <w:rFonts w:hint="eastAsia"/>
          <w:color w:val="auto"/>
        </w:rPr>
        <w:t>预先危险性分析（PHA）</w:t>
      </w:r>
    </w:p>
    <w:p w14:paraId="15F3E921">
      <w:pPr>
        <w:pStyle w:val="18"/>
        <w:bidi w:val="0"/>
        <w:rPr>
          <w:rFonts w:hint="eastAsia"/>
          <w:color w:val="auto"/>
        </w:rPr>
      </w:pPr>
    </w:p>
    <w:p w14:paraId="676BCAA4">
      <w:pPr>
        <w:pStyle w:val="18"/>
        <w:bidi w:val="0"/>
        <w:rPr>
          <w:rFonts w:hint="eastAsia"/>
          <w:color w:val="auto"/>
        </w:rPr>
      </w:pPr>
    </w:p>
    <w:p w14:paraId="467007B1">
      <w:pPr>
        <w:pStyle w:val="18"/>
        <w:bidi w:val="0"/>
        <w:rPr>
          <w:color w:val="auto"/>
        </w:rPr>
      </w:pPr>
      <w:r>
        <w:rPr>
          <w:rFonts w:hint="eastAsia"/>
          <w:color w:val="auto"/>
        </w:rPr>
        <w:t>表5.2-</w:t>
      </w:r>
      <w:r>
        <w:rPr>
          <w:rFonts w:hint="eastAsia"/>
          <w:color w:val="auto"/>
          <w:lang w:val="en-US" w:eastAsia="zh-CN"/>
        </w:rPr>
        <w:t>7</w:t>
      </w:r>
      <w:r>
        <w:rPr>
          <w:rFonts w:hint="eastAsia"/>
          <w:color w:val="auto"/>
        </w:rPr>
        <w:t xml:space="preserve"> </w:t>
      </w:r>
      <w:r>
        <w:rPr>
          <w:rFonts w:hint="eastAsia"/>
          <w:color w:val="auto"/>
          <w:lang w:val="en-US" w:eastAsia="zh-CN"/>
        </w:rPr>
        <w:t xml:space="preserve"> </w:t>
      </w:r>
      <w:r>
        <w:rPr>
          <w:rFonts w:hint="eastAsia"/>
          <w:color w:val="auto"/>
        </w:rPr>
        <w:t>脱水系统预先危险性分析表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134"/>
        <w:gridCol w:w="1866"/>
        <w:gridCol w:w="717"/>
        <w:gridCol w:w="833"/>
        <w:gridCol w:w="667"/>
        <w:gridCol w:w="917"/>
        <w:gridCol w:w="2536"/>
      </w:tblGrid>
      <w:tr w14:paraId="1DF53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731" w:type="dxa"/>
            <w:noWrap w:val="0"/>
            <w:vAlign w:val="center"/>
          </w:tcPr>
          <w:p w14:paraId="2E5AD480">
            <w:pPr>
              <w:spacing w:line="300" w:lineRule="exact"/>
              <w:ind w:firstLine="0" w:firstLineChars="0"/>
              <w:jc w:val="center"/>
              <w:rPr>
                <w:rFonts w:hint="default" w:ascii="Times New Roman" w:hAnsi="Times New Roman" w:cs="Times New Roman"/>
                <w:b/>
                <w:bCs/>
                <w:color w:val="auto"/>
                <w:sz w:val="21"/>
              </w:rPr>
            </w:pPr>
            <w:r>
              <w:rPr>
                <w:rFonts w:hint="default" w:ascii="Times New Roman" w:hAnsi="Times New Roman" w:cs="Times New Roman"/>
                <w:b/>
                <w:bCs/>
                <w:color w:val="auto"/>
                <w:sz w:val="21"/>
              </w:rPr>
              <w:t>危险有害因素</w:t>
            </w:r>
          </w:p>
        </w:tc>
        <w:tc>
          <w:tcPr>
            <w:tcW w:w="1134" w:type="dxa"/>
            <w:noWrap w:val="0"/>
            <w:vAlign w:val="center"/>
          </w:tcPr>
          <w:p w14:paraId="70A2D089">
            <w:pPr>
              <w:spacing w:line="300" w:lineRule="exact"/>
              <w:ind w:firstLine="0" w:firstLineChars="0"/>
              <w:jc w:val="center"/>
              <w:rPr>
                <w:rFonts w:hint="default" w:ascii="Times New Roman" w:hAnsi="Times New Roman" w:cs="Times New Roman"/>
                <w:b/>
                <w:bCs/>
                <w:color w:val="auto"/>
                <w:sz w:val="21"/>
              </w:rPr>
            </w:pPr>
            <w:r>
              <w:rPr>
                <w:rFonts w:hint="default" w:ascii="Times New Roman" w:hAnsi="Times New Roman" w:cs="Times New Roman"/>
                <w:b/>
                <w:bCs/>
                <w:color w:val="auto"/>
                <w:sz w:val="21"/>
              </w:rPr>
              <w:t>触发事件</w:t>
            </w:r>
          </w:p>
        </w:tc>
        <w:tc>
          <w:tcPr>
            <w:tcW w:w="1866" w:type="dxa"/>
            <w:noWrap w:val="0"/>
            <w:vAlign w:val="center"/>
          </w:tcPr>
          <w:p w14:paraId="5405E64C">
            <w:pPr>
              <w:spacing w:line="300" w:lineRule="exact"/>
              <w:ind w:firstLine="0" w:firstLineChars="0"/>
              <w:jc w:val="center"/>
              <w:rPr>
                <w:rFonts w:hint="default" w:ascii="Times New Roman" w:hAnsi="Times New Roman" w:cs="Times New Roman"/>
                <w:b/>
                <w:bCs/>
                <w:color w:val="auto"/>
                <w:sz w:val="21"/>
              </w:rPr>
            </w:pPr>
            <w:r>
              <w:rPr>
                <w:rFonts w:hint="default" w:ascii="Times New Roman" w:hAnsi="Times New Roman" w:cs="Times New Roman"/>
                <w:b/>
                <w:bCs/>
                <w:color w:val="auto"/>
                <w:sz w:val="21"/>
              </w:rPr>
              <w:t>形成事故原因</w:t>
            </w:r>
          </w:p>
        </w:tc>
        <w:tc>
          <w:tcPr>
            <w:tcW w:w="717" w:type="dxa"/>
            <w:noWrap w:val="0"/>
            <w:vAlign w:val="center"/>
          </w:tcPr>
          <w:p w14:paraId="350E129C">
            <w:pPr>
              <w:spacing w:line="300" w:lineRule="exact"/>
              <w:ind w:firstLine="0" w:firstLineChars="0"/>
              <w:jc w:val="center"/>
              <w:rPr>
                <w:rFonts w:hint="default" w:ascii="Times New Roman" w:hAnsi="Times New Roman" w:cs="Times New Roman"/>
                <w:b/>
                <w:bCs/>
                <w:color w:val="auto"/>
                <w:sz w:val="21"/>
              </w:rPr>
            </w:pPr>
            <w:r>
              <w:rPr>
                <w:rFonts w:hint="default" w:ascii="Times New Roman" w:hAnsi="Times New Roman" w:cs="Times New Roman"/>
                <w:b/>
                <w:bCs/>
                <w:color w:val="auto"/>
                <w:sz w:val="21"/>
              </w:rPr>
              <w:t>事故模式</w:t>
            </w:r>
          </w:p>
        </w:tc>
        <w:tc>
          <w:tcPr>
            <w:tcW w:w="833" w:type="dxa"/>
            <w:noWrap w:val="0"/>
            <w:vAlign w:val="center"/>
          </w:tcPr>
          <w:p w14:paraId="7DB768BC">
            <w:pPr>
              <w:spacing w:line="300" w:lineRule="exact"/>
              <w:ind w:firstLine="0" w:firstLineChars="0"/>
              <w:jc w:val="center"/>
              <w:rPr>
                <w:rFonts w:hint="default" w:ascii="Times New Roman" w:hAnsi="Times New Roman" w:cs="Times New Roman"/>
                <w:b/>
                <w:bCs/>
                <w:color w:val="auto"/>
                <w:sz w:val="21"/>
              </w:rPr>
            </w:pPr>
            <w:r>
              <w:rPr>
                <w:rFonts w:hint="default" w:ascii="Times New Roman" w:hAnsi="Times New Roman" w:cs="Times New Roman"/>
                <w:b/>
                <w:bCs/>
                <w:color w:val="auto"/>
                <w:sz w:val="21"/>
              </w:rPr>
              <w:t>事故后果</w:t>
            </w:r>
          </w:p>
        </w:tc>
        <w:tc>
          <w:tcPr>
            <w:tcW w:w="667" w:type="dxa"/>
            <w:noWrap w:val="0"/>
            <w:vAlign w:val="center"/>
          </w:tcPr>
          <w:p w14:paraId="4708D9CB">
            <w:pPr>
              <w:spacing w:line="300" w:lineRule="exact"/>
              <w:ind w:firstLine="0" w:firstLineChars="0"/>
              <w:jc w:val="center"/>
              <w:rPr>
                <w:rFonts w:hint="default" w:ascii="Times New Roman" w:hAnsi="Times New Roman" w:cs="Times New Roman"/>
                <w:b/>
                <w:bCs/>
                <w:color w:val="auto"/>
                <w:sz w:val="21"/>
              </w:rPr>
            </w:pPr>
            <w:r>
              <w:rPr>
                <w:rFonts w:hint="default" w:ascii="Times New Roman" w:hAnsi="Times New Roman" w:cs="Times New Roman"/>
                <w:b/>
                <w:bCs/>
                <w:color w:val="auto"/>
                <w:sz w:val="21"/>
              </w:rPr>
              <w:t>危险等级</w:t>
            </w:r>
          </w:p>
        </w:tc>
        <w:tc>
          <w:tcPr>
            <w:tcW w:w="917" w:type="dxa"/>
            <w:noWrap w:val="0"/>
            <w:vAlign w:val="center"/>
          </w:tcPr>
          <w:p w14:paraId="65F2694A">
            <w:pPr>
              <w:spacing w:line="300" w:lineRule="exact"/>
              <w:ind w:firstLine="0" w:firstLineChars="0"/>
              <w:jc w:val="center"/>
              <w:rPr>
                <w:rFonts w:hint="default" w:ascii="Times New Roman" w:hAnsi="Times New Roman" w:cs="Times New Roman"/>
                <w:b/>
                <w:bCs/>
                <w:color w:val="auto"/>
                <w:sz w:val="21"/>
              </w:rPr>
            </w:pPr>
            <w:r>
              <w:rPr>
                <w:rFonts w:hint="default" w:ascii="Times New Roman" w:hAnsi="Times New Roman" w:cs="Times New Roman"/>
                <w:b/>
                <w:bCs/>
                <w:color w:val="auto"/>
                <w:sz w:val="21"/>
              </w:rPr>
              <w:t>发生事故的概率等级</w:t>
            </w:r>
          </w:p>
        </w:tc>
        <w:tc>
          <w:tcPr>
            <w:tcW w:w="2536" w:type="dxa"/>
            <w:noWrap w:val="0"/>
            <w:vAlign w:val="center"/>
          </w:tcPr>
          <w:p w14:paraId="03F62771">
            <w:pPr>
              <w:spacing w:line="300" w:lineRule="exact"/>
              <w:ind w:firstLine="0" w:firstLineChars="0"/>
              <w:jc w:val="center"/>
              <w:rPr>
                <w:rFonts w:hint="default" w:ascii="Times New Roman" w:hAnsi="Times New Roman" w:cs="Times New Roman"/>
                <w:b/>
                <w:bCs/>
                <w:color w:val="auto"/>
                <w:sz w:val="21"/>
              </w:rPr>
            </w:pPr>
            <w:r>
              <w:rPr>
                <w:rFonts w:hint="default" w:ascii="Times New Roman" w:hAnsi="Times New Roman" w:cs="Times New Roman"/>
                <w:b/>
                <w:bCs/>
                <w:color w:val="auto"/>
                <w:sz w:val="21"/>
              </w:rPr>
              <w:t>对策措施</w:t>
            </w:r>
          </w:p>
        </w:tc>
      </w:tr>
      <w:tr w14:paraId="27CB3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dxa"/>
            <w:noWrap w:val="0"/>
            <w:vAlign w:val="center"/>
          </w:tcPr>
          <w:p w14:paraId="2D2DED59">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机械伤害</w:t>
            </w:r>
          </w:p>
        </w:tc>
        <w:tc>
          <w:tcPr>
            <w:tcW w:w="1134" w:type="dxa"/>
            <w:noWrap w:val="0"/>
            <w:vAlign w:val="center"/>
          </w:tcPr>
          <w:p w14:paraId="556E97D5">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人员接触机械设备运转部位</w:t>
            </w:r>
          </w:p>
        </w:tc>
        <w:tc>
          <w:tcPr>
            <w:tcW w:w="1866" w:type="dxa"/>
            <w:noWrap w:val="0"/>
            <w:vAlign w:val="center"/>
          </w:tcPr>
          <w:p w14:paraId="294673D8">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1、操作地点不安全；</w:t>
            </w:r>
          </w:p>
          <w:p w14:paraId="01EC5F26">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2、作业前安全检查、处理不到位；</w:t>
            </w:r>
          </w:p>
          <w:p w14:paraId="2C8CFAD4">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3、安全防护装置</w:t>
            </w:r>
            <w:r>
              <w:rPr>
                <w:rFonts w:hint="default" w:ascii="Times New Roman" w:hAnsi="Times New Roman" w:cs="Times New Roman"/>
                <w:color w:val="auto"/>
                <w:sz w:val="21"/>
                <w:lang w:eastAsia="zh-CN"/>
              </w:rPr>
              <w:t>（</w:t>
            </w:r>
            <w:r>
              <w:rPr>
                <w:rFonts w:hint="default" w:ascii="Times New Roman" w:hAnsi="Times New Roman" w:cs="Times New Roman"/>
                <w:color w:val="auto"/>
                <w:sz w:val="21"/>
              </w:rPr>
              <w:t>罩</w:t>
            </w:r>
            <w:r>
              <w:rPr>
                <w:rFonts w:hint="default" w:ascii="Times New Roman" w:hAnsi="Times New Roman" w:cs="Times New Roman"/>
                <w:color w:val="auto"/>
                <w:sz w:val="21"/>
                <w:lang w:eastAsia="zh-CN"/>
              </w:rPr>
              <w:t>）</w:t>
            </w:r>
            <w:r>
              <w:rPr>
                <w:rFonts w:hint="default" w:ascii="Times New Roman" w:hAnsi="Times New Roman" w:cs="Times New Roman"/>
                <w:color w:val="auto"/>
                <w:sz w:val="21"/>
              </w:rPr>
              <w:t>不全；</w:t>
            </w:r>
          </w:p>
          <w:p w14:paraId="4EB35A4A">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4、操作不熟练；</w:t>
            </w:r>
          </w:p>
          <w:p w14:paraId="76E700B6">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5、狂风和低温。</w:t>
            </w:r>
          </w:p>
        </w:tc>
        <w:tc>
          <w:tcPr>
            <w:tcW w:w="717" w:type="dxa"/>
            <w:noWrap w:val="0"/>
            <w:vAlign w:val="center"/>
          </w:tcPr>
          <w:p w14:paraId="650DA03C">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夹击碰撞剪切卷入绞等</w:t>
            </w:r>
          </w:p>
        </w:tc>
        <w:tc>
          <w:tcPr>
            <w:tcW w:w="833" w:type="dxa"/>
            <w:noWrap w:val="0"/>
            <w:vAlign w:val="center"/>
          </w:tcPr>
          <w:p w14:paraId="3F3D4211">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人员受伤或死亡</w:t>
            </w:r>
          </w:p>
        </w:tc>
        <w:tc>
          <w:tcPr>
            <w:tcW w:w="667" w:type="dxa"/>
            <w:noWrap w:val="0"/>
            <w:vAlign w:val="center"/>
          </w:tcPr>
          <w:p w14:paraId="668813A9">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Ⅱ</w:t>
            </w:r>
          </w:p>
        </w:tc>
        <w:tc>
          <w:tcPr>
            <w:tcW w:w="917" w:type="dxa"/>
            <w:noWrap w:val="0"/>
            <w:vAlign w:val="center"/>
          </w:tcPr>
          <w:p w14:paraId="2E9B3669">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B</w:t>
            </w:r>
          </w:p>
        </w:tc>
        <w:tc>
          <w:tcPr>
            <w:tcW w:w="2536" w:type="dxa"/>
            <w:noWrap w:val="0"/>
            <w:vAlign w:val="center"/>
          </w:tcPr>
          <w:p w14:paraId="16AECB35">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1、严格执行操作规程；</w:t>
            </w:r>
          </w:p>
          <w:p w14:paraId="46E0640D">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2、树立先安全后生产的观念，坚持工作前对工作面的安全处理；</w:t>
            </w:r>
          </w:p>
          <w:p w14:paraId="6CFA8CEE">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3、加强个人防护措施；</w:t>
            </w:r>
          </w:p>
          <w:p w14:paraId="1C613A61">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4、完善配备机械安全装置；</w:t>
            </w:r>
          </w:p>
          <w:p w14:paraId="5E5372A4">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5、采取防风和保温措施。</w:t>
            </w:r>
          </w:p>
        </w:tc>
      </w:tr>
      <w:tr w14:paraId="1A278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dxa"/>
            <w:noWrap w:val="0"/>
            <w:vAlign w:val="center"/>
          </w:tcPr>
          <w:p w14:paraId="19ACB484">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高处坠落</w:t>
            </w:r>
          </w:p>
        </w:tc>
        <w:tc>
          <w:tcPr>
            <w:tcW w:w="1134" w:type="dxa"/>
            <w:noWrap w:val="0"/>
            <w:vAlign w:val="center"/>
          </w:tcPr>
          <w:p w14:paraId="08D638FE">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人体失稳、防护栏杆失效</w:t>
            </w:r>
          </w:p>
        </w:tc>
        <w:tc>
          <w:tcPr>
            <w:tcW w:w="1866" w:type="dxa"/>
            <w:noWrap w:val="0"/>
            <w:vAlign w:val="center"/>
          </w:tcPr>
          <w:p w14:paraId="67CFEC9E">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1、管理、防护不到位；</w:t>
            </w:r>
          </w:p>
          <w:p w14:paraId="2DF35AB7">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2、操作地点不安全；</w:t>
            </w:r>
          </w:p>
          <w:p w14:paraId="608F86B6">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3、狂风和低温。</w:t>
            </w:r>
          </w:p>
        </w:tc>
        <w:tc>
          <w:tcPr>
            <w:tcW w:w="717" w:type="dxa"/>
            <w:noWrap w:val="0"/>
            <w:vAlign w:val="center"/>
          </w:tcPr>
          <w:p w14:paraId="77FC02B5">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坠落摔倒</w:t>
            </w:r>
          </w:p>
        </w:tc>
        <w:tc>
          <w:tcPr>
            <w:tcW w:w="833" w:type="dxa"/>
            <w:noWrap w:val="0"/>
            <w:vAlign w:val="center"/>
          </w:tcPr>
          <w:p w14:paraId="6C801134">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人员受伤或死亡</w:t>
            </w:r>
          </w:p>
        </w:tc>
        <w:tc>
          <w:tcPr>
            <w:tcW w:w="667" w:type="dxa"/>
            <w:noWrap w:val="0"/>
            <w:vAlign w:val="center"/>
          </w:tcPr>
          <w:p w14:paraId="3AE85D4A">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Ⅱ</w:t>
            </w:r>
          </w:p>
        </w:tc>
        <w:tc>
          <w:tcPr>
            <w:tcW w:w="917" w:type="dxa"/>
            <w:noWrap w:val="0"/>
            <w:vAlign w:val="center"/>
          </w:tcPr>
          <w:p w14:paraId="5ABFC9D0">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B</w:t>
            </w:r>
          </w:p>
        </w:tc>
        <w:tc>
          <w:tcPr>
            <w:tcW w:w="2536" w:type="dxa"/>
            <w:noWrap w:val="0"/>
            <w:vAlign w:val="center"/>
          </w:tcPr>
          <w:p w14:paraId="0B02D7E4">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1、增强安全意识，加强个体防护；</w:t>
            </w:r>
          </w:p>
          <w:p w14:paraId="5576CA47">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2、检查作业场所的管理和防护措施；</w:t>
            </w:r>
          </w:p>
          <w:p w14:paraId="4B047330">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3、设置警示标志，遵守操作规程；</w:t>
            </w:r>
          </w:p>
          <w:p w14:paraId="2229AB66">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4、梯子、平台和易滑倒操作通道地面应有防滑措施；</w:t>
            </w:r>
          </w:p>
          <w:p w14:paraId="788B2637">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5、采取防风和保温措施。</w:t>
            </w:r>
          </w:p>
        </w:tc>
      </w:tr>
      <w:tr w14:paraId="651DD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dxa"/>
            <w:noWrap w:val="0"/>
            <w:vAlign w:val="center"/>
          </w:tcPr>
          <w:p w14:paraId="7E23E92E">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触电</w:t>
            </w:r>
          </w:p>
        </w:tc>
        <w:tc>
          <w:tcPr>
            <w:tcW w:w="1134" w:type="dxa"/>
            <w:noWrap w:val="0"/>
            <w:vAlign w:val="center"/>
          </w:tcPr>
          <w:p w14:paraId="35FF3B7A">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接触漏电设备；电气短路、老化，无接地、接零保护；违章作业，未穿戴劳动防护用品</w:t>
            </w:r>
          </w:p>
        </w:tc>
        <w:tc>
          <w:tcPr>
            <w:tcW w:w="1866" w:type="dxa"/>
            <w:noWrap w:val="0"/>
            <w:vAlign w:val="center"/>
          </w:tcPr>
          <w:p w14:paraId="5D4B74A6">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1、电气安全工作规程不完善；</w:t>
            </w:r>
          </w:p>
          <w:p w14:paraId="1B88348D">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2、电工无证上岗，操作不熟练；</w:t>
            </w:r>
          </w:p>
          <w:p w14:paraId="5E5EC358">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3、个人防护用品穿戴不齐全，或防护用品绝缘性能不良；</w:t>
            </w:r>
          </w:p>
          <w:p w14:paraId="0B64D80C">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4、电气线路无接地、接零保护，线路老化、绝缘不良未及时维护；</w:t>
            </w:r>
            <w:r>
              <w:rPr>
                <w:rFonts w:hint="default" w:ascii="Times New Roman" w:hAnsi="Times New Roman" w:cs="Times New Roman"/>
                <w:color w:val="auto"/>
                <w:sz w:val="21"/>
              </w:rPr>
              <w:br w:type="textWrapping"/>
            </w:r>
            <w:r>
              <w:rPr>
                <w:rFonts w:hint="default" w:ascii="Times New Roman" w:hAnsi="Times New Roman" w:cs="Times New Roman"/>
                <w:color w:val="auto"/>
                <w:sz w:val="21"/>
              </w:rPr>
              <w:t>5、线路停送电不严格，检修未严格执行工作票制度；</w:t>
            </w:r>
          </w:p>
          <w:p w14:paraId="38624C58">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6、作业人员违章作业。</w:t>
            </w:r>
          </w:p>
        </w:tc>
        <w:tc>
          <w:tcPr>
            <w:tcW w:w="717" w:type="dxa"/>
            <w:noWrap w:val="0"/>
            <w:vAlign w:val="center"/>
          </w:tcPr>
          <w:p w14:paraId="1BE4E8C8">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电击电伤</w:t>
            </w:r>
          </w:p>
        </w:tc>
        <w:tc>
          <w:tcPr>
            <w:tcW w:w="833" w:type="dxa"/>
            <w:noWrap w:val="0"/>
            <w:vAlign w:val="center"/>
          </w:tcPr>
          <w:p w14:paraId="788D2A0E">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人员伤亡</w:t>
            </w:r>
          </w:p>
        </w:tc>
        <w:tc>
          <w:tcPr>
            <w:tcW w:w="667" w:type="dxa"/>
            <w:noWrap w:val="0"/>
            <w:vAlign w:val="center"/>
          </w:tcPr>
          <w:p w14:paraId="1455B84C">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Ⅲ</w:t>
            </w:r>
          </w:p>
        </w:tc>
        <w:tc>
          <w:tcPr>
            <w:tcW w:w="917" w:type="dxa"/>
            <w:noWrap w:val="0"/>
            <w:vAlign w:val="center"/>
          </w:tcPr>
          <w:p w14:paraId="67010E9B">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B</w:t>
            </w:r>
          </w:p>
        </w:tc>
        <w:tc>
          <w:tcPr>
            <w:tcW w:w="2536" w:type="dxa"/>
            <w:noWrap w:val="0"/>
            <w:vAlign w:val="center"/>
          </w:tcPr>
          <w:p w14:paraId="628086D2">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1、严格执行作业规程；</w:t>
            </w:r>
          </w:p>
          <w:p w14:paraId="5ED9DA4B">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2、作业人员100%持证上岗；</w:t>
            </w:r>
          </w:p>
          <w:p w14:paraId="2EF9C3C1">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3、防护用品定期检验，穿戴齐全；</w:t>
            </w:r>
          </w:p>
          <w:p w14:paraId="18C6A371">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4、定期检查电气线路及设备；</w:t>
            </w:r>
          </w:p>
          <w:p w14:paraId="4ABB64A2">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5、作业点悬挂显明的警示标志，落实动电工作票制度。</w:t>
            </w:r>
          </w:p>
          <w:p w14:paraId="30036290">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6、加强职工安全教育，不断提高职工安全素质，严禁无证上岗，严禁违章作业；</w:t>
            </w:r>
          </w:p>
        </w:tc>
      </w:tr>
      <w:tr w14:paraId="5E6C2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dxa"/>
            <w:noWrap w:val="0"/>
            <w:vAlign w:val="center"/>
          </w:tcPr>
          <w:p w14:paraId="169608E8">
            <w:pPr>
              <w:spacing w:line="300" w:lineRule="exact"/>
              <w:ind w:firstLine="0" w:firstLineChars="0"/>
              <w:jc w:val="center"/>
              <w:rPr>
                <w:rFonts w:hint="eastAsia" w:ascii="Times New Roman" w:hAnsi="Times New Roman" w:eastAsia="宋体" w:cs="Times New Roman"/>
                <w:color w:val="auto"/>
                <w:sz w:val="21"/>
                <w:lang w:val="en-US" w:eastAsia="zh-CN"/>
              </w:rPr>
            </w:pPr>
            <w:r>
              <w:rPr>
                <w:rFonts w:hint="eastAsia" w:ascii="Times New Roman" w:hAnsi="Times New Roman" w:cs="Times New Roman"/>
                <w:color w:val="auto"/>
                <w:sz w:val="21"/>
                <w:lang w:val="en-US" w:eastAsia="zh-CN"/>
              </w:rPr>
              <w:t>淹溺</w:t>
            </w:r>
          </w:p>
        </w:tc>
        <w:tc>
          <w:tcPr>
            <w:tcW w:w="1134" w:type="dxa"/>
            <w:noWrap w:val="0"/>
            <w:vAlign w:val="center"/>
          </w:tcPr>
          <w:p w14:paraId="4AF5F4AF">
            <w:pPr>
              <w:pStyle w:val="19"/>
              <w:ind w:firstLine="0" w:firstLineChars="0"/>
              <w:rPr>
                <w:rFonts w:hint="default" w:ascii="Times New Roman" w:hAnsi="Times New Roman" w:cs="Times New Roman"/>
                <w:color w:val="auto"/>
                <w:sz w:val="21"/>
              </w:rPr>
            </w:pPr>
            <w:r>
              <w:rPr>
                <w:rFonts w:hint="default"/>
                <w:color w:val="auto"/>
              </w:rPr>
              <w:t>作业人员不慎跌入</w:t>
            </w:r>
            <w:r>
              <w:rPr>
                <w:rFonts w:hint="eastAsia"/>
                <w:color w:val="auto"/>
                <w:lang w:val="en-US" w:eastAsia="zh-CN"/>
              </w:rPr>
              <w:t>沉淀</w:t>
            </w:r>
            <w:r>
              <w:rPr>
                <w:rFonts w:hint="default"/>
                <w:color w:val="auto"/>
              </w:rPr>
              <w:t>池</w:t>
            </w:r>
          </w:p>
        </w:tc>
        <w:tc>
          <w:tcPr>
            <w:tcW w:w="1866" w:type="dxa"/>
            <w:noWrap w:val="0"/>
            <w:vAlign w:val="center"/>
          </w:tcPr>
          <w:p w14:paraId="56BBEB38">
            <w:pPr>
              <w:pStyle w:val="19"/>
              <w:jc w:val="both"/>
              <w:rPr>
                <w:rFonts w:hint="default"/>
                <w:color w:val="auto"/>
              </w:rPr>
            </w:pPr>
            <w:r>
              <w:rPr>
                <w:rFonts w:hint="default"/>
                <w:color w:val="auto"/>
              </w:rPr>
              <w:t>1、</w:t>
            </w:r>
            <w:r>
              <w:rPr>
                <w:rFonts w:hint="eastAsia"/>
                <w:color w:val="auto"/>
                <w:lang w:val="en-US" w:eastAsia="zh-CN"/>
              </w:rPr>
              <w:t>沉淀</w:t>
            </w:r>
            <w:r>
              <w:rPr>
                <w:rFonts w:hint="default"/>
                <w:color w:val="auto"/>
              </w:rPr>
              <w:t>池无安全防护设施及安全警示标志；</w:t>
            </w:r>
          </w:p>
          <w:p w14:paraId="32719491">
            <w:pPr>
              <w:pStyle w:val="19"/>
              <w:ind w:firstLine="0" w:firstLineChars="0"/>
              <w:jc w:val="both"/>
              <w:rPr>
                <w:rFonts w:hint="default" w:ascii="Times New Roman" w:hAnsi="Times New Roman" w:cs="Times New Roman"/>
                <w:color w:val="auto"/>
                <w:sz w:val="21"/>
              </w:rPr>
            </w:pPr>
            <w:r>
              <w:rPr>
                <w:rFonts w:hint="default"/>
                <w:color w:val="auto"/>
              </w:rPr>
              <w:t>2、作业人员身体状况不良，酒后作业等。</w:t>
            </w:r>
          </w:p>
        </w:tc>
        <w:tc>
          <w:tcPr>
            <w:tcW w:w="717" w:type="dxa"/>
            <w:noWrap w:val="0"/>
            <w:vAlign w:val="center"/>
          </w:tcPr>
          <w:p w14:paraId="3877543D">
            <w:pPr>
              <w:pStyle w:val="19"/>
              <w:ind w:firstLine="0" w:firstLineChars="0"/>
              <w:rPr>
                <w:rFonts w:hint="default" w:ascii="Times New Roman" w:hAnsi="Times New Roman" w:cs="Times New Roman"/>
                <w:color w:val="auto"/>
                <w:sz w:val="21"/>
              </w:rPr>
            </w:pPr>
            <w:r>
              <w:rPr>
                <w:rFonts w:hint="default"/>
                <w:color w:val="auto"/>
              </w:rPr>
              <w:t>淹溺</w:t>
            </w:r>
          </w:p>
        </w:tc>
        <w:tc>
          <w:tcPr>
            <w:tcW w:w="833" w:type="dxa"/>
            <w:noWrap w:val="0"/>
            <w:vAlign w:val="center"/>
          </w:tcPr>
          <w:p w14:paraId="762BC764">
            <w:pPr>
              <w:pStyle w:val="19"/>
              <w:ind w:firstLine="0" w:firstLineChars="0"/>
              <w:rPr>
                <w:rFonts w:hint="default" w:ascii="Times New Roman" w:hAnsi="Times New Roman" w:cs="Times New Roman"/>
                <w:color w:val="auto"/>
                <w:sz w:val="21"/>
              </w:rPr>
            </w:pPr>
            <w:r>
              <w:rPr>
                <w:rFonts w:hint="default"/>
                <w:color w:val="auto"/>
              </w:rPr>
              <w:t>人员伤亡</w:t>
            </w:r>
          </w:p>
        </w:tc>
        <w:tc>
          <w:tcPr>
            <w:tcW w:w="667" w:type="dxa"/>
            <w:noWrap w:val="0"/>
            <w:vAlign w:val="center"/>
          </w:tcPr>
          <w:p w14:paraId="495D017A">
            <w:pPr>
              <w:pStyle w:val="19"/>
              <w:ind w:firstLine="0" w:firstLineChars="0"/>
              <w:rPr>
                <w:rFonts w:hint="default" w:ascii="Times New Roman" w:hAnsi="Times New Roman" w:cs="Times New Roman"/>
                <w:color w:val="auto"/>
                <w:sz w:val="21"/>
              </w:rPr>
            </w:pPr>
            <w:r>
              <w:rPr>
                <w:rFonts w:hint="default"/>
                <w:color w:val="auto"/>
              </w:rPr>
              <w:t>Ⅲ</w:t>
            </w:r>
          </w:p>
        </w:tc>
        <w:tc>
          <w:tcPr>
            <w:tcW w:w="917" w:type="dxa"/>
            <w:noWrap w:val="0"/>
            <w:vAlign w:val="center"/>
          </w:tcPr>
          <w:p w14:paraId="1CC0DFF5">
            <w:pPr>
              <w:pStyle w:val="19"/>
              <w:ind w:firstLine="0" w:firstLineChars="0"/>
              <w:rPr>
                <w:rFonts w:hint="default" w:ascii="Times New Roman" w:hAnsi="Times New Roman" w:cs="Times New Roman"/>
                <w:color w:val="auto"/>
                <w:sz w:val="21"/>
              </w:rPr>
            </w:pPr>
            <w:r>
              <w:rPr>
                <w:rFonts w:hint="default"/>
                <w:color w:val="auto"/>
              </w:rPr>
              <w:t>B</w:t>
            </w:r>
          </w:p>
        </w:tc>
        <w:tc>
          <w:tcPr>
            <w:tcW w:w="2536" w:type="dxa"/>
            <w:noWrap w:val="0"/>
            <w:vAlign w:val="center"/>
          </w:tcPr>
          <w:p w14:paraId="17A034E6">
            <w:pPr>
              <w:pStyle w:val="19"/>
              <w:jc w:val="both"/>
              <w:rPr>
                <w:rFonts w:hint="default"/>
                <w:color w:val="auto"/>
              </w:rPr>
            </w:pPr>
            <w:r>
              <w:rPr>
                <w:rFonts w:hint="default"/>
                <w:color w:val="auto"/>
              </w:rPr>
              <w:t>1、</w:t>
            </w:r>
            <w:r>
              <w:rPr>
                <w:rFonts w:hint="eastAsia"/>
                <w:color w:val="auto"/>
                <w:lang w:val="en-US" w:eastAsia="zh-CN"/>
              </w:rPr>
              <w:t>沉淀</w:t>
            </w:r>
            <w:r>
              <w:rPr>
                <w:rFonts w:hint="default"/>
                <w:color w:val="auto"/>
              </w:rPr>
              <w:t>池按相关规范设置安全防护设施并悬挂警示牌；</w:t>
            </w:r>
          </w:p>
          <w:p w14:paraId="6D0FB4D4">
            <w:pPr>
              <w:pStyle w:val="19"/>
              <w:ind w:firstLine="0" w:firstLineChars="0"/>
              <w:jc w:val="both"/>
              <w:rPr>
                <w:rFonts w:hint="default" w:ascii="Times New Roman" w:hAnsi="Times New Roman" w:cs="Times New Roman"/>
                <w:color w:val="auto"/>
                <w:sz w:val="21"/>
              </w:rPr>
            </w:pPr>
            <w:r>
              <w:rPr>
                <w:rFonts w:hint="default"/>
                <w:color w:val="auto"/>
              </w:rPr>
              <w:t>2、加强员工安全知识培训，严禁违章作业，严禁酒后作业。</w:t>
            </w:r>
          </w:p>
        </w:tc>
      </w:tr>
    </w:tbl>
    <w:p w14:paraId="62F5A6F7">
      <w:pPr>
        <w:bidi w:val="0"/>
        <w:rPr>
          <w:rFonts w:hint="eastAsia"/>
          <w:color w:val="auto"/>
        </w:rPr>
      </w:pPr>
      <w:r>
        <w:rPr>
          <w:rFonts w:hint="eastAsia"/>
          <w:color w:val="auto"/>
        </w:rPr>
        <w:t>本单元预先危险性等级系数按下式确定：</w:t>
      </w:r>
    </w:p>
    <w:p w14:paraId="4CCB5473">
      <w:pPr>
        <w:bidi w:val="0"/>
        <w:rPr>
          <w:rFonts w:hint="eastAsia"/>
          <w:color w:val="auto"/>
        </w:rPr>
      </w:pPr>
      <w:r>
        <w:rPr>
          <w:rFonts w:hint="eastAsia"/>
          <w:color w:val="auto"/>
        </w:rPr>
        <w:t>W=∑（P×K）/∑K</w:t>
      </w:r>
    </w:p>
    <w:p w14:paraId="0D36C7D4">
      <w:pPr>
        <w:bidi w:val="0"/>
        <w:rPr>
          <w:rFonts w:hint="eastAsia"/>
          <w:color w:val="auto"/>
        </w:rPr>
      </w:pPr>
      <w:r>
        <w:rPr>
          <w:rFonts w:hint="eastAsia"/>
          <w:color w:val="auto"/>
        </w:rPr>
        <w:t>式中：W—系统（单元）预先危险性等级系数；</w:t>
      </w:r>
    </w:p>
    <w:p w14:paraId="6FAFE75D">
      <w:pPr>
        <w:bidi w:val="0"/>
        <w:rPr>
          <w:rFonts w:hint="eastAsia"/>
          <w:color w:val="auto"/>
        </w:rPr>
      </w:pPr>
      <w:r>
        <w:rPr>
          <w:rFonts w:hint="eastAsia"/>
          <w:color w:val="auto"/>
        </w:rPr>
        <w:t>P—分析项目的危险性等级系数；</w:t>
      </w:r>
    </w:p>
    <w:p w14:paraId="242EA361">
      <w:pPr>
        <w:bidi w:val="0"/>
        <w:rPr>
          <w:rFonts w:hint="eastAsia"/>
          <w:color w:val="auto"/>
        </w:rPr>
      </w:pPr>
      <w:r>
        <w:rPr>
          <w:rFonts w:hint="eastAsia"/>
          <w:color w:val="auto"/>
        </w:rPr>
        <w:t>K—分析项目发生事故的概率系数。</w:t>
      </w:r>
    </w:p>
    <w:p w14:paraId="7298B77E">
      <w:pPr>
        <w:bidi w:val="0"/>
        <w:rPr>
          <w:rFonts w:hint="eastAsia"/>
          <w:color w:val="auto"/>
          <w:lang w:val="en-US" w:eastAsia="zh-CN"/>
        </w:rPr>
      </w:pPr>
      <w:r>
        <w:rPr>
          <w:rFonts w:hint="eastAsia"/>
          <w:color w:val="auto"/>
        </w:rPr>
        <w:t>W=（</w:t>
      </w:r>
      <w:r>
        <w:rPr>
          <w:rFonts w:hint="eastAsia"/>
          <w:color w:val="auto"/>
          <w:lang w:val="en-US" w:eastAsia="zh-CN"/>
        </w:rPr>
        <w:t>2</w:t>
      </w:r>
      <w:r>
        <w:rPr>
          <w:rFonts w:hint="eastAsia"/>
          <w:color w:val="auto"/>
        </w:rPr>
        <w:t>×0.10+2×0.</w:t>
      </w:r>
      <w:r>
        <w:rPr>
          <w:rFonts w:hint="eastAsia"/>
          <w:color w:val="auto"/>
          <w:lang w:val="en-US" w:eastAsia="zh-CN"/>
        </w:rPr>
        <w:t>1</w:t>
      </w:r>
      <w:r>
        <w:rPr>
          <w:rFonts w:hint="eastAsia"/>
          <w:color w:val="auto"/>
        </w:rPr>
        <w:t>0+4×0.</w:t>
      </w:r>
      <w:r>
        <w:rPr>
          <w:rFonts w:hint="eastAsia"/>
          <w:color w:val="auto"/>
          <w:lang w:val="en-US" w:eastAsia="zh-CN"/>
        </w:rPr>
        <w:t>1</w:t>
      </w:r>
      <w:r>
        <w:rPr>
          <w:rFonts w:hint="eastAsia"/>
          <w:color w:val="auto"/>
        </w:rPr>
        <w:t>0</w:t>
      </w:r>
      <w:r>
        <w:rPr>
          <w:rFonts w:hint="eastAsia"/>
          <w:color w:val="auto"/>
          <w:lang w:val="en-US" w:eastAsia="zh-CN"/>
        </w:rPr>
        <w:t>+</w:t>
      </w:r>
      <w:r>
        <w:rPr>
          <w:rFonts w:hint="eastAsia"/>
          <w:color w:val="auto"/>
        </w:rPr>
        <w:t>4×0.10）/（0.10+0.10</w:t>
      </w:r>
      <w:r>
        <w:rPr>
          <w:rFonts w:hint="eastAsia"/>
          <w:color w:val="auto"/>
          <w:lang w:val="en-US" w:eastAsia="zh-CN"/>
        </w:rPr>
        <w:t>+</w:t>
      </w:r>
      <w:r>
        <w:rPr>
          <w:rFonts w:hint="eastAsia"/>
          <w:color w:val="auto"/>
        </w:rPr>
        <w:t>0.</w:t>
      </w:r>
      <w:r>
        <w:rPr>
          <w:rFonts w:hint="eastAsia"/>
          <w:color w:val="auto"/>
          <w:lang w:val="en-US" w:eastAsia="zh-CN"/>
        </w:rPr>
        <w:t>1</w:t>
      </w:r>
      <w:r>
        <w:rPr>
          <w:rFonts w:hint="eastAsia"/>
          <w:color w:val="auto"/>
        </w:rPr>
        <w:t>0</w:t>
      </w:r>
      <w:r>
        <w:rPr>
          <w:rFonts w:hint="eastAsia"/>
          <w:color w:val="auto"/>
          <w:lang w:val="en-US" w:eastAsia="zh-CN"/>
        </w:rPr>
        <w:t>+</w:t>
      </w:r>
      <w:r>
        <w:rPr>
          <w:rFonts w:hint="eastAsia"/>
          <w:color w:val="auto"/>
        </w:rPr>
        <w:t>0.10）=3</w:t>
      </w:r>
    </w:p>
    <w:p w14:paraId="5C19584C">
      <w:pPr>
        <w:bidi w:val="0"/>
        <w:rPr>
          <w:rFonts w:hint="eastAsia"/>
          <w:color w:val="auto"/>
        </w:rPr>
      </w:pPr>
      <w:r>
        <w:rPr>
          <w:rFonts w:hint="eastAsia"/>
          <w:color w:val="auto"/>
        </w:rPr>
        <w:t>预先危险性分析结论：本单元预先危险性等级系数为Ⅲ级，系统危险程度为很危险。</w:t>
      </w:r>
    </w:p>
    <w:p w14:paraId="15ACBDD6">
      <w:pPr>
        <w:pStyle w:val="5"/>
        <w:bidi w:val="0"/>
        <w:rPr>
          <w:rFonts w:hint="eastAsia"/>
          <w:color w:val="auto"/>
        </w:rPr>
      </w:pPr>
      <w:r>
        <w:rPr>
          <w:rFonts w:hint="eastAsia"/>
          <w:color w:val="auto"/>
        </w:rPr>
        <w:t>5.2.</w:t>
      </w:r>
      <w:r>
        <w:rPr>
          <w:rFonts w:hint="eastAsia"/>
          <w:color w:val="auto"/>
          <w:lang w:val="en-US" w:eastAsia="zh-CN"/>
        </w:rPr>
        <w:t>7</w:t>
      </w:r>
      <w:r>
        <w:rPr>
          <w:rFonts w:hint="eastAsia"/>
          <w:color w:val="auto"/>
        </w:rPr>
        <w:t>.3 评价子单元小结</w:t>
      </w:r>
    </w:p>
    <w:p w14:paraId="2D0DBEF3">
      <w:pPr>
        <w:bidi w:val="0"/>
        <w:rPr>
          <w:rFonts w:hint="eastAsia"/>
          <w:color w:val="auto"/>
        </w:rPr>
      </w:pPr>
      <w:r>
        <w:rPr>
          <w:rFonts w:hint="eastAsia"/>
          <w:color w:val="auto"/>
        </w:rPr>
        <w:t>通过危险有害因素的辨识、分析和PHA法分析，本单元无重大危险有害因素，但企业应对本单元存在的机械伤害、高处坠落、触电伤害、淹溺等危险有害因素予以重视，确保安全生产。</w:t>
      </w:r>
    </w:p>
    <w:p w14:paraId="1FE0D94D">
      <w:pPr>
        <w:pStyle w:val="4"/>
        <w:bidi w:val="0"/>
        <w:rPr>
          <w:rFonts w:hint="default"/>
          <w:color w:val="auto"/>
          <w:lang w:val="en-US" w:eastAsia="zh-CN"/>
        </w:rPr>
      </w:pPr>
      <w:bookmarkStart w:id="198" w:name="_Toc23202"/>
      <w:r>
        <w:rPr>
          <w:rFonts w:hint="eastAsia"/>
          <w:color w:val="auto"/>
          <w:lang w:val="en-US" w:eastAsia="zh-CN"/>
        </w:rPr>
        <w:t>5.2.8 烘干系统评价子单元</w:t>
      </w:r>
      <w:bookmarkEnd w:id="198"/>
    </w:p>
    <w:p w14:paraId="53EE90B8">
      <w:pPr>
        <w:pStyle w:val="5"/>
        <w:bidi w:val="0"/>
        <w:rPr>
          <w:rFonts w:hint="eastAsia"/>
          <w:color w:val="auto"/>
        </w:rPr>
      </w:pPr>
      <w:r>
        <w:rPr>
          <w:rFonts w:hint="eastAsia"/>
          <w:color w:val="auto"/>
          <w:lang w:val="en-US" w:eastAsia="zh-CN"/>
        </w:rPr>
        <w:t xml:space="preserve">5.2.8.1 </w:t>
      </w:r>
      <w:r>
        <w:rPr>
          <w:rFonts w:hint="eastAsia"/>
          <w:color w:val="auto"/>
        </w:rPr>
        <w:t>危险有害因素概述</w:t>
      </w:r>
    </w:p>
    <w:p w14:paraId="71D3572B">
      <w:pPr>
        <w:bidi w:val="0"/>
        <w:rPr>
          <w:rFonts w:hint="eastAsia"/>
          <w:color w:val="auto"/>
        </w:rPr>
      </w:pPr>
      <w:r>
        <w:rPr>
          <w:rFonts w:hint="eastAsia"/>
          <w:color w:val="auto"/>
        </w:rPr>
        <w:t>本单元可能发生的安全生产事故类型有：</w:t>
      </w:r>
      <w:r>
        <w:rPr>
          <w:rFonts w:hint="eastAsia"/>
          <w:color w:val="auto"/>
          <w:lang w:val="en-US" w:eastAsia="zh-CN"/>
        </w:rPr>
        <w:t>火灾、</w:t>
      </w:r>
      <w:r>
        <w:rPr>
          <w:rFonts w:hint="eastAsia"/>
          <w:color w:val="auto"/>
        </w:rPr>
        <w:t>机械伤害、</w:t>
      </w:r>
      <w:r>
        <w:rPr>
          <w:rFonts w:hint="eastAsia"/>
          <w:color w:val="auto"/>
          <w:lang w:val="en-US" w:eastAsia="zh-CN"/>
        </w:rPr>
        <w:t>灼烫</w:t>
      </w:r>
      <w:r>
        <w:rPr>
          <w:rFonts w:hint="eastAsia"/>
          <w:color w:val="auto"/>
        </w:rPr>
        <w:t>、触电</w:t>
      </w:r>
      <w:r>
        <w:rPr>
          <w:rFonts w:hint="eastAsia"/>
          <w:color w:val="auto"/>
          <w:lang w:eastAsia="zh-CN"/>
        </w:rPr>
        <w:t>、</w:t>
      </w:r>
      <w:r>
        <w:rPr>
          <w:rFonts w:hint="eastAsia"/>
          <w:color w:val="auto"/>
          <w:lang w:val="en-US" w:eastAsia="zh-CN"/>
        </w:rPr>
        <w:t>中毒和窒息</w:t>
      </w:r>
      <w:r>
        <w:rPr>
          <w:rFonts w:hint="default"/>
          <w:color w:val="auto"/>
          <w:lang w:eastAsia="zh-CN"/>
        </w:rPr>
        <w:t>、其他伤害</w:t>
      </w:r>
      <w:r>
        <w:rPr>
          <w:rFonts w:hint="eastAsia"/>
          <w:color w:val="auto"/>
        </w:rPr>
        <w:t>。</w:t>
      </w:r>
    </w:p>
    <w:p w14:paraId="0F04736F">
      <w:pPr>
        <w:bidi w:val="0"/>
        <w:rPr>
          <w:rFonts w:hint="default"/>
          <w:color w:val="auto"/>
          <w:lang w:val="en-US" w:eastAsia="zh-CN"/>
        </w:rPr>
      </w:pPr>
      <w:r>
        <w:rPr>
          <w:rFonts w:hint="eastAsia"/>
          <w:color w:val="auto"/>
          <w:lang w:val="en-US" w:eastAsia="zh-CN"/>
        </w:rPr>
        <w:t>火灾：回转窑烘干燃料为生物颗粒，属于易燃固体，遇明火会导致火灾发生。</w:t>
      </w:r>
    </w:p>
    <w:p w14:paraId="5528608A">
      <w:pPr>
        <w:bidi w:val="0"/>
        <w:rPr>
          <w:rFonts w:hint="default" w:eastAsia="宋体"/>
          <w:color w:val="auto"/>
          <w:lang w:eastAsia="zh-CN"/>
        </w:rPr>
      </w:pPr>
      <w:r>
        <w:rPr>
          <w:rFonts w:hint="eastAsia"/>
          <w:color w:val="auto"/>
          <w:lang w:val="en-US" w:eastAsia="zh-CN"/>
        </w:rPr>
        <w:t>机械伤害：回转窑传动部位，无防护装置</w:t>
      </w:r>
      <w:r>
        <w:rPr>
          <w:rFonts w:hint="default"/>
          <w:color w:val="auto"/>
          <w:lang w:eastAsia="zh-CN"/>
        </w:rPr>
        <w:t>。</w:t>
      </w:r>
    </w:p>
    <w:p w14:paraId="1A14982D">
      <w:pPr>
        <w:bidi w:val="0"/>
        <w:rPr>
          <w:rFonts w:hint="eastAsia"/>
          <w:color w:val="auto"/>
          <w:lang w:val="en-US" w:eastAsia="zh-CN"/>
        </w:rPr>
      </w:pPr>
      <w:r>
        <w:rPr>
          <w:rFonts w:hint="eastAsia"/>
          <w:color w:val="auto"/>
          <w:lang w:val="en-US" w:eastAsia="zh-CN"/>
        </w:rPr>
        <w:t>灼烫：回转窑本体周边温度较高，管道内的气体温度较高，并有一定的压力，如果管道的本体质量差，用材不当，制造质量差，本身存在先天性缺陷，未开展定期检验，年久失修，器壁被腐蚀，强度不够，焊缝破损都会引起管道承受不了内部的压力，致使发生烟气泄漏，人一旦接触到这些高温物料和设备，就会造成灼烫伤害；另外，当火灾事故发生时也可能造成人员烧伤。造成灼烫伤害的主要原因有：</w:t>
      </w:r>
    </w:p>
    <w:p w14:paraId="61D75CE2">
      <w:pPr>
        <w:bidi w:val="0"/>
        <w:rPr>
          <w:rFonts w:hint="eastAsia"/>
          <w:color w:val="auto"/>
          <w:lang w:val="en-US" w:eastAsia="zh-CN"/>
        </w:rPr>
      </w:pPr>
      <w:r>
        <w:rPr>
          <w:rFonts w:hint="eastAsia"/>
          <w:color w:val="auto"/>
          <w:lang w:val="en-US" w:eastAsia="zh-CN"/>
        </w:rPr>
        <w:t>（1）保温破损，高温设备、管道等物体裸露；</w:t>
      </w:r>
    </w:p>
    <w:p w14:paraId="48F83677">
      <w:pPr>
        <w:bidi w:val="0"/>
        <w:rPr>
          <w:rFonts w:hint="eastAsia"/>
          <w:color w:val="auto"/>
          <w:lang w:val="en-US" w:eastAsia="zh-CN"/>
        </w:rPr>
      </w:pPr>
      <w:r>
        <w:rPr>
          <w:rFonts w:hint="eastAsia"/>
          <w:color w:val="auto"/>
          <w:lang w:val="en-US" w:eastAsia="zh-CN"/>
        </w:rPr>
        <w:t>（2）设备、管道、管件损坏，高温物料泄漏；</w:t>
      </w:r>
    </w:p>
    <w:p w14:paraId="076BF98F">
      <w:pPr>
        <w:bidi w:val="0"/>
        <w:rPr>
          <w:rFonts w:hint="eastAsia"/>
          <w:color w:val="auto"/>
          <w:lang w:val="en-US" w:eastAsia="zh-CN"/>
        </w:rPr>
      </w:pPr>
      <w:r>
        <w:rPr>
          <w:rFonts w:hint="eastAsia"/>
          <w:color w:val="auto"/>
          <w:lang w:val="en-US" w:eastAsia="zh-CN"/>
        </w:rPr>
        <w:t>（3）起火等造成烧伤；</w:t>
      </w:r>
    </w:p>
    <w:p w14:paraId="702D23CE">
      <w:pPr>
        <w:bidi w:val="0"/>
        <w:rPr>
          <w:rFonts w:hint="eastAsia"/>
          <w:color w:val="auto"/>
          <w:lang w:val="en-US" w:eastAsia="zh-CN"/>
        </w:rPr>
      </w:pPr>
      <w:r>
        <w:rPr>
          <w:rFonts w:hint="eastAsia"/>
          <w:color w:val="auto"/>
          <w:lang w:val="en-US" w:eastAsia="zh-CN"/>
        </w:rPr>
        <w:t>（4）设备维修时焊接作业，作业人员若防护措施不当易造成灼烫事故。</w:t>
      </w:r>
    </w:p>
    <w:p w14:paraId="17D1BCC1">
      <w:pPr>
        <w:bidi w:val="0"/>
        <w:rPr>
          <w:rFonts w:hint="eastAsia" w:eastAsia="宋体"/>
          <w:color w:val="auto"/>
          <w:lang w:val="en-US" w:eastAsia="zh-CN"/>
        </w:rPr>
      </w:pPr>
      <w:r>
        <w:rPr>
          <w:rFonts w:hint="eastAsia"/>
          <w:color w:val="auto"/>
          <w:lang w:val="en-US" w:eastAsia="zh-CN"/>
        </w:rPr>
        <w:t>（5）因其他原因接触高温物体或物料。</w:t>
      </w:r>
    </w:p>
    <w:p w14:paraId="2B5EB974">
      <w:pPr>
        <w:bidi w:val="0"/>
        <w:rPr>
          <w:rFonts w:hint="eastAsia" w:eastAsia="宋体"/>
          <w:color w:val="auto"/>
          <w:lang w:val="en-US" w:eastAsia="zh-CN"/>
        </w:rPr>
      </w:pPr>
      <w:r>
        <w:rPr>
          <w:rFonts w:hint="eastAsia"/>
          <w:color w:val="auto"/>
          <w:lang w:val="en-US" w:eastAsia="zh-CN"/>
        </w:rPr>
        <w:t>触电：厂区电气线路布置及电控制板摆设不规范，电线接头裸露，易发生触电及火灾事故；配电室低压配电柜未标识，可能因误操作导致触电和设备事故；低压架空线及电气设备及装置不按规定进行定期检测；运转的电动机未按规定安装接地保护，如遇雷击、漏电、短路情况，易发生设备损坏和触电事故。</w:t>
      </w:r>
    </w:p>
    <w:p w14:paraId="2319921B">
      <w:pPr>
        <w:bidi w:val="0"/>
        <w:rPr>
          <w:rFonts w:hint="eastAsia"/>
          <w:color w:val="auto"/>
          <w:lang w:eastAsia="zh-CN"/>
        </w:rPr>
      </w:pPr>
      <w:r>
        <w:rPr>
          <w:rFonts w:hint="eastAsia"/>
          <w:color w:val="auto"/>
        </w:rPr>
        <w:t>中毒和窒息</w:t>
      </w:r>
      <w:r>
        <w:rPr>
          <w:rFonts w:hint="eastAsia"/>
          <w:color w:val="auto"/>
          <w:lang w:eastAsia="zh-CN"/>
        </w:rPr>
        <w:t>：进入</w:t>
      </w:r>
      <w:r>
        <w:rPr>
          <w:rFonts w:hint="eastAsia"/>
          <w:color w:val="auto"/>
          <w:lang w:val="en-US" w:eastAsia="zh-CN"/>
        </w:rPr>
        <w:t>窑</w:t>
      </w:r>
      <w:r>
        <w:rPr>
          <w:rFonts w:hint="eastAsia"/>
          <w:color w:val="auto"/>
          <w:lang w:eastAsia="zh-CN"/>
        </w:rPr>
        <w:t>内检修，含氧量达不到要求；无进入有限空间作业许可，无专人监护。</w:t>
      </w:r>
    </w:p>
    <w:p w14:paraId="21672DB6">
      <w:pPr>
        <w:pStyle w:val="5"/>
        <w:bidi w:val="0"/>
        <w:rPr>
          <w:rFonts w:hint="eastAsia"/>
          <w:color w:val="auto"/>
        </w:rPr>
      </w:pPr>
      <w:r>
        <w:rPr>
          <w:rFonts w:hint="eastAsia"/>
          <w:color w:val="auto"/>
        </w:rPr>
        <w:t>5.2.</w:t>
      </w:r>
      <w:r>
        <w:rPr>
          <w:rFonts w:hint="eastAsia"/>
          <w:color w:val="auto"/>
          <w:lang w:val="en-US" w:eastAsia="zh-CN"/>
        </w:rPr>
        <w:t>8</w:t>
      </w:r>
      <w:r>
        <w:rPr>
          <w:rFonts w:hint="eastAsia"/>
          <w:color w:val="auto"/>
        </w:rPr>
        <w:t>.2</w:t>
      </w:r>
      <w:r>
        <w:rPr>
          <w:rFonts w:hint="eastAsia"/>
          <w:color w:val="auto"/>
          <w:lang w:val="en-US" w:eastAsia="zh-CN"/>
        </w:rPr>
        <w:t xml:space="preserve"> </w:t>
      </w:r>
      <w:r>
        <w:rPr>
          <w:rFonts w:hint="eastAsia"/>
          <w:color w:val="auto"/>
        </w:rPr>
        <w:t>预先危险性分析（PHA）</w:t>
      </w:r>
    </w:p>
    <w:p w14:paraId="38F6C7EC">
      <w:pPr>
        <w:pStyle w:val="18"/>
        <w:bidi w:val="0"/>
        <w:rPr>
          <w:color w:val="auto"/>
        </w:rPr>
      </w:pPr>
      <w:r>
        <w:rPr>
          <w:rFonts w:hint="eastAsia"/>
          <w:color w:val="auto"/>
        </w:rPr>
        <w:t>表5.2-</w:t>
      </w:r>
      <w:r>
        <w:rPr>
          <w:rFonts w:hint="eastAsia"/>
          <w:color w:val="auto"/>
          <w:lang w:val="en-US" w:eastAsia="zh-CN"/>
        </w:rPr>
        <w:t>8</w:t>
      </w:r>
      <w:r>
        <w:rPr>
          <w:rFonts w:hint="eastAsia"/>
          <w:color w:val="auto"/>
        </w:rPr>
        <w:t xml:space="preserve"> </w:t>
      </w:r>
      <w:r>
        <w:rPr>
          <w:rFonts w:hint="eastAsia"/>
          <w:color w:val="auto"/>
          <w:lang w:val="en-US" w:eastAsia="zh-CN"/>
        </w:rPr>
        <w:t xml:space="preserve"> 烘干</w:t>
      </w:r>
      <w:r>
        <w:rPr>
          <w:rFonts w:hint="eastAsia"/>
          <w:color w:val="auto"/>
        </w:rPr>
        <w:t>系统预先危险性分析表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134"/>
        <w:gridCol w:w="1866"/>
        <w:gridCol w:w="717"/>
        <w:gridCol w:w="833"/>
        <w:gridCol w:w="667"/>
        <w:gridCol w:w="917"/>
        <w:gridCol w:w="2536"/>
      </w:tblGrid>
      <w:tr w14:paraId="100DB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31" w:type="dxa"/>
            <w:noWrap w:val="0"/>
            <w:vAlign w:val="center"/>
          </w:tcPr>
          <w:p w14:paraId="4583272D">
            <w:pPr>
              <w:spacing w:line="300" w:lineRule="exact"/>
              <w:ind w:firstLine="0" w:firstLineChars="0"/>
              <w:jc w:val="center"/>
              <w:rPr>
                <w:rFonts w:hint="default" w:ascii="Times New Roman" w:hAnsi="Times New Roman" w:cs="Times New Roman"/>
                <w:b/>
                <w:bCs/>
                <w:color w:val="auto"/>
                <w:sz w:val="21"/>
              </w:rPr>
            </w:pPr>
            <w:r>
              <w:rPr>
                <w:rFonts w:hint="default" w:ascii="Times New Roman" w:hAnsi="Times New Roman" w:cs="Times New Roman"/>
                <w:b/>
                <w:bCs/>
                <w:color w:val="auto"/>
                <w:sz w:val="21"/>
              </w:rPr>
              <w:t>危险有害因素</w:t>
            </w:r>
          </w:p>
        </w:tc>
        <w:tc>
          <w:tcPr>
            <w:tcW w:w="1134" w:type="dxa"/>
            <w:noWrap w:val="0"/>
            <w:vAlign w:val="center"/>
          </w:tcPr>
          <w:p w14:paraId="71F341C0">
            <w:pPr>
              <w:spacing w:line="300" w:lineRule="exact"/>
              <w:ind w:firstLine="0" w:firstLineChars="0"/>
              <w:jc w:val="center"/>
              <w:rPr>
                <w:rFonts w:hint="default" w:ascii="Times New Roman" w:hAnsi="Times New Roman" w:cs="Times New Roman"/>
                <w:b/>
                <w:bCs/>
                <w:color w:val="auto"/>
                <w:sz w:val="21"/>
              </w:rPr>
            </w:pPr>
            <w:r>
              <w:rPr>
                <w:rFonts w:hint="default" w:ascii="Times New Roman" w:hAnsi="Times New Roman" w:cs="Times New Roman"/>
                <w:b/>
                <w:bCs/>
                <w:color w:val="auto"/>
                <w:sz w:val="21"/>
              </w:rPr>
              <w:t>触发事件</w:t>
            </w:r>
          </w:p>
        </w:tc>
        <w:tc>
          <w:tcPr>
            <w:tcW w:w="1866" w:type="dxa"/>
            <w:noWrap w:val="0"/>
            <w:vAlign w:val="center"/>
          </w:tcPr>
          <w:p w14:paraId="521F2FD4">
            <w:pPr>
              <w:spacing w:line="300" w:lineRule="exact"/>
              <w:ind w:firstLine="0" w:firstLineChars="0"/>
              <w:jc w:val="center"/>
              <w:rPr>
                <w:rFonts w:hint="default" w:ascii="Times New Roman" w:hAnsi="Times New Roman" w:cs="Times New Roman"/>
                <w:b/>
                <w:bCs/>
                <w:color w:val="auto"/>
                <w:sz w:val="21"/>
              </w:rPr>
            </w:pPr>
            <w:r>
              <w:rPr>
                <w:rFonts w:hint="default" w:ascii="Times New Roman" w:hAnsi="Times New Roman" w:cs="Times New Roman"/>
                <w:b/>
                <w:bCs/>
                <w:color w:val="auto"/>
                <w:sz w:val="21"/>
              </w:rPr>
              <w:t>形成事故原因</w:t>
            </w:r>
          </w:p>
        </w:tc>
        <w:tc>
          <w:tcPr>
            <w:tcW w:w="717" w:type="dxa"/>
            <w:noWrap w:val="0"/>
            <w:vAlign w:val="center"/>
          </w:tcPr>
          <w:p w14:paraId="6A04C872">
            <w:pPr>
              <w:spacing w:line="300" w:lineRule="exact"/>
              <w:ind w:firstLine="0" w:firstLineChars="0"/>
              <w:jc w:val="center"/>
              <w:rPr>
                <w:rFonts w:hint="default" w:ascii="Times New Roman" w:hAnsi="Times New Roman" w:cs="Times New Roman"/>
                <w:b/>
                <w:bCs/>
                <w:color w:val="auto"/>
                <w:sz w:val="21"/>
              </w:rPr>
            </w:pPr>
            <w:r>
              <w:rPr>
                <w:rFonts w:hint="default" w:ascii="Times New Roman" w:hAnsi="Times New Roman" w:cs="Times New Roman"/>
                <w:b/>
                <w:bCs/>
                <w:color w:val="auto"/>
                <w:sz w:val="21"/>
              </w:rPr>
              <w:t>事故模式</w:t>
            </w:r>
          </w:p>
        </w:tc>
        <w:tc>
          <w:tcPr>
            <w:tcW w:w="833" w:type="dxa"/>
            <w:noWrap w:val="0"/>
            <w:vAlign w:val="center"/>
          </w:tcPr>
          <w:p w14:paraId="5F9FD9D7">
            <w:pPr>
              <w:spacing w:line="300" w:lineRule="exact"/>
              <w:ind w:firstLine="0" w:firstLineChars="0"/>
              <w:jc w:val="center"/>
              <w:rPr>
                <w:rFonts w:hint="default" w:ascii="Times New Roman" w:hAnsi="Times New Roman" w:cs="Times New Roman"/>
                <w:b/>
                <w:bCs/>
                <w:color w:val="auto"/>
                <w:sz w:val="21"/>
              </w:rPr>
            </w:pPr>
            <w:r>
              <w:rPr>
                <w:rFonts w:hint="default" w:ascii="Times New Roman" w:hAnsi="Times New Roman" w:cs="Times New Roman"/>
                <w:b/>
                <w:bCs/>
                <w:color w:val="auto"/>
                <w:sz w:val="21"/>
              </w:rPr>
              <w:t>事故后果</w:t>
            </w:r>
          </w:p>
        </w:tc>
        <w:tc>
          <w:tcPr>
            <w:tcW w:w="667" w:type="dxa"/>
            <w:noWrap w:val="0"/>
            <w:vAlign w:val="center"/>
          </w:tcPr>
          <w:p w14:paraId="04D91D67">
            <w:pPr>
              <w:spacing w:line="300" w:lineRule="exact"/>
              <w:ind w:firstLine="0" w:firstLineChars="0"/>
              <w:jc w:val="center"/>
              <w:rPr>
                <w:rFonts w:hint="default" w:ascii="Times New Roman" w:hAnsi="Times New Roman" w:cs="Times New Roman"/>
                <w:b/>
                <w:bCs/>
                <w:color w:val="auto"/>
                <w:sz w:val="21"/>
              </w:rPr>
            </w:pPr>
            <w:r>
              <w:rPr>
                <w:rFonts w:hint="default" w:ascii="Times New Roman" w:hAnsi="Times New Roman" w:cs="Times New Roman"/>
                <w:b/>
                <w:bCs/>
                <w:color w:val="auto"/>
                <w:sz w:val="21"/>
              </w:rPr>
              <w:t>危险等级</w:t>
            </w:r>
          </w:p>
        </w:tc>
        <w:tc>
          <w:tcPr>
            <w:tcW w:w="917" w:type="dxa"/>
            <w:noWrap w:val="0"/>
            <w:vAlign w:val="center"/>
          </w:tcPr>
          <w:p w14:paraId="2D63385B">
            <w:pPr>
              <w:spacing w:line="300" w:lineRule="exact"/>
              <w:ind w:firstLine="0" w:firstLineChars="0"/>
              <w:jc w:val="center"/>
              <w:rPr>
                <w:rFonts w:hint="default" w:ascii="Times New Roman" w:hAnsi="Times New Roman" w:cs="Times New Roman"/>
                <w:b/>
                <w:bCs/>
                <w:color w:val="auto"/>
                <w:sz w:val="21"/>
              </w:rPr>
            </w:pPr>
            <w:r>
              <w:rPr>
                <w:rFonts w:hint="default" w:ascii="Times New Roman" w:hAnsi="Times New Roman" w:cs="Times New Roman"/>
                <w:b/>
                <w:bCs/>
                <w:color w:val="auto"/>
                <w:sz w:val="21"/>
              </w:rPr>
              <w:t>发生事故的概率等级</w:t>
            </w:r>
          </w:p>
        </w:tc>
        <w:tc>
          <w:tcPr>
            <w:tcW w:w="2536" w:type="dxa"/>
            <w:noWrap w:val="0"/>
            <w:vAlign w:val="center"/>
          </w:tcPr>
          <w:p w14:paraId="6B7020AA">
            <w:pPr>
              <w:spacing w:line="300" w:lineRule="exact"/>
              <w:ind w:firstLine="0" w:firstLineChars="0"/>
              <w:jc w:val="center"/>
              <w:rPr>
                <w:rFonts w:hint="default" w:ascii="Times New Roman" w:hAnsi="Times New Roman" w:cs="Times New Roman"/>
                <w:b/>
                <w:bCs/>
                <w:color w:val="auto"/>
                <w:sz w:val="21"/>
              </w:rPr>
            </w:pPr>
            <w:r>
              <w:rPr>
                <w:rFonts w:hint="default" w:ascii="Times New Roman" w:hAnsi="Times New Roman" w:cs="Times New Roman"/>
                <w:b/>
                <w:bCs/>
                <w:color w:val="auto"/>
                <w:sz w:val="21"/>
              </w:rPr>
              <w:t>对策措施</w:t>
            </w:r>
          </w:p>
        </w:tc>
      </w:tr>
      <w:tr w14:paraId="51765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dxa"/>
            <w:noWrap w:val="0"/>
            <w:vAlign w:val="center"/>
          </w:tcPr>
          <w:p w14:paraId="41880564">
            <w:pPr>
              <w:spacing w:line="300" w:lineRule="exact"/>
              <w:ind w:firstLine="0" w:firstLineChars="0"/>
              <w:jc w:val="center"/>
              <w:rPr>
                <w:rFonts w:hint="eastAsia" w:ascii="Times New Roman" w:hAnsi="Times New Roman" w:eastAsia="宋体" w:cs="Times New Roman"/>
                <w:color w:val="auto"/>
                <w:sz w:val="21"/>
                <w:lang w:val="en-US" w:eastAsia="zh-CN"/>
              </w:rPr>
            </w:pPr>
            <w:r>
              <w:rPr>
                <w:rFonts w:hint="eastAsia" w:cs="Times New Roman"/>
                <w:color w:val="auto"/>
                <w:sz w:val="21"/>
                <w:lang w:val="en-US" w:eastAsia="zh-CN"/>
              </w:rPr>
              <w:t>火灾</w:t>
            </w:r>
          </w:p>
        </w:tc>
        <w:tc>
          <w:tcPr>
            <w:tcW w:w="1134" w:type="dxa"/>
            <w:noWrap w:val="0"/>
            <w:vAlign w:val="center"/>
          </w:tcPr>
          <w:p w14:paraId="3E5313EA">
            <w:pPr>
              <w:spacing w:line="300" w:lineRule="exact"/>
              <w:ind w:firstLine="0" w:firstLineChars="0"/>
              <w:jc w:val="center"/>
              <w:rPr>
                <w:rFonts w:hint="default" w:ascii="Times New Roman" w:hAnsi="Times New Roman" w:eastAsia="宋体" w:cs="Times New Roman"/>
                <w:color w:val="auto"/>
                <w:sz w:val="21"/>
                <w:lang w:val="en-US" w:eastAsia="zh-CN"/>
              </w:rPr>
            </w:pPr>
            <w:r>
              <w:rPr>
                <w:rFonts w:hint="eastAsia" w:cs="Times New Roman"/>
                <w:color w:val="auto"/>
                <w:sz w:val="21"/>
                <w:lang w:val="en-US" w:eastAsia="zh-CN"/>
              </w:rPr>
              <w:t>遇火源</w:t>
            </w:r>
          </w:p>
        </w:tc>
        <w:tc>
          <w:tcPr>
            <w:tcW w:w="1866" w:type="dxa"/>
            <w:noWrap w:val="0"/>
            <w:vAlign w:val="center"/>
          </w:tcPr>
          <w:p w14:paraId="60AF7D71">
            <w:pPr>
              <w:spacing w:line="300" w:lineRule="exact"/>
              <w:ind w:firstLine="0" w:firstLineChars="0"/>
              <w:rPr>
                <w:rFonts w:hint="eastAsia" w:ascii="Times New Roman" w:hAnsi="Times New Roman" w:eastAsia="宋体" w:cs="Times New Roman"/>
                <w:color w:val="auto"/>
                <w:sz w:val="21"/>
                <w:lang w:eastAsia="zh-CN"/>
              </w:rPr>
            </w:pPr>
            <w:r>
              <w:rPr>
                <w:rFonts w:hint="default" w:ascii="Times New Roman" w:hAnsi="Times New Roman" w:cs="Times New Roman"/>
                <w:color w:val="auto"/>
                <w:sz w:val="21"/>
              </w:rPr>
              <w:t>生物颗粒</w:t>
            </w:r>
            <w:r>
              <w:rPr>
                <w:rFonts w:hint="eastAsia" w:ascii="Times New Roman" w:hAnsi="Times New Roman" w:cs="Times New Roman"/>
                <w:color w:val="auto"/>
                <w:sz w:val="21"/>
                <w:lang w:val="en-US" w:eastAsia="zh-CN"/>
              </w:rPr>
              <w:t>储存</w:t>
            </w:r>
            <w:r>
              <w:rPr>
                <w:rFonts w:hint="default" w:ascii="Times New Roman" w:hAnsi="Times New Roman" w:cs="Times New Roman"/>
                <w:color w:val="auto"/>
                <w:sz w:val="21"/>
              </w:rPr>
              <w:t>方式不当</w:t>
            </w:r>
            <w:r>
              <w:rPr>
                <w:rFonts w:hint="eastAsia" w:cs="Times New Roman"/>
                <w:color w:val="auto"/>
                <w:sz w:val="21"/>
                <w:lang w:eastAsia="zh-CN"/>
              </w:rPr>
              <w:t>。</w:t>
            </w:r>
          </w:p>
        </w:tc>
        <w:tc>
          <w:tcPr>
            <w:tcW w:w="717" w:type="dxa"/>
            <w:noWrap w:val="0"/>
            <w:vAlign w:val="center"/>
          </w:tcPr>
          <w:p w14:paraId="2917A6D9">
            <w:pPr>
              <w:spacing w:line="300" w:lineRule="exact"/>
              <w:ind w:firstLine="0" w:firstLineChars="0"/>
              <w:jc w:val="center"/>
              <w:rPr>
                <w:rFonts w:hint="default" w:ascii="Times New Roman" w:hAnsi="Times New Roman" w:eastAsia="宋体" w:cs="Times New Roman"/>
                <w:color w:val="auto"/>
                <w:sz w:val="21"/>
                <w:lang w:val="en-US" w:eastAsia="zh-CN"/>
              </w:rPr>
            </w:pPr>
            <w:r>
              <w:rPr>
                <w:rFonts w:hint="eastAsia" w:cs="Times New Roman"/>
                <w:color w:val="auto"/>
                <w:sz w:val="21"/>
                <w:lang w:val="en-US" w:eastAsia="zh-CN"/>
              </w:rPr>
              <w:t>烧伤、窒息</w:t>
            </w:r>
          </w:p>
        </w:tc>
        <w:tc>
          <w:tcPr>
            <w:tcW w:w="833" w:type="dxa"/>
            <w:noWrap w:val="0"/>
            <w:vAlign w:val="center"/>
          </w:tcPr>
          <w:p w14:paraId="6E1A91A2">
            <w:pPr>
              <w:spacing w:line="300" w:lineRule="exact"/>
              <w:ind w:firstLine="0" w:firstLineChars="0"/>
              <w:jc w:val="center"/>
              <w:rPr>
                <w:rFonts w:hint="default" w:ascii="Times New Roman" w:hAnsi="Times New Roman" w:eastAsia="宋体" w:cs="Times New Roman"/>
                <w:color w:val="auto"/>
                <w:sz w:val="21"/>
                <w:lang w:val="en-US" w:eastAsia="zh-CN"/>
              </w:rPr>
            </w:pPr>
            <w:r>
              <w:rPr>
                <w:rFonts w:hint="default" w:ascii="Times New Roman" w:hAnsi="Times New Roman" w:cs="Times New Roman"/>
                <w:color w:val="auto"/>
                <w:sz w:val="21"/>
              </w:rPr>
              <w:t>人员伤亡</w:t>
            </w:r>
            <w:r>
              <w:rPr>
                <w:rFonts w:hint="eastAsia" w:cs="Times New Roman"/>
                <w:color w:val="auto"/>
                <w:sz w:val="21"/>
                <w:lang w:eastAsia="zh-CN"/>
              </w:rPr>
              <w:t>、</w:t>
            </w:r>
            <w:r>
              <w:rPr>
                <w:rFonts w:hint="eastAsia" w:cs="Times New Roman"/>
                <w:color w:val="auto"/>
                <w:sz w:val="21"/>
                <w:lang w:val="en-US" w:eastAsia="zh-CN"/>
              </w:rPr>
              <w:t>财产损失</w:t>
            </w:r>
          </w:p>
        </w:tc>
        <w:tc>
          <w:tcPr>
            <w:tcW w:w="667" w:type="dxa"/>
            <w:noWrap w:val="0"/>
            <w:vAlign w:val="center"/>
          </w:tcPr>
          <w:p w14:paraId="0CAE1675">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Ⅲ</w:t>
            </w:r>
          </w:p>
        </w:tc>
        <w:tc>
          <w:tcPr>
            <w:tcW w:w="917" w:type="dxa"/>
            <w:noWrap w:val="0"/>
            <w:vAlign w:val="center"/>
          </w:tcPr>
          <w:p w14:paraId="174E45C4">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B</w:t>
            </w:r>
          </w:p>
        </w:tc>
        <w:tc>
          <w:tcPr>
            <w:tcW w:w="2536" w:type="dxa"/>
            <w:noWrap w:val="0"/>
            <w:vAlign w:val="center"/>
          </w:tcPr>
          <w:p w14:paraId="7711562C">
            <w:pPr>
              <w:spacing w:line="300" w:lineRule="exact"/>
              <w:ind w:firstLine="0" w:firstLineChars="0"/>
              <w:rPr>
                <w:rFonts w:hint="eastAsia" w:ascii="Times New Roman" w:hAnsi="Times New Roman" w:eastAsia="宋体" w:cs="Times New Roman"/>
                <w:color w:val="auto"/>
                <w:sz w:val="21"/>
                <w:lang w:eastAsia="zh-CN"/>
              </w:rPr>
            </w:pPr>
            <w:r>
              <w:rPr>
                <w:rFonts w:hint="default" w:ascii="Times New Roman" w:hAnsi="Times New Roman" w:cs="Times New Roman"/>
                <w:color w:val="auto"/>
                <w:sz w:val="21"/>
              </w:rPr>
              <w:t>规范易燃易爆物品的使用、储存，易燃易爆物仓库禁烟、禁火</w:t>
            </w:r>
            <w:r>
              <w:rPr>
                <w:rFonts w:hint="eastAsia" w:cs="Times New Roman"/>
                <w:color w:val="auto"/>
                <w:sz w:val="21"/>
                <w:lang w:eastAsia="zh-CN"/>
              </w:rPr>
              <w:t>。</w:t>
            </w:r>
          </w:p>
        </w:tc>
      </w:tr>
      <w:tr w14:paraId="483D1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dxa"/>
            <w:noWrap w:val="0"/>
            <w:vAlign w:val="center"/>
          </w:tcPr>
          <w:p w14:paraId="088FD7DB">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机械伤害</w:t>
            </w:r>
          </w:p>
        </w:tc>
        <w:tc>
          <w:tcPr>
            <w:tcW w:w="1134" w:type="dxa"/>
            <w:noWrap w:val="0"/>
            <w:vAlign w:val="center"/>
          </w:tcPr>
          <w:p w14:paraId="04C36320">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人员接触机械设备运转部位</w:t>
            </w:r>
          </w:p>
        </w:tc>
        <w:tc>
          <w:tcPr>
            <w:tcW w:w="1866" w:type="dxa"/>
            <w:noWrap w:val="0"/>
            <w:vAlign w:val="center"/>
          </w:tcPr>
          <w:p w14:paraId="3B12AC58">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1、操作地点不安全；</w:t>
            </w:r>
          </w:p>
          <w:p w14:paraId="3F1885D6">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2、作业前安全检查、处理不到位；</w:t>
            </w:r>
          </w:p>
          <w:p w14:paraId="38527B0D">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3、安全防护装置</w:t>
            </w:r>
            <w:r>
              <w:rPr>
                <w:rFonts w:hint="default" w:ascii="Times New Roman" w:hAnsi="Times New Roman" w:cs="Times New Roman"/>
                <w:color w:val="auto"/>
                <w:sz w:val="21"/>
                <w:lang w:eastAsia="zh-CN"/>
              </w:rPr>
              <w:t>（</w:t>
            </w:r>
            <w:r>
              <w:rPr>
                <w:rFonts w:hint="default" w:ascii="Times New Roman" w:hAnsi="Times New Roman" w:cs="Times New Roman"/>
                <w:color w:val="auto"/>
                <w:sz w:val="21"/>
              </w:rPr>
              <w:t>罩</w:t>
            </w:r>
            <w:r>
              <w:rPr>
                <w:rFonts w:hint="default" w:ascii="Times New Roman" w:hAnsi="Times New Roman" w:cs="Times New Roman"/>
                <w:color w:val="auto"/>
                <w:sz w:val="21"/>
                <w:lang w:eastAsia="zh-CN"/>
              </w:rPr>
              <w:t>）</w:t>
            </w:r>
            <w:r>
              <w:rPr>
                <w:rFonts w:hint="default" w:ascii="Times New Roman" w:hAnsi="Times New Roman" w:cs="Times New Roman"/>
                <w:color w:val="auto"/>
                <w:sz w:val="21"/>
              </w:rPr>
              <w:t>不全；</w:t>
            </w:r>
          </w:p>
          <w:p w14:paraId="6C943803">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4、操作不熟练；</w:t>
            </w:r>
          </w:p>
          <w:p w14:paraId="2FC7B364">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5、狂风和低温。</w:t>
            </w:r>
          </w:p>
        </w:tc>
        <w:tc>
          <w:tcPr>
            <w:tcW w:w="717" w:type="dxa"/>
            <w:noWrap w:val="0"/>
            <w:vAlign w:val="center"/>
          </w:tcPr>
          <w:p w14:paraId="6C89725D">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夹击碰撞剪切卷入绞等</w:t>
            </w:r>
          </w:p>
        </w:tc>
        <w:tc>
          <w:tcPr>
            <w:tcW w:w="833" w:type="dxa"/>
            <w:noWrap w:val="0"/>
            <w:vAlign w:val="center"/>
          </w:tcPr>
          <w:p w14:paraId="2E407C9A">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人员受伤或死亡</w:t>
            </w:r>
          </w:p>
        </w:tc>
        <w:tc>
          <w:tcPr>
            <w:tcW w:w="667" w:type="dxa"/>
            <w:noWrap w:val="0"/>
            <w:vAlign w:val="center"/>
          </w:tcPr>
          <w:p w14:paraId="680B9518">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Ⅲ</w:t>
            </w:r>
          </w:p>
        </w:tc>
        <w:tc>
          <w:tcPr>
            <w:tcW w:w="917" w:type="dxa"/>
            <w:noWrap w:val="0"/>
            <w:vAlign w:val="center"/>
          </w:tcPr>
          <w:p w14:paraId="6E609CCD">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B</w:t>
            </w:r>
          </w:p>
        </w:tc>
        <w:tc>
          <w:tcPr>
            <w:tcW w:w="2536" w:type="dxa"/>
            <w:noWrap w:val="0"/>
            <w:vAlign w:val="center"/>
          </w:tcPr>
          <w:p w14:paraId="14D7F04D">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1、严格执行操作规程；</w:t>
            </w:r>
          </w:p>
          <w:p w14:paraId="704E40B3">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2、树立先安全后生产的观念，坚持工作前对工作面的安全处理；</w:t>
            </w:r>
          </w:p>
          <w:p w14:paraId="5C70B773">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3、加强个人防护措施；</w:t>
            </w:r>
          </w:p>
          <w:p w14:paraId="5F2819CA">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4、完善配备机械安全装置；</w:t>
            </w:r>
          </w:p>
          <w:p w14:paraId="34AEE54E">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5、采取防风和保温措施。</w:t>
            </w:r>
          </w:p>
        </w:tc>
      </w:tr>
      <w:tr w14:paraId="216B5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dxa"/>
            <w:noWrap w:val="0"/>
            <w:vAlign w:val="center"/>
          </w:tcPr>
          <w:p w14:paraId="29118E5E">
            <w:pPr>
              <w:spacing w:line="300" w:lineRule="exact"/>
              <w:ind w:firstLine="0" w:firstLineChars="0"/>
              <w:jc w:val="center"/>
              <w:rPr>
                <w:rFonts w:hint="default" w:ascii="Times New Roman" w:hAnsi="Times New Roman" w:cs="Times New Roman"/>
                <w:color w:val="auto"/>
                <w:sz w:val="21"/>
              </w:rPr>
            </w:pPr>
            <w:r>
              <w:rPr>
                <w:rFonts w:hint="default" w:cs="Times New Roman"/>
                <w:color w:val="auto"/>
                <w:sz w:val="21"/>
              </w:rPr>
              <w:t>灼烫</w:t>
            </w:r>
          </w:p>
        </w:tc>
        <w:tc>
          <w:tcPr>
            <w:tcW w:w="1134" w:type="dxa"/>
            <w:noWrap w:val="0"/>
            <w:vAlign w:val="center"/>
          </w:tcPr>
          <w:p w14:paraId="6B24B5C1">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人员接触</w:t>
            </w:r>
            <w:r>
              <w:rPr>
                <w:rFonts w:hint="default" w:cs="Times New Roman"/>
                <w:color w:val="auto"/>
                <w:sz w:val="21"/>
              </w:rPr>
              <w:t>高温部位</w:t>
            </w:r>
            <w:r>
              <w:rPr>
                <w:rFonts w:hint="default" w:ascii="Times New Roman" w:hAnsi="Times New Roman" w:cs="Times New Roman"/>
                <w:color w:val="auto"/>
                <w:sz w:val="21"/>
              </w:rPr>
              <w:t>、未穿戴劳动防护用品</w:t>
            </w:r>
          </w:p>
        </w:tc>
        <w:tc>
          <w:tcPr>
            <w:tcW w:w="1866" w:type="dxa"/>
            <w:noWrap w:val="0"/>
            <w:vAlign w:val="center"/>
          </w:tcPr>
          <w:p w14:paraId="5BC16BED">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1、管理、防护不到位；</w:t>
            </w:r>
          </w:p>
          <w:p w14:paraId="1679C0C3">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2、个人防护用品穿戴不齐全</w:t>
            </w:r>
            <w:r>
              <w:rPr>
                <w:rFonts w:hint="default" w:cs="Times New Roman"/>
                <w:color w:val="auto"/>
                <w:sz w:val="21"/>
              </w:rPr>
              <w:t>。</w:t>
            </w:r>
          </w:p>
        </w:tc>
        <w:tc>
          <w:tcPr>
            <w:tcW w:w="717" w:type="dxa"/>
            <w:noWrap w:val="0"/>
            <w:vAlign w:val="center"/>
          </w:tcPr>
          <w:p w14:paraId="4B8FDE89">
            <w:pPr>
              <w:spacing w:line="300" w:lineRule="exact"/>
              <w:ind w:firstLine="0" w:firstLineChars="0"/>
              <w:jc w:val="center"/>
              <w:rPr>
                <w:rFonts w:hint="default" w:ascii="Times New Roman" w:hAnsi="Times New Roman" w:cs="Times New Roman"/>
                <w:color w:val="auto"/>
                <w:sz w:val="21"/>
              </w:rPr>
            </w:pPr>
            <w:r>
              <w:rPr>
                <w:rFonts w:hint="default" w:cs="Times New Roman"/>
                <w:color w:val="auto"/>
                <w:sz w:val="21"/>
              </w:rPr>
              <w:t>烫伤</w:t>
            </w:r>
          </w:p>
        </w:tc>
        <w:tc>
          <w:tcPr>
            <w:tcW w:w="833" w:type="dxa"/>
            <w:noWrap w:val="0"/>
            <w:vAlign w:val="center"/>
          </w:tcPr>
          <w:p w14:paraId="05596992">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人员受伤</w:t>
            </w:r>
          </w:p>
        </w:tc>
        <w:tc>
          <w:tcPr>
            <w:tcW w:w="667" w:type="dxa"/>
            <w:noWrap w:val="0"/>
            <w:vAlign w:val="center"/>
          </w:tcPr>
          <w:p w14:paraId="440A834A">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Ⅱ</w:t>
            </w:r>
          </w:p>
        </w:tc>
        <w:tc>
          <w:tcPr>
            <w:tcW w:w="917" w:type="dxa"/>
            <w:noWrap w:val="0"/>
            <w:vAlign w:val="center"/>
          </w:tcPr>
          <w:p w14:paraId="5E10D30B">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C</w:t>
            </w:r>
          </w:p>
        </w:tc>
        <w:tc>
          <w:tcPr>
            <w:tcW w:w="2536" w:type="dxa"/>
            <w:noWrap w:val="0"/>
            <w:vAlign w:val="center"/>
          </w:tcPr>
          <w:p w14:paraId="3605CA31">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1、增强安全意识，加强个体防护；</w:t>
            </w:r>
          </w:p>
          <w:p w14:paraId="75329A5B">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2、检查作业场所的管理和防护措施；</w:t>
            </w:r>
          </w:p>
          <w:p w14:paraId="0B9C6B0D">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3、设置警示标志，遵守操作规程。</w:t>
            </w:r>
          </w:p>
        </w:tc>
      </w:tr>
      <w:tr w14:paraId="0B183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dxa"/>
            <w:noWrap w:val="0"/>
            <w:vAlign w:val="center"/>
          </w:tcPr>
          <w:p w14:paraId="1DB8BD1A">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触电</w:t>
            </w:r>
          </w:p>
        </w:tc>
        <w:tc>
          <w:tcPr>
            <w:tcW w:w="1134" w:type="dxa"/>
            <w:noWrap w:val="0"/>
            <w:vAlign w:val="center"/>
          </w:tcPr>
          <w:p w14:paraId="63EB0A3F">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接触漏电设备；电气短路、老化，无接地、接零保护；违章作业，未穿戴劳动防护用品</w:t>
            </w:r>
          </w:p>
        </w:tc>
        <w:tc>
          <w:tcPr>
            <w:tcW w:w="1866" w:type="dxa"/>
            <w:noWrap w:val="0"/>
            <w:vAlign w:val="center"/>
          </w:tcPr>
          <w:p w14:paraId="186B1891">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1、电气安全工作规程不完善；</w:t>
            </w:r>
          </w:p>
          <w:p w14:paraId="5D0DBE61">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2、电工无证上岗，操作不熟练；</w:t>
            </w:r>
          </w:p>
          <w:p w14:paraId="6E42995A">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3、个人防护用品穿戴不齐全，或防护用品绝缘性能不良；</w:t>
            </w:r>
          </w:p>
          <w:p w14:paraId="698AAA36">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4、电气线路无接地、接零保护，线路老化、绝缘不良未及时维护；</w:t>
            </w:r>
            <w:r>
              <w:rPr>
                <w:rFonts w:hint="default" w:ascii="Times New Roman" w:hAnsi="Times New Roman" w:cs="Times New Roman"/>
                <w:color w:val="auto"/>
                <w:sz w:val="21"/>
              </w:rPr>
              <w:br w:type="textWrapping"/>
            </w:r>
            <w:r>
              <w:rPr>
                <w:rFonts w:hint="default" w:ascii="Times New Roman" w:hAnsi="Times New Roman" w:cs="Times New Roman"/>
                <w:color w:val="auto"/>
                <w:sz w:val="21"/>
              </w:rPr>
              <w:t>5、线路停送电不严格，检修未严格执行工作票制度；</w:t>
            </w:r>
          </w:p>
          <w:p w14:paraId="2E39DD96">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6、作业人员违章作业。</w:t>
            </w:r>
          </w:p>
        </w:tc>
        <w:tc>
          <w:tcPr>
            <w:tcW w:w="717" w:type="dxa"/>
            <w:noWrap w:val="0"/>
            <w:vAlign w:val="center"/>
          </w:tcPr>
          <w:p w14:paraId="624D85BE">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电击电伤</w:t>
            </w:r>
          </w:p>
        </w:tc>
        <w:tc>
          <w:tcPr>
            <w:tcW w:w="833" w:type="dxa"/>
            <w:noWrap w:val="0"/>
            <w:vAlign w:val="center"/>
          </w:tcPr>
          <w:p w14:paraId="40D2DE5C">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人员伤亡</w:t>
            </w:r>
          </w:p>
        </w:tc>
        <w:tc>
          <w:tcPr>
            <w:tcW w:w="667" w:type="dxa"/>
            <w:noWrap w:val="0"/>
            <w:vAlign w:val="center"/>
          </w:tcPr>
          <w:p w14:paraId="74AA73FD">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Ⅲ</w:t>
            </w:r>
          </w:p>
        </w:tc>
        <w:tc>
          <w:tcPr>
            <w:tcW w:w="917" w:type="dxa"/>
            <w:noWrap w:val="0"/>
            <w:vAlign w:val="center"/>
          </w:tcPr>
          <w:p w14:paraId="781FB404">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C</w:t>
            </w:r>
          </w:p>
        </w:tc>
        <w:tc>
          <w:tcPr>
            <w:tcW w:w="2536" w:type="dxa"/>
            <w:noWrap w:val="0"/>
            <w:vAlign w:val="center"/>
          </w:tcPr>
          <w:p w14:paraId="26FC31DF">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1、严格执行作业规程；</w:t>
            </w:r>
          </w:p>
          <w:p w14:paraId="5906A25B">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2、作业人员100%持证上岗；</w:t>
            </w:r>
          </w:p>
          <w:p w14:paraId="0927563A">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3、防护用品定期检验，穿戴齐全；</w:t>
            </w:r>
          </w:p>
          <w:p w14:paraId="2BED4497">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4、定期检查电气线路及设备；</w:t>
            </w:r>
          </w:p>
          <w:p w14:paraId="7DFF23AA">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5、作业点悬挂显明的警示标志，落实动电工作票制度。</w:t>
            </w:r>
          </w:p>
          <w:p w14:paraId="4FAA1018">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6、加强职工安全教育，不断提高职工安全素质，严禁无证上岗，严禁违章作业；</w:t>
            </w:r>
          </w:p>
        </w:tc>
      </w:tr>
      <w:tr w14:paraId="79EA2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dxa"/>
            <w:noWrap w:val="0"/>
            <w:vAlign w:val="center"/>
          </w:tcPr>
          <w:p w14:paraId="0E3D8425">
            <w:pPr>
              <w:pStyle w:val="19"/>
              <w:bidi w:val="0"/>
              <w:ind w:firstLine="0" w:firstLineChars="0"/>
              <w:rPr>
                <w:rFonts w:hint="eastAsia" w:ascii="Times New Roman" w:hAnsi="Times New Roman" w:eastAsia="宋体" w:cs="Times New Roman"/>
                <w:color w:val="auto"/>
                <w:sz w:val="21"/>
                <w:lang w:val="en-US" w:eastAsia="zh-CN"/>
              </w:rPr>
            </w:pPr>
            <w:r>
              <w:rPr>
                <w:rFonts w:hint="eastAsia"/>
                <w:color w:val="auto"/>
                <w:highlight w:val="none"/>
              </w:rPr>
              <w:t>中毒与窒息</w:t>
            </w:r>
          </w:p>
        </w:tc>
        <w:tc>
          <w:tcPr>
            <w:tcW w:w="1134" w:type="dxa"/>
            <w:noWrap w:val="0"/>
            <w:vAlign w:val="center"/>
          </w:tcPr>
          <w:p w14:paraId="040B4BB7">
            <w:pPr>
              <w:pStyle w:val="19"/>
              <w:bidi w:val="0"/>
              <w:ind w:firstLine="0" w:firstLineChars="0"/>
              <w:rPr>
                <w:rFonts w:hint="default" w:ascii="Times New Roman" w:hAnsi="Times New Roman" w:cs="Times New Roman"/>
                <w:color w:val="auto"/>
                <w:sz w:val="21"/>
              </w:rPr>
            </w:pPr>
            <w:r>
              <w:rPr>
                <w:rFonts w:hint="eastAsia"/>
                <w:color w:val="auto"/>
                <w:highlight w:val="none"/>
              </w:rPr>
              <w:t>作业人员进入</w:t>
            </w:r>
            <w:r>
              <w:rPr>
                <w:rFonts w:hint="default"/>
                <w:color w:val="auto"/>
                <w:highlight w:val="none"/>
              </w:rPr>
              <w:t>窑</w:t>
            </w:r>
            <w:r>
              <w:rPr>
                <w:rFonts w:hint="eastAsia"/>
                <w:color w:val="auto"/>
                <w:highlight w:val="none"/>
              </w:rPr>
              <w:t>内检修，含氧量达不到要求，未进行有毒有害气体检测</w:t>
            </w:r>
          </w:p>
        </w:tc>
        <w:tc>
          <w:tcPr>
            <w:tcW w:w="1866" w:type="dxa"/>
            <w:noWrap w:val="0"/>
            <w:vAlign w:val="center"/>
          </w:tcPr>
          <w:p w14:paraId="5AB80A79">
            <w:pPr>
              <w:pStyle w:val="19"/>
              <w:bidi w:val="0"/>
              <w:jc w:val="both"/>
              <w:rPr>
                <w:color w:val="auto"/>
                <w:highlight w:val="none"/>
              </w:rPr>
            </w:pPr>
            <w:r>
              <w:rPr>
                <w:rFonts w:hint="eastAsia"/>
                <w:color w:val="auto"/>
                <w:highlight w:val="none"/>
              </w:rPr>
              <w:t>1、未进行有限空间作业审批；</w:t>
            </w:r>
          </w:p>
          <w:p w14:paraId="4C80EF33">
            <w:pPr>
              <w:pStyle w:val="19"/>
              <w:bidi w:val="0"/>
              <w:jc w:val="both"/>
              <w:rPr>
                <w:color w:val="auto"/>
                <w:highlight w:val="none"/>
              </w:rPr>
            </w:pPr>
            <w:r>
              <w:rPr>
                <w:rFonts w:hint="eastAsia"/>
                <w:color w:val="auto"/>
                <w:highlight w:val="none"/>
              </w:rPr>
              <w:t>2、作业之前未进行含氧量检测，未进行通风置换；</w:t>
            </w:r>
          </w:p>
          <w:p w14:paraId="4533AEF3">
            <w:pPr>
              <w:pStyle w:val="19"/>
              <w:bidi w:val="0"/>
              <w:jc w:val="both"/>
              <w:rPr>
                <w:rFonts w:hint="default" w:ascii="Times New Roman" w:hAnsi="Times New Roman" w:cs="Times New Roman"/>
                <w:color w:val="auto"/>
                <w:sz w:val="21"/>
              </w:rPr>
            </w:pPr>
            <w:r>
              <w:rPr>
                <w:rFonts w:hint="eastAsia"/>
                <w:color w:val="auto"/>
                <w:highlight w:val="none"/>
              </w:rPr>
              <w:t>3、作业时无人员监护</w:t>
            </w:r>
            <w:r>
              <w:rPr>
                <w:rFonts w:hint="default"/>
                <w:color w:val="auto"/>
                <w:highlight w:val="none"/>
              </w:rPr>
              <w:t>。</w:t>
            </w:r>
          </w:p>
        </w:tc>
        <w:tc>
          <w:tcPr>
            <w:tcW w:w="717" w:type="dxa"/>
            <w:noWrap w:val="0"/>
            <w:vAlign w:val="center"/>
          </w:tcPr>
          <w:p w14:paraId="3B242854">
            <w:pPr>
              <w:pStyle w:val="19"/>
              <w:bidi w:val="0"/>
              <w:ind w:firstLine="0" w:firstLineChars="0"/>
              <w:rPr>
                <w:rFonts w:hint="default" w:ascii="Times New Roman" w:hAnsi="Times New Roman" w:cs="Times New Roman"/>
                <w:color w:val="auto"/>
                <w:sz w:val="21"/>
              </w:rPr>
            </w:pPr>
            <w:r>
              <w:rPr>
                <w:rFonts w:hint="eastAsia"/>
                <w:color w:val="auto"/>
                <w:highlight w:val="none"/>
              </w:rPr>
              <w:t>中毒</w:t>
            </w:r>
          </w:p>
        </w:tc>
        <w:tc>
          <w:tcPr>
            <w:tcW w:w="833" w:type="dxa"/>
            <w:noWrap w:val="0"/>
            <w:vAlign w:val="center"/>
          </w:tcPr>
          <w:p w14:paraId="595EECBB">
            <w:pPr>
              <w:pStyle w:val="19"/>
              <w:bidi w:val="0"/>
              <w:ind w:firstLine="0" w:firstLineChars="0"/>
              <w:rPr>
                <w:rFonts w:hint="default" w:ascii="Times New Roman" w:hAnsi="Times New Roman" w:cs="Times New Roman"/>
                <w:color w:val="auto"/>
                <w:sz w:val="21"/>
              </w:rPr>
            </w:pPr>
            <w:r>
              <w:rPr>
                <w:rFonts w:hint="eastAsia"/>
                <w:color w:val="auto"/>
                <w:highlight w:val="none"/>
              </w:rPr>
              <w:t>人员受伤或死亡</w:t>
            </w:r>
          </w:p>
        </w:tc>
        <w:tc>
          <w:tcPr>
            <w:tcW w:w="667" w:type="dxa"/>
            <w:noWrap w:val="0"/>
            <w:vAlign w:val="center"/>
          </w:tcPr>
          <w:p w14:paraId="1F62ED77">
            <w:pPr>
              <w:pStyle w:val="19"/>
              <w:bidi w:val="0"/>
              <w:ind w:firstLine="0" w:firstLineChars="0"/>
              <w:rPr>
                <w:rFonts w:hint="default" w:ascii="Times New Roman" w:hAnsi="Times New Roman" w:cs="Times New Roman"/>
                <w:color w:val="auto"/>
                <w:sz w:val="21"/>
              </w:rPr>
            </w:pPr>
            <w:r>
              <w:rPr>
                <w:rFonts w:hint="eastAsia"/>
                <w:color w:val="auto"/>
                <w:highlight w:val="none"/>
                <w:lang w:val="sq-AL"/>
              </w:rPr>
              <w:t>Ⅲ</w:t>
            </w:r>
          </w:p>
        </w:tc>
        <w:tc>
          <w:tcPr>
            <w:tcW w:w="917" w:type="dxa"/>
            <w:noWrap w:val="0"/>
            <w:vAlign w:val="center"/>
          </w:tcPr>
          <w:p w14:paraId="24C563C8">
            <w:pPr>
              <w:pStyle w:val="19"/>
              <w:bidi w:val="0"/>
              <w:ind w:firstLine="0" w:firstLineChars="0"/>
              <w:rPr>
                <w:rFonts w:hint="default" w:ascii="Times New Roman" w:hAnsi="Times New Roman" w:cs="Times New Roman"/>
                <w:color w:val="auto"/>
                <w:sz w:val="21"/>
              </w:rPr>
            </w:pPr>
            <w:r>
              <w:rPr>
                <w:rFonts w:hint="eastAsia"/>
                <w:color w:val="auto"/>
                <w:highlight w:val="none"/>
                <w:lang w:val="en-US" w:eastAsia="zh-CN"/>
              </w:rPr>
              <w:t>B</w:t>
            </w:r>
          </w:p>
        </w:tc>
        <w:tc>
          <w:tcPr>
            <w:tcW w:w="2536" w:type="dxa"/>
            <w:noWrap w:val="0"/>
            <w:vAlign w:val="center"/>
          </w:tcPr>
          <w:p w14:paraId="6F981D97">
            <w:pPr>
              <w:pStyle w:val="19"/>
              <w:bidi w:val="0"/>
              <w:jc w:val="both"/>
              <w:rPr>
                <w:color w:val="auto"/>
                <w:highlight w:val="none"/>
              </w:rPr>
            </w:pPr>
            <w:r>
              <w:rPr>
                <w:rFonts w:hint="eastAsia"/>
                <w:color w:val="auto"/>
                <w:highlight w:val="none"/>
              </w:rPr>
              <w:t>1、作业之前必须进行有限空间作业审批；</w:t>
            </w:r>
          </w:p>
          <w:p w14:paraId="2220A491">
            <w:pPr>
              <w:pStyle w:val="19"/>
              <w:bidi w:val="0"/>
              <w:jc w:val="both"/>
              <w:rPr>
                <w:color w:val="auto"/>
                <w:highlight w:val="none"/>
              </w:rPr>
            </w:pPr>
            <w:r>
              <w:rPr>
                <w:rFonts w:hint="eastAsia"/>
                <w:color w:val="auto"/>
                <w:highlight w:val="none"/>
              </w:rPr>
              <w:t>2、作业前进行必要的安全知识培训；</w:t>
            </w:r>
          </w:p>
          <w:p w14:paraId="43FFAD46">
            <w:pPr>
              <w:pStyle w:val="19"/>
              <w:bidi w:val="0"/>
              <w:jc w:val="both"/>
              <w:rPr>
                <w:color w:val="auto"/>
                <w:highlight w:val="none"/>
              </w:rPr>
            </w:pPr>
            <w:r>
              <w:rPr>
                <w:rFonts w:hint="eastAsia"/>
                <w:color w:val="auto"/>
                <w:highlight w:val="none"/>
              </w:rPr>
              <w:t>3、作业之前必须进行含氧量检测，作业过程中必须保持通风；</w:t>
            </w:r>
          </w:p>
          <w:p w14:paraId="54695319">
            <w:pPr>
              <w:pStyle w:val="19"/>
              <w:bidi w:val="0"/>
              <w:jc w:val="both"/>
              <w:rPr>
                <w:rFonts w:hint="default" w:ascii="Times New Roman" w:hAnsi="Times New Roman" w:cs="Times New Roman"/>
                <w:color w:val="auto"/>
                <w:sz w:val="21"/>
              </w:rPr>
            </w:pPr>
            <w:r>
              <w:rPr>
                <w:rFonts w:hint="eastAsia"/>
                <w:color w:val="auto"/>
                <w:highlight w:val="none"/>
              </w:rPr>
              <w:t>4、作业必须有人员监护，并与作业人员保持联络</w:t>
            </w:r>
            <w:r>
              <w:rPr>
                <w:rFonts w:hint="default"/>
                <w:color w:val="auto"/>
                <w:highlight w:val="none"/>
              </w:rPr>
              <w:t>。</w:t>
            </w:r>
          </w:p>
        </w:tc>
      </w:tr>
    </w:tbl>
    <w:p w14:paraId="4C484CE3">
      <w:pPr>
        <w:bidi w:val="0"/>
        <w:rPr>
          <w:rFonts w:hint="eastAsia"/>
          <w:color w:val="auto"/>
        </w:rPr>
      </w:pPr>
      <w:r>
        <w:rPr>
          <w:rFonts w:hint="eastAsia"/>
          <w:color w:val="auto"/>
        </w:rPr>
        <w:t>本单元预先危险性等级系数按下式确定：</w:t>
      </w:r>
    </w:p>
    <w:p w14:paraId="37F6F62F">
      <w:pPr>
        <w:bidi w:val="0"/>
        <w:rPr>
          <w:rFonts w:hint="eastAsia"/>
          <w:color w:val="auto"/>
        </w:rPr>
      </w:pPr>
      <w:r>
        <w:rPr>
          <w:rFonts w:hint="eastAsia"/>
          <w:color w:val="auto"/>
        </w:rPr>
        <w:t>W=∑（P×K）/∑K</w:t>
      </w:r>
    </w:p>
    <w:p w14:paraId="1003C504">
      <w:pPr>
        <w:bidi w:val="0"/>
        <w:rPr>
          <w:rFonts w:hint="eastAsia"/>
          <w:color w:val="auto"/>
        </w:rPr>
      </w:pPr>
      <w:r>
        <w:rPr>
          <w:rFonts w:hint="eastAsia"/>
          <w:color w:val="auto"/>
        </w:rPr>
        <w:t>式中：W—系统（单元）预先危险性等级系数；</w:t>
      </w:r>
    </w:p>
    <w:p w14:paraId="0F31A2BE">
      <w:pPr>
        <w:bidi w:val="0"/>
        <w:rPr>
          <w:rFonts w:hint="eastAsia"/>
          <w:color w:val="auto"/>
        </w:rPr>
      </w:pPr>
      <w:r>
        <w:rPr>
          <w:rFonts w:hint="eastAsia"/>
          <w:color w:val="auto"/>
        </w:rPr>
        <w:t>P—分析项目的危险性等级系数；</w:t>
      </w:r>
    </w:p>
    <w:p w14:paraId="30ACB4E1">
      <w:pPr>
        <w:bidi w:val="0"/>
        <w:rPr>
          <w:rFonts w:hint="eastAsia"/>
          <w:color w:val="auto"/>
        </w:rPr>
      </w:pPr>
      <w:r>
        <w:rPr>
          <w:rFonts w:hint="eastAsia"/>
          <w:color w:val="auto"/>
        </w:rPr>
        <w:t>K—分析项目发生事故的概率系数。</w:t>
      </w:r>
    </w:p>
    <w:p w14:paraId="0F5545C8">
      <w:pPr>
        <w:bidi w:val="0"/>
        <w:rPr>
          <w:rFonts w:hint="default" w:eastAsia="宋体"/>
          <w:color w:val="auto"/>
          <w:lang w:val="en-US" w:eastAsia="zh-CN"/>
        </w:rPr>
      </w:pPr>
      <w:r>
        <w:rPr>
          <w:rFonts w:hint="eastAsia"/>
          <w:color w:val="auto"/>
        </w:rPr>
        <w:t>W=（4×0.10</w:t>
      </w:r>
      <w:r>
        <w:rPr>
          <w:rFonts w:hint="eastAsia"/>
          <w:color w:val="auto"/>
          <w:lang w:val="en-US" w:eastAsia="zh-CN"/>
        </w:rPr>
        <w:t>+</w:t>
      </w:r>
      <w:r>
        <w:rPr>
          <w:rFonts w:hint="eastAsia"/>
          <w:color w:val="auto"/>
        </w:rPr>
        <w:t>4×0.10+2×0.20+4×0.20</w:t>
      </w:r>
      <w:r>
        <w:rPr>
          <w:rFonts w:hint="default"/>
          <w:color w:val="auto"/>
        </w:rPr>
        <w:t>+</w:t>
      </w:r>
      <w:r>
        <w:rPr>
          <w:rFonts w:hint="eastAsia"/>
          <w:color w:val="auto"/>
        </w:rPr>
        <w:t>4×0.10）/（0.10</w:t>
      </w:r>
      <w:r>
        <w:rPr>
          <w:rFonts w:hint="eastAsia"/>
          <w:color w:val="auto"/>
          <w:lang w:val="en-US" w:eastAsia="zh-CN"/>
        </w:rPr>
        <w:t>+</w:t>
      </w:r>
      <w:r>
        <w:rPr>
          <w:rFonts w:hint="eastAsia"/>
          <w:color w:val="auto"/>
        </w:rPr>
        <w:t>0.10+0.20+0.20</w:t>
      </w:r>
      <w:r>
        <w:rPr>
          <w:rFonts w:hint="default"/>
          <w:color w:val="auto"/>
        </w:rPr>
        <w:t>+0.1</w:t>
      </w:r>
      <w:r>
        <w:rPr>
          <w:rFonts w:hint="eastAsia"/>
          <w:color w:val="auto"/>
          <w:lang w:val="en-US" w:eastAsia="zh-CN"/>
        </w:rPr>
        <w:t>0</w:t>
      </w:r>
      <w:r>
        <w:rPr>
          <w:rFonts w:hint="eastAsia"/>
          <w:color w:val="auto"/>
        </w:rPr>
        <w:t>）=</w:t>
      </w:r>
      <w:r>
        <w:rPr>
          <w:rFonts w:hint="eastAsia"/>
          <w:color w:val="auto"/>
          <w:lang w:val="en-US" w:eastAsia="zh-CN"/>
        </w:rPr>
        <w:t>3.4</w:t>
      </w:r>
    </w:p>
    <w:p w14:paraId="40E961CE">
      <w:pPr>
        <w:bidi w:val="0"/>
        <w:rPr>
          <w:rFonts w:hint="eastAsia"/>
          <w:color w:val="auto"/>
        </w:rPr>
      </w:pPr>
      <w:r>
        <w:rPr>
          <w:rFonts w:hint="eastAsia"/>
          <w:color w:val="auto"/>
        </w:rPr>
        <w:t>预先危险性分析结论：本单元预先危险性等级系数为Ⅲ级，系统危险程度为很危险。</w:t>
      </w:r>
    </w:p>
    <w:p w14:paraId="204C32E2">
      <w:pPr>
        <w:pStyle w:val="5"/>
        <w:bidi w:val="0"/>
        <w:rPr>
          <w:rFonts w:hint="eastAsia"/>
          <w:color w:val="auto"/>
        </w:rPr>
      </w:pPr>
      <w:r>
        <w:rPr>
          <w:rFonts w:hint="eastAsia"/>
          <w:color w:val="auto"/>
        </w:rPr>
        <w:t>5.2.</w:t>
      </w:r>
      <w:r>
        <w:rPr>
          <w:rFonts w:hint="eastAsia"/>
          <w:color w:val="auto"/>
          <w:lang w:val="en-US" w:eastAsia="zh-CN"/>
        </w:rPr>
        <w:t>8</w:t>
      </w:r>
      <w:r>
        <w:rPr>
          <w:rFonts w:hint="eastAsia"/>
          <w:color w:val="auto"/>
        </w:rPr>
        <w:t>.3 评价子单元小结</w:t>
      </w:r>
    </w:p>
    <w:p w14:paraId="461D117F">
      <w:pPr>
        <w:bidi w:val="0"/>
        <w:rPr>
          <w:rFonts w:hint="eastAsia"/>
          <w:color w:val="auto"/>
        </w:rPr>
      </w:pPr>
      <w:r>
        <w:rPr>
          <w:rFonts w:hint="eastAsia"/>
          <w:color w:val="auto"/>
        </w:rPr>
        <w:t>通过危险有害因素的辨识、分析和PHA法分析，本单元无重大危险有害因素，但企业应对本单元存在的</w:t>
      </w:r>
      <w:r>
        <w:rPr>
          <w:rFonts w:hint="eastAsia"/>
          <w:color w:val="auto"/>
          <w:lang w:val="en-US" w:eastAsia="zh-CN"/>
        </w:rPr>
        <w:t>火灾、</w:t>
      </w:r>
      <w:r>
        <w:rPr>
          <w:rFonts w:hint="eastAsia"/>
          <w:color w:val="auto"/>
        </w:rPr>
        <w:t>机械伤害、</w:t>
      </w:r>
      <w:r>
        <w:rPr>
          <w:rFonts w:hint="eastAsia"/>
          <w:color w:val="auto"/>
          <w:lang w:val="en-US" w:eastAsia="zh-CN"/>
        </w:rPr>
        <w:t>灼烫、</w:t>
      </w:r>
      <w:r>
        <w:rPr>
          <w:rFonts w:hint="eastAsia"/>
          <w:color w:val="auto"/>
        </w:rPr>
        <w:t>触电、</w:t>
      </w:r>
      <w:r>
        <w:rPr>
          <w:rFonts w:hint="eastAsia"/>
          <w:color w:val="auto"/>
          <w:lang w:val="en-US" w:eastAsia="zh-CN"/>
        </w:rPr>
        <w:t>中毒和窒息</w:t>
      </w:r>
      <w:r>
        <w:rPr>
          <w:rFonts w:hint="eastAsia"/>
          <w:color w:val="auto"/>
        </w:rPr>
        <w:t>等危险有害因素予以重视，确保安全生产。</w:t>
      </w:r>
    </w:p>
    <w:p w14:paraId="1C31D3CD">
      <w:pPr>
        <w:pStyle w:val="4"/>
        <w:bidi w:val="0"/>
        <w:rPr>
          <w:rFonts w:hint="eastAsia"/>
          <w:color w:val="auto"/>
        </w:rPr>
      </w:pPr>
      <w:bookmarkStart w:id="199" w:name="_Toc21233"/>
      <w:r>
        <w:rPr>
          <w:rFonts w:hint="eastAsia"/>
          <w:color w:val="auto"/>
        </w:rPr>
        <w:t>5.2.</w:t>
      </w:r>
      <w:r>
        <w:rPr>
          <w:rFonts w:hint="eastAsia"/>
          <w:color w:val="auto"/>
          <w:lang w:val="en-US" w:eastAsia="zh-CN"/>
        </w:rPr>
        <w:t xml:space="preserve">9 </w:t>
      </w:r>
      <w:r>
        <w:rPr>
          <w:rFonts w:hint="eastAsia"/>
          <w:color w:val="auto"/>
        </w:rPr>
        <w:t>评价单元小结</w:t>
      </w:r>
      <w:bookmarkEnd w:id="199"/>
    </w:p>
    <w:p w14:paraId="278A011C">
      <w:pPr>
        <w:bidi w:val="0"/>
        <w:rPr>
          <w:rFonts w:hint="eastAsia"/>
          <w:color w:val="auto"/>
        </w:rPr>
      </w:pPr>
      <w:r>
        <w:rPr>
          <w:rFonts w:hint="eastAsia"/>
          <w:color w:val="auto"/>
        </w:rPr>
        <w:t>在危险、有害因素辨识与分析的基础上，采用预先危险性分析法（PHA）对各个子单元进行分析评价，通过分析评价，磨矿系统子单元、磁选系统子单元、回水系统子单元、脱水系统子单元</w:t>
      </w:r>
      <w:r>
        <w:rPr>
          <w:rFonts w:hint="eastAsia"/>
          <w:color w:val="auto"/>
          <w:lang w:eastAsia="zh-CN"/>
        </w:rPr>
        <w:t>、</w:t>
      </w:r>
      <w:r>
        <w:rPr>
          <w:rFonts w:hint="eastAsia"/>
          <w:color w:val="auto"/>
          <w:lang w:val="en-US" w:eastAsia="zh-CN"/>
        </w:rPr>
        <w:t>烘干系统子单元</w:t>
      </w:r>
      <w:r>
        <w:rPr>
          <w:rFonts w:hint="eastAsia"/>
          <w:color w:val="auto"/>
        </w:rPr>
        <w:t>系统危险程度级别为很危险，需重点关注及防范。原料堆场评价子单元</w:t>
      </w:r>
      <w:r>
        <w:rPr>
          <w:rFonts w:hint="eastAsia"/>
          <w:color w:val="auto"/>
          <w:lang w:eastAsia="zh-CN"/>
        </w:rPr>
        <w:t>、</w:t>
      </w:r>
      <w:r>
        <w:rPr>
          <w:rFonts w:hint="eastAsia"/>
          <w:color w:val="auto"/>
          <w:lang w:val="en-US" w:eastAsia="zh-CN"/>
        </w:rPr>
        <w:t>重选系统</w:t>
      </w:r>
      <w:r>
        <w:rPr>
          <w:rFonts w:hint="eastAsia"/>
          <w:color w:val="auto"/>
        </w:rPr>
        <w:t>子单元危险程度级别为</w:t>
      </w:r>
      <w:r>
        <w:rPr>
          <w:rFonts w:hint="eastAsia"/>
          <w:color w:val="auto"/>
          <w:lang w:val="en-US" w:eastAsia="zh-CN"/>
        </w:rPr>
        <w:t>比较危险，</w:t>
      </w:r>
      <w:r>
        <w:rPr>
          <w:rFonts w:hint="eastAsia"/>
          <w:color w:val="auto"/>
        </w:rPr>
        <w:t>滑坡危险等级属于Ⅳ级，机械伤害、触电、中毒与窒息、淹溺等级为Ⅲ级，其他伤害危险等级属于Ⅱ级。</w:t>
      </w:r>
    </w:p>
    <w:p w14:paraId="777D4B56">
      <w:pPr>
        <w:bidi w:val="0"/>
        <w:rPr>
          <w:rFonts w:hint="eastAsia"/>
          <w:color w:val="auto"/>
        </w:rPr>
      </w:pPr>
      <w:r>
        <w:rPr>
          <w:rFonts w:hint="eastAsia"/>
          <w:color w:val="auto"/>
        </w:rPr>
        <w:t>本项目建成后，企业应对危险等级较高的危险、有害因素加强日常的安全管理，以确保安全。</w:t>
      </w:r>
    </w:p>
    <w:p w14:paraId="331D473F">
      <w:pPr>
        <w:pStyle w:val="3"/>
        <w:bidi w:val="0"/>
        <w:rPr>
          <w:rFonts w:hint="eastAsia"/>
          <w:color w:val="auto"/>
        </w:rPr>
      </w:pPr>
      <w:bookmarkStart w:id="200" w:name="_Toc23856"/>
      <w:r>
        <w:rPr>
          <w:rFonts w:hint="eastAsia"/>
          <w:color w:val="auto"/>
        </w:rPr>
        <w:t>5.3</w:t>
      </w:r>
      <w:r>
        <w:rPr>
          <w:rFonts w:hint="eastAsia"/>
          <w:color w:val="auto"/>
          <w:lang w:val="en-US" w:eastAsia="zh-CN"/>
        </w:rPr>
        <w:t xml:space="preserve"> </w:t>
      </w:r>
      <w:r>
        <w:rPr>
          <w:rFonts w:hint="eastAsia"/>
          <w:color w:val="auto"/>
        </w:rPr>
        <w:t>给排水系统单元</w:t>
      </w:r>
      <w:bookmarkEnd w:id="200"/>
    </w:p>
    <w:p w14:paraId="24A5F9F9">
      <w:pPr>
        <w:pStyle w:val="4"/>
        <w:bidi w:val="0"/>
        <w:rPr>
          <w:rFonts w:hint="eastAsia"/>
          <w:color w:val="auto"/>
        </w:rPr>
      </w:pPr>
      <w:bookmarkStart w:id="201" w:name="_Toc20763"/>
      <w:r>
        <w:rPr>
          <w:rFonts w:hint="eastAsia"/>
          <w:color w:val="auto"/>
        </w:rPr>
        <w:t>5.3.1</w:t>
      </w:r>
      <w:r>
        <w:rPr>
          <w:rFonts w:hint="eastAsia"/>
          <w:color w:val="auto"/>
          <w:lang w:val="en-US" w:eastAsia="zh-CN"/>
        </w:rPr>
        <w:t xml:space="preserve"> </w:t>
      </w:r>
      <w:r>
        <w:rPr>
          <w:rFonts w:hint="eastAsia"/>
          <w:color w:val="auto"/>
          <w:lang w:eastAsia="zh-CN"/>
        </w:rPr>
        <w:t>给排水系统</w:t>
      </w:r>
      <w:r>
        <w:rPr>
          <w:rFonts w:hint="eastAsia"/>
          <w:color w:val="auto"/>
        </w:rPr>
        <w:t>预先危险性分析</w:t>
      </w:r>
      <w:bookmarkEnd w:id="201"/>
    </w:p>
    <w:p w14:paraId="7F28C1FF">
      <w:pPr>
        <w:pStyle w:val="18"/>
        <w:bidi w:val="0"/>
        <w:rPr>
          <w:rFonts w:hint="eastAsia"/>
          <w:color w:val="auto"/>
        </w:rPr>
      </w:pPr>
    </w:p>
    <w:p w14:paraId="3442FC43">
      <w:pPr>
        <w:pStyle w:val="18"/>
        <w:bidi w:val="0"/>
        <w:rPr>
          <w:color w:val="auto"/>
        </w:rPr>
      </w:pPr>
      <w:r>
        <w:rPr>
          <w:rFonts w:hint="eastAsia"/>
          <w:color w:val="auto"/>
        </w:rPr>
        <w:t xml:space="preserve">表5.3-1 </w:t>
      </w:r>
      <w:r>
        <w:rPr>
          <w:rFonts w:hint="eastAsia"/>
          <w:color w:val="auto"/>
          <w:lang w:val="en-US" w:eastAsia="zh-CN"/>
        </w:rPr>
        <w:t xml:space="preserve"> </w:t>
      </w:r>
      <w:r>
        <w:rPr>
          <w:rFonts w:hint="eastAsia"/>
          <w:color w:val="auto"/>
          <w:lang w:eastAsia="zh-CN"/>
        </w:rPr>
        <w:t>给排水系统</w:t>
      </w:r>
      <w:r>
        <w:rPr>
          <w:rFonts w:hint="eastAsia"/>
          <w:color w:val="auto"/>
        </w:rPr>
        <w:t>预先危险性分析</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093"/>
        <w:gridCol w:w="2447"/>
        <w:gridCol w:w="636"/>
        <w:gridCol w:w="1338"/>
        <w:gridCol w:w="942"/>
        <w:gridCol w:w="2307"/>
      </w:tblGrid>
      <w:tr w14:paraId="55955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8" w:type="dxa"/>
            <w:noWrap w:val="0"/>
            <w:vAlign w:val="center"/>
          </w:tcPr>
          <w:p w14:paraId="0018889F">
            <w:pPr>
              <w:spacing w:line="300" w:lineRule="exact"/>
              <w:ind w:firstLine="0" w:firstLineChars="0"/>
              <w:jc w:val="center"/>
              <w:rPr>
                <w:rFonts w:hint="default" w:ascii="Times New Roman" w:hAnsi="Times New Roman" w:cs="Times New Roman"/>
                <w:b/>
                <w:bCs/>
                <w:color w:val="auto"/>
                <w:sz w:val="21"/>
              </w:rPr>
            </w:pPr>
            <w:r>
              <w:rPr>
                <w:rFonts w:hint="default" w:ascii="Times New Roman" w:hAnsi="Times New Roman" w:cs="Times New Roman"/>
                <w:b/>
                <w:bCs/>
                <w:color w:val="auto"/>
                <w:sz w:val="21"/>
              </w:rPr>
              <w:t>工艺、设施</w:t>
            </w:r>
          </w:p>
        </w:tc>
        <w:tc>
          <w:tcPr>
            <w:tcW w:w="1093" w:type="dxa"/>
            <w:noWrap w:val="0"/>
            <w:vAlign w:val="center"/>
          </w:tcPr>
          <w:p w14:paraId="763072F9">
            <w:pPr>
              <w:spacing w:line="300" w:lineRule="exact"/>
              <w:ind w:firstLine="0" w:firstLineChars="0"/>
              <w:jc w:val="center"/>
              <w:rPr>
                <w:rFonts w:hint="default" w:ascii="Times New Roman" w:hAnsi="Times New Roman" w:cs="Times New Roman"/>
                <w:b/>
                <w:bCs/>
                <w:color w:val="auto"/>
                <w:sz w:val="21"/>
              </w:rPr>
            </w:pPr>
            <w:r>
              <w:rPr>
                <w:rFonts w:hint="default" w:ascii="Times New Roman" w:hAnsi="Times New Roman" w:cs="Times New Roman"/>
                <w:b/>
                <w:bCs/>
                <w:color w:val="auto"/>
                <w:sz w:val="21"/>
              </w:rPr>
              <w:t>主要危险</w:t>
            </w:r>
          </w:p>
        </w:tc>
        <w:tc>
          <w:tcPr>
            <w:tcW w:w="2447" w:type="dxa"/>
            <w:noWrap w:val="0"/>
            <w:vAlign w:val="center"/>
          </w:tcPr>
          <w:p w14:paraId="43748A4D">
            <w:pPr>
              <w:spacing w:line="300" w:lineRule="exact"/>
              <w:ind w:firstLine="0" w:firstLineChars="0"/>
              <w:jc w:val="center"/>
              <w:rPr>
                <w:rFonts w:hint="default" w:ascii="Times New Roman" w:hAnsi="Times New Roman" w:cs="Times New Roman"/>
                <w:b/>
                <w:bCs/>
                <w:color w:val="auto"/>
                <w:sz w:val="21"/>
              </w:rPr>
            </w:pPr>
            <w:r>
              <w:rPr>
                <w:rFonts w:hint="default" w:ascii="Times New Roman" w:hAnsi="Times New Roman" w:cs="Times New Roman"/>
                <w:b/>
                <w:bCs/>
                <w:color w:val="auto"/>
                <w:sz w:val="21"/>
              </w:rPr>
              <w:t>产生原因</w:t>
            </w:r>
          </w:p>
        </w:tc>
        <w:tc>
          <w:tcPr>
            <w:tcW w:w="636" w:type="dxa"/>
            <w:noWrap w:val="0"/>
            <w:vAlign w:val="center"/>
          </w:tcPr>
          <w:p w14:paraId="730952B5">
            <w:pPr>
              <w:spacing w:line="300" w:lineRule="exact"/>
              <w:ind w:firstLine="0" w:firstLineChars="0"/>
              <w:jc w:val="center"/>
              <w:rPr>
                <w:rFonts w:hint="default" w:ascii="Times New Roman" w:hAnsi="Times New Roman" w:cs="Times New Roman"/>
                <w:b/>
                <w:bCs/>
                <w:color w:val="auto"/>
                <w:sz w:val="21"/>
              </w:rPr>
            </w:pPr>
            <w:r>
              <w:rPr>
                <w:rFonts w:hint="default" w:ascii="Times New Roman" w:hAnsi="Times New Roman" w:cs="Times New Roman"/>
                <w:b/>
                <w:bCs/>
                <w:color w:val="auto"/>
                <w:sz w:val="21"/>
              </w:rPr>
              <w:t>事故</w:t>
            </w:r>
          </w:p>
          <w:p w14:paraId="138A9C45">
            <w:pPr>
              <w:spacing w:line="300" w:lineRule="exact"/>
              <w:ind w:firstLine="0" w:firstLineChars="0"/>
              <w:jc w:val="center"/>
              <w:rPr>
                <w:rFonts w:hint="default" w:ascii="Times New Roman" w:hAnsi="Times New Roman" w:cs="Times New Roman"/>
                <w:b/>
                <w:bCs/>
                <w:color w:val="auto"/>
                <w:sz w:val="21"/>
              </w:rPr>
            </w:pPr>
            <w:r>
              <w:rPr>
                <w:rFonts w:hint="default" w:ascii="Times New Roman" w:hAnsi="Times New Roman" w:cs="Times New Roman"/>
                <w:b/>
                <w:bCs/>
                <w:color w:val="auto"/>
                <w:sz w:val="21"/>
              </w:rPr>
              <w:t>后果</w:t>
            </w:r>
          </w:p>
        </w:tc>
        <w:tc>
          <w:tcPr>
            <w:tcW w:w="1338" w:type="dxa"/>
            <w:noWrap w:val="0"/>
            <w:vAlign w:val="center"/>
          </w:tcPr>
          <w:p w14:paraId="3A2C84F6">
            <w:pPr>
              <w:spacing w:line="300" w:lineRule="exact"/>
              <w:ind w:firstLine="0" w:firstLineChars="0"/>
              <w:jc w:val="center"/>
              <w:rPr>
                <w:rFonts w:hint="default" w:ascii="Times New Roman" w:hAnsi="Times New Roman" w:cs="Times New Roman"/>
                <w:b/>
                <w:bCs/>
                <w:color w:val="auto"/>
                <w:sz w:val="21"/>
              </w:rPr>
            </w:pPr>
            <w:r>
              <w:rPr>
                <w:rFonts w:hint="default" w:ascii="Times New Roman" w:hAnsi="Times New Roman" w:cs="Times New Roman"/>
                <w:b/>
                <w:bCs/>
                <w:color w:val="auto"/>
                <w:sz w:val="21"/>
              </w:rPr>
              <w:t>危害等级</w:t>
            </w:r>
          </w:p>
        </w:tc>
        <w:tc>
          <w:tcPr>
            <w:tcW w:w="942" w:type="dxa"/>
            <w:noWrap w:val="0"/>
            <w:vAlign w:val="center"/>
          </w:tcPr>
          <w:p w14:paraId="15B69815">
            <w:pPr>
              <w:spacing w:line="300" w:lineRule="exact"/>
              <w:ind w:firstLine="0" w:firstLineChars="0"/>
              <w:jc w:val="center"/>
              <w:rPr>
                <w:rFonts w:hint="default" w:ascii="Times New Roman" w:hAnsi="Times New Roman" w:cs="Times New Roman"/>
                <w:b/>
                <w:bCs/>
                <w:color w:val="auto"/>
                <w:sz w:val="21"/>
              </w:rPr>
            </w:pPr>
            <w:r>
              <w:rPr>
                <w:rFonts w:hint="default" w:ascii="Times New Roman" w:hAnsi="Times New Roman" w:cs="Times New Roman"/>
                <w:b/>
                <w:bCs/>
                <w:color w:val="auto"/>
                <w:sz w:val="21"/>
              </w:rPr>
              <w:t>发生事故的概率等级</w:t>
            </w:r>
          </w:p>
        </w:tc>
        <w:tc>
          <w:tcPr>
            <w:tcW w:w="2307" w:type="dxa"/>
            <w:noWrap w:val="0"/>
            <w:vAlign w:val="center"/>
          </w:tcPr>
          <w:p w14:paraId="2ABB30F8">
            <w:pPr>
              <w:spacing w:line="300" w:lineRule="exact"/>
              <w:ind w:firstLine="0" w:firstLineChars="0"/>
              <w:jc w:val="center"/>
              <w:rPr>
                <w:rFonts w:hint="default" w:ascii="Times New Roman" w:hAnsi="Times New Roman" w:cs="Times New Roman"/>
                <w:b/>
                <w:bCs/>
                <w:color w:val="auto"/>
                <w:sz w:val="21"/>
              </w:rPr>
            </w:pPr>
            <w:r>
              <w:rPr>
                <w:rFonts w:hint="default" w:ascii="Times New Roman" w:hAnsi="Times New Roman" w:cs="Times New Roman"/>
                <w:b/>
                <w:bCs/>
                <w:color w:val="auto"/>
                <w:sz w:val="21"/>
              </w:rPr>
              <w:t>对策措施</w:t>
            </w:r>
          </w:p>
        </w:tc>
      </w:tr>
      <w:tr w14:paraId="5841C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38" w:type="dxa"/>
            <w:noWrap w:val="0"/>
            <w:vAlign w:val="center"/>
          </w:tcPr>
          <w:p w14:paraId="0E4C9DD0">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防排水</w:t>
            </w:r>
          </w:p>
        </w:tc>
        <w:tc>
          <w:tcPr>
            <w:tcW w:w="1093" w:type="dxa"/>
            <w:noWrap w:val="0"/>
            <w:vAlign w:val="center"/>
          </w:tcPr>
          <w:p w14:paraId="4DEC20F4">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边坡失稳；水土流失，增加剥离量。</w:t>
            </w:r>
          </w:p>
        </w:tc>
        <w:tc>
          <w:tcPr>
            <w:tcW w:w="2447" w:type="dxa"/>
            <w:noWrap w:val="0"/>
            <w:vAlign w:val="center"/>
          </w:tcPr>
          <w:p w14:paraId="230F57F3">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1、厂区建设破坏了原有植被，水土流失量将大于建设前；</w:t>
            </w:r>
          </w:p>
          <w:p w14:paraId="3317B48C">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2、防排水设施不完善、疏于管理将造成厂内大量积水，淹没厂区设备；</w:t>
            </w:r>
          </w:p>
          <w:p w14:paraId="06E92B12">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3、厂区人工边坡受雨水冲刷、浸蚀易造成边坡失稳；</w:t>
            </w:r>
          </w:p>
          <w:p w14:paraId="170575EE">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4、暴雨冲刷边坡导致大量表土流入厂区。</w:t>
            </w:r>
          </w:p>
        </w:tc>
        <w:tc>
          <w:tcPr>
            <w:tcW w:w="636" w:type="dxa"/>
            <w:noWrap w:val="0"/>
            <w:vAlign w:val="center"/>
          </w:tcPr>
          <w:p w14:paraId="06C308E1">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人员伤亡、财产损失、环境污染。</w:t>
            </w:r>
          </w:p>
        </w:tc>
        <w:tc>
          <w:tcPr>
            <w:tcW w:w="1338" w:type="dxa"/>
            <w:noWrap w:val="0"/>
            <w:vAlign w:val="center"/>
          </w:tcPr>
          <w:p w14:paraId="3F1532DB">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Ⅳ</w:t>
            </w:r>
          </w:p>
        </w:tc>
        <w:tc>
          <w:tcPr>
            <w:tcW w:w="942" w:type="dxa"/>
            <w:noWrap w:val="0"/>
            <w:vAlign w:val="center"/>
          </w:tcPr>
          <w:p w14:paraId="48D3EE22">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B</w:t>
            </w:r>
          </w:p>
        </w:tc>
        <w:tc>
          <w:tcPr>
            <w:tcW w:w="2307" w:type="dxa"/>
            <w:noWrap w:val="0"/>
            <w:vAlign w:val="center"/>
          </w:tcPr>
          <w:p w14:paraId="57B2DBF9">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设计时，应考虑可靠的防排水设施；在暴雨后应对厂区山体边坡等进行安全检查，及时消除隐患。</w:t>
            </w:r>
          </w:p>
        </w:tc>
      </w:tr>
      <w:tr w14:paraId="157F6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38" w:type="dxa"/>
            <w:noWrap w:val="0"/>
            <w:vAlign w:val="center"/>
          </w:tcPr>
          <w:p w14:paraId="7756AA93">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防灭火</w:t>
            </w:r>
          </w:p>
        </w:tc>
        <w:tc>
          <w:tcPr>
            <w:tcW w:w="1093" w:type="dxa"/>
            <w:noWrap w:val="0"/>
            <w:vAlign w:val="center"/>
          </w:tcPr>
          <w:p w14:paraId="524D89CE">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设备及电线电缆着火、厂房火灾</w:t>
            </w:r>
          </w:p>
        </w:tc>
        <w:tc>
          <w:tcPr>
            <w:tcW w:w="2447" w:type="dxa"/>
            <w:noWrap w:val="0"/>
            <w:vAlign w:val="center"/>
          </w:tcPr>
          <w:p w14:paraId="2D95B6B9">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1、电气系统损坏；</w:t>
            </w:r>
          </w:p>
          <w:p w14:paraId="14E5D39D">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2、电气非防爆产生火花；</w:t>
            </w:r>
          </w:p>
          <w:p w14:paraId="0C771A29">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3、使用金属工具敲打设备或装置；</w:t>
            </w:r>
          </w:p>
          <w:p w14:paraId="11ABADD2">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4、易燃物蒸气浓度达到极限；</w:t>
            </w:r>
          </w:p>
          <w:p w14:paraId="76761BCA">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5、违章操作，违反安全管理制度。</w:t>
            </w:r>
          </w:p>
        </w:tc>
        <w:tc>
          <w:tcPr>
            <w:tcW w:w="636" w:type="dxa"/>
            <w:noWrap w:val="0"/>
            <w:vAlign w:val="center"/>
          </w:tcPr>
          <w:p w14:paraId="2C73C384">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发生火灾、爆炸</w:t>
            </w:r>
          </w:p>
        </w:tc>
        <w:tc>
          <w:tcPr>
            <w:tcW w:w="1338" w:type="dxa"/>
            <w:noWrap w:val="0"/>
            <w:vAlign w:val="center"/>
          </w:tcPr>
          <w:p w14:paraId="3475775C">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Ⅲ</w:t>
            </w:r>
          </w:p>
        </w:tc>
        <w:tc>
          <w:tcPr>
            <w:tcW w:w="942" w:type="dxa"/>
            <w:noWrap w:val="0"/>
            <w:vAlign w:val="center"/>
          </w:tcPr>
          <w:p w14:paraId="577112D2">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C</w:t>
            </w:r>
          </w:p>
        </w:tc>
        <w:tc>
          <w:tcPr>
            <w:tcW w:w="2307" w:type="dxa"/>
            <w:noWrap w:val="0"/>
            <w:vAlign w:val="center"/>
          </w:tcPr>
          <w:p w14:paraId="60855E15">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加强电气系统的检修、维护；防爆场所使用防爆电气；严格按照操作规程作业。</w:t>
            </w:r>
          </w:p>
        </w:tc>
      </w:tr>
    </w:tbl>
    <w:p w14:paraId="6F2B56F7">
      <w:pPr>
        <w:bidi w:val="0"/>
        <w:rPr>
          <w:rFonts w:hint="eastAsia"/>
          <w:color w:val="auto"/>
        </w:rPr>
      </w:pPr>
      <w:r>
        <w:rPr>
          <w:rFonts w:hint="eastAsia"/>
          <w:color w:val="auto"/>
        </w:rPr>
        <w:t>本单元预先危险性等级系数按下式确定：</w:t>
      </w:r>
    </w:p>
    <w:p w14:paraId="2BFE3A02">
      <w:pPr>
        <w:bidi w:val="0"/>
        <w:rPr>
          <w:rFonts w:hint="eastAsia"/>
          <w:color w:val="auto"/>
        </w:rPr>
      </w:pPr>
      <w:r>
        <w:rPr>
          <w:rFonts w:hint="eastAsia"/>
          <w:color w:val="auto"/>
        </w:rPr>
        <w:t>W=∑（P×K）/∑K</w:t>
      </w:r>
    </w:p>
    <w:p w14:paraId="36F67C35">
      <w:pPr>
        <w:bidi w:val="0"/>
        <w:rPr>
          <w:rFonts w:hint="eastAsia"/>
          <w:color w:val="auto"/>
        </w:rPr>
      </w:pPr>
      <w:r>
        <w:rPr>
          <w:rFonts w:hint="eastAsia"/>
          <w:color w:val="auto"/>
        </w:rPr>
        <w:t>式中：W—系统（单元）预先危险性等级系数；</w:t>
      </w:r>
    </w:p>
    <w:p w14:paraId="332880A0">
      <w:pPr>
        <w:bidi w:val="0"/>
        <w:rPr>
          <w:rFonts w:hint="eastAsia"/>
          <w:color w:val="auto"/>
        </w:rPr>
      </w:pPr>
      <w:r>
        <w:rPr>
          <w:rFonts w:hint="eastAsia"/>
          <w:color w:val="auto"/>
        </w:rPr>
        <w:t>P—分析项目的危险性等级系数；</w:t>
      </w:r>
    </w:p>
    <w:p w14:paraId="0A7AF33D">
      <w:pPr>
        <w:bidi w:val="0"/>
        <w:rPr>
          <w:rFonts w:hint="eastAsia"/>
          <w:color w:val="auto"/>
        </w:rPr>
      </w:pPr>
      <w:r>
        <w:rPr>
          <w:rFonts w:hint="eastAsia"/>
          <w:color w:val="auto"/>
        </w:rPr>
        <w:t>K—分析项目发生事故的概率系数。</w:t>
      </w:r>
    </w:p>
    <w:p w14:paraId="27F29A23">
      <w:pPr>
        <w:bidi w:val="0"/>
        <w:rPr>
          <w:rFonts w:hint="eastAsia"/>
          <w:color w:val="auto"/>
        </w:rPr>
      </w:pPr>
      <w:r>
        <w:rPr>
          <w:rFonts w:hint="eastAsia"/>
          <w:color w:val="auto"/>
        </w:rPr>
        <w:t>W=（8×0.10+4×0.20）/（0.10+0.20）=5.33</w:t>
      </w:r>
    </w:p>
    <w:p w14:paraId="4165ECB0">
      <w:pPr>
        <w:bidi w:val="0"/>
        <w:rPr>
          <w:rFonts w:hint="eastAsia"/>
          <w:color w:val="auto"/>
        </w:rPr>
      </w:pPr>
      <w:r>
        <w:rPr>
          <w:rFonts w:hint="eastAsia"/>
          <w:color w:val="auto"/>
        </w:rPr>
        <w:t>预先危险性分析结论：本单元预先危险性等级系数为Ⅲ级，系统危险程度为很危险。</w:t>
      </w:r>
    </w:p>
    <w:p w14:paraId="6806DAE8">
      <w:pPr>
        <w:pStyle w:val="4"/>
        <w:bidi w:val="0"/>
        <w:rPr>
          <w:rFonts w:hint="eastAsia"/>
          <w:color w:val="auto"/>
        </w:rPr>
      </w:pPr>
      <w:bookmarkStart w:id="202" w:name="_Toc14545"/>
      <w:r>
        <w:rPr>
          <w:rFonts w:hint="eastAsia"/>
          <w:color w:val="auto"/>
        </w:rPr>
        <w:t>5.3.2</w:t>
      </w:r>
      <w:r>
        <w:rPr>
          <w:rFonts w:hint="eastAsia"/>
          <w:color w:val="auto"/>
          <w:lang w:val="en-US" w:eastAsia="zh-CN"/>
        </w:rPr>
        <w:t xml:space="preserve"> </w:t>
      </w:r>
      <w:r>
        <w:rPr>
          <w:rFonts w:hint="eastAsia"/>
          <w:color w:val="auto"/>
          <w:lang w:eastAsia="zh-CN"/>
        </w:rPr>
        <w:t>给排水系统</w:t>
      </w:r>
      <w:r>
        <w:rPr>
          <w:rFonts w:hint="eastAsia"/>
          <w:color w:val="auto"/>
        </w:rPr>
        <w:t>安全检查表</w:t>
      </w:r>
      <w:bookmarkEnd w:id="202"/>
    </w:p>
    <w:p w14:paraId="3FA50CA2">
      <w:pPr>
        <w:pStyle w:val="18"/>
        <w:bidi w:val="0"/>
        <w:rPr>
          <w:rFonts w:hint="eastAsia"/>
          <w:color w:val="auto"/>
        </w:rPr>
      </w:pPr>
    </w:p>
    <w:p w14:paraId="1E87D126">
      <w:pPr>
        <w:pStyle w:val="18"/>
        <w:bidi w:val="0"/>
        <w:rPr>
          <w:rFonts w:hint="eastAsia"/>
          <w:color w:val="auto"/>
        </w:rPr>
      </w:pPr>
    </w:p>
    <w:p w14:paraId="2F4BC00A">
      <w:pPr>
        <w:pStyle w:val="18"/>
        <w:bidi w:val="0"/>
        <w:rPr>
          <w:color w:val="auto"/>
        </w:rPr>
      </w:pPr>
      <w:r>
        <w:rPr>
          <w:rFonts w:hint="eastAsia"/>
          <w:color w:val="auto"/>
        </w:rPr>
        <w:t xml:space="preserve">表5.3-2 </w:t>
      </w:r>
      <w:r>
        <w:rPr>
          <w:rFonts w:hint="eastAsia"/>
          <w:color w:val="auto"/>
          <w:lang w:val="en-US" w:eastAsia="zh-CN"/>
        </w:rPr>
        <w:t xml:space="preserve"> </w:t>
      </w:r>
      <w:r>
        <w:rPr>
          <w:rFonts w:hint="eastAsia"/>
          <w:color w:val="auto"/>
        </w:rPr>
        <w:t>给排水系统安全检查表</w:t>
      </w:r>
    </w:p>
    <w:tbl>
      <w:tblPr>
        <w:tblStyle w:val="14"/>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2672"/>
        <w:gridCol w:w="2083"/>
        <w:gridCol w:w="3310"/>
        <w:gridCol w:w="774"/>
      </w:tblGrid>
      <w:tr w14:paraId="5686A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94" w:type="pct"/>
            <w:noWrap w:val="0"/>
            <w:vAlign w:val="center"/>
          </w:tcPr>
          <w:p w14:paraId="0C941DD2">
            <w:pPr>
              <w:spacing w:line="300" w:lineRule="exact"/>
              <w:ind w:firstLine="0" w:firstLineChars="0"/>
              <w:jc w:val="center"/>
              <w:rPr>
                <w:rFonts w:hint="default" w:ascii="Times New Roman" w:hAnsi="Times New Roman" w:cs="Times New Roman"/>
                <w:b/>
                <w:bCs/>
                <w:color w:val="auto"/>
                <w:sz w:val="21"/>
              </w:rPr>
            </w:pPr>
            <w:r>
              <w:rPr>
                <w:rFonts w:hint="default" w:ascii="Times New Roman" w:hAnsi="Times New Roman" w:cs="Times New Roman"/>
                <w:b/>
                <w:bCs/>
                <w:color w:val="auto"/>
                <w:sz w:val="21"/>
              </w:rPr>
              <w:t>序号</w:t>
            </w:r>
          </w:p>
        </w:tc>
        <w:tc>
          <w:tcPr>
            <w:tcW w:w="1422" w:type="pct"/>
            <w:noWrap w:val="0"/>
            <w:vAlign w:val="center"/>
          </w:tcPr>
          <w:p w14:paraId="170DF6D2">
            <w:pPr>
              <w:spacing w:line="300" w:lineRule="exact"/>
              <w:ind w:firstLine="0" w:firstLineChars="0"/>
              <w:jc w:val="center"/>
              <w:rPr>
                <w:rFonts w:hint="default" w:ascii="Times New Roman" w:hAnsi="Times New Roman" w:cs="Times New Roman"/>
                <w:b/>
                <w:bCs/>
                <w:color w:val="auto"/>
                <w:sz w:val="21"/>
              </w:rPr>
            </w:pPr>
            <w:r>
              <w:rPr>
                <w:rFonts w:hint="default" w:ascii="Times New Roman" w:hAnsi="Times New Roman" w:cs="Times New Roman"/>
                <w:b/>
                <w:bCs/>
                <w:color w:val="auto"/>
                <w:sz w:val="21"/>
              </w:rPr>
              <w:t>检查内容</w:t>
            </w:r>
          </w:p>
        </w:tc>
        <w:tc>
          <w:tcPr>
            <w:tcW w:w="1108" w:type="pct"/>
            <w:noWrap w:val="0"/>
            <w:vAlign w:val="center"/>
          </w:tcPr>
          <w:p w14:paraId="6D97E70A">
            <w:pPr>
              <w:spacing w:line="300" w:lineRule="exact"/>
              <w:ind w:firstLine="0" w:firstLineChars="0"/>
              <w:jc w:val="center"/>
              <w:rPr>
                <w:rFonts w:hint="default" w:ascii="Times New Roman" w:hAnsi="Times New Roman" w:cs="Times New Roman"/>
                <w:b/>
                <w:bCs/>
                <w:color w:val="auto"/>
                <w:sz w:val="21"/>
              </w:rPr>
            </w:pPr>
            <w:r>
              <w:rPr>
                <w:rFonts w:hint="default" w:ascii="Times New Roman" w:hAnsi="Times New Roman" w:cs="Times New Roman"/>
                <w:b/>
                <w:bCs/>
                <w:color w:val="auto"/>
                <w:sz w:val="21"/>
              </w:rPr>
              <w:t>检查依据</w:t>
            </w:r>
          </w:p>
        </w:tc>
        <w:tc>
          <w:tcPr>
            <w:tcW w:w="1761" w:type="pct"/>
            <w:noWrap w:val="0"/>
            <w:vAlign w:val="center"/>
          </w:tcPr>
          <w:p w14:paraId="39E612DD">
            <w:pPr>
              <w:spacing w:line="300" w:lineRule="exact"/>
              <w:ind w:firstLine="0" w:firstLineChars="0"/>
              <w:jc w:val="center"/>
              <w:rPr>
                <w:rFonts w:hint="default" w:ascii="Times New Roman" w:hAnsi="Times New Roman" w:cs="Times New Roman"/>
                <w:b/>
                <w:bCs/>
                <w:color w:val="auto"/>
                <w:sz w:val="21"/>
              </w:rPr>
            </w:pPr>
            <w:r>
              <w:rPr>
                <w:rFonts w:hint="default" w:ascii="Times New Roman" w:hAnsi="Times New Roman" w:cs="Times New Roman"/>
                <w:b/>
                <w:bCs/>
                <w:color w:val="auto"/>
                <w:sz w:val="21"/>
              </w:rPr>
              <w:t>检查结果</w:t>
            </w:r>
          </w:p>
        </w:tc>
        <w:tc>
          <w:tcPr>
            <w:tcW w:w="412" w:type="pct"/>
            <w:noWrap w:val="0"/>
            <w:vAlign w:val="center"/>
          </w:tcPr>
          <w:p w14:paraId="4CE960DF">
            <w:pPr>
              <w:spacing w:line="300" w:lineRule="exact"/>
              <w:ind w:firstLine="0" w:firstLineChars="0"/>
              <w:jc w:val="center"/>
              <w:rPr>
                <w:rFonts w:hint="default" w:ascii="Times New Roman" w:hAnsi="Times New Roman" w:cs="Times New Roman"/>
                <w:b/>
                <w:bCs/>
                <w:color w:val="auto"/>
                <w:sz w:val="21"/>
              </w:rPr>
            </w:pPr>
            <w:r>
              <w:rPr>
                <w:rFonts w:hint="default" w:ascii="Times New Roman" w:hAnsi="Times New Roman" w:cs="Times New Roman"/>
                <w:b/>
                <w:bCs/>
                <w:color w:val="auto"/>
                <w:sz w:val="21"/>
              </w:rPr>
              <w:t>检查情况</w:t>
            </w:r>
          </w:p>
        </w:tc>
      </w:tr>
      <w:tr w14:paraId="196F4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 w:type="pct"/>
            <w:noWrap w:val="0"/>
            <w:vAlign w:val="center"/>
          </w:tcPr>
          <w:p w14:paraId="5F0BCF37">
            <w:pPr>
              <w:spacing w:line="300" w:lineRule="exact"/>
              <w:ind w:firstLine="0" w:firstLineChars="0"/>
              <w:jc w:val="center"/>
              <w:rPr>
                <w:rFonts w:hint="eastAsia" w:ascii="Times New Roman" w:hAnsi="Times New Roman" w:eastAsia="宋体" w:cs="Times New Roman"/>
                <w:color w:val="auto"/>
                <w:sz w:val="21"/>
                <w:lang w:val="en-US" w:eastAsia="zh-CN"/>
              </w:rPr>
            </w:pPr>
            <w:r>
              <w:rPr>
                <w:rFonts w:hint="eastAsia" w:cs="Times New Roman"/>
                <w:color w:val="auto"/>
                <w:sz w:val="21"/>
                <w:lang w:val="en-US" w:eastAsia="zh-CN"/>
              </w:rPr>
              <w:t>1</w:t>
            </w:r>
          </w:p>
        </w:tc>
        <w:tc>
          <w:tcPr>
            <w:tcW w:w="1422" w:type="pct"/>
            <w:noWrap w:val="0"/>
            <w:vAlign w:val="center"/>
          </w:tcPr>
          <w:p w14:paraId="030A71E9">
            <w:pPr>
              <w:pStyle w:val="19"/>
              <w:bidi w:val="0"/>
              <w:ind w:firstLine="0" w:firstLineChars="0"/>
              <w:rPr>
                <w:rFonts w:hint="default" w:ascii="Times New Roman" w:hAnsi="Times New Roman" w:cs="Times New Roman"/>
                <w:color w:val="auto"/>
                <w:sz w:val="21"/>
              </w:rPr>
            </w:pPr>
            <w:r>
              <w:rPr>
                <w:rFonts w:hint="default"/>
                <w:color w:val="auto"/>
                <w:highlight w:val="none"/>
              </w:rPr>
              <w:t>应采取措施防止地表水渗入边坡岩体的软弱结构面或直接冲刷边坡。边坡岩体存在含水层并影响边坡稳定时，应采取疏干降水措施。</w:t>
            </w:r>
          </w:p>
        </w:tc>
        <w:tc>
          <w:tcPr>
            <w:tcW w:w="1108" w:type="pct"/>
            <w:noWrap w:val="0"/>
            <w:vAlign w:val="center"/>
          </w:tcPr>
          <w:p w14:paraId="7A80E599">
            <w:pPr>
              <w:pStyle w:val="19"/>
              <w:bidi w:val="0"/>
              <w:ind w:firstLine="0" w:firstLineChars="0"/>
              <w:rPr>
                <w:rFonts w:hint="default" w:ascii="Times New Roman" w:hAnsi="Times New Roman" w:cs="Times New Roman"/>
                <w:color w:val="auto"/>
                <w:sz w:val="21"/>
              </w:rPr>
            </w:pPr>
            <w:r>
              <w:rPr>
                <w:rFonts w:hint="default"/>
                <w:color w:val="auto"/>
                <w:highlight w:val="none"/>
              </w:rPr>
              <w:t>《金属非金属矿山安全规程》GB16423-2020-5.9.1.9</w:t>
            </w:r>
          </w:p>
        </w:tc>
        <w:tc>
          <w:tcPr>
            <w:tcW w:w="1761" w:type="pct"/>
            <w:noWrap w:val="0"/>
            <w:vAlign w:val="center"/>
          </w:tcPr>
          <w:p w14:paraId="6F1294ED">
            <w:pPr>
              <w:pStyle w:val="19"/>
              <w:bidi w:val="0"/>
              <w:ind w:firstLine="0" w:firstLineChars="0"/>
              <w:rPr>
                <w:rFonts w:hint="default" w:ascii="Times New Roman" w:hAnsi="Times New Roman" w:cs="Times New Roman"/>
                <w:color w:val="auto"/>
                <w:sz w:val="21"/>
              </w:rPr>
            </w:pPr>
            <w:r>
              <w:rPr>
                <w:rFonts w:hint="default"/>
                <w:color w:val="auto"/>
                <w:highlight w:val="none"/>
              </w:rPr>
              <w:t>厂区利用公路水沟以及厂区周边的截洪沟作为排水工程，现有排水工程能满足选厂排水需求。各车间平台修建的排水沟接入干道排水沟，最终汇入公路边沟排出。</w:t>
            </w:r>
          </w:p>
        </w:tc>
        <w:tc>
          <w:tcPr>
            <w:tcW w:w="412" w:type="pct"/>
            <w:noWrap w:val="0"/>
            <w:vAlign w:val="center"/>
          </w:tcPr>
          <w:p w14:paraId="24F7F29B">
            <w:pPr>
              <w:spacing w:line="300" w:lineRule="exact"/>
              <w:ind w:firstLine="0" w:firstLineChars="0"/>
              <w:jc w:val="center"/>
              <w:rPr>
                <w:rFonts w:hint="eastAsia" w:ascii="Times New Roman" w:hAnsi="Times New Roman" w:eastAsia="宋体" w:cs="Times New Roman"/>
                <w:color w:val="auto"/>
                <w:sz w:val="21"/>
                <w:lang w:val="en-US" w:eastAsia="zh-CN"/>
              </w:rPr>
            </w:pPr>
            <w:r>
              <w:rPr>
                <w:rFonts w:hint="eastAsia" w:cs="Times New Roman"/>
                <w:color w:val="auto"/>
                <w:sz w:val="21"/>
                <w:lang w:val="en-US" w:eastAsia="zh-CN"/>
              </w:rPr>
              <w:t>符合</w:t>
            </w:r>
          </w:p>
        </w:tc>
      </w:tr>
      <w:tr w14:paraId="4874C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 w:type="pct"/>
            <w:noWrap w:val="0"/>
            <w:vAlign w:val="center"/>
          </w:tcPr>
          <w:p w14:paraId="015212B0">
            <w:pPr>
              <w:spacing w:line="300" w:lineRule="exact"/>
              <w:ind w:firstLine="0" w:firstLineChars="0"/>
              <w:jc w:val="center"/>
              <w:rPr>
                <w:rFonts w:hint="eastAsia" w:ascii="Times New Roman" w:hAnsi="Times New Roman" w:eastAsia="宋体" w:cs="Times New Roman"/>
                <w:color w:val="auto"/>
                <w:sz w:val="21"/>
                <w:lang w:eastAsia="zh-CN"/>
              </w:rPr>
            </w:pPr>
            <w:r>
              <w:rPr>
                <w:rFonts w:hint="eastAsia" w:cs="Times New Roman"/>
                <w:color w:val="auto"/>
                <w:sz w:val="21"/>
                <w:lang w:val="en-US" w:eastAsia="zh-CN"/>
              </w:rPr>
              <w:t>2</w:t>
            </w:r>
          </w:p>
        </w:tc>
        <w:tc>
          <w:tcPr>
            <w:tcW w:w="1422" w:type="pct"/>
            <w:noWrap w:val="0"/>
            <w:vAlign w:val="center"/>
          </w:tcPr>
          <w:p w14:paraId="268D57B6">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厂区及厂房、库房应按规定设置消防水管路系统和消防栓，消防栓应有足够的水量和水压。</w:t>
            </w:r>
          </w:p>
        </w:tc>
        <w:tc>
          <w:tcPr>
            <w:tcW w:w="1108" w:type="pct"/>
            <w:noWrap w:val="0"/>
            <w:vAlign w:val="center"/>
          </w:tcPr>
          <w:p w14:paraId="3F3D50E6">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《选矿安全规程》（</w:t>
            </w:r>
            <w:r>
              <w:rPr>
                <w:rFonts w:hint="eastAsia" w:cs="Times New Roman"/>
                <w:color w:val="auto"/>
                <w:sz w:val="21"/>
                <w:lang w:eastAsia="zh-CN"/>
              </w:rPr>
              <w:t>GB/T 18152-2000</w:t>
            </w:r>
            <w:r>
              <w:rPr>
                <w:rFonts w:hint="default" w:ascii="Times New Roman" w:hAnsi="Times New Roman" w:cs="Times New Roman"/>
                <w:color w:val="auto"/>
                <w:sz w:val="21"/>
              </w:rPr>
              <w:t>）</w:t>
            </w:r>
          </w:p>
          <w:p w14:paraId="47FAD001">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11.4</w:t>
            </w:r>
          </w:p>
        </w:tc>
        <w:tc>
          <w:tcPr>
            <w:tcW w:w="1761" w:type="pct"/>
            <w:noWrap w:val="0"/>
            <w:vAlign w:val="center"/>
          </w:tcPr>
          <w:p w14:paraId="2A28F585">
            <w:pPr>
              <w:spacing w:line="300" w:lineRule="exact"/>
              <w:ind w:firstLine="0" w:firstLineChars="0"/>
              <w:rPr>
                <w:rFonts w:hint="default" w:ascii="Times New Roman" w:hAnsi="Times New Roman" w:eastAsia="宋体" w:cs="Times New Roman"/>
                <w:color w:val="auto"/>
                <w:sz w:val="21"/>
                <w:lang w:eastAsia="zh-CN"/>
              </w:rPr>
            </w:pPr>
            <w:r>
              <w:rPr>
                <w:rFonts w:hint="default" w:ascii="Times New Roman" w:hAnsi="Times New Roman" w:cs="Times New Roman"/>
                <w:color w:val="auto"/>
                <w:sz w:val="21"/>
              </w:rPr>
              <w:t>室外消防采用低压消防系统，消防用水量为144m</w:t>
            </w:r>
            <w:r>
              <w:rPr>
                <w:rFonts w:hint="default" w:ascii="Times New Roman" w:hAnsi="Times New Roman" w:cs="Times New Roman"/>
                <w:color w:val="auto"/>
                <w:sz w:val="21"/>
                <w:vertAlign w:val="superscript"/>
              </w:rPr>
              <w:t>3</w:t>
            </w:r>
            <w:r>
              <w:rPr>
                <w:rFonts w:hint="default" w:ascii="Times New Roman" w:hAnsi="Times New Roman" w:cs="Times New Roman"/>
                <w:color w:val="auto"/>
                <w:sz w:val="21"/>
              </w:rPr>
              <w:t>，储存在高位水池中，能满足水压和水量要求。火灾时，由生产高位水池、手抬式消防机动泵或消防车满足消防要求。室外消火栓保护半径为150m，布置间距不大于120m。</w:t>
            </w:r>
          </w:p>
        </w:tc>
        <w:tc>
          <w:tcPr>
            <w:tcW w:w="412" w:type="pct"/>
            <w:noWrap w:val="0"/>
            <w:vAlign w:val="center"/>
          </w:tcPr>
          <w:p w14:paraId="29C5C532">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符合</w:t>
            </w:r>
          </w:p>
        </w:tc>
      </w:tr>
      <w:tr w14:paraId="543CA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94" w:type="pct"/>
            <w:noWrap w:val="0"/>
            <w:vAlign w:val="center"/>
          </w:tcPr>
          <w:p w14:paraId="1CAC93EB">
            <w:pPr>
              <w:spacing w:line="300" w:lineRule="exact"/>
              <w:ind w:firstLine="0" w:firstLineChars="0"/>
              <w:jc w:val="center"/>
              <w:rPr>
                <w:rFonts w:hint="eastAsia" w:ascii="Times New Roman" w:hAnsi="Times New Roman" w:eastAsia="宋体" w:cs="Times New Roman"/>
                <w:color w:val="auto"/>
                <w:sz w:val="21"/>
                <w:lang w:eastAsia="zh-CN"/>
              </w:rPr>
            </w:pPr>
            <w:r>
              <w:rPr>
                <w:rFonts w:hint="eastAsia" w:cs="Times New Roman"/>
                <w:color w:val="auto"/>
                <w:sz w:val="21"/>
                <w:lang w:val="en-US" w:eastAsia="zh-CN"/>
              </w:rPr>
              <w:t>3</w:t>
            </w:r>
          </w:p>
        </w:tc>
        <w:tc>
          <w:tcPr>
            <w:tcW w:w="1422" w:type="pct"/>
            <w:noWrap w:val="0"/>
            <w:vAlign w:val="center"/>
          </w:tcPr>
          <w:p w14:paraId="35A677CA">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建筑物有符合国家标准《建筑物防雷设计规范》规定的防雷装置。</w:t>
            </w:r>
          </w:p>
        </w:tc>
        <w:tc>
          <w:tcPr>
            <w:tcW w:w="1108" w:type="pct"/>
            <w:vMerge w:val="restart"/>
            <w:noWrap w:val="0"/>
            <w:vAlign w:val="center"/>
          </w:tcPr>
          <w:p w14:paraId="4924E49A">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《建筑设计防火规范，2018版》（GB50016-2014）</w:t>
            </w:r>
          </w:p>
          <w:p w14:paraId="7FE0A2D8">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8.0</w:t>
            </w:r>
          </w:p>
        </w:tc>
        <w:tc>
          <w:tcPr>
            <w:tcW w:w="1761" w:type="pct"/>
            <w:noWrap w:val="0"/>
            <w:vAlign w:val="center"/>
          </w:tcPr>
          <w:p w14:paraId="7195A93F">
            <w:pPr>
              <w:spacing w:line="300" w:lineRule="exact"/>
              <w:ind w:firstLine="0" w:firstLineChars="0"/>
              <w:rPr>
                <w:rFonts w:hint="eastAsia" w:ascii="Times New Roman" w:hAnsi="Times New Roman" w:eastAsia="宋体" w:cs="Times New Roman"/>
                <w:color w:val="auto"/>
                <w:sz w:val="21"/>
                <w:lang w:eastAsia="zh-CN"/>
              </w:rPr>
            </w:pPr>
            <w:r>
              <w:rPr>
                <w:rFonts w:hint="default" w:ascii="Times New Roman" w:hAnsi="Times New Roman" w:cs="Times New Roman"/>
                <w:color w:val="auto"/>
                <w:sz w:val="21"/>
              </w:rPr>
              <w:t>所有建筑物按工业三类防雷建筑物标准设计。为防止直击雷，金属屋面建构筑物尽量利用金属屋面作为接闪器</w:t>
            </w:r>
            <w:r>
              <w:rPr>
                <w:rFonts w:hint="eastAsia" w:cs="Times New Roman"/>
                <w:color w:val="auto"/>
                <w:sz w:val="21"/>
                <w:lang w:eastAsia="zh-CN"/>
              </w:rPr>
              <w:t>。</w:t>
            </w:r>
          </w:p>
        </w:tc>
        <w:tc>
          <w:tcPr>
            <w:tcW w:w="412" w:type="pct"/>
            <w:noWrap w:val="0"/>
            <w:vAlign w:val="center"/>
          </w:tcPr>
          <w:p w14:paraId="44334323">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符合</w:t>
            </w:r>
          </w:p>
        </w:tc>
      </w:tr>
      <w:tr w14:paraId="406D8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 w:type="pct"/>
            <w:noWrap w:val="0"/>
            <w:vAlign w:val="center"/>
          </w:tcPr>
          <w:p w14:paraId="3DD5853B">
            <w:pPr>
              <w:spacing w:line="300" w:lineRule="exact"/>
              <w:ind w:firstLine="0" w:firstLineChars="0"/>
              <w:jc w:val="center"/>
              <w:rPr>
                <w:rFonts w:hint="eastAsia" w:ascii="Times New Roman" w:hAnsi="Times New Roman" w:eastAsia="宋体" w:cs="Times New Roman"/>
                <w:color w:val="auto"/>
                <w:sz w:val="21"/>
                <w:lang w:eastAsia="zh-CN"/>
              </w:rPr>
            </w:pPr>
            <w:r>
              <w:rPr>
                <w:rFonts w:hint="eastAsia" w:cs="Times New Roman"/>
                <w:color w:val="auto"/>
                <w:sz w:val="21"/>
                <w:lang w:val="en-US" w:eastAsia="zh-CN"/>
              </w:rPr>
              <w:t>4</w:t>
            </w:r>
          </w:p>
        </w:tc>
        <w:tc>
          <w:tcPr>
            <w:tcW w:w="1422" w:type="pct"/>
            <w:noWrap w:val="0"/>
            <w:vAlign w:val="center"/>
          </w:tcPr>
          <w:p w14:paraId="55B04852">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厂区的消防给水和灭火设备符合《建筑设计防火规范</w:t>
            </w:r>
            <w:r>
              <w:rPr>
                <w:rFonts w:hint="eastAsia" w:cs="Times New Roman"/>
                <w:color w:val="auto"/>
                <w:sz w:val="21"/>
                <w:lang w:eastAsia="zh-CN"/>
              </w:rPr>
              <w:t>（</w:t>
            </w:r>
            <w:r>
              <w:rPr>
                <w:rFonts w:hint="eastAsia" w:cs="Times New Roman"/>
                <w:color w:val="auto"/>
                <w:sz w:val="21"/>
                <w:lang w:val="en-US" w:eastAsia="zh-CN"/>
              </w:rPr>
              <w:t>2018版</w:t>
            </w:r>
            <w:r>
              <w:rPr>
                <w:rFonts w:hint="eastAsia" w:cs="Times New Roman"/>
                <w:color w:val="auto"/>
                <w:sz w:val="21"/>
                <w:lang w:eastAsia="zh-CN"/>
              </w:rPr>
              <w:t>）</w:t>
            </w:r>
            <w:r>
              <w:rPr>
                <w:rFonts w:hint="default" w:ascii="Times New Roman" w:hAnsi="Times New Roman" w:cs="Times New Roman"/>
                <w:color w:val="auto"/>
                <w:sz w:val="21"/>
              </w:rPr>
              <w:t>》（GB50016-20</w:t>
            </w:r>
            <w:r>
              <w:rPr>
                <w:rFonts w:hint="eastAsia" w:cs="Times New Roman"/>
                <w:color w:val="auto"/>
                <w:sz w:val="21"/>
                <w:lang w:val="en-US" w:eastAsia="zh-CN"/>
              </w:rPr>
              <w:t>14</w:t>
            </w:r>
            <w:r>
              <w:rPr>
                <w:rFonts w:hint="default" w:ascii="Times New Roman" w:hAnsi="Times New Roman" w:cs="Times New Roman"/>
                <w:color w:val="auto"/>
                <w:sz w:val="21"/>
              </w:rPr>
              <w:t>）第八章的规定。</w:t>
            </w:r>
          </w:p>
        </w:tc>
        <w:tc>
          <w:tcPr>
            <w:tcW w:w="1108" w:type="pct"/>
            <w:vMerge w:val="continue"/>
            <w:noWrap w:val="0"/>
            <w:vAlign w:val="center"/>
          </w:tcPr>
          <w:p w14:paraId="607AEB47">
            <w:pPr>
              <w:spacing w:line="300" w:lineRule="exact"/>
              <w:ind w:firstLine="0" w:firstLineChars="0"/>
              <w:jc w:val="center"/>
              <w:rPr>
                <w:rFonts w:hint="default" w:ascii="Times New Roman" w:hAnsi="Times New Roman" w:cs="Times New Roman"/>
                <w:color w:val="auto"/>
                <w:sz w:val="21"/>
              </w:rPr>
            </w:pPr>
          </w:p>
        </w:tc>
        <w:tc>
          <w:tcPr>
            <w:tcW w:w="1761" w:type="pct"/>
            <w:noWrap w:val="0"/>
            <w:vAlign w:val="center"/>
          </w:tcPr>
          <w:p w14:paraId="64C52F09">
            <w:pPr>
              <w:spacing w:line="300" w:lineRule="exact"/>
              <w:ind w:firstLine="0" w:firstLineChars="0"/>
              <w:rPr>
                <w:rFonts w:hint="default" w:ascii="Times New Roman" w:hAnsi="Times New Roman" w:eastAsia="宋体" w:cs="Times New Roman"/>
                <w:color w:val="auto"/>
                <w:sz w:val="21"/>
                <w:lang w:eastAsia="zh-CN"/>
              </w:rPr>
            </w:pPr>
            <w:r>
              <w:rPr>
                <w:rFonts w:hint="eastAsia" w:cs="Times New Roman"/>
                <w:color w:val="auto"/>
                <w:sz w:val="21"/>
                <w:lang w:val="en-US" w:eastAsia="zh-CN"/>
              </w:rPr>
              <w:t>设置室外消火栓，</w:t>
            </w:r>
            <w:r>
              <w:rPr>
                <w:rFonts w:hint="default" w:ascii="Times New Roman" w:hAnsi="Times New Roman" w:cs="Times New Roman"/>
                <w:color w:val="auto"/>
                <w:sz w:val="21"/>
              </w:rPr>
              <w:t>各车间内配置一定数量的MF/ABC5型或MF/ABC3型手提式干粉灭火器</w:t>
            </w:r>
            <w:r>
              <w:rPr>
                <w:rFonts w:hint="default" w:ascii="Times New Roman" w:hAnsi="Times New Roman" w:cs="Times New Roman"/>
                <w:color w:val="auto"/>
                <w:sz w:val="21"/>
                <w:lang w:eastAsia="zh-CN"/>
              </w:rPr>
              <w:t>。</w:t>
            </w:r>
          </w:p>
        </w:tc>
        <w:tc>
          <w:tcPr>
            <w:tcW w:w="412" w:type="pct"/>
            <w:noWrap w:val="0"/>
            <w:vAlign w:val="center"/>
          </w:tcPr>
          <w:p w14:paraId="7C25E135">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符合</w:t>
            </w:r>
          </w:p>
        </w:tc>
      </w:tr>
      <w:tr w14:paraId="55E50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 w:type="pct"/>
            <w:noWrap w:val="0"/>
            <w:vAlign w:val="center"/>
          </w:tcPr>
          <w:p w14:paraId="4DD6A091">
            <w:pPr>
              <w:spacing w:line="300" w:lineRule="exact"/>
              <w:ind w:firstLine="0" w:firstLineChars="0"/>
              <w:jc w:val="center"/>
              <w:rPr>
                <w:rFonts w:hint="eastAsia" w:ascii="Times New Roman" w:hAnsi="Times New Roman" w:eastAsia="宋体" w:cs="Times New Roman"/>
                <w:color w:val="auto"/>
                <w:sz w:val="21"/>
                <w:lang w:eastAsia="zh-CN"/>
              </w:rPr>
            </w:pPr>
            <w:r>
              <w:rPr>
                <w:rFonts w:hint="eastAsia" w:cs="Times New Roman"/>
                <w:color w:val="auto"/>
                <w:sz w:val="21"/>
                <w:lang w:val="en-US" w:eastAsia="zh-CN"/>
              </w:rPr>
              <w:t>5</w:t>
            </w:r>
          </w:p>
        </w:tc>
        <w:tc>
          <w:tcPr>
            <w:tcW w:w="1422" w:type="pct"/>
            <w:noWrap w:val="0"/>
            <w:vAlign w:val="center"/>
          </w:tcPr>
          <w:p w14:paraId="3BCC0F1B">
            <w:pPr>
              <w:spacing w:line="300" w:lineRule="exact"/>
              <w:ind w:firstLine="0" w:firstLineChars="0"/>
              <w:rPr>
                <w:rFonts w:hint="default" w:ascii="Times New Roman" w:hAnsi="Times New Roman" w:cs="Times New Roman"/>
                <w:color w:val="auto"/>
                <w:sz w:val="21"/>
              </w:rPr>
            </w:pPr>
            <w:r>
              <w:rPr>
                <w:rFonts w:hint="default" w:ascii="Times New Roman" w:hAnsi="Times New Roman" w:cs="Times New Roman"/>
                <w:color w:val="auto"/>
                <w:sz w:val="21"/>
              </w:rPr>
              <w:t>库房耐火等级、层数占地面积、安全通道和防火间距，料场、生产区、产品的布置及与道路的防火间距，应符合《建筑设计防火规范》第四章的要求。</w:t>
            </w:r>
          </w:p>
        </w:tc>
        <w:tc>
          <w:tcPr>
            <w:tcW w:w="1108" w:type="pct"/>
            <w:noWrap w:val="0"/>
            <w:vAlign w:val="center"/>
          </w:tcPr>
          <w:p w14:paraId="6FD672CE">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《建筑设计防火规范，2018版》（GB50016-2014）</w:t>
            </w:r>
          </w:p>
          <w:p w14:paraId="26C7B001">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4.0</w:t>
            </w:r>
          </w:p>
        </w:tc>
        <w:tc>
          <w:tcPr>
            <w:tcW w:w="1761" w:type="pct"/>
            <w:noWrap w:val="0"/>
            <w:vAlign w:val="center"/>
          </w:tcPr>
          <w:p w14:paraId="10F1EF33">
            <w:pPr>
              <w:spacing w:line="300" w:lineRule="exact"/>
              <w:ind w:firstLine="0" w:firstLineChars="0"/>
              <w:rPr>
                <w:rFonts w:hint="default" w:ascii="Times New Roman" w:hAnsi="Times New Roman" w:eastAsia="宋体" w:cs="Times New Roman"/>
                <w:color w:val="auto"/>
                <w:sz w:val="21"/>
                <w:lang w:eastAsia="zh-CN"/>
              </w:rPr>
            </w:pPr>
            <w:r>
              <w:rPr>
                <w:rFonts w:hint="default" w:ascii="Times New Roman" w:hAnsi="Times New Roman" w:cs="Times New Roman"/>
                <w:color w:val="auto"/>
                <w:sz w:val="21"/>
              </w:rPr>
              <w:t>厂区为坡地阶梯型布置，耐火等级二级，火灾危险性分类为丁类和戊类</w:t>
            </w:r>
            <w:r>
              <w:rPr>
                <w:rFonts w:hint="default" w:ascii="Times New Roman" w:hAnsi="Times New Roman" w:cs="Times New Roman"/>
                <w:color w:val="auto"/>
                <w:sz w:val="21"/>
                <w:lang w:eastAsia="zh-CN"/>
              </w:rPr>
              <w:t>。选厂各建筑物间距均大于（或等于）10m，满足《建筑设计防火规范》（GB 50016-2014）的要求。</w:t>
            </w:r>
          </w:p>
        </w:tc>
        <w:tc>
          <w:tcPr>
            <w:tcW w:w="412" w:type="pct"/>
            <w:noWrap w:val="0"/>
            <w:vAlign w:val="center"/>
          </w:tcPr>
          <w:p w14:paraId="2D2B9127">
            <w:pPr>
              <w:spacing w:line="300" w:lineRule="exact"/>
              <w:ind w:firstLine="0" w:firstLineChars="0"/>
              <w:jc w:val="center"/>
              <w:rPr>
                <w:rFonts w:hint="default" w:ascii="Times New Roman" w:hAnsi="Times New Roman" w:cs="Times New Roman"/>
                <w:color w:val="auto"/>
                <w:sz w:val="21"/>
              </w:rPr>
            </w:pPr>
            <w:r>
              <w:rPr>
                <w:rFonts w:hint="default" w:ascii="Times New Roman" w:hAnsi="Times New Roman" w:cs="Times New Roman"/>
                <w:color w:val="auto"/>
                <w:sz w:val="21"/>
              </w:rPr>
              <w:t>符合</w:t>
            </w:r>
          </w:p>
        </w:tc>
      </w:tr>
    </w:tbl>
    <w:p w14:paraId="25B955B1">
      <w:pPr>
        <w:pStyle w:val="4"/>
        <w:bidi w:val="0"/>
        <w:rPr>
          <w:rFonts w:hint="default"/>
          <w:color w:val="auto"/>
        </w:rPr>
      </w:pPr>
      <w:bookmarkStart w:id="203" w:name="_Toc1273"/>
      <w:bookmarkStart w:id="204" w:name="_Toc1646"/>
      <w:r>
        <w:rPr>
          <w:rFonts w:hint="default"/>
          <w:color w:val="auto"/>
        </w:rPr>
        <w:t>5.3.3</w:t>
      </w:r>
      <w:r>
        <w:rPr>
          <w:rFonts w:hint="eastAsia"/>
          <w:color w:val="auto"/>
          <w:lang w:val="en-US" w:eastAsia="zh-CN"/>
        </w:rPr>
        <w:t xml:space="preserve"> 评价</w:t>
      </w:r>
      <w:r>
        <w:rPr>
          <w:rFonts w:hint="default"/>
          <w:color w:val="auto"/>
        </w:rPr>
        <w:t>单元小结</w:t>
      </w:r>
      <w:bookmarkEnd w:id="203"/>
      <w:bookmarkEnd w:id="204"/>
    </w:p>
    <w:p w14:paraId="0EAD96D4">
      <w:pPr>
        <w:bidi w:val="0"/>
        <w:rPr>
          <w:rFonts w:hint="default"/>
          <w:color w:val="auto"/>
          <w:lang w:val="en-US" w:eastAsia="zh-CN"/>
        </w:rPr>
      </w:pPr>
      <w:r>
        <w:rPr>
          <w:rFonts w:hint="eastAsia"/>
          <w:color w:val="auto"/>
        </w:rPr>
        <w:t>经PHA预先危险性分析，本单元存在的危险有害因素等级为Ⅲ级</w:t>
      </w:r>
      <w:r>
        <w:rPr>
          <w:rFonts w:hint="eastAsia"/>
          <w:color w:val="auto"/>
          <w:lang w:eastAsia="zh-CN"/>
        </w:rPr>
        <w:t>，</w:t>
      </w:r>
      <w:r>
        <w:rPr>
          <w:rFonts w:hint="eastAsia"/>
          <w:color w:val="auto"/>
          <w:lang w:val="en-US" w:eastAsia="zh-CN"/>
        </w:rPr>
        <w:t>初步设计中明确了火灾危险性、防火间距、排水、消防等内容，给排水</w:t>
      </w:r>
      <w:r>
        <w:rPr>
          <w:rFonts w:hint="eastAsia"/>
          <w:color w:val="auto"/>
        </w:rPr>
        <w:t>设施符合相关法律、法规的要求</w:t>
      </w:r>
      <w:r>
        <w:rPr>
          <w:rFonts w:hint="default"/>
          <w:color w:val="auto"/>
          <w:lang w:val="en-US" w:eastAsia="zh-CN"/>
        </w:rPr>
        <w:t>。</w:t>
      </w:r>
    </w:p>
    <w:p w14:paraId="243DE830">
      <w:pPr>
        <w:pStyle w:val="3"/>
        <w:bidi w:val="0"/>
        <w:rPr>
          <w:rFonts w:hint="default"/>
          <w:color w:val="auto"/>
        </w:rPr>
      </w:pPr>
      <w:bookmarkStart w:id="205" w:name="_Toc28056"/>
      <w:bookmarkStart w:id="206" w:name="_Toc32184"/>
      <w:bookmarkStart w:id="207" w:name="_Toc11069"/>
      <w:r>
        <w:rPr>
          <w:rFonts w:hint="default"/>
          <w:color w:val="auto"/>
        </w:rPr>
        <w:t>5.4</w:t>
      </w:r>
      <w:r>
        <w:rPr>
          <w:rFonts w:hint="eastAsia"/>
          <w:color w:val="auto"/>
          <w:lang w:val="en-US" w:eastAsia="zh-CN"/>
        </w:rPr>
        <w:t xml:space="preserve"> </w:t>
      </w:r>
      <w:r>
        <w:rPr>
          <w:rFonts w:hint="default"/>
          <w:color w:val="auto"/>
        </w:rPr>
        <w:t>供配电系统单元</w:t>
      </w:r>
      <w:bookmarkEnd w:id="205"/>
      <w:bookmarkEnd w:id="206"/>
      <w:bookmarkEnd w:id="207"/>
    </w:p>
    <w:p w14:paraId="68B0E298">
      <w:pPr>
        <w:pStyle w:val="4"/>
        <w:bidi w:val="0"/>
        <w:rPr>
          <w:rFonts w:hint="default"/>
          <w:color w:val="auto"/>
        </w:rPr>
      </w:pPr>
      <w:bookmarkStart w:id="208" w:name="_Toc1963"/>
      <w:bookmarkStart w:id="209" w:name="_Toc2304"/>
      <w:r>
        <w:rPr>
          <w:rFonts w:hint="default"/>
          <w:color w:val="auto"/>
        </w:rPr>
        <w:t>5.4.1</w:t>
      </w:r>
      <w:r>
        <w:rPr>
          <w:rFonts w:hint="eastAsia"/>
          <w:color w:val="auto"/>
          <w:lang w:val="en-US" w:eastAsia="zh-CN"/>
        </w:rPr>
        <w:t xml:space="preserve"> </w:t>
      </w:r>
      <w:r>
        <w:rPr>
          <w:rFonts w:hint="default"/>
          <w:color w:val="auto"/>
        </w:rPr>
        <w:t>供配电系统预先危险性分析</w:t>
      </w:r>
      <w:bookmarkEnd w:id="208"/>
      <w:bookmarkEnd w:id="209"/>
    </w:p>
    <w:p w14:paraId="3BB21AD4">
      <w:pPr>
        <w:pStyle w:val="18"/>
        <w:bidi w:val="0"/>
        <w:rPr>
          <w:rFonts w:hint="default"/>
          <w:color w:val="auto"/>
          <w:lang w:val="en-US" w:eastAsia="zh-CN"/>
        </w:rPr>
      </w:pPr>
      <w:r>
        <w:rPr>
          <w:rFonts w:hint="default"/>
          <w:color w:val="auto"/>
          <w:lang w:val="en-US" w:eastAsia="zh-CN"/>
        </w:rPr>
        <w:t>表5.4-1</w:t>
      </w:r>
      <w:r>
        <w:rPr>
          <w:rFonts w:hint="eastAsia"/>
          <w:color w:val="auto"/>
          <w:lang w:val="en-US" w:eastAsia="zh-CN"/>
        </w:rPr>
        <w:t xml:space="preserve"> </w:t>
      </w:r>
      <w:r>
        <w:rPr>
          <w:rFonts w:hint="default"/>
          <w:color w:val="auto"/>
          <w:lang w:val="en-US" w:eastAsia="zh-CN"/>
        </w:rPr>
        <w:t xml:space="preserve"> 供配电系统预先危险性分析</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1856"/>
        <w:gridCol w:w="1050"/>
        <w:gridCol w:w="1088"/>
        <w:gridCol w:w="806"/>
        <w:gridCol w:w="938"/>
        <w:gridCol w:w="2944"/>
      </w:tblGrid>
      <w:tr w14:paraId="2CB88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blHeader/>
          <w:jc w:val="center"/>
        </w:trPr>
        <w:tc>
          <w:tcPr>
            <w:tcW w:w="692" w:type="dxa"/>
            <w:noWrap w:val="0"/>
            <w:vAlign w:val="center"/>
          </w:tcPr>
          <w:p w14:paraId="6A2451F0">
            <w:pPr>
              <w:pStyle w:val="19"/>
              <w:bidi w:val="0"/>
              <w:rPr>
                <w:rFonts w:hint="default"/>
                <w:b/>
                <w:bCs/>
                <w:color w:val="auto"/>
              </w:rPr>
            </w:pPr>
            <w:r>
              <w:rPr>
                <w:rFonts w:hint="default"/>
                <w:b/>
                <w:bCs/>
                <w:color w:val="auto"/>
              </w:rPr>
              <w:t>危险有</w:t>
            </w:r>
          </w:p>
          <w:p w14:paraId="242647AC">
            <w:pPr>
              <w:pStyle w:val="19"/>
              <w:bidi w:val="0"/>
              <w:rPr>
                <w:rFonts w:hint="default"/>
                <w:b/>
                <w:bCs/>
                <w:color w:val="auto"/>
              </w:rPr>
            </w:pPr>
            <w:r>
              <w:rPr>
                <w:rFonts w:hint="default"/>
                <w:b/>
                <w:bCs/>
                <w:color w:val="auto"/>
              </w:rPr>
              <w:t>害因素</w:t>
            </w:r>
          </w:p>
        </w:tc>
        <w:tc>
          <w:tcPr>
            <w:tcW w:w="1856" w:type="dxa"/>
            <w:noWrap w:val="0"/>
            <w:vAlign w:val="center"/>
          </w:tcPr>
          <w:p w14:paraId="5E07C21F">
            <w:pPr>
              <w:pStyle w:val="19"/>
              <w:bidi w:val="0"/>
              <w:rPr>
                <w:rFonts w:hint="default"/>
                <w:b/>
                <w:bCs/>
                <w:color w:val="auto"/>
              </w:rPr>
            </w:pPr>
            <w:r>
              <w:rPr>
                <w:rFonts w:hint="default"/>
                <w:b/>
                <w:bCs/>
                <w:color w:val="auto"/>
              </w:rPr>
              <w:t>诱发事故原因</w:t>
            </w:r>
          </w:p>
        </w:tc>
        <w:tc>
          <w:tcPr>
            <w:tcW w:w="1050" w:type="dxa"/>
            <w:noWrap w:val="0"/>
            <w:vAlign w:val="center"/>
          </w:tcPr>
          <w:p w14:paraId="36F6FC08">
            <w:pPr>
              <w:pStyle w:val="19"/>
              <w:bidi w:val="0"/>
              <w:rPr>
                <w:rFonts w:hint="default"/>
                <w:b/>
                <w:bCs/>
                <w:color w:val="auto"/>
              </w:rPr>
            </w:pPr>
            <w:r>
              <w:rPr>
                <w:rFonts w:hint="default"/>
                <w:b/>
                <w:bCs/>
                <w:color w:val="auto"/>
              </w:rPr>
              <w:t>事故</w:t>
            </w:r>
          </w:p>
          <w:p w14:paraId="43071A7E">
            <w:pPr>
              <w:pStyle w:val="19"/>
              <w:bidi w:val="0"/>
              <w:rPr>
                <w:rFonts w:hint="default"/>
                <w:b/>
                <w:bCs/>
                <w:color w:val="auto"/>
              </w:rPr>
            </w:pPr>
            <w:r>
              <w:rPr>
                <w:rFonts w:hint="default"/>
                <w:b/>
                <w:bCs/>
                <w:color w:val="auto"/>
              </w:rPr>
              <w:t>模式</w:t>
            </w:r>
          </w:p>
        </w:tc>
        <w:tc>
          <w:tcPr>
            <w:tcW w:w="1088" w:type="dxa"/>
            <w:noWrap w:val="0"/>
            <w:vAlign w:val="center"/>
          </w:tcPr>
          <w:p w14:paraId="112EE4DD">
            <w:pPr>
              <w:pStyle w:val="19"/>
              <w:bidi w:val="0"/>
              <w:rPr>
                <w:rFonts w:hint="default"/>
                <w:b/>
                <w:bCs/>
                <w:color w:val="auto"/>
              </w:rPr>
            </w:pPr>
            <w:r>
              <w:rPr>
                <w:rFonts w:hint="default"/>
                <w:b/>
                <w:bCs/>
                <w:color w:val="auto"/>
              </w:rPr>
              <w:t>事故后果</w:t>
            </w:r>
          </w:p>
        </w:tc>
        <w:tc>
          <w:tcPr>
            <w:tcW w:w="806" w:type="dxa"/>
            <w:noWrap w:val="0"/>
            <w:vAlign w:val="center"/>
          </w:tcPr>
          <w:p w14:paraId="54C08CCA">
            <w:pPr>
              <w:pStyle w:val="19"/>
              <w:bidi w:val="0"/>
              <w:rPr>
                <w:rFonts w:hint="default"/>
                <w:b/>
                <w:bCs/>
                <w:color w:val="auto"/>
              </w:rPr>
            </w:pPr>
            <w:r>
              <w:rPr>
                <w:rFonts w:hint="default"/>
                <w:b/>
                <w:bCs/>
                <w:color w:val="auto"/>
              </w:rPr>
              <w:t>危险等级</w:t>
            </w:r>
          </w:p>
        </w:tc>
        <w:tc>
          <w:tcPr>
            <w:tcW w:w="938" w:type="dxa"/>
            <w:noWrap w:val="0"/>
            <w:vAlign w:val="center"/>
          </w:tcPr>
          <w:p w14:paraId="68B3019D">
            <w:pPr>
              <w:pStyle w:val="19"/>
              <w:bidi w:val="0"/>
              <w:rPr>
                <w:rFonts w:hint="default"/>
                <w:b/>
                <w:bCs/>
                <w:color w:val="auto"/>
              </w:rPr>
            </w:pPr>
            <w:r>
              <w:rPr>
                <w:rFonts w:hint="default"/>
                <w:b/>
                <w:bCs/>
                <w:color w:val="auto"/>
              </w:rPr>
              <w:t>发生事故的概率等级</w:t>
            </w:r>
          </w:p>
        </w:tc>
        <w:tc>
          <w:tcPr>
            <w:tcW w:w="2944" w:type="dxa"/>
            <w:noWrap w:val="0"/>
            <w:vAlign w:val="center"/>
          </w:tcPr>
          <w:p w14:paraId="76BE99AC">
            <w:pPr>
              <w:pStyle w:val="19"/>
              <w:bidi w:val="0"/>
              <w:rPr>
                <w:rFonts w:hint="default"/>
                <w:b/>
                <w:bCs/>
                <w:color w:val="auto"/>
              </w:rPr>
            </w:pPr>
            <w:r>
              <w:rPr>
                <w:rFonts w:hint="default"/>
                <w:b/>
                <w:bCs/>
                <w:color w:val="auto"/>
              </w:rPr>
              <w:t>对策措施</w:t>
            </w:r>
          </w:p>
        </w:tc>
      </w:tr>
      <w:tr w14:paraId="3118C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3" w:hRule="atLeast"/>
          <w:jc w:val="center"/>
        </w:trPr>
        <w:tc>
          <w:tcPr>
            <w:tcW w:w="692" w:type="dxa"/>
            <w:noWrap w:val="0"/>
            <w:vAlign w:val="center"/>
          </w:tcPr>
          <w:p w14:paraId="72A492B6">
            <w:pPr>
              <w:pStyle w:val="19"/>
              <w:bidi w:val="0"/>
              <w:rPr>
                <w:rFonts w:hint="default"/>
                <w:color w:val="auto"/>
              </w:rPr>
            </w:pPr>
            <w:r>
              <w:rPr>
                <w:rFonts w:hint="default"/>
                <w:color w:val="auto"/>
              </w:rPr>
              <w:t>机械</w:t>
            </w:r>
          </w:p>
          <w:p w14:paraId="623FA389">
            <w:pPr>
              <w:pStyle w:val="19"/>
              <w:bidi w:val="0"/>
              <w:rPr>
                <w:rFonts w:hint="default"/>
                <w:color w:val="auto"/>
              </w:rPr>
            </w:pPr>
            <w:r>
              <w:rPr>
                <w:rFonts w:hint="default"/>
                <w:color w:val="auto"/>
              </w:rPr>
              <w:t>伤害</w:t>
            </w:r>
          </w:p>
        </w:tc>
        <w:tc>
          <w:tcPr>
            <w:tcW w:w="1856" w:type="dxa"/>
            <w:noWrap w:val="0"/>
            <w:vAlign w:val="center"/>
          </w:tcPr>
          <w:p w14:paraId="5A1AB017">
            <w:pPr>
              <w:pStyle w:val="19"/>
              <w:bidi w:val="0"/>
              <w:jc w:val="both"/>
              <w:rPr>
                <w:rFonts w:hint="default"/>
                <w:color w:val="auto"/>
              </w:rPr>
            </w:pPr>
            <w:r>
              <w:rPr>
                <w:rFonts w:hint="default"/>
                <w:color w:val="auto"/>
              </w:rPr>
              <w:t>①操作不熟练；</w:t>
            </w:r>
          </w:p>
          <w:p w14:paraId="588D9961">
            <w:pPr>
              <w:pStyle w:val="19"/>
              <w:bidi w:val="0"/>
              <w:jc w:val="both"/>
              <w:rPr>
                <w:rFonts w:hint="default"/>
                <w:color w:val="auto"/>
              </w:rPr>
            </w:pPr>
            <w:r>
              <w:rPr>
                <w:rFonts w:hint="default"/>
                <w:color w:val="auto"/>
              </w:rPr>
              <w:t>②操作地点不安全；</w:t>
            </w:r>
          </w:p>
          <w:p w14:paraId="068CF02E">
            <w:pPr>
              <w:pStyle w:val="19"/>
              <w:bidi w:val="0"/>
              <w:jc w:val="both"/>
              <w:rPr>
                <w:rFonts w:hint="default"/>
                <w:color w:val="auto"/>
              </w:rPr>
            </w:pPr>
            <w:r>
              <w:rPr>
                <w:rFonts w:hint="default"/>
                <w:color w:val="auto"/>
              </w:rPr>
              <w:t>③作业前安全检查、处理不到位；</w:t>
            </w:r>
          </w:p>
          <w:p w14:paraId="6CD7DEFE">
            <w:pPr>
              <w:pStyle w:val="19"/>
              <w:bidi w:val="0"/>
              <w:jc w:val="both"/>
              <w:rPr>
                <w:rFonts w:hint="default"/>
                <w:color w:val="auto"/>
              </w:rPr>
            </w:pPr>
            <w:r>
              <w:rPr>
                <w:rFonts w:hint="default"/>
                <w:color w:val="auto"/>
              </w:rPr>
              <w:t>④防护装置(罩)不全。</w:t>
            </w:r>
          </w:p>
        </w:tc>
        <w:tc>
          <w:tcPr>
            <w:tcW w:w="1050" w:type="dxa"/>
            <w:noWrap w:val="0"/>
            <w:vAlign w:val="center"/>
          </w:tcPr>
          <w:p w14:paraId="09F705E0">
            <w:pPr>
              <w:pStyle w:val="19"/>
              <w:bidi w:val="0"/>
              <w:rPr>
                <w:rFonts w:hint="default"/>
                <w:color w:val="auto"/>
              </w:rPr>
            </w:pPr>
            <w:r>
              <w:rPr>
                <w:rFonts w:hint="default"/>
                <w:color w:val="auto"/>
              </w:rPr>
              <w:t>机械伤害、跌伤</w:t>
            </w:r>
          </w:p>
        </w:tc>
        <w:tc>
          <w:tcPr>
            <w:tcW w:w="1088" w:type="dxa"/>
            <w:noWrap w:val="0"/>
            <w:vAlign w:val="center"/>
          </w:tcPr>
          <w:p w14:paraId="3B3794C9">
            <w:pPr>
              <w:pStyle w:val="19"/>
              <w:bidi w:val="0"/>
              <w:rPr>
                <w:rFonts w:hint="default"/>
                <w:color w:val="auto"/>
              </w:rPr>
            </w:pPr>
            <w:r>
              <w:rPr>
                <w:rFonts w:hint="default"/>
                <w:color w:val="auto"/>
              </w:rPr>
              <w:t>人员伤害</w:t>
            </w:r>
          </w:p>
        </w:tc>
        <w:tc>
          <w:tcPr>
            <w:tcW w:w="806" w:type="dxa"/>
            <w:noWrap w:val="0"/>
            <w:vAlign w:val="center"/>
          </w:tcPr>
          <w:p w14:paraId="41D7010F">
            <w:pPr>
              <w:pStyle w:val="19"/>
              <w:bidi w:val="0"/>
              <w:rPr>
                <w:rFonts w:hint="default"/>
                <w:color w:val="auto"/>
              </w:rPr>
            </w:pPr>
            <w:r>
              <w:rPr>
                <w:rFonts w:hint="default"/>
                <w:color w:val="auto"/>
              </w:rPr>
              <w:t>II</w:t>
            </w:r>
          </w:p>
        </w:tc>
        <w:tc>
          <w:tcPr>
            <w:tcW w:w="938" w:type="dxa"/>
            <w:noWrap w:val="0"/>
            <w:vAlign w:val="center"/>
          </w:tcPr>
          <w:p w14:paraId="3D4A521D">
            <w:pPr>
              <w:pStyle w:val="19"/>
              <w:bidi w:val="0"/>
              <w:rPr>
                <w:rFonts w:hint="default"/>
                <w:color w:val="auto"/>
              </w:rPr>
            </w:pPr>
            <w:r>
              <w:rPr>
                <w:rFonts w:hint="default"/>
                <w:color w:val="auto"/>
              </w:rPr>
              <w:t>B</w:t>
            </w:r>
          </w:p>
        </w:tc>
        <w:tc>
          <w:tcPr>
            <w:tcW w:w="2944" w:type="dxa"/>
            <w:noWrap w:val="0"/>
            <w:vAlign w:val="center"/>
          </w:tcPr>
          <w:p w14:paraId="1A90B842">
            <w:pPr>
              <w:pStyle w:val="19"/>
              <w:bidi w:val="0"/>
              <w:jc w:val="both"/>
              <w:rPr>
                <w:rFonts w:hint="default"/>
                <w:color w:val="auto"/>
              </w:rPr>
            </w:pPr>
            <w:r>
              <w:rPr>
                <w:rFonts w:hint="default"/>
                <w:color w:val="auto"/>
              </w:rPr>
              <w:t>①严格执行操作规程；</w:t>
            </w:r>
          </w:p>
          <w:p w14:paraId="5EED2837">
            <w:pPr>
              <w:pStyle w:val="19"/>
              <w:bidi w:val="0"/>
              <w:jc w:val="both"/>
              <w:rPr>
                <w:rFonts w:hint="default"/>
                <w:color w:val="auto"/>
              </w:rPr>
            </w:pPr>
            <w:r>
              <w:rPr>
                <w:rFonts w:hint="default"/>
                <w:color w:val="auto"/>
              </w:rPr>
              <w:t>②树立安全生产的理念，坚持工作前对工作面的安全处理；</w:t>
            </w:r>
          </w:p>
          <w:p w14:paraId="6DE2F211">
            <w:pPr>
              <w:pStyle w:val="19"/>
              <w:bidi w:val="0"/>
              <w:jc w:val="both"/>
              <w:rPr>
                <w:rFonts w:hint="default"/>
                <w:color w:val="auto"/>
              </w:rPr>
            </w:pPr>
            <w:r>
              <w:rPr>
                <w:rFonts w:hint="default"/>
                <w:color w:val="auto"/>
              </w:rPr>
              <w:t>③加强个人防护措施；完善配备机械安全防护装置。</w:t>
            </w:r>
          </w:p>
        </w:tc>
      </w:tr>
      <w:tr w14:paraId="547A5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9" w:hRule="atLeast"/>
          <w:jc w:val="center"/>
        </w:trPr>
        <w:tc>
          <w:tcPr>
            <w:tcW w:w="692" w:type="dxa"/>
            <w:noWrap w:val="0"/>
            <w:vAlign w:val="center"/>
          </w:tcPr>
          <w:p w14:paraId="38A12617">
            <w:pPr>
              <w:pStyle w:val="19"/>
              <w:bidi w:val="0"/>
              <w:rPr>
                <w:rFonts w:hint="default"/>
                <w:color w:val="auto"/>
              </w:rPr>
            </w:pPr>
            <w:r>
              <w:rPr>
                <w:rFonts w:hint="default"/>
                <w:color w:val="auto"/>
              </w:rPr>
              <w:t>触电</w:t>
            </w:r>
          </w:p>
        </w:tc>
        <w:tc>
          <w:tcPr>
            <w:tcW w:w="1856" w:type="dxa"/>
            <w:noWrap w:val="0"/>
            <w:vAlign w:val="center"/>
          </w:tcPr>
          <w:p w14:paraId="4B83D06F">
            <w:pPr>
              <w:pStyle w:val="19"/>
              <w:bidi w:val="0"/>
              <w:jc w:val="both"/>
              <w:rPr>
                <w:rFonts w:hint="default"/>
                <w:color w:val="auto"/>
              </w:rPr>
            </w:pPr>
            <w:r>
              <w:rPr>
                <w:rFonts w:hint="default"/>
                <w:color w:val="auto"/>
              </w:rPr>
              <w:t>①工作面潮湿；</w:t>
            </w:r>
          </w:p>
          <w:p w14:paraId="344D5C2D">
            <w:pPr>
              <w:pStyle w:val="19"/>
              <w:bidi w:val="0"/>
              <w:jc w:val="both"/>
              <w:rPr>
                <w:rFonts w:hint="default"/>
                <w:color w:val="auto"/>
              </w:rPr>
            </w:pPr>
            <w:r>
              <w:rPr>
                <w:rFonts w:hint="default"/>
                <w:color w:val="auto"/>
              </w:rPr>
              <w:t>②使用电气设备绝缘老化；</w:t>
            </w:r>
          </w:p>
          <w:p w14:paraId="33309921">
            <w:pPr>
              <w:pStyle w:val="19"/>
              <w:bidi w:val="0"/>
              <w:jc w:val="both"/>
              <w:rPr>
                <w:rFonts w:hint="default"/>
                <w:color w:val="auto"/>
              </w:rPr>
            </w:pPr>
            <w:r>
              <w:rPr>
                <w:rFonts w:hint="default"/>
                <w:color w:val="auto"/>
              </w:rPr>
              <w:t>③电气设备缺少漏电保护等防护装置；</w:t>
            </w:r>
          </w:p>
          <w:p w14:paraId="00FEEAF7">
            <w:pPr>
              <w:pStyle w:val="19"/>
              <w:bidi w:val="0"/>
              <w:jc w:val="both"/>
              <w:rPr>
                <w:rFonts w:hint="default"/>
                <w:color w:val="auto"/>
              </w:rPr>
            </w:pPr>
            <w:r>
              <w:rPr>
                <w:rFonts w:hint="default"/>
                <w:color w:val="auto"/>
              </w:rPr>
              <w:t>④不执行停送电制度；</w:t>
            </w:r>
          </w:p>
          <w:p w14:paraId="64AFB1BB">
            <w:pPr>
              <w:pStyle w:val="19"/>
              <w:bidi w:val="0"/>
              <w:jc w:val="both"/>
              <w:rPr>
                <w:rFonts w:hint="default"/>
                <w:color w:val="auto"/>
              </w:rPr>
            </w:pPr>
            <w:r>
              <w:rPr>
                <w:rFonts w:hint="default"/>
                <w:color w:val="auto"/>
              </w:rPr>
              <w:t>⑤缺乏安全警示标志；</w:t>
            </w:r>
          </w:p>
          <w:p w14:paraId="7A8E0891">
            <w:pPr>
              <w:pStyle w:val="19"/>
              <w:bidi w:val="0"/>
              <w:jc w:val="both"/>
              <w:rPr>
                <w:rFonts w:hint="default"/>
                <w:color w:val="auto"/>
              </w:rPr>
            </w:pPr>
            <w:r>
              <w:rPr>
                <w:rFonts w:hint="default"/>
                <w:color w:val="auto"/>
              </w:rPr>
              <w:t>⑥作业无人监护；⑦不使用安全电压；</w:t>
            </w:r>
          </w:p>
          <w:p w14:paraId="7AF0D6CC">
            <w:pPr>
              <w:pStyle w:val="19"/>
              <w:bidi w:val="0"/>
              <w:jc w:val="both"/>
              <w:rPr>
                <w:rFonts w:hint="default"/>
                <w:color w:val="auto"/>
              </w:rPr>
            </w:pPr>
            <w:r>
              <w:rPr>
                <w:rFonts w:hint="default"/>
                <w:color w:val="auto"/>
              </w:rPr>
              <w:t>⑧安全装置失效；⑨个人防护措施不全；</w:t>
            </w:r>
          </w:p>
          <w:p w14:paraId="7043C1F6">
            <w:pPr>
              <w:pStyle w:val="19"/>
              <w:bidi w:val="0"/>
              <w:jc w:val="both"/>
              <w:rPr>
                <w:rFonts w:hint="default"/>
                <w:color w:val="auto"/>
              </w:rPr>
            </w:pPr>
            <w:r>
              <w:rPr>
                <w:rFonts w:hint="default"/>
                <w:color w:val="auto"/>
              </w:rPr>
              <w:t>⑩其他违章操作。</w:t>
            </w:r>
          </w:p>
        </w:tc>
        <w:tc>
          <w:tcPr>
            <w:tcW w:w="1050" w:type="dxa"/>
            <w:noWrap w:val="0"/>
            <w:vAlign w:val="center"/>
          </w:tcPr>
          <w:p w14:paraId="0530C07E">
            <w:pPr>
              <w:pStyle w:val="19"/>
              <w:bidi w:val="0"/>
              <w:rPr>
                <w:rFonts w:hint="default"/>
                <w:color w:val="auto"/>
              </w:rPr>
            </w:pPr>
            <w:r>
              <w:rPr>
                <w:rFonts w:hint="default"/>
                <w:color w:val="auto"/>
              </w:rPr>
              <w:t>短路、引发漏电、触电</w:t>
            </w:r>
          </w:p>
        </w:tc>
        <w:tc>
          <w:tcPr>
            <w:tcW w:w="1088" w:type="dxa"/>
            <w:noWrap w:val="0"/>
            <w:vAlign w:val="center"/>
          </w:tcPr>
          <w:p w14:paraId="6AB75C32">
            <w:pPr>
              <w:pStyle w:val="19"/>
              <w:bidi w:val="0"/>
              <w:rPr>
                <w:rFonts w:hint="default"/>
                <w:color w:val="auto"/>
              </w:rPr>
            </w:pPr>
            <w:r>
              <w:rPr>
                <w:rFonts w:hint="default"/>
                <w:color w:val="auto"/>
              </w:rPr>
              <w:t>人员伤亡、设备损坏</w:t>
            </w:r>
          </w:p>
        </w:tc>
        <w:tc>
          <w:tcPr>
            <w:tcW w:w="806" w:type="dxa"/>
            <w:noWrap w:val="0"/>
            <w:vAlign w:val="center"/>
          </w:tcPr>
          <w:p w14:paraId="08C937B5">
            <w:pPr>
              <w:pStyle w:val="19"/>
              <w:bidi w:val="0"/>
              <w:rPr>
                <w:rFonts w:hint="default"/>
                <w:color w:val="auto"/>
              </w:rPr>
            </w:pPr>
            <w:r>
              <w:rPr>
                <w:rFonts w:hint="default"/>
                <w:color w:val="auto"/>
              </w:rPr>
              <w:t>II</w:t>
            </w:r>
          </w:p>
        </w:tc>
        <w:tc>
          <w:tcPr>
            <w:tcW w:w="938" w:type="dxa"/>
            <w:noWrap w:val="0"/>
            <w:vAlign w:val="center"/>
          </w:tcPr>
          <w:p w14:paraId="3B17F8ED">
            <w:pPr>
              <w:pStyle w:val="19"/>
              <w:bidi w:val="0"/>
              <w:rPr>
                <w:rFonts w:hint="default"/>
                <w:color w:val="auto"/>
              </w:rPr>
            </w:pPr>
            <w:r>
              <w:rPr>
                <w:rFonts w:hint="default"/>
                <w:color w:val="auto"/>
              </w:rPr>
              <w:t>D</w:t>
            </w:r>
          </w:p>
        </w:tc>
        <w:tc>
          <w:tcPr>
            <w:tcW w:w="2944" w:type="dxa"/>
            <w:noWrap w:val="0"/>
            <w:vAlign w:val="center"/>
          </w:tcPr>
          <w:p w14:paraId="0A63D962">
            <w:pPr>
              <w:pStyle w:val="19"/>
              <w:bidi w:val="0"/>
              <w:jc w:val="both"/>
              <w:rPr>
                <w:rFonts w:hint="default"/>
                <w:color w:val="auto"/>
              </w:rPr>
            </w:pPr>
            <w:r>
              <w:rPr>
                <w:rFonts w:hint="default"/>
                <w:color w:val="auto"/>
              </w:rPr>
              <w:t>①严格执行操作规程；</w:t>
            </w:r>
          </w:p>
          <w:p w14:paraId="1B693A0D">
            <w:pPr>
              <w:pStyle w:val="19"/>
              <w:bidi w:val="0"/>
              <w:jc w:val="both"/>
              <w:rPr>
                <w:rFonts w:hint="default"/>
                <w:color w:val="auto"/>
              </w:rPr>
            </w:pPr>
            <w:r>
              <w:rPr>
                <w:rFonts w:hint="default"/>
                <w:color w:val="auto"/>
              </w:rPr>
              <w:t>②树立先安全后生产的观念，坚持工作前对工作面的安全处理；</w:t>
            </w:r>
          </w:p>
          <w:p w14:paraId="36355870">
            <w:pPr>
              <w:pStyle w:val="19"/>
              <w:bidi w:val="0"/>
              <w:jc w:val="both"/>
              <w:rPr>
                <w:rFonts w:hint="default"/>
                <w:color w:val="auto"/>
              </w:rPr>
            </w:pPr>
            <w:r>
              <w:rPr>
                <w:rFonts w:hint="default"/>
                <w:color w:val="auto"/>
              </w:rPr>
              <w:t>③加强个人防护措施，严格执行劳动防护用品发放、使用管理制度；</w:t>
            </w:r>
          </w:p>
          <w:p w14:paraId="4E333A39">
            <w:pPr>
              <w:pStyle w:val="19"/>
              <w:bidi w:val="0"/>
              <w:jc w:val="both"/>
              <w:rPr>
                <w:rFonts w:hint="default"/>
                <w:color w:val="auto"/>
              </w:rPr>
            </w:pPr>
            <w:r>
              <w:rPr>
                <w:rFonts w:hint="default"/>
                <w:color w:val="auto"/>
              </w:rPr>
              <w:t>④电气工作人员持证上岗；</w:t>
            </w:r>
          </w:p>
          <w:p w14:paraId="045CC4E1">
            <w:pPr>
              <w:pStyle w:val="19"/>
              <w:bidi w:val="0"/>
              <w:jc w:val="both"/>
              <w:rPr>
                <w:rFonts w:hint="default"/>
                <w:color w:val="auto"/>
              </w:rPr>
            </w:pPr>
            <w:r>
              <w:rPr>
                <w:rFonts w:hint="default"/>
                <w:color w:val="auto"/>
              </w:rPr>
              <w:t>⑤变压器周围设围栏、警告牌，配电室铺设绝缘地毯；</w:t>
            </w:r>
          </w:p>
          <w:p w14:paraId="5F6426CC">
            <w:pPr>
              <w:pStyle w:val="19"/>
              <w:bidi w:val="0"/>
              <w:jc w:val="both"/>
              <w:rPr>
                <w:rFonts w:hint="default"/>
                <w:color w:val="auto"/>
              </w:rPr>
            </w:pPr>
            <w:r>
              <w:rPr>
                <w:rFonts w:hint="default"/>
                <w:color w:val="auto"/>
              </w:rPr>
              <w:t>⑥配电室配备绝缘靴、绝缘手套、绝缘杆等绝缘设备，门窗加防护网；</w:t>
            </w:r>
          </w:p>
          <w:p w14:paraId="07544599">
            <w:pPr>
              <w:pStyle w:val="19"/>
              <w:bidi w:val="0"/>
              <w:jc w:val="both"/>
              <w:rPr>
                <w:rFonts w:hint="default"/>
                <w:color w:val="auto"/>
              </w:rPr>
            </w:pPr>
            <w:r>
              <w:rPr>
                <w:rFonts w:hint="default"/>
                <w:color w:val="auto"/>
              </w:rPr>
              <w:t>⑦电气设备可能被人所触及的裸露带电部分，设置警戒标志；</w:t>
            </w:r>
          </w:p>
          <w:p w14:paraId="06DB6B7B">
            <w:pPr>
              <w:pStyle w:val="19"/>
              <w:bidi w:val="0"/>
              <w:jc w:val="both"/>
              <w:rPr>
                <w:rFonts w:hint="default"/>
                <w:color w:val="auto"/>
              </w:rPr>
            </w:pPr>
            <w:r>
              <w:rPr>
                <w:rFonts w:hint="default"/>
                <w:color w:val="auto"/>
              </w:rPr>
              <w:t>⑧定期检查电气线路及设备。</w:t>
            </w:r>
          </w:p>
        </w:tc>
      </w:tr>
      <w:tr w14:paraId="26662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692" w:type="dxa"/>
            <w:noWrap w:val="0"/>
            <w:vAlign w:val="center"/>
          </w:tcPr>
          <w:p w14:paraId="273E0F17">
            <w:pPr>
              <w:pStyle w:val="19"/>
              <w:bidi w:val="0"/>
              <w:rPr>
                <w:rFonts w:hint="default"/>
                <w:color w:val="auto"/>
              </w:rPr>
            </w:pPr>
            <w:r>
              <w:rPr>
                <w:rFonts w:hint="default"/>
                <w:color w:val="auto"/>
              </w:rPr>
              <w:t>火灾</w:t>
            </w:r>
          </w:p>
        </w:tc>
        <w:tc>
          <w:tcPr>
            <w:tcW w:w="1856" w:type="dxa"/>
            <w:noWrap w:val="0"/>
            <w:vAlign w:val="center"/>
          </w:tcPr>
          <w:p w14:paraId="14FE396D">
            <w:pPr>
              <w:pStyle w:val="19"/>
              <w:bidi w:val="0"/>
              <w:jc w:val="both"/>
              <w:rPr>
                <w:rFonts w:hint="default"/>
                <w:color w:val="auto"/>
              </w:rPr>
            </w:pPr>
            <w:r>
              <w:rPr>
                <w:rFonts w:hint="default"/>
                <w:color w:val="auto"/>
              </w:rPr>
              <w:t>①保险丝（片）选用不当；</w:t>
            </w:r>
          </w:p>
          <w:p w14:paraId="067E2B01">
            <w:pPr>
              <w:pStyle w:val="19"/>
              <w:bidi w:val="0"/>
              <w:jc w:val="both"/>
              <w:rPr>
                <w:rFonts w:hint="default"/>
                <w:color w:val="auto"/>
              </w:rPr>
            </w:pPr>
            <w:r>
              <w:rPr>
                <w:rFonts w:hint="default"/>
                <w:color w:val="auto"/>
              </w:rPr>
              <w:t>②开关及配电箱内油料着火；</w:t>
            </w:r>
          </w:p>
          <w:p w14:paraId="3AB471E4">
            <w:pPr>
              <w:pStyle w:val="19"/>
              <w:bidi w:val="0"/>
              <w:jc w:val="both"/>
              <w:rPr>
                <w:rFonts w:hint="default"/>
                <w:color w:val="auto"/>
              </w:rPr>
            </w:pPr>
            <w:r>
              <w:rPr>
                <w:rFonts w:hint="default"/>
                <w:color w:val="auto"/>
              </w:rPr>
              <w:t>③机械作用（包括摩擦、震动冲击等）所引起；</w:t>
            </w:r>
          </w:p>
          <w:p w14:paraId="08903FFD">
            <w:pPr>
              <w:pStyle w:val="19"/>
              <w:bidi w:val="0"/>
              <w:jc w:val="both"/>
              <w:rPr>
                <w:rFonts w:hint="default"/>
                <w:color w:val="auto"/>
              </w:rPr>
            </w:pPr>
            <w:r>
              <w:rPr>
                <w:rFonts w:hint="default"/>
                <w:color w:val="auto"/>
              </w:rPr>
              <w:t>④绝缘、保护装置未检查，未维护；⑤装置失效；</w:t>
            </w:r>
          </w:p>
          <w:p w14:paraId="40E24B66">
            <w:pPr>
              <w:pStyle w:val="19"/>
              <w:bidi w:val="0"/>
              <w:jc w:val="both"/>
              <w:rPr>
                <w:rFonts w:hint="default"/>
                <w:color w:val="auto"/>
              </w:rPr>
            </w:pPr>
            <w:r>
              <w:rPr>
                <w:rFonts w:hint="default"/>
                <w:color w:val="auto"/>
              </w:rPr>
              <w:t>⑥未设置消防灭火设施；</w:t>
            </w:r>
          </w:p>
          <w:p w14:paraId="333D21F0">
            <w:pPr>
              <w:pStyle w:val="19"/>
              <w:bidi w:val="0"/>
              <w:jc w:val="both"/>
              <w:rPr>
                <w:rFonts w:hint="default"/>
                <w:color w:val="auto"/>
              </w:rPr>
            </w:pPr>
            <w:r>
              <w:rPr>
                <w:rFonts w:hint="default"/>
                <w:color w:val="auto"/>
              </w:rPr>
              <w:t>⑦其他违章操作。</w:t>
            </w:r>
          </w:p>
        </w:tc>
        <w:tc>
          <w:tcPr>
            <w:tcW w:w="1050" w:type="dxa"/>
            <w:noWrap w:val="0"/>
            <w:vAlign w:val="center"/>
          </w:tcPr>
          <w:p w14:paraId="70C31E83">
            <w:pPr>
              <w:pStyle w:val="19"/>
              <w:bidi w:val="0"/>
              <w:rPr>
                <w:rFonts w:hint="default"/>
                <w:color w:val="auto"/>
              </w:rPr>
            </w:pPr>
            <w:r>
              <w:rPr>
                <w:rFonts w:hint="default"/>
                <w:color w:val="auto"/>
              </w:rPr>
              <w:t>明火、短路引发火灾</w:t>
            </w:r>
          </w:p>
        </w:tc>
        <w:tc>
          <w:tcPr>
            <w:tcW w:w="1088" w:type="dxa"/>
            <w:noWrap w:val="0"/>
            <w:vAlign w:val="center"/>
          </w:tcPr>
          <w:p w14:paraId="710AD95F">
            <w:pPr>
              <w:pStyle w:val="19"/>
              <w:bidi w:val="0"/>
              <w:rPr>
                <w:rFonts w:hint="default"/>
                <w:color w:val="auto"/>
              </w:rPr>
            </w:pPr>
            <w:r>
              <w:rPr>
                <w:rFonts w:hint="default"/>
                <w:color w:val="auto"/>
              </w:rPr>
              <w:t>人员伤亡、设备设施损坏</w:t>
            </w:r>
          </w:p>
        </w:tc>
        <w:tc>
          <w:tcPr>
            <w:tcW w:w="806" w:type="dxa"/>
            <w:noWrap w:val="0"/>
            <w:vAlign w:val="center"/>
          </w:tcPr>
          <w:p w14:paraId="04BB1CA0">
            <w:pPr>
              <w:pStyle w:val="19"/>
              <w:bidi w:val="0"/>
              <w:rPr>
                <w:rFonts w:hint="default"/>
                <w:color w:val="auto"/>
              </w:rPr>
            </w:pPr>
            <w:r>
              <w:rPr>
                <w:rFonts w:hint="default"/>
                <w:color w:val="auto"/>
              </w:rPr>
              <w:t>Ⅱ</w:t>
            </w:r>
          </w:p>
        </w:tc>
        <w:tc>
          <w:tcPr>
            <w:tcW w:w="938" w:type="dxa"/>
            <w:noWrap w:val="0"/>
            <w:vAlign w:val="center"/>
          </w:tcPr>
          <w:p w14:paraId="3EB0001D">
            <w:pPr>
              <w:pStyle w:val="19"/>
              <w:bidi w:val="0"/>
              <w:rPr>
                <w:rFonts w:hint="default"/>
                <w:color w:val="auto"/>
              </w:rPr>
            </w:pPr>
            <w:r>
              <w:rPr>
                <w:rFonts w:hint="default"/>
                <w:color w:val="auto"/>
              </w:rPr>
              <w:t>C</w:t>
            </w:r>
          </w:p>
        </w:tc>
        <w:tc>
          <w:tcPr>
            <w:tcW w:w="2944" w:type="dxa"/>
            <w:noWrap w:val="0"/>
            <w:vAlign w:val="center"/>
          </w:tcPr>
          <w:p w14:paraId="39E1236B">
            <w:pPr>
              <w:pStyle w:val="19"/>
              <w:bidi w:val="0"/>
              <w:jc w:val="both"/>
              <w:rPr>
                <w:rFonts w:hint="default"/>
                <w:color w:val="auto"/>
              </w:rPr>
            </w:pPr>
            <w:r>
              <w:rPr>
                <w:rFonts w:hint="default"/>
                <w:color w:val="auto"/>
              </w:rPr>
              <w:t>①严格执行操作规程;</w:t>
            </w:r>
          </w:p>
          <w:p w14:paraId="4C946AAD">
            <w:pPr>
              <w:pStyle w:val="19"/>
              <w:bidi w:val="0"/>
              <w:jc w:val="both"/>
              <w:rPr>
                <w:rFonts w:hint="default"/>
                <w:color w:val="auto"/>
              </w:rPr>
            </w:pPr>
            <w:r>
              <w:rPr>
                <w:rFonts w:hint="default"/>
                <w:color w:val="auto"/>
              </w:rPr>
              <w:t>②树立先安全后生产的观念，坚持工作前对工作面的安全处理；</w:t>
            </w:r>
          </w:p>
          <w:p w14:paraId="0429283B">
            <w:pPr>
              <w:pStyle w:val="19"/>
              <w:bidi w:val="0"/>
              <w:jc w:val="both"/>
              <w:rPr>
                <w:rFonts w:hint="default"/>
                <w:color w:val="auto"/>
              </w:rPr>
            </w:pPr>
            <w:r>
              <w:rPr>
                <w:rFonts w:hint="default"/>
                <w:color w:val="auto"/>
              </w:rPr>
              <w:t>③加强个人防护措施；</w:t>
            </w:r>
          </w:p>
          <w:p w14:paraId="79686614">
            <w:pPr>
              <w:pStyle w:val="19"/>
              <w:bidi w:val="0"/>
              <w:jc w:val="both"/>
              <w:rPr>
                <w:rFonts w:hint="default"/>
                <w:color w:val="auto"/>
              </w:rPr>
            </w:pPr>
            <w:r>
              <w:rPr>
                <w:rFonts w:hint="default"/>
                <w:color w:val="auto"/>
              </w:rPr>
              <w:t>④加强安全管理；</w:t>
            </w:r>
          </w:p>
          <w:p w14:paraId="79B996D7">
            <w:pPr>
              <w:pStyle w:val="19"/>
              <w:bidi w:val="0"/>
              <w:jc w:val="both"/>
              <w:rPr>
                <w:rFonts w:hint="default"/>
                <w:color w:val="auto"/>
              </w:rPr>
            </w:pPr>
            <w:r>
              <w:rPr>
                <w:rFonts w:hint="default"/>
                <w:color w:val="auto"/>
              </w:rPr>
              <w:t>⑤电气设备采用保护接地；</w:t>
            </w:r>
          </w:p>
          <w:p w14:paraId="19245CB4">
            <w:pPr>
              <w:pStyle w:val="19"/>
              <w:bidi w:val="0"/>
              <w:jc w:val="both"/>
              <w:rPr>
                <w:rFonts w:hint="default"/>
                <w:color w:val="auto"/>
              </w:rPr>
            </w:pPr>
            <w:r>
              <w:rPr>
                <w:rFonts w:hint="default"/>
                <w:color w:val="auto"/>
              </w:rPr>
              <w:t>⑥加强电气设备及其线路的检查、维护；</w:t>
            </w:r>
          </w:p>
          <w:p w14:paraId="1990C02A">
            <w:pPr>
              <w:pStyle w:val="19"/>
              <w:bidi w:val="0"/>
              <w:jc w:val="both"/>
              <w:rPr>
                <w:rFonts w:hint="default"/>
                <w:color w:val="auto"/>
              </w:rPr>
            </w:pPr>
            <w:r>
              <w:rPr>
                <w:rFonts w:hint="default"/>
                <w:color w:val="auto"/>
              </w:rPr>
              <w:t>⑦机械设备配备消防灭火器</w:t>
            </w:r>
          </w:p>
        </w:tc>
      </w:tr>
      <w:tr w14:paraId="22B6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692" w:type="dxa"/>
            <w:noWrap w:val="0"/>
            <w:vAlign w:val="center"/>
          </w:tcPr>
          <w:p w14:paraId="106A3A8C">
            <w:pPr>
              <w:pStyle w:val="19"/>
              <w:bidi w:val="0"/>
              <w:rPr>
                <w:rFonts w:hint="default"/>
                <w:color w:val="auto"/>
              </w:rPr>
            </w:pPr>
            <w:r>
              <w:rPr>
                <w:rFonts w:hint="default"/>
                <w:color w:val="auto"/>
              </w:rPr>
              <w:t>职业</w:t>
            </w:r>
          </w:p>
          <w:p w14:paraId="13F25716">
            <w:pPr>
              <w:pStyle w:val="19"/>
              <w:bidi w:val="0"/>
              <w:rPr>
                <w:rFonts w:hint="default"/>
                <w:color w:val="auto"/>
              </w:rPr>
            </w:pPr>
            <w:r>
              <w:rPr>
                <w:rFonts w:hint="default"/>
                <w:color w:val="auto"/>
              </w:rPr>
              <w:t>危害</w:t>
            </w:r>
          </w:p>
        </w:tc>
        <w:tc>
          <w:tcPr>
            <w:tcW w:w="1856" w:type="dxa"/>
            <w:noWrap w:val="0"/>
            <w:vAlign w:val="center"/>
          </w:tcPr>
          <w:p w14:paraId="6B6B5A96">
            <w:pPr>
              <w:pStyle w:val="19"/>
              <w:bidi w:val="0"/>
              <w:jc w:val="both"/>
              <w:rPr>
                <w:rFonts w:hint="default"/>
                <w:color w:val="auto"/>
              </w:rPr>
            </w:pPr>
            <w:r>
              <w:rPr>
                <w:rFonts w:hint="default"/>
                <w:color w:val="auto"/>
              </w:rPr>
              <w:t>长期在噪声环境下作业。</w:t>
            </w:r>
          </w:p>
        </w:tc>
        <w:tc>
          <w:tcPr>
            <w:tcW w:w="1050" w:type="dxa"/>
            <w:noWrap w:val="0"/>
            <w:vAlign w:val="center"/>
          </w:tcPr>
          <w:p w14:paraId="2406C2C5">
            <w:pPr>
              <w:pStyle w:val="19"/>
              <w:bidi w:val="0"/>
              <w:rPr>
                <w:rFonts w:hint="default"/>
                <w:color w:val="auto"/>
              </w:rPr>
            </w:pPr>
            <w:r>
              <w:rPr>
                <w:rFonts w:hint="default"/>
                <w:color w:val="auto"/>
              </w:rPr>
              <w:t>职业病</w:t>
            </w:r>
          </w:p>
        </w:tc>
        <w:tc>
          <w:tcPr>
            <w:tcW w:w="1088" w:type="dxa"/>
            <w:noWrap w:val="0"/>
            <w:vAlign w:val="center"/>
          </w:tcPr>
          <w:p w14:paraId="4DCC329A">
            <w:pPr>
              <w:pStyle w:val="19"/>
              <w:bidi w:val="0"/>
              <w:rPr>
                <w:rFonts w:hint="default"/>
                <w:color w:val="auto"/>
              </w:rPr>
            </w:pPr>
            <w:r>
              <w:rPr>
                <w:rFonts w:hint="default"/>
                <w:color w:val="auto"/>
              </w:rPr>
              <w:t>慢性伤害</w:t>
            </w:r>
          </w:p>
        </w:tc>
        <w:tc>
          <w:tcPr>
            <w:tcW w:w="806" w:type="dxa"/>
            <w:noWrap w:val="0"/>
            <w:vAlign w:val="center"/>
          </w:tcPr>
          <w:p w14:paraId="6177DCD0">
            <w:pPr>
              <w:pStyle w:val="19"/>
              <w:bidi w:val="0"/>
              <w:rPr>
                <w:rFonts w:hint="default"/>
                <w:color w:val="auto"/>
              </w:rPr>
            </w:pPr>
            <w:r>
              <w:rPr>
                <w:rFonts w:hint="default"/>
                <w:color w:val="auto"/>
              </w:rPr>
              <w:t>Ⅱ</w:t>
            </w:r>
          </w:p>
        </w:tc>
        <w:tc>
          <w:tcPr>
            <w:tcW w:w="938" w:type="dxa"/>
            <w:noWrap w:val="0"/>
            <w:vAlign w:val="center"/>
          </w:tcPr>
          <w:p w14:paraId="74E53CD4">
            <w:pPr>
              <w:pStyle w:val="19"/>
              <w:bidi w:val="0"/>
              <w:rPr>
                <w:rFonts w:hint="default"/>
                <w:color w:val="auto"/>
              </w:rPr>
            </w:pPr>
            <w:r>
              <w:rPr>
                <w:rFonts w:hint="default"/>
                <w:color w:val="auto"/>
              </w:rPr>
              <w:t>B</w:t>
            </w:r>
          </w:p>
        </w:tc>
        <w:tc>
          <w:tcPr>
            <w:tcW w:w="2944" w:type="dxa"/>
            <w:noWrap w:val="0"/>
            <w:vAlign w:val="center"/>
          </w:tcPr>
          <w:p w14:paraId="3EC00639">
            <w:pPr>
              <w:pStyle w:val="19"/>
              <w:bidi w:val="0"/>
              <w:jc w:val="both"/>
              <w:rPr>
                <w:rFonts w:hint="default"/>
                <w:color w:val="auto"/>
              </w:rPr>
            </w:pPr>
            <w:r>
              <w:rPr>
                <w:rFonts w:hint="default"/>
                <w:color w:val="auto"/>
              </w:rPr>
              <w:t>采用间歇式工作方式或完善隔音、消音设施。</w:t>
            </w:r>
          </w:p>
        </w:tc>
      </w:tr>
    </w:tbl>
    <w:p w14:paraId="659FFE86">
      <w:pPr>
        <w:bidi w:val="0"/>
        <w:rPr>
          <w:rFonts w:hint="eastAsia"/>
          <w:color w:val="auto"/>
        </w:rPr>
      </w:pPr>
      <w:r>
        <w:rPr>
          <w:rFonts w:hint="eastAsia"/>
          <w:color w:val="auto"/>
        </w:rPr>
        <w:t>通过PHA分析，机械伤害、触电、火灾危险等级为II级，是需要引起重视的危险因素，需加强预防和管理。</w:t>
      </w:r>
    </w:p>
    <w:p w14:paraId="083D4482">
      <w:pPr>
        <w:bidi w:val="0"/>
        <w:rPr>
          <w:rFonts w:hint="eastAsia"/>
          <w:color w:val="auto"/>
        </w:rPr>
      </w:pPr>
      <w:r>
        <w:rPr>
          <w:rFonts w:hint="eastAsia"/>
          <w:color w:val="auto"/>
        </w:rPr>
        <w:t>本单元预先危险性等级系数按下式确定：</w:t>
      </w:r>
    </w:p>
    <w:p w14:paraId="5CF3AC11">
      <w:pPr>
        <w:bidi w:val="0"/>
        <w:rPr>
          <w:rFonts w:hint="eastAsia"/>
          <w:color w:val="auto"/>
        </w:rPr>
      </w:pPr>
      <w:r>
        <w:rPr>
          <w:rFonts w:hint="eastAsia"/>
          <w:color w:val="auto"/>
        </w:rPr>
        <w:t>W=∑（P×K）/∑K</w:t>
      </w:r>
    </w:p>
    <w:p w14:paraId="02509F9A">
      <w:pPr>
        <w:bidi w:val="0"/>
        <w:rPr>
          <w:rFonts w:hint="eastAsia"/>
          <w:color w:val="auto"/>
        </w:rPr>
      </w:pPr>
      <w:r>
        <w:rPr>
          <w:rFonts w:hint="eastAsia"/>
          <w:color w:val="auto"/>
        </w:rPr>
        <w:t>式中：W—系统（单元）预先危险性等级系数；</w:t>
      </w:r>
    </w:p>
    <w:p w14:paraId="2D2E0BF9">
      <w:pPr>
        <w:bidi w:val="0"/>
        <w:rPr>
          <w:rFonts w:hint="eastAsia"/>
          <w:color w:val="auto"/>
        </w:rPr>
      </w:pPr>
      <w:r>
        <w:rPr>
          <w:rFonts w:hint="eastAsia"/>
          <w:color w:val="auto"/>
        </w:rPr>
        <w:t>P—分析项目的危险性等级系数；</w:t>
      </w:r>
    </w:p>
    <w:p w14:paraId="788DBB07">
      <w:pPr>
        <w:bidi w:val="0"/>
        <w:rPr>
          <w:rFonts w:hint="eastAsia"/>
          <w:color w:val="auto"/>
        </w:rPr>
      </w:pPr>
      <w:r>
        <w:rPr>
          <w:rFonts w:hint="eastAsia"/>
          <w:color w:val="auto"/>
        </w:rPr>
        <w:t>K—分析项目发生事故的概率系数。</w:t>
      </w:r>
    </w:p>
    <w:p w14:paraId="66AE0B6E">
      <w:pPr>
        <w:bidi w:val="0"/>
        <w:rPr>
          <w:rFonts w:hint="eastAsia"/>
          <w:color w:val="auto"/>
        </w:rPr>
      </w:pPr>
      <w:r>
        <w:rPr>
          <w:rFonts w:hint="eastAsia"/>
          <w:color w:val="auto"/>
        </w:rPr>
        <w:t>W=（2×0.10+2×0.30+2×0.20+2×0.10）/（0.10+0.30+0.20+0.10）=2</w:t>
      </w:r>
    </w:p>
    <w:p w14:paraId="3740F19C">
      <w:pPr>
        <w:bidi w:val="0"/>
        <w:rPr>
          <w:rFonts w:hint="eastAsia"/>
          <w:color w:val="auto"/>
        </w:rPr>
      </w:pPr>
      <w:r>
        <w:rPr>
          <w:rFonts w:hint="eastAsia"/>
          <w:color w:val="auto"/>
        </w:rPr>
        <w:t>预先危险性分析结论：本单元预先危险性等级系数为II级，系统危险程度为比较危险。</w:t>
      </w:r>
    </w:p>
    <w:p w14:paraId="0C09A788">
      <w:pPr>
        <w:pStyle w:val="18"/>
        <w:bidi w:val="0"/>
        <w:rPr>
          <w:color w:val="auto"/>
        </w:rPr>
      </w:pPr>
      <w:r>
        <w:rPr>
          <w:rFonts w:hint="eastAsia"/>
          <w:color w:val="auto"/>
        </w:rPr>
        <w:t xml:space="preserve">表5.4-2 </w:t>
      </w:r>
      <w:r>
        <w:rPr>
          <w:rFonts w:hint="eastAsia"/>
          <w:color w:val="auto"/>
          <w:lang w:val="en-US" w:eastAsia="zh-CN"/>
        </w:rPr>
        <w:t xml:space="preserve"> </w:t>
      </w:r>
      <w:r>
        <w:rPr>
          <w:rFonts w:hint="eastAsia"/>
          <w:color w:val="auto"/>
        </w:rPr>
        <w:t>电气火灾事故PHA分析</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701"/>
        <w:gridCol w:w="1985"/>
        <w:gridCol w:w="2511"/>
        <w:gridCol w:w="1098"/>
      </w:tblGrid>
      <w:tr w14:paraId="7320E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951" w:type="dxa"/>
            <w:noWrap w:val="0"/>
            <w:vAlign w:val="center"/>
          </w:tcPr>
          <w:p w14:paraId="434FC611">
            <w:pPr>
              <w:pStyle w:val="19"/>
              <w:bidi w:val="0"/>
              <w:rPr>
                <w:rFonts w:hint="default"/>
                <w:b/>
                <w:bCs/>
                <w:color w:val="auto"/>
              </w:rPr>
            </w:pPr>
            <w:r>
              <w:rPr>
                <w:rFonts w:hint="default"/>
                <w:b/>
                <w:bCs/>
                <w:color w:val="auto"/>
              </w:rPr>
              <w:t>危险、危害因素</w:t>
            </w:r>
          </w:p>
        </w:tc>
        <w:tc>
          <w:tcPr>
            <w:tcW w:w="1701" w:type="dxa"/>
            <w:noWrap w:val="0"/>
            <w:vAlign w:val="center"/>
          </w:tcPr>
          <w:p w14:paraId="46CC475A">
            <w:pPr>
              <w:pStyle w:val="19"/>
              <w:bidi w:val="0"/>
              <w:rPr>
                <w:rFonts w:hint="default"/>
                <w:b/>
                <w:bCs/>
                <w:color w:val="auto"/>
              </w:rPr>
            </w:pPr>
            <w:r>
              <w:rPr>
                <w:rFonts w:hint="default"/>
                <w:b/>
                <w:bCs/>
                <w:color w:val="auto"/>
              </w:rPr>
              <w:t>事故所处位置</w:t>
            </w:r>
          </w:p>
        </w:tc>
        <w:tc>
          <w:tcPr>
            <w:tcW w:w="1985" w:type="dxa"/>
            <w:noWrap w:val="0"/>
            <w:vAlign w:val="center"/>
          </w:tcPr>
          <w:p w14:paraId="16055CB7">
            <w:pPr>
              <w:pStyle w:val="19"/>
              <w:bidi w:val="0"/>
              <w:rPr>
                <w:rFonts w:hint="default"/>
                <w:b/>
                <w:bCs/>
                <w:color w:val="auto"/>
              </w:rPr>
            </w:pPr>
            <w:r>
              <w:rPr>
                <w:rFonts w:hint="default"/>
                <w:b/>
                <w:bCs/>
                <w:color w:val="auto"/>
              </w:rPr>
              <w:t>现象</w:t>
            </w:r>
          </w:p>
        </w:tc>
        <w:tc>
          <w:tcPr>
            <w:tcW w:w="2511" w:type="dxa"/>
            <w:noWrap w:val="0"/>
            <w:vAlign w:val="center"/>
          </w:tcPr>
          <w:p w14:paraId="5EAC66D7">
            <w:pPr>
              <w:pStyle w:val="19"/>
              <w:bidi w:val="0"/>
              <w:rPr>
                <w:rFonts w:hint="default"/>
                <w:b/>
                <w:bCs/>
                <w:color w:val="auto"/>
              </w:rPr>
            </w:pPr>
            <w:r>
              <w:rPr>
                <w:rFonts w:hint="default"/>
                <w:b/>
                <w:bCs/>
                <w:color w:val="auto"/>
              </w:rPr>
              <w:t>结果</w:t>
            </w:r>
          </w:p>
        </w:tc>
        <w:tc>
          <w:tcPr>
            <w:tcW w:w="1098" w:type="dxa"/>
            <w:noWrap w:val="0"/>
            <w:vAlign w:val="center"/>
          </w:tcPr>
          <w:p w14:paraId="1E968C13">
            <w:pPr>
              <w:pStyle w:val="19"/>
              <w:bidi w:val="0"/>
              <w:rPr>
                <w:rFonts w:hint="default"/>
                <w:b/>
                <w:bCs/>
                <w:color w:val="auto"/>
              </w:rPr>
            </w:pPr>
            <w:r>
              <w:rPr>
                <w:rFonts w:hint="default"/>
                <w:b/>
                <w:bCs/>
                <w:color w:val="auto"/>
              </w:rPr>
              <w:t>危险等级</w:t>
            </w:r>
          </w:p>
        </w:tc>
      </w:tr>
      <w:tr w14:paraId="75B13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noWrap w:val="0"/>
            <w:vAlign w:val="center"/>
          </w:tcPr>
          <w:p w14:paraId="5A2D602A">
            <w:pPr>
              <w:pStyle w:val="19"/>
              <w:bidi w:val="0"/>
              <w:rPr>
                <w:rFonts w:hint="default"/>
                <w:color w:val="auto"/>
              </w:rPr>
            </w:pPr>
            <w:r>
              <w:rPr>
                <w:rFonts w:hint="default"/>
                <w:color w:val="auto"/>
              </w:rPr>
              <w:t>绝缘损伤、老化击穿，引起相间短路</w:t>
            </w:r>
          </w:p>
        </w:tc>
        <w:tc>
          <w:tcPr>
            <w:tcW w:w="1701" w:type="dxa"/>
            <w:vMerge w:val="restart"/>
            <w:noWrap w:val="0"/>
            <w:vAlign w:val="center"/>
          </w:tcPr>
          <w:p w14:paraId="76F11268">
            <w:pPr>
              <w:pStyle w:val="19"/>
              <w:bidi w:val="0"/>
              <w:rPr>
                <w:rFonts w:hint="default"/>
                <w:color w:val="auto"/>
              </w:rPr>
            </w:pPr>
            <w:r>
              <w:rPr>
                <w:rFonts w:hint="default"/>
                <w:color w:val="auto"/>
              </w:rPr>
              <w:t>导线及开关设备</w:t>
            </w:r>
          </w:p>
        </w:tc>
        <w:tc>
          <w:tcPr>
            <w:tcW w:w="1985" w:type="dxa"/>
            <w:noWrap w:val="0"/>
            <w:vAlign w:val="center"/>
          </w:tcPr>
          <w:p w14:paraId="1F16D49F">
            <w:pPr>
              <w:pStyle w:val="19"/>
              <w:bidi w:val="0"/>
              <w:rPr>
                <w:rFonts w:hint="default"/>
                <w:color w:val="auto"/>
              </w:rPr>
            </w:pPr>
            <w:r>
              <w:rPr>
                <w:rFonts w:hint="default"/>
                <w:color w:val="auto"/>
              </w:rPr>
              <w:t>短路起火</w:t>
            </w:r>
          </w:p>
        </w:tc>
        <w:tc>
          <w:tcPr>
            <w:tcW w:w="2511" w:type="dxa"/>
            <w:noWrap w:val="0"/>
            <w:vAlign w:val="center"/>
          </w:tcPr>
          <w:p w14:paraId="5BE5045E">
            <w:pPr>
              <w:pStyle w:val="19"/>
              <w:bidi w:val="0"/>
              <w:rPr>
                <w:rFonts w:hint="default"/>
                <w:color w:val="auto"/>
              </w:rPr>
            </w:pPr>
            <w:r>
              <w:rPr>
                <w:rFonts w:hint="default"/>
                <w:color w:val="auto"/>
              </w:rPr>
              <w:t>导线烧毁，引起电器火灾</w:t>
            </w:r>
          </w:p>
        </w:tc>
        <w:tc>
          <w:tcPr>
            <w:tcW w:w="1098" w:type="dxa"/>
            <w:vMerge w:val="restart"/>
            <w:noWrap w:val="0"/>
            <w:vAlign w:val="center"/>
          </w:tcPr>
          <w:p w14:paraId="76FD0806">
            <w:pPr>
              <w:pStyle w:val="19"/>
              <w:bidi w:val="0"/>
              <w:rPr>
                <w:rFonts w:hint="default"/>
                <w:color w:val="auto"/>
              </w:rPr>
            </w:pPr>
            <w:r>
              <w:rPr>
                <w:rFonts w:hint="default"/>
                <w:color w:val="auto"/>
              </w:rPr>
              <w:t>Ⅲ</w:t>
            </w:r>
          </w:p>
        </w:tc>
      </w:tr>
      <w:tr w14:paraId="5F0F8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noWrap w:val="0"/>
            <w:vAlign w:val="center"/>
          </w:tcPr>
          <w:p w14:paraId="0066FB5D">
            <w:pPr>
              <w:pStyle w:val="19"/>
              <w:bidi w:val="0"/>
              <w:rPr>
                <w:rFonts w:hint="default"/>
                <w:color w:val="auto"/>
              </w:rPr>
            </w:pPr>
            <w:r>
              <w:rPr>
                <w:rFonts w:hint="default"/>
                <w:color w:val="auto"/>
              </w:rPr>
              <w:t>绝缘受潮引起短路</w:t>
            </w:r>
          </w:p>
        </w:tc>
        <w:tc>
          <w:tcPr>
            <w:tcW w:w="1701" w:type="dxa"/>
            <w:vMerge w:val="continue"/>
            <w:noWrap w:val="0"/>
            <w:vAlign w:val="center"/>
          </w:tcPr>
          <w:p w14:paraId="60740393">
            <w:pPr>
              <w:pStyle w:val="19"/>
              <w:bidi w:val="0"/>
              <w:rPr>
                <w:rFonts w:hint="default"/>
                <w:color w:val="auto"/>
              </w:rPr>
            </w:pPr>
          </w:p>
        </w:tc>
        <w:tc>
          <w:tcPr>
            <w:tcW w:w="1985" w:type="dxa"/>
            <w:noWrap w:val="0"/>
            <w:vAlign w:val="center"/>
          </w:tcPr>
          <w:p w14:paraId="77625CA7">
            <w:pPr>
              <w:pStyle w:val="19"/>
              <w:bidi w:val="0"/>
              <w:rPr>
                <w:rFonts w:hint="default"/>
                <w:color w:val="auto"/>
              </w:rPr>
            </w:pPr>
            <w:r>
              <w:rPr>
                <w:rFonts w:hint="default"/>
                <w:color w:val="auto"/>
              </w:rPr>
              <w:t>击穿起火</w:t>
            </w:r>
          </w:p>
        </w:tc>
        <w:tc>
          <w:tcPr>
            <w:tcW w:w="2511" w:type="dxa"/>
            <w:noWrap w:val="0"/>
            <w:vAlign w:val="center"/>
          </w:tcPr>
          <w:p w14:paraId="319C2A53">
            <w:pPr>
              <w:pStyle w:val="19"/>
              <w:bidi w:val="0"/>
              <w:rPr>
                <w:rFonts w:hint="default"/>
                <w:color w:val="auto"/>
              </w:rPr>
            </w:pPr>
            <w:r>
              <w:rPr>
                <w:rFonts w:hint="default"/>
                <w:color w:val="auto"/>
              </w:rPr>
              <w:t>配电箱被烧、建筑物起火</w:t>
            </w:r>
          </w:p>
        </w:tc>
        <w:tc>
          <w:tcPr>
            <w:tcW w:w="1098" w:type="dxa"/>
            <w:vMerge w:val="continue"/>
            <w:noWrap w:val="0"/>
            <w:vAlign w:val="center"/>
          </w:tcPr>
          <w:p w14:paraId="022C68E0">
            <w:pPr>
              <w:pStyle w:val="19"/>
              <w:bidi w:val="0"/>
              <w:rPr>
                <w:rFonts w:hint="default"/>
                <w:color w:val="auto"/>
              </w:rPr>
            </w:pPr>
          </w:p>
        </w:tc>
      </w:tr>
      <w:tr w14:paraId="54573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noWrap w:val="0"/>
            <w:vAlign w:val="center"/>
          </w:tcPr>
          <w:p w14:paraId="7E032BEE">
            <w:pPr>
              <w:pStyle w:val="19"/>
              <w:bidi w:val="0"/>
              <w:rPr>
                <w:rFonts w:hint="default"/>
                <w:color w:val="auto"/>
              </w:rPr>
            </w:pPr>
            <w:r>
              <w:rPr>
                <w:rFonts w:hint="default"/>
                <w:color w:val="auto"/>
              </w:rPr>
              <w:t>设备线路严重过负荷</w:t>
            </w:r>
          </w:p>
        </w:tc>
        <w:tc>
          <w:tcPr>
            <w:tcW w:w="1701" w:type="dxa"/>
            <w:noWrap w:val="0"/>
            <w:vAlign w:val="center"/>
          </w:tcPr>
          <w:p w14:paraId="15AD4FD7">
            <w:pPr>
              <w:pStyle w:val="19"/>
              <w:bidi w:val="0"/>
              <w:rPr>
                <w:rFonts w:hint="default"/>
                <w:color w:val="auto"/>
              </w:rPr>
            </w:pPr>
            <w:r>
              <w:rPr>
                <w:rFonts w:hint="default"/>
                <w:color w:val="auto"/>
              </w:rPr>
              <w:t>断路器、熔断器</w:t>
            </w:r>
          </w:p>
        </w:tc>
        <w:tc>
          <w:tcPr>
            <w:tcW w:w="1985" w:type="dxa"/>
            <w:noWrap w:val="0"/>
            <w:vAlign w:val="center"/>
          </w:tcPr>
          <w:p w14:paraId="41300D9B">
            <w:pPr>
              <w:pStyle w:val="19"/>
              <w:bidi w:val="0"/>
              <w:rPr>
                <w:rFonts w:hint="default"/>
                <w:color w:val="auto"/>
              </w:rPr>
            </w:pPr>
            <w:r>
              <w:rPr>
                <w:rFonts w:hint="default"/>
                <w:color w:val="auto"/>
              </w:rPr>
              <w:t>长期发生过载、过热</w:t>
            </w:r>
          </w:p>
        </w:tc>
        <w:tc>
          <w:tcPr>
            <w:tcW w:w="2511" w:type="dxa"/>
            <w:noWrap w:val="0"/>
            <w:vAlign w:val="center"/>
          </w:tcPr>
          <w:p w14:paraId="2019DC4A">
            <w:pPr>
              <w:pStyle w:val="19"/>
              <w:bidi w:val="0"/>
              <w:rPr>
                <w:rFonts w:hint="default"/>
                <w:color w:val="auto"/>
              </w:rPr>
            </w:pPr>
            <w:r>
              <w:rPr>
                <w:rFonts w:hint="default"/>
                <w:color w:val="auto"/>
              </w:rPr>
              <w:t>损害绝缘、接线端子和周围物体，严重时引起短路</w:t>
            </w:r>
          </w:p>
        </w:tc>
        <w:tc>
          <w:tcPr>
            <w:tcW w:w="1098" w:type="dxa"/>
            <w:noWrap w:val="0"/>
            <w:vAlign w:val="center"/>
          </w:tcPr>
          <w:p w14:paraId="68687749">
            <w:pPr>
              <w:pStyle w:val="19"/>
              <w:bidi w:val="0"/>
              <w:rPr>
                <w:rFonts w:hint="default"/>
                <w:color w:val="auto"/>
              </w:rPr>
            </w:pPr>
            <w:r>
              <w:rPr>
                <w:rFonts w:hint="default"/>
                <w:color w:val="auto"/>
              </w:rPr>
              <w:t>Ⅱ</w:t>
            </w:r>
          </w:p>
        </w:tc>
      </w:tr>
      <w:tr w14:paraId="73312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noWrap w:val="0"/>
            <w:vAlign w:val="center"/>
          </w:tcPr>
          <w:p w14:paraId="5C4B3F76">
            <w:pPr>
              <w:pStyle w:val="19"/>
              <w:bidi w:val="0"/>
              <w:rPr>
                <w:rFonts w:hint="default"/>
                <w:color w:val="auto"/>
              </w:rPr>
            </w:pPr>
            <w:r>
              <w:rPr>
                <w:rFonts w:hint="default"/>
                <w:color w:val="auto"/>
              </w:rPr>
              <w:t>电缆严重过载</w:t>
            </w:r>
          </w:p>
        </w:tc>
        <w:tc>
          <w:tcPr>
            <w:tcW w:w="1701" w:type="dxa"/>
            <w:vMerge w:val="restart"/>
            <w:noWrap w:val="0"/>
            <w:vAlign w:val="center"/>
          </w:tcPr>
          <w:p w14:paraId="6FF1DA53">
            <w:pPr>
              <w:pStyle w:val="19"/>
              <w:bidi w:val="0"/>
              <w:rPr>
                <w:rFonts w:hint="default"/>
                <w:color w:val="auto"/>
              </w:rPr>
            </w:pPr>
            <w:r>
              <w:rPr>
                <w:rFonts w:hint="default"/>
                <w:color w:val="auto"/>
              </w:rPr>
              <w:t>电缆、线路</w:t>
            </w:r>
          </w:p>
        </w:tc>
        <w:tc>
          <w:tcPr>
            <w:tcW w:w="1985" w:type="dxa"/>
            <w:noWrap w:val="0"/>
            <w:vAlign w:val="center"/>
          </w:tcPr>
          <w:p w14:paraId="78FACF87">
            <w:pPr>
              <w:pStyle w:val="19"/>
              <w:bidi w:val="0"/>
              <w:rPr>
                <w:rFonts w:hint="default"/>
                <w:color w:val="auto"/>
              </w:rPr>
            </w:pPr>
            <w:r>
              <w:rPr>
                <w:rFonts w:hint="default"/>
                <w:color w:val="auto"/>
              </w:rPr>
              <w:t>引起过热</w:t>
            </w:r>
          </w:p>
        </w:tc>
        <w:tc>
          <w:tcPr>
            <w:tcW w:w="2511" w:type="dxa"/>
            <w:noWrap w:val="0"/>
            <w:vAlign w:val="center"/>
          </w:tcPr>
          <w:p w14:paraId="61FF1E77">
            <w:pPr>
              <w:pStyle w:val="19"/>
              <w:bidi w:val="0"/>
              <w:rPr>
                <w:rFonts w:hint="default"/>
                <w:color w:val="auto"/>
              </w:rPr>
            </w:pPr>
            <w:r>
              <w:rPr>
                <w:rFonts w:hint="default"/>
                <w:color w:val="auto"/>
              </w:rPr>
              <w:t>负荷分配不当，会短路</w:t>
            </w:r>
          </w:p>
        </w:tc>
        <w:tc>
          <w:tcPr>
            <w:tcW w:w="1098" w:type="dxa"/>
            <w:noWrap w:val="0"/>
            <w:vAlign w:val="center"/>
          </w:tcPr>
          <w:p w14:paraId="5D4CC5CB">
            <w:pPr>
              <w:pStyle w:val="19"/>
              <w:bidi w:val="0"/>
              <w:rPr>
                <w:rFonts w:hint="default"/>
                <w:color w:val="auto"/>
              </w:rPr>
            </w:pPr>
            <w:r>
              <w:rPr>
                <w:rFonts w:hint="default"/>
                <w:color w:val="auto"/>
              </w:rPr>
              <w:t>Ⅱ</w:t>
            </w:r>
          </w:p>
        </w:tc>
      </w:tr>
      <w:tr w14:paraId="72EFE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noWrap w:val="0"/>
            <w:vAlign w:val="center"/>
          </w:tcPr>
          <w:p w14:paraId="2CACEC16">
            <w:pPr>
              <w:pStyle w:val="19"/>
              <w:bidi w:val="0"/>
              <w:rPr>
                <w:rFonts w:hint="default"/>
                <w:color w:val="auto"/>
              </w:rPr>
            </w:pPr>
            <w:r>
              <w:rPr>
                <w:rFonts w:hint="default"/>
                <w:color w:val="auto"/>
              </w:rPr>
              <w:t>线路超载</w:t>
            </w:r>
          </w:p>
        </w:tc>
        <w:tc>
          <w:tcPr>
            <w:tcW w:w="1701" w:type="dxa"/>
            <w:vMerge w:val="continue"/>
            <w:noWrap w:val="0"/>
            <w:vAlign w:val="center"/>
          </w:tcPr>
          <w:p w14:paraId="7F5C6C00">
            <w:pPr>
              <w:pStyle w:val="19"/>
              <w:bidi w:val="0"/>
              <w:rPr>
                <w:rFonts w:hint="default"/>
                <w:color w:val="auto"/>
              </w:rPr>
            </w:pPr>
          </w:p>
        </w:tc>
        <w:tc>
          <w:tcPr>
            <w:tcW w:w="1985" w:type="dxa"/>
            <w:noWrap w:val="0"/>
            <w:vAlign w:val="center"/>
          </w:tcPr>
          <w:p w14:paraId="4B574C09">
            <w:pPr>
              <w:pStyle w:val="19"/>
              <w:bidi w:val="0"/>
              <w:rPr>
                <w:rFonts w:hint="default"/>
                <w:color w:val="auto"/>
              </w:rPr>
            </w:pPr>
            <w:r>
              <w:rPr>
                <w:rFonts w:hint="default"/>
                <w:color w:val="auto"/>
              </w:rPr>
              <w:t>断路器跳闸、导线发热、断线</w:t>
            </w:r>
          </w:p>
        </w:tc>
        <w:tc>
          <w:tcPr>
            <w:tcW w:w="2511" w:type="dxa"/>
            <w:noWrap w:val="0"/>
            <w:vAlign w:val="center"/>
          </w:tcPr>
          <w:p w14:paraId="75A026E3">
            <w:pPr>
              <w:pStyle w:val="19"/>
              <w:bidi w:val="0"/>
              <w:rPr>
                <w:rFonts w:hint="default"/>
                <w:color w:val="auto"/>
              </w:rPr>
            </w:pPr>
            <w:r>
              <w:rPr>
                <w:rFonts w:hint="default"/>
                <w:color w:val="auto"/>
              </w:rPr>
              <w:t>过载会引起短路、断路</w:t>
            </w:r>
          </w:p>
        </w:tc>
        <w:tc>
          <w:tcPr>
            <w:tcW w:w="1098" w:type="dxa"/>
            <w:noWrap w:val="0"/>
            <w:vAlign w:val="center"/>
          </w:tcPr>
          <w:p w14:paraId="3381C8F0">
            <w:pPr>
              <w:pStyle w:val="19"/>
              <w:bidi w:val="0"/>
              <w:rPr>
                <w:rFonts w:hint="default"/>
                <w:color w:val="auto"/>
              </w:rPr>
            </w:pPr>
            <w:r>
              <w:rPr>
                <w:rFonts w:hint="default"/>
                <w:color w:val="auto"/>
              </w:rPr>
              <w:t>Ⅱ</w:t>
            </w:r>
          </w:p>
        </w:tc>
      </w:tr>
      <w:tr w14:paraId="2424B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noWrap w:val="0"/>
            <w:vAlign w:val="center"/>
          </w:tcPr>
          <w:p w14:paraId="566725C2">
            <w:pPr>
              <w:pStyle w:val="19"/>
              <w:bidi w:val="0"/>
              <w:rPr>
                <w:rFonts w:hint="default"/>
                <w:color w:val="auto"/>
              </w:rPr>
            </w:pPr>
            <w:r>
              <w:rPr>
                <w:rFonts w:hint="default"/>
                <w:color w:val="auto"/>
              </w:rPr>
              <w:t>三相负载不平衡</w:t>
            </w:r>
          </w:p>
        </w:tc>
        <w:tc>
          <w:tcPr>
            <w:tcW w:w="1701" w:type="dxa"/>
            <w:vMerge w:val="restart"/>
            <w:noWrap w:val="0"/>
            <w:vAlign w:val="center"/>
          </w:tcPr>
          <w:p w14:paraId="790C368F">
            <w:pPr>
              <w:pStyle w:val="19"/>
              <w:bidi w:val="0"/>
              <w:rPr>
                <w:rFonts w:hint="default"/>
                <w:color w:val="auto"/>
              </w:rPr>
            </w:pPr>
            <w:r>
              <w:rPr>
                <w:rFonts w:hint="default"/>
                <w:color w:val="auto"/>
              </w:rPr>
              <w:t>单相用电设备</w:t>
            </w:r>
          </w:p>
        </w:tc>
        <w:tc>
          <w:tcPr>
            <w:tcW w:w="1985" w:type="dxa"/>
            <w:noWrap w:val="0"/>
            <w:vAlign w:val="center"/>
          </w:tcPr>
          <w:p w14:paraId="511F69D0">
            <w:pPr>
              <w:pStyle w:val="19"/>
              <w:bidi w:val="0"/>
              <w:rPr>
                <w:rFonts w:hint="default"/>
                <w:color w:val="auto"/>
              </w:rPr>
            </w:pPr>
            <w:r>
              <w:rPr>
                <w:rFonts w:hint="default"/>
                <w:color w:val="auto"/>
              </w:rPr>
              <w:t>某相电压升高</w:t>
            </w:r>
          </w:p>
        </w:tc>
        <w:tc>
          <w:tcPr>
            <w:tcW w:w="2511" w:type="dxa"/>
            <w:noWrap w:val="0"/>
            <w:vAlign w:val="center"/>
          </w:tcPr>
          <w:p w14:paraId="74B70FFE">
            <w:pPr>
              <w:pStyle w:val="19"/>
              <w:bidi w:val="0"/>
              <w:rPr>
                <w:rFonts w:hint="default"/>
                <w:color w:val="auto"/>
              </w:rPr>
            </w:pPr>
            <w:r>
              <w:rPr>
                <w:rFonts w:hint="default"/>
                <w:color w:val="auto"/>
              </w:rPr>
              <w:t>严重时将烧坏单相用电设备，导致起火</w:t>
            </w:r>
          </w:p>
        </w:tc>
        <w:tc>
          <w:tcPr>
            <w:tcW w:w="1098" w:type="dxa"/>
            <w:noWrap w:val="0"/>
            <w:vAlign w:val="center"/>
          </w:tcPr>
          <w:p w14:paraId="31BBD536">
            <w:pPr>
              <w:pStyle w:val="19"/>
              <w:bidi w:val="0"/>
              <w:rPr>
                <w:rFonts w:hint="default"/>
                <w:color w:val="auto"/>
              </w:rPr>
            </w:pPr>
            <w:r>
              <w:rPr>
                <w:rFonts w:hint="default"/>
                <w:color w:val="auto"/>
              </w:rPr>
              <w:t>Ⅱ</w:t>
            </w:r>
          </w:p>
        </w:tc>
      </w:tr>
      <w:tr w14:paraId="3F76D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noWrap w:val="0"/>
            <w:vAlign w:val="center"/>
          </w:tcPr>
          <w:p w14:paraId="46DF2FC1">
            <w:pPr>
              <w:pStyle w:val="19"/>
              <w:bidi w:val="0"/>
              <w:rPr>
                <w:rFonts w:hint="default"/>
                <w:color w:val="auto"/>
              </w:rPr>
            </w:pPr>
            <w:r>
              <w:rPr>
                <w:rFonts w:hint="default"/>
                <w:color w:val="auto"/>
              </w:rPr>
              <w:t>中性线断线</w:t>
            </w:r>
          </w:p>
        </w:tc>
        <w:tc>
          <w:tcPr>
            <w:tcW w:w="1701" w:type="dxa"/>
            <w:vMerge w:val="continue"/>
            <w:noWrap w:val="0"/>
            <w:vAlign w:val="center"/>
          </w:tcPr>
          <w:p w14:paraId="3E598C04">
            <w:pPr>
              <w:pStyle w:val="19"/>
              <w:bidi w:val="0"/>
              <w:rPr>
                <w:rFonts w:hint="default"/>
                <w:color w:val="auto"/>
              </w:rPr>
            </w:pPr>
          </w:p>
        </w:tc>
        <w:tc>
          <w:tcPr>
            <w:tcW w:w="1985" w:type="dxa"/>
            <w:noWrap w:val="0"/>
            <w:vAlign w:val="center"/>
          </w:tcPr>
          <w:p w14:paraId="71752569">
            <w:pPr>
              <w:pStyle w:val="19"/>
              <w:bidi w:val="0"/>
              <w:rPr>
                <w:rFonts w:hint="default"/>
                <w:color w:val="auto"/>
              </w:rPr>
            </w:pPr>
            <w:r>
              <w:rPr>
                <w:rFonts w:hint="default"/>
                <w:color w:val="auto"/>
              </w:rPr>
              <w:t>相电压升高</w:t>
            </w:r>
          </w:p>
        </w:tc>
        <w:tc>
          <w:tcPr>
            <w:tcW w:w="2511" w:type="dxa"/>
            <w:noWrap w:val="0"/>
            <w:vAlign w:val="center"/>
          </w:tcPr>
          <w:p w14:paraId="37B14F5E">
            <w:pPr>
              <w:pStyle w:val="19"/>
              <w:bidi w:val="0"/>
              <w:rPr>
                <w:rFonts w:hint="default"/>
                <w:color w:val="auto"/>
              </w:rPr>
            </w:pPr>
            <w:r>
              <w:rPr>
                <w:rFonts w:hint="default"/>
                <w:color w:val="auto"/>
              </w:rPr>
              <w:t>保护不当将引起相电压设备烧坏，产生电气火灾</w:t>
            </w:r>
          </w:p>
        </w:tc>
        <w:tc>
          <w:tcPr>
            <w:tcW w:w="1098" w:type="dxa"/>
            <w:noWrap w:val="0"/>
            <w:vAlign w:val="center"/>
          </w:tcPr>
          <w:p w14:paraId="7F94FA49">
            <w:pPr>
              <w:pStyle w:val="19"/>
              <w:bidi w:val="0"/>
              <w:rPr>
                <w:rFonts w:hint="default"/>
                <w:color w:val="auto"/>
              </w:rPr>
            </w:pPr>
            <w:r>
              <w:rPr>
                <w:rFonts w:hint="default"/>
                <w:color w:val="auto"/>
              </w:rPr>
              <w:t>Ⅲ</w:t>
            </w:r>
          </w:p>
        </w:tc>
      </w:tr>
    </w:tbl>
    <w:p w14:paraId="308F3BB6">
      <w:pPr>
        <w:pStyle w:val="18"/>
        <w:bidi w:val="0"/>
        <w:rPr>
          <w:rFonts w:hint="default"/>
          <w:color w:val="auto"/>
        </w:rPr>
      </w:pPr>
      <w:r>
        <w:rPr>
          <w:rFonts w:hint="default"/>
          <w:color w:val="auto"/>
        </w:rPr>
        <w:t>表</w:t>
      </w:r>
      <w:r>
        <w:rPr>
          <w:rFonts w:hint="eastAsia"/>
          <w:color w:val="auto"/>
          <w:lang w:val="en-US" w:eastAsia="zh-CN"/>
        </w:rPr>
        <w:t xml:space="preserve">5.4-3  </w:t>
      </w:r>
      <w:r>
        <w:rPr>
          <w:rFonts w:hint="default"/>
          <w:color w:val="auto"/>
        </w:rPr>
        <w:t>电缆线路故障的</w:t>
      </w:r>
      <w:r>
        <w:rPr>
          <w:rFonts w:hint="default"/>
          <w:color w:val="auto"/>
          <w:lang w:val="en-US"/>
        </w:rPr>
        <w:t>PHA</w:t>
      </w:r>
      <w:r>
        <w:rPr>
          <w:rFonts w:hint="default"/>
          <w:color w:val="auto"/>
        </w:rPr>
        <w:t>分析</w:t>
      </w:r>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8"/>
        <w:gridCol w:w="2421"/>
        <w:gridCol w:w="2331"/>
        <w:gridCol w:w="1715"/>
        <w:gridCol w:w="1164"/>
      </w:tblGrid>
      <w:tr w14:paraId="1CF63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blHeader/>
          <w:jc w:val="center"/>
        </w:trPr>
        <w:tc>
          <w:tcPr>
            <w:tcW w:w="940" w:type="pct"/>
            <w:noWrap w:val="0"/>
            <w:vAlign w:val="center"/>
          </w:tcPr>
          <w:p w14:paraId="10272F1F">
            <w:pPr>
              <w:pStyle w:val="19"/>
              <w:bidi w:val="0"/>
              <w:rPr>
                <w:rFonts w:hint="default"/>
                <w:b/>
                <w:bCs/>
                <w:color w:val="auto"/>
              </w:rPr>
            </w:pPr>
            <w:r>
              <w:rPr>
                <w:rFonts w:hint="default"/>
                <w:b/>
                <w:bCs/>
                <w:color w:val="auto"/>
              </w:rPr>
              <w:t>危险危害因素</w:t>
            </w:r>
          </w:p>
        </w:tc>
        <w:tc>
          <w:tcPr>
            <w:tcW w:w="1287" w:type="pct"/>
            <w:noWrap w:val="0"/>
            <w:vAlign w:val="center"/>
          </w:tcPr>
          <w:p w14:paraId="4E49F3E2">
            <w:pPr>
              <w:pStyle w:val="19"/>
              <w:bidi w:val="0"/>
              <w:rPr>
                <w:rFonts w:hint="default"/>
                <w:b/>
                <w:bCs/>
                <w:color w:val="auto"/>
              </w:rPr>
            </w:pPr>
            <w:r>
              <w:rPr>
                <w:rFonts w:hint="default"/>
                <w:b/>
                <w:bCs/>
                <w:color w:val="auto"/>
              </w:rPr>
              <w:t>事故原因</w:t>
            </w:r>
          </w:p>
        </w:tc>
        <w:tc>
          <w:tcPr>
            <w:tcW w:w="1239" w:type="pct"/>
            <w:noWrap w:val="0"/>
            <w:vAlign w:val="center"/>
          </w:tcPr>
          <w:p w14:paraId="16882059">
            <w:pPr>
              <w:pStyle w:val="19"/>
              <w:bidi w:val="0"/>
              <w:rPr>
                <w:rFonts w:hint="default"/>
                <w:b/>
                <w:bCs/>
                <w:color w:val="auto"/>
              </w:rPr>
            </w:pPr>
            <w:r>
              <w:rPr>
                <w:rFonts w:hint="default"/>
                <w:b/>
                <w:bCs/>
                <w:color w:val="auto"/>
              </w:rPr>
              <w:t>现象</w:t>
            </w:r>
          </w:p>
        </w:tc>
        <w:tc>
          <w:tcPr>
            <w:tcW w:w="912" w:type="pct"/>
            <w:noWrap w:val="0"/>
            <w:vAlign w:val="center"/>
          </w:tcPr>
          <w:p w14:paraId="09F4ACBE">
            <w:pPr>
              <w:pStyle w:val="19"/>
              <w:bidi w:val="0"/>
              <w:rPr>
                <w:rFonts w:hint="default"/>
                <w:b/>
                <w:bCs/>
                <w:color w:val="auto"/>
              </w:rPr>
            </w:pPr>
            <w:r>
              <w:rPr>
                <w:rFonts w:hint="default"/>
                <w:b/>
                <w:bCs/>
                <w:color w:val="auto"/>
              </w:rPr>
              <w:t>结果</w:t>
            </w:r>
          </w:p>
        </w:tc>
        <w:tc>
          <w:tcPr>
            <w:tcW w:w="619" w:type="pct"/>
            <w:noWrap w:val="0"/>
            <w:vAlign w:val="center"/>
          </w:tcPr>
          <w:p w14:paraId="736AB13E">
            <w:pPr>
              <w:pStyle w:val="19"/>
              <w:bidi w:val="0"/>
              <w:rPr>
                <w:rFonts w:hint="default"/>
                <w:b/>
                <w:bCs/>
                <w:color w:val="auto"/>
              </w:rPr>
            </w:pPr>
            <w:r>
              <w:rPr>
                <w:rFonts w:hint="default"/>
                <w:b/>
                <w:bCs/>
                <w:color w:val="auto"/>
              </w:rPr>
              <w:t>危险等级</w:t>
            </w:r>
          </w:p>
        </w:tc>
      </w:tr>
      <w:tr w14:paraId="65E46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pct"/>
            <w:noWrap w:val="0"/>
            <w:vAlign w:val="center"/>
          </w:tcPr>
          <w:p w14:paraId="17F3C49F">
            <w:pPr>
              <w:pStyle w:val="19"/>
              <w:bidi w:val="0"/>
              <w:rPr>
                <w:rFonts w:hint="default"/>
                <w:color w:val="auto"/>
              </w:rPr>
            </w:pPr>
            <w:r>
              <w:rPr>
                <w:rFonts w:hint="default"/>
                <w:color w:val="auto"/>
              </w:rPr>
              <w:t>外力破坏</w:t>
            </w:r>
          </w:p>
        </w:tc>
        <w:tc>
          <w:tcPr>
            <w:tcW w:w="1287" w:type="pct"/>
            <w:noWrap w:val="0"/>
            <w:vAlign w:val="center"/>
          </w:tcPr>
          <w:p w14:paraId="0B9E08BD">
            <w:pPr>
              <w:pStyle w:val="19"/>
              <w:bidi w:val="0"/>
              <w:rPr>
                <w:rFonts w:hint="default"/>
                <w:color w:val="auto"/>
              </w:rPr>
            </w:pPr>
            <w:r>
              <w:rPr>
                <w:rFonts w:hint="default"/>
                <w:color w:val="auto"/>
              </w:rPr>
              <w:t>机械损伤、被盗</w:t>
            </w:r>
          </w:p>
        </w:tc>
        <w:tc>
          <w:tcPr>
            <w:tcW w:w="1239" w:type="pct"/>
            <w:noWrap w:val="0"/>
            <w:vAlign w:val="center"/>
          </w:tcPr>
          <w:p w14:paraId="06C96E7C">
            <w:pPr>
              <w:pStyle w:val="19"/>
              <w:bidi w:val="0"/>
              <w:rPr>
                <w:rFonts w:hint="default"/>
                <w:color w:val="auto"/>
              </w:rPr>
            </w:pPr>
            <w:r>
              <w:rPr>
                <w:rFonts w:hint="default"/>
                <w:color w:val="auto"/>
              </w:rPr>
              <w:t>线路短路或断路</w:t>
            </w:r>
          </w:p>
        </w:tc>
        <w:tc>
          <w:tcPr>
            <w:tcW w:w="912" w:type="pct"/>
            <w:noWrap w:val="0"/>
            <w:vAlign w:val="center"/>
          </w:tcPr>
          <w:p w14:paraId="7AEE0F24">
            <w:pPr>
              <w:pStyle w:val="19"/>
              <w:bidi w:val="0"/>
              <w:rPr>
                <w:rFonts w:hint="default"/>
                <w:color w:val="auto"/>
              </w:rPr>
            </w:pPr>
            <w:r>
              <w:rPr>
                <w:rFonts w:hint="default"/>
                <w:color w:val="auto"/>
              </w:rPr>
              <w:t>意外断电</w:t>
            </w:r>
          </w:p>
        </w:tc>
        <w:tc>
          <w:tcPr>
            <w:tcW w:w="619" w:type="pct"/>
            <w:vMerge w:val="restart"/>
            <w:noWrap w:val="0"/>
            <w:vAlign w:val="center"/>
          </w:tcPr>
          <w:p w14:paraId="6905C3F5">
            <w:pPr>
              <w:pStyle w:val="19"/>
              <w:bidi w:val="0"/>
              <w:rPr>
                <w:rFonts w:hint="default"/>
                <w:color w:val="auto"/>
              </w:rPr>
            </w:pPr>
            <w:r>
              <w:rPr>
                <w:rFonts w:hint="default"/>
                <w:color w:val="auto"/>
              </w:rPr>
              <w:t>Ⅲ</w:t>
            </w:r>
          </w:p>
        </w:tc>
      </w:tr>
      <w:tr w14:paraId="253B3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pct"/>
            <w:noWrap w:val="0"/>
            <w:vAlign w:val="center"/>
          </w:tcPr>
          <w:p w14:paraId="645EA54C">
            <w:pPr>
              <w:pStyle w:val="19"/>
              <w:bidi w:val="0"/>
              <w:rPr>
                <w:rFonts w:hint="default"/>
                <w:color w:val="auto"/>
              </w:rPr>
            </w:pPr>
            <w:r>
              <w:rPr>
                <w:rFonts w:hint="default"/>
                <w:color w:val="auto"/>
              </w:rPr>
              <w:t>终端头污闪</w:t>
            </w:r>
          </w:p>
        </w:tc>
        <w:tc>
          <w:tcPr>
            <w:tcW w:w="1287" w:type="pct"/>
            <w:noWrap w:val="0"/>
            <w:vAlign w:val="center"/>
          </w:tcPr>
          <w:p w14:paraId="2FF27E23">
            <w:pPr>
              <w:pStyle w:val="19"/>
              <w:bidi w:val="0"/>
              <w:rPr>
                <w:rFonts w:hint="default"/>
                <w:color w:val="auto"/>
              </w:rPr>
            </w:pPr>
            <w:r>
              <w:rPr>
                <w:rFonts w:hint="default"/>
                <w:color w:val="auto"/>
              </w:rPr>
              <w:t>绝缘污闪</w:t>
            </w:r>
          </w:p>
        </w:tc>
        <w:tc>
          <w:tcPr>
            <w:tcW w:w="1239" w:type="pct"/>
            <w:noWrap w:val="0"/>
            <w:vAlign w:val="center"/>
          </w:tcPr>
          <w:p w14:paraId="22E2E3D7">
            <w:pPr>
              <w:pStyle w:val="19"/>
              <w:bidi w:val="0"/>
              <w:rPr>
                <w:rFonts w:hint="default"/>
                <w:color w:val="auto"/>
              </w:rPr>
            </w:pPr>
            <w:r>
              <w:rPr>
                <w:rFonts w:hint="default"/>
                <w:color w:val="auto"/>
              </w:rPr>
              <w:t>绝缘击穿</w:t>
            </w:r>
          </w:p>
        </w:tc>
        <w:tc>
          <w:tcPr>
            <w:tcW w:w="912" w:type="pct"/>
            <w:noWrap w:val="0"/>
            <w:vAlign w:val="center"/>
          </w:tcPr>
          <w:p w14:paraId="19C19579">
            <w:pPr>
              <w:pStyle w:val="19"/>
              <w:bidi w:val="0"/>
              <w:rPr>
                <w:rFonts w:hint="default"/>
                <w:color w:val="auto"/>
              </w:rPr>
            </w:pPr>
            <w:r>
              <w:rPr>
                <w:rFonts w:hint="default"/>
                <w:color w:val="auto"/>
              </w:rPr>
              <w:t>断电</w:t>
            </w:r>
          </w:p>
        </w:tc>
        <w:tc>
          <w:tcPr>
            <w:tcW w:w="619" w:type="pct"/>
            <w:vMerge w:val="continue"/>
            <w:noWrap w:val="0"/>
            <w:vAlign w:val="center"/>
          </w:tcPr>
          <w:p w14:paraId="09C7DD83">
            <w:pPr>
              <w:pStyle w:val="19"/>
              <w:bidi w:val="0"/>
              <w:rPr>
                <w:rFonts w:hint="default"/>
                <w:color w:val="auto"/>
              </w:rPr>
            </w:pPr>
          </w:p>
        </w:tc>
      </w:tr>
      <w:tr w14:paraId="26B20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pct"/>
            <w:noWrap w:val="0"/>
            <w:vAlign w:val="center"/>
          </w:tcPr>
          <w:p w14:paraId="7C16656F">
            <w:pPr>
              <w:pStyle w:val="19"/>
              <w:bidi w:val="0"/>
              <w:rPr>
                <w:rFonts w:hint="default"/>
                <w:color w:val="auto"/>
              </w:rPr>
            </w:pPr>
            <w:r>
              <w:rPr>
                <w:rFonts w:hint="default"/>
                <w:color w:val="auto"/>
              </w:rPr>
              <w:t>中间接头爆炸</w:t>
            </w:r>
          </w:p>
        </w:tc>
        <w:tc>
          <w:tcPr>
            <w:tcW w:w="1287" w:type="pct"/>
            <w:noWrap w:val="0"/>
            <w:vAlign w:val="center"/>
          </w:tcPr>
          <w:p w14:paraId="12E786F4">
            <w:pPr>
              <w:pStyle w:val="19"/>
              <w:bidi w:val="0"/>
              <w:rPr>
                <w:rFonts w:hint="default"/>
                <w:color w:val="auto"/>
              </w:rPr>
            </w:pPr>
            <w:r>
              <w:rPr>
                <w:rFonts w:hint="default"/>
                <w:color w:val="auto"/>
              </w:rPr>
              <w:t>绝缘受损</w:t>
            </w:r>
          </w:p>
        </w:tc>
        <w:tc>
          <w:tcPr>
            <w:tcW w:w="1239" w:type="pct"/>
            <w:noWrap w:val="0"/>
            <w:vAlign w:val="center"/>
          </w:tcPr>
          <w:p w14:paraId="5D42DE5F">
            <w:pPr>
              <w:pStyle w:val="19"/>
              <w:bidi w:val="0"/>
              <w:rPr>
                <w:rFonts w:hint="default"/>
                <w:color w:val="auto"/>
              </w:rPr>
            </w:pPr>
            <w:r>
              <w:rPr>
                <w:rFonts w:hint="default"/>
                <w:color w:val="auto"/>
              </w:rPr>
              <w:t>爆炸</w:t>
            </w:r>
          </w:p>
        </w:tc>
        <w:tc>
          <w:tcPr>
            <w:tcW w:w="912" w:type="pct"/>
            <w:noWrap w:val="0"/>
            <w:vAlign w:val="center"/>
          </w:tcPr>
          <w:p w14:paraId="06B64581">
            <w:pPr>
              <w:pStyle w:val="19"/>
              <w:bidi w:val="0"/>
              <w:rPr>
                <w:rFonts w:hint="default"/>
                <w:color w:val="auto"/>
              </w:rPr>
            </w:pPr>
            <w:r>
              <w:rPr>
                <w:rFonts w:hint="default"/>
                <w:color w:val="auto"/>
              </w:rPr>
              <w:t>意外断电</w:t>
            </w:r>
          </w:p>
        </w:tc>
        <w:tc>
          <w:tcPr>
            <w:tcW w:w="619" w:type="pct"/>
            <w:vMerge w:val="continue"/>
            <w:noWrap w:val="0"/>
            <w:vAlign w:val="center"/>
          </w:tcPr>
          <w:p w14:paraId="28F9773E">
            <w:pPr>
              <w:pStyle w:val="19"/>
              <w:bidi w:val="0"/>
              <w:rPr>
                <w:rFonts w:hint="default"/>
                <w:color w:val="auto"/>
              </w:rPr>
            </w:pPr>
          </w:p>
        </w:tc>
      </w:tr>
      <w:tr w14:paraId="479BC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pct"/>
            <w:noWrap w:val="0"/>
            <w:vAlign w:val="center"/>
          </w:tcPr>
          <w:p w14:paraId="0DC766A1">
            <w:pPr>
              <w:pStyle w:val="19"/>
              <w:bidi w:val="0"/>
              <w:rPr>
                <w:rFonts w:hint="default"/>
                <w:color w:val="auto"/>
              </w:rPr>
            </w:pPr>
            <w:r>
              <w:rPr>
                <w:rFonts w:hint="default"/>
                <w:color w:val="auto"/>
              </w:rPr>
              <w:t>腐蚀</w:t>
            </w:r>
          </w:p>
        </w:tc>
        <w:tc>
          <w:tcPr>
            <w:tcW w:w="1287" w:type="pct"/>
            <w:noWrap w:val="0"/>
            <w:vAlign w:val="center"/>
          </w:tcPr>
          <w:p w14:paraId="1CA49D06">
            <w:pPr>
              <w:pStyle w:val="19"/>
              <w:bidi w:val="0"/>
              <w:rPr>
                <w:rFonts w:hint="default"/>
                <w:color w:val="auto"/>
              </w:rPr>
            </w:pPr>
            <w:r>
              <w:rPr>
                <w:rFonts w:hint="default"/>
                <w:color w:val="auto"/>
              </w:rPr>
              <w:t>化学腐蚀和电腐蚀</w:t>
            </w:r>
          </w:p>
        </w:tc>
        <w:tc>
          <w:tcPr>
            <w:tcW w:w="1239" w:type="pct"/>
            <w:noWrap w:val="0"/>
            <w:vAlign w:val="center"/>
          </w:tcPr>
          <w:p w14:paraId="0EB428A7">
            <w:pPr>
              <w:pStyle w:val="19"/>
              <w:bidi w:val="0"/>
              <w:rPr>
                <w:rFonts w:hint="default"/>
                <w:color w:val="auto"/>
              </w:rPr>
            </w:pPr>
            <w:r>
              <w:rPr>
                <w:rFonts w:hint="default"/>
                <w:color w:val="auto"/>
              </w:rPr>
              <w:t>金属护套腐蚀</w:t>
            </w:r>
          </w:p>
        </w:tc>
        <w:tc>
          <w:tcPr>
            <w:tcW w:w="912" w:type="pct"/>
            <w:noWrap w:val="0"/>
            <w:vAlign w:val="center"/>
          </w:tcPr>
          <w:p w14:paraId="479A9731">
            <w:pPr>
              <w:pStyle w:val="19"/>
              <w:bidi w:val="0"/>
              <w:rPr>
                <w:rFonts w:hint="default"/>
                <w:color w:val="auto"/>
              </w:rPr>
            </w:pPr>
            <w:r>
              <w:rPr>
                <w:rFonts w:hint="default"/>
                <w:color w:val="auto"/>
              </w:rPr>
              <w:t>绝缘破坏</w:t>
            </w:r>
          </w:p>
        </w:tc>
        <w:tc>
          <w:tcPr>
            <w:tcW w:w="619" w:type="pct"/>
            <w:vMerge w:val="continue"/>
            <w:noWrap w:val="0"/>
            <w:vAlign w:val="center"/>
          </w:tcPr>
          <w:p w14:paraId="003B52C9">
            <w:pPr>
              <w:pStyle w:val="19"/>
              <w:bidi w:val="0"/>
              <w:rPr>
                <w:rFonts w:hint="default"/>
                <w:color w:val="auto"/>
              </w:rPr>
            </w:pPr>
          </w:p>
        </w:tc>
      </w:tr>
      <w:tr w14:paraId="02DDD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40" w:type="pct"/>
            <w:noWrap w:val="0"/>
            <w:vAlign w:val="center"/>
          </w:tcPr>
          <w:p w14:paraId="57F19D72">
            <w:pPr>
              <w:pStyle w:val="19"/>
              <w:bidi w:val="0"/>
              <w:rPr>
                <w:rFonts w:hint="default"/>
                <w:color w:val="auto"/>
              </w:rPr>
            </w:pPr>
            <w:r>
              <w:rPr>
                <w:rFonts w:hint="default"/>
                <w:color w:val="auto"/>
              </w:rPr>
              <w:t>长期严重过负荷运行</w:t>
            </w:r>
          </w:p>
        </w:tc>
        <w:tc>
          <w:tcPr>
            <w:tcW w:w="1287" w:type="pct"/>
            <w:noWrap w:val="0"/>
            <w:vAlign w:val="center"/>
          </w:tcPr>
          <w:p w14:paraId="349C711F">
            <w:pPr>
              <w:pStyle w:val="19"/>
              <w:bidi w:val="0"/>
              <w:rPr>
                <w:rFonts w:hint="default"/>
                <w:color w:val="auto"/>
              </w:rPr>
            </w:pPr>
            <w:r>
              <w:rPr>
                <w:rFonts w:hint="default"/>
                <w:color w:val="auto"/>
              </w:rPr>
              <w:t>设计和负荷分配不当</w:t>
            </w:r>
          </w:p>
        </w:tc>
        <w:tc>
          <w:tcPr>
            <w:tcW w:w="1239" w:type="pct"/>
            <w:noWrap w:val="0"/>
            <w:vAlign w:val="center"/>
          </w:tcPr>
          <w:p w14:paraId="71F38EBF">
            <w:pPr>
              <w:pStyle w:val="19"/>
              <w:bidi w:val="0"/>
              <w:rPr>
                <w:rFonts w:hint="default"/>
                <w:color w:val="auto"/>
              </w:rPr>
            </w:pPr>
            <w:r>
              <w:rPr>
                <w:rFonts w:hint="default"/>
                <w:color w:val="auto"/>
              </w:rPr>
              <w:t>绝缘老化</w:t>
            </w:r>
          </w:p>
        </w:tc>
        <w:tc>
          <w:tcPr>
            <w:tcW w:w="912" w:type="pct"/>
            <w:noWrap w:val="0"/>
            <w:vAlign w:val="center"/>
          </w:tcPr>
          <w:p w14:paraId="21279C14">
            <w:pPr>
              <w:pStyle w:val="19"/>
              <w:bidi w:val="0"/>
              <w:rPr>
                <w:rFonts w:hint="default"/>
                <w:color w:val="auto"/>
              </w:rPr>
            </w:pPr>
            <w:r>
              <w:rPr>
                <w:rFonts w:hint="default"/>
                <w:color w:val="auto"/>
              </w:rPr>
              <w:t>绝缘击穿或中间接头爆炸</w:t>
            </w:r>
          </w:p>
        </w:tc>
        <w:tc>
          <w:tcPr>
            <w:tcW w:w="619" w:type="pct"/>
            <w:vMerge w:val="continue"/>
            <w:noWrap w:val="0"/>
            <w:vAlign w:val="center"/>
          </w:tcPr>
          <w:p w14:paraId="1449D443">
            <w:pPr>
              <w:pStyle w:val="19"/>
              <w:bidi w:val="0"/>
              <w:rPr>
                <w:rFonts w:hint="default"/>
                <w:color w:val="auto"/>
              </w:rPr>
            </w:pPr>
          </w:p>
        </w:tc>
      </w:tr>
      <w:tr w14:paraId="1EF11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40" w:type="pct"/>
            <w:vMerge w:val="restart"/>
            <w:noWrap w:val="0"/>
            <w:vAlign w:val="center"/>
          </w:tcPr>
          <w:p w14:paraId="31CDC87C">
            <w:pPr>
              <w:pStyle w:val="19"/>
              <w:bidi w:val="0"/>
              <w:rPr>
                <w:rFonts w:hint="default"/>
                <w:color w:val="auto"/>
              </w:rPr>
            </w:pPr>
            <w:r>
              <w:rPr>
                <w:rFonts w:hint="default"/>
                <w:color w:val="auto"/>
              </w:rPr>
              <w:t>电缆沟泡</w:t>
            </w:r>
          </w:p>
          <w:p w14:paraId="121B880C">
            <w:pPr>
              <w:pStyle w:val="19"/>
              <w:bidi w:val="0"/>
              <w:rPr>
                <w:rFonts w:hint="default"/>
                <w:color w:val="auto"/>
              </w:rPr>
            </w:pPr>
            <w:r>
              <w:rPr>
                <w:rFonts w:hint="default"/>
                <w:color w:val="auto"/>
              </w:rPr>
              <w:t>水受潮</w:t>
            </w:r>
          </w:p>
        </w:tc>
        <w:tc>
          <w:tcPr>
            <w:tcW w:w="1287" w:type="pct"/>
            <w:noWrap w:val="0"/>
            <w:vAlign w:val="center"/>
          </w:tcPr>
          <w:p w14:paraId="694094F1">
            <w:pPr>
              <w:pStyle w:val="19"/>
              <w:bidi w:val="0"/>
              <w:rPr>
                <w:rFonts w:hint="default"/>
                <w:color w:val="auto"/>
              </w:rPr>
            </w:pPr>
            <w:r>
              <w:rPr>
                <w:rFonts w:hint="default"/>
                <w:color w:val="auto"/>
              </w:rPr>
              <w:t>储存、敷设、电缆头制作不精良</w:t>
            </w:r>
          </w:p>
        </w:tc>
        <w:tc>
          <w:tcPr>
            <w:tcW w:w="1239" w:type="pct"/>
            <w:vMerge w:val="restart"/>
            <w:noWrap w:val="0"/>
            <w:vAlign w:val="center"/>
          </w:tcPr>
          <w:p w14:paraId="7C61EB05">
            <w:pPr>
              <w:pStyle w:val="19"/>
              <w:bidi w:val="0"/>
              <w:rPr>
                <w:rFonts w:hint="default"/>
                <w:color w:val="auto"/>
              </w:rPr>
            </w:pPr>
            <w:r>
              <w:rPr>
                <w:rFonts w:hint="default"/>
                <w:color w:val="auto"/>
              </w:rPr>
              <w:t>在电场作用下，发生绝缘老化</w:t>
            </w:r>
          </w:p>
        </w:tc>
        <w:tc>
          <w:tcPr>
            <w:tcW w:w="912" w:type="pct"/>
            <w:vMerge w:val="restart"/>
            <w:noWrap w:val="0"/>
            <w:vAlign w:val="center"/>
          </w:tcPr>
          <w:p w14:paraId="5C1CC649">
            <w:pPr>
              <w:pStyle w:val="19"/>
              <w:bidi w:val="0"/>
              <w:rPr>
                <w:rFonts w:hint="default"/>
                <w:color w:val="auto"/>
              </w:rPr>
            </w:pPr>
            <w:r>
              <w:rPr>
                <w:rFonts w:hint="default"/>
                <w:color w:val="auto"/>
              </w:rPr>
              <w:t>电缆绝缘击穿</w:t>
            </w:r>
          </w:p>
        </w:tc>
        <w:tc>
          <w:tcPr>
            <w:tcW w:w="619" w:type="pct"/>
            <w:vMerge w:val="continue"/>
            <w:noWrap w:val="0"/>
            <w:vAlign w:val="center"/>
          </w:tcPr>
          <w:p w14:paraId="77CEBFCD">
            <w:pPr>
              <w:pStyle w:val="19"/>
              <w:bidi w:val="0"/>
              <w:rPr>
                <w:rFonts w:hint="default"/>
                <w:color w:val="auto"/>
              </w:rPr>
            </w:pPr>
          </w:p>
        </w:tc>
      </w:tr>
      <w:tr w14:paraId="00119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940" w:type="pct"/>
            <w:vMerge w:val="continue"/>
            <w:noWrap w:val="0"/>
            <w:vAlign w:val="center"/>
          </w:tcPr>
          <w:p w14:paraId="01FBED9B">
            <w:pPr>
              <w:pStyle w:val="19"/>
              <w:bidi w:val="0"/>
              <w:rPr>
                <w:rFonts w:hint="default"/>
                <w:color w:val="auto"/>
              </w:rPr>
            </w:pPr>
          </w:p>
        </w:tc>
        <w:tc>
          <w:tcPr>
            <w:tcW w:w="1287" w:type="pct"/>
            <w:noWrap w:val="0"/>
            <w:vAlign w:val="center"/>
          </w:tcPr>
          <w:p w14:paraId="221A236A">
            <w:pPr>
              <w:pStyle w:val="19"/>
              <w:bidi w:val="0"/>
              <w:rPr>
                <w:rFonts w:hint="default"/>
                <w:color w:val="auto"/>
              </w:rPr>
            </w:pPr>
            <w:r>
              <w:rPr>
                <w:rFonts w:hint="default"/>
                <w:color w:val="auto"/>
              </w:rPr>
              <w:t>绝缘受损</w:t>
            </w:r>
          </w:p>
        </w:tc>
        <w:tc>
          <w:tcPr>
            <w:tcW w:w="1239" w:type="pct"/>
            <w:vMerge w:val="continue"/>
            <w:noWrap w:val="0"/>
            <w:vAlign w:val="center"/>
          </w:tcPr>
          <w:p w14:paraId="2DD870F6">
            <w:pPr>
              <w:pStyle w:val="19"/>
              <w:bidi w:val="0"/>
              <w:rPr>
                <w:rFonts w:hint="default"/>
                <w:color w:val="auto"/>
              </w:rPr>
            </w:pPr>
          </w:p>
        </w:tc>
        <w:tc>
          <w:tcPr>
            <w:tcW w:w="912" w:type="pct"/>
            <w:vMerge w:val="continue"/>
            <w:noWrap w:val="0"/>
            <w:vAlign w:val="center"/>
          </w:tcPr>
          <w:p w14:paraId="13CE9092">
            <w:pPr>
              <w:pStyle w:val="19"/>
              <w:bidi w:val="0"/>
              <w:rPr>
                <w:rFonts w:hint="default"/>
                <w:color w:val="auto"/>
              </w:rPr>
            </w:pPr>
          </w:p>
        </w:tc>
        <w:tc>
          <w:tcPr>
            <w:tcW w:w="619" w:type="pct"/>
            <w:vMerge w:val="continue"/>
            <w:noWrap w:val="0"/>
            <w:vAlign w:val="center"/>
          </w:tcPr>
          <w:p w14:paraId="5B0D0A12">
            <w:pPr>
              <w:pStyle w:val="19"/>
              <w:bidi w:val="0"/>
              <w:rPr>
                <w:rFonts w:hint="default"/>
                <w:color w:val="auto"/>
              </w:rPr>
            </w:pPr>
          </w:p>
        </w:tc>
      </w:tr>
    </w:tbl>
    <w:p w14:paraId="3A98FB1F">
      <w:pPr>
        <w:pStyle w:val="18"/>
        <w:bidi w:val="0"/>
        <w:rPr>
          <w:rFonts w:hint="default"/>
          <w:color w:val="auto"/>
        </w:rPr>
      </w:pPr>
      <w:r>
        <w:rPr>
          <w:rFonts w:hint="default"/>
          <w:color w:val="auto"/>
        </w:rPr>
        <w:t>表5</w:t>
      </w:r>
      <w:r>
        <w:rPr>
          <w:rFonts w:hint="eastAsia"/>
          <w:color w:val="auto"/>
          <w:lang w:val="en-US" w:eastAsia="zh-CN"/>
        </w:rPr>
        <w:t xml:space="preserve">.4-4 </w:t>
      </w:r>
      <w:r>
        <w:rPr>
          <w:rFonts w:hint="default"/>
          <w:color w:val="auto"/>
          <w:lang w:val="en-US" w:eastAsia="zh-CN"/>
        </w:rPr>
        <w:t xml:space="preserve"> </w:t>
      </w:r>
      <w:r>
        <w:rPr>
          <w:rFonts w:hint="default"/>
          <w:color w:val="auto"/>
        </w:rPr>
        <w:t>雷电事故的PHA分析</w:t>
      </w:r>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5"/>
        <w:gridCol w:w="2595"/>
        <w:gridCol w:w="1489"/>
        <w:gridCol w:w="1781"/>
        <w:gridCol w:w="726"/>
        <w:gridCol w:w="1843"/>
      </w:tblGrid>
      <w:tr w14:paraId="35B91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blHeader/>
          <w:jc w:val="center"/>
        </w:trPr>
        <w:tc>
          <w:tcPr>
            <w:tcW w:w="513" w:type="pct"/>
            <w:noWrap w:val="0"/>
            <w:vAlign w:val="center"/>
          </w:tcPr>
          <w:p w14:paraId="5DBDB927">
            <w:pPr>
              <w:pStyle w:val="19"/>
              <w:bidi w:val="0"/>
              <w:rPr>
                <w:rFonts w:hint="default"/>
                <w:b/>
                <w:bCs/>
                <w:color w:val="auto"/>
              </w:rPr>
            </w:pPr>
            <w:r>
              <w:rPr>
                <w:rFonts w:hint="default"/>
                <w:b/>
                <w:bCs/>
                <w:color w:val="auto"/>
              </w:rPr>
              <w:t>危险危害因素</w:t>
            </w:r>
          </w:p>
        </w:tc>
        <w:tc>
          <w:tcPr>
            <w:tcW w:w="1380" w:type="pct"/>
            <w:noWrap w:val="0"/>
            <w:vAlign w:val="center"/>
          </w:tcPr>
          <w:p w14:paraId="2C1741F1">
            <w:pPr>
              <w:pStyle w:val="19"/>
              <w:bidi w:val="0"/>
              <w:rPr>
                <w:rFonts w:hint="default"/>
                <w:b/>
                <w:bCs/>
                <w:color w:val="auto"/>
              </w:rPr>
            </w:pPr>
            <w:r>
              <w:rPr>
                <w:rFonts w:hint="default"/>
                <w:b/>
                <w:bCs/>
                <w:color w:val="auto"/>
              </w:rPr>
              <w:t>事故原因</w:t>
            </w:r>
          </w:p>
        </w:tc>
        <w:tc>
          <w:tcPr>
            <w:tcW w:w="792" w:type="pct"/>
            <w:noWrap w:val="0"/>
            <w:vAlign w:val="center"/>
          </w:tcPr>
          <w:p w14:paraId="48571FEA">
            <w:pPr>
              <w:pStyle w:val="19"/>
              <w:bidi w:val="0"/>
              <w:rPr>
                <w:rFonts w:hint="default"/>
                <w:b/>
                <w:bCs/>
                <w:color w:val="auto"/>
              </w:rPr>
            </w:pPr>
            <w:r>
              <w:rPr>
                <w:rFonts w:hint="default"/>
                <w:b/>
                <w:bCs/>
                <w:color w:val="auto"/>
              </w:rPr>
              <w:t>现象</w:t>
            </w:r>
          </w:p>
        </w:tc>
        <w:tc>
          <w:tcPr>
            <w:tcW w:w="947" w:type="pct"/>
            <w:noWrap w:val="0"/>
            <w:vAlign w:val="center"/>
          </w:tcPr>
          <w:p w14:paraId="2D36B5A0">
            <w:pPr>
              <w:pStyle w:val="19"/>
              <w:bidi w:val="0"/>
              <w:rPr>
                <w:rFonts w:hint="default"/>
                <w:b/>
                <w:bCs/>
                <w:color w:val="auto"/>
              </w:rPr>
            </w:pPr>
            <w:r>
              <w:rPr>
                <w:rFonts w:hint="default"/>
                <w:b/>
                <w:bCs/>
                <w:color w:val="auto"/>
              </w:rPr>
              <w:t>结果</w:t>
            </w:r>
          </w:p>
        </w:tc>
        <w:tc>
          <w:tcPr>
            <w:tcW w:w="386" w:type="pct"/>
            <w:noWrap w:val="0"/>
            <w:vAlign w:val="center"/>
          </w:tcPr>
          <w:p w14:paraId="7EE8722B">
            <w:pPr>
              <w:pStyle w:val="19"/>
              <w:bidi w:val="0"/>
              <w:rPr>
                <w:rFonts w:hint="default"/>
                <w:b/>
                <w:bCs/>
                <w:color w:val="auto"/>
              </w:rPr>
            </w:pPr>
            <w:r>
              <w:rPr>
                <w:rFonts w:hint="default"/>
                <w:b/>
                <w:bCs/>
                <w:color w:val="auto"/>
              </w:rPr>
              <w:t>危险</w:t>
            </w:r>
          </w:p>
          <w:p w14:paraId="7944DFF8">
            <w:pPr>
              <w:pStyle w:val="19"/>
              <w:bidi w:val="0"/>
              <w:rPr>
                <w:rFonts w:hint="default"/>
                <w:b/>
                <w:bCs/>
                <w:color w:val="auto"/>
              </w:rPr>
            </w:pPr>
            <w:r>
              <w:rPr>
                <w:rFonts w:hint="default"/>
                <w:b/>
                <w:bCs/>
                <w:color w:val="auto"/>
              </w:rPr>
              <w:t>等级</w:t>
            </w:r>
          </w:p>
        </w:tc>
        <w:tc>
          <w:tcPr>
            <w:tcW w:w="980" w:type="pct"/>
            <w:noWrap w:val="0"/>
            <w:vAlign w:val="center"/>
          </w:tcPr>
          <w:p w14:paraId="7F24570C">
            <w:pPr>
              <w:pStyle w:val="19"/>
              <w:bidi w:val="0"/>
              <w:rPr>
                <w:rFonts w:hint="default"/>
                <w:b/>
                <w:bCs/>
                <w:color w:val="auto"/>
              </w:rPr>
            </w:pPr>
            <w:r>
              <w:rPr>
                <w:rFonts w:hint="default"/>
                <w:b/>
                <w:bCs/>
                <w:color w:val="auto"/>
              </w:rPr>
              <w:t>对策措施</w:t>
            </w:r>
          </w:p>
        </w:tc>
      </w:tr>
      <w:tr w14:paraId="2A0D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pct"/>
            <w:noWrap w:val="0"/>
            <w:vAlign w:val="center"/>
          </w:tcPr>
          <w:p w14:paraId="6D7FE5E4">
            <w:pPr>
              <w:pStyle w:val="19"/>
              <w:bidi w:val="0"/>
              <w:rPr>
                <w:rFonts w:hint="default"/>
                <w:color w:val="auto"/>
              </w:rPr>
            </w:pPr>
            <w:r>
              <w:rPr>
                <w:rFonts w:hint="default"/>
                <w:color w:val="auto"/>
              </w:rPr>
              <w:t>直接</w:t>
            </w:r>
          </w:p>
          <w:p w14:paraId="7EBCA250">
            <w:pPr>
              <w:pStyle w:val="19"/>
              <w:bidi w:val="0"/>
              <w:rPr>
                <w:rFonts w:hint="default"/>
                <w:color w:val="auto"/>
              </w:rPr>
            </w:pPr>
            <w:r>
              <w:rPr>
                <w:rFonts w:hint="default"/>
                <w:color w:val="auto"/>
              </w:rPr>
              <w:t>雷击</w:t>
            </w:r>
          </w:p>
        </w:tc>
        <w:tc>
          <w:tcPr>
            <w:tcW w:w="1380" w:type="pct"/>
            <w:noWrap w:val="0"/>
            <w:vAlign w:val="center"/>
          </w:tcPr>
          <w:p w14:paraId="3B7FAABD">
            <w:pPr>
              <w:pStyle w:val="19"/>
              <w:bidi w:val="0"/>
              <w:rPr>
                <w:rFonts w:hint="default"/>
                <w:color w:val="auto"/>
              </w:rPr>
            </w:pPr>
            <w:r>
              <w:rPr>
                <w:rFonts w:hint="default"/>
                <w:color w:val="auto"/>
              </w:rPr>
              <w:t>防雷装置失效</w:t>
            </w:r>
          </w:p>
        </w:tc>
        <w:tc>
          <w:tcPr>
            <w:tcW w:w="792" w:type="pct"/>
            <w:noWrap w:val="0"/>
            <w:vAlign w:val="center"/>
          </w:tcPr>
          <w:p w14:paraId="1D0EE07F">
            <w:pPr>
              <w:pStyle w:val="19"/>
              <w:bidi w:val="0"/>
              <w:rPr>
                <w:rFonts w:hint="default"/>
                <w:color w:val="auto"/>
              </w:rPr>
            </w:pPr>
            <w:r>
              <w:rPr>
                <w:rFonts w:hint="default"/>
                <w:color w:val="auto"/>
              </w:rPr>
              <w:t>剧烈放电</w:t>
            </w:r>
          </w:p>
        </w:tc>
        <w:tc>
          <w:tcPr>
            <w:tcW w:w="947" w:type="pct"/>
            <w:noWrap w:val="0"/>
            <w:vAlign w:val="center"/>
          </w:tcPr>
          <w:p w14:paraId="42DE25AE">
            <w:pPr>
              <w:pStyle w:val="19"/>
              <w:bidi w:val="0"/>
              <w:rPr>
                <w:rFonts w:hint="default"/>
                <w:color w:val="auto"/>
              </w:rPr>
            </w:pPr>
            <w:r>
              <w:rPr>
                <w:rFonts w:hint="default"/>
                <w:color w:val="auto"/>
              </w:rPr>
              <w:t>火灾、爆炸、设备损坏或人身伤亡</w:t>
            </w:r>
          </w:p>
        </w:tc>
        <w:tc>
          <w:tcPr>
            <w:tcW w:w="386" w:type="pct"/>
            <w:noWrap w:val="0"/>
            <w:vAlign w:val="center"/>
          </w:tcPr>
          <w:p w14:paraId="62949767">
            <w:pPr>
              <w:pStyle w:val="19"/>
              <w:bidi w:val="0"/>
              <w:rPr>
                <w:rFonts w:hint="default"/>
                <w:color w:val="auto"/>
              </w:rPr>
            </w:pPr>
            <w:r>
              <w:rPr>
                <w:rFonts w:hint="default"/>
                <w:color w:val="auto"/>
              </w:rPr>
              <w:t>Ⅳ</w:t>
            </w:r>
          </w:p>
        </w:tc>
        <w:tc>
          <w:tcPr>
            <w:tcW w:w="980" w:type="pct"/>
            <w:noWrap w:val="0"/>
            <w:vAlign w:val="center"/>
          </w:tcPr>
          <w:p w14:paraId="47539AA8">
            <w:pPr>
              <w:pStyle w:val="19"/>
              <w:bidi w:val="0"/>
              <w:rPr>
                <w:rFonts w:hint="default"/>
                <w:color w:val="auto"/>
              </w:rPr>
            </w:pPr>
            <w:r>
              <w:rPr>
                <w:rFonts w:hint="default"/>
                <w:color w:val="auto"/>
              </w:rPr>
              <w:t>对防雷装置进行经常性检查和定期检查</w:t>
            </w:r>
          </w:p>
        </w:tc>
      </w:tr>
      <w:tr w14:paraId="5C799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pct"/>
            <w:noWrap w:val="0"/>
            <w:vAlign w:val="center"/>
          </w:tcPr>
          <w:p w14:paraId="691FA03A">
            <w:pPr>
              <w:pStyle w:val="19"/>
              <w:bidi w:val="0"/>
              <w:rPr>
                <w:rFonts w:hint="default"/>
                <w:color w:val="auto"/>
              </w:rPr>
            </w:pPr>
            <w:r>
              <w:rPr>
                <w:rFonts w:hint="default"/>
                <w:color w:val="auto"/>
              </w:rPr>
              <w:t>反击雷</w:t>
            </w:r>
          </w:p>
        </w:tc>
        <w:tc>
          <w:tcPr>
            <w:tcW w:w="1380" w:type="pct"/>
            <w:noWrap w:val="0"/>
            <w:vAlign w:val="center"/>
          </w:tcPr>
          <w:p w14:paraId="73AE4D22">
            <w:pPr>
              <w:pStyle w:val="19"/>
              <w:bidi w:val="0"/>
              <w:rPr>
                <w:rFonts w:hint="default"/>
                <w:color w:val="auto"/>
              </w:rPr>
            </w:pPr>
            <w:r>
              <w:rPr>
                <w:rFonts w:hint="default"/>
                <w:color w:val="auto"/>
              </w:rPr>
              <w:t>接闪器、引下线、接地装置与邻近导体安全距离不够</w:t>
            </w:r>
          </w:p>
        </w:tc>
        <w:tc>
          <w:tcPr>
            <w:tcW w:w="792" w:type="pct"/>
            <w:noWrap w:val="0"/>
            <w:vAlign w:val="center"/>
          </w:tcPr>
          <w:p w14:paraId="65A6FC0C">
            <w:pPr>
              <w:pStyle w:val="19"/>
              <w:bidi w:val="0"/>
              <w:rPr>
                <w:rFonts w:hint="default"/>
                <w:color w:val="auto"/>
              </w:rPr>
            </w:pPr>
            <w:r>
              <w:rPr>
                <w:rFonts w:hint="default"/>
                <w:color w:val="auto"/>
              </w:rPr>
              <w:t>绝缘击穿、剧烈放电</w:t>
            </w:r>
          </w:p>
        </w:tc>
        <w:tc>
          <w:tcPr>
            <w:tcW w:w="947" w:type="pct"/>
            <w:noWrap w:val="0"/>
            <w:vAlign w:val="center"/>
          </w:tcPr>
          <w:p w14:paraId="1851EC56">
            <w:pPr>
              <w:pStyle w:val="19"/>
              <w:bidi w:val="0"/>
              <w:rPr>
                <w:rFonts w:hint="default"/>
                <w:color w:val="auto"/>
              </w:rPr>
            </w:pPr>
            <w:r>
              <w:rPr>
                <w:rFonts w:hint="default"/>
                <w:color w:val="auto"/>
              </w:rPr>
              <w:t>火灾、爆炸或人身伤亡</w:t>
            </w:r>
          </w:p>
        </w:tc>
        <w:tc>
          <w:tcPr>
            <w:tcW w:w="386" w:type="pct"/>
            <w:noWrap w:val="0"/>
            <w:vAlign w:val="center"/>
          </w:tcPr>
          <w:p w14:paraId="148B37EE">
            <w:pPr>
              <w:pStyle w:val="19"/>
              <w:bidi w:val="0"/>
              <w:rPr>
                <w:rFonts w:hint="default"/>
                <w:color w:val="auto"/>
              </w:rPr>
            </w:pPr>
            <w:r>
              <w:rPr>
                <w:rFonts w:hint="default"/>
                <w:color w:val="auto"/>
              </w:rPr>
              <w:t>Ⅳ</w:t>
            </w:r>
          </w:p>
        </w:tc>
        <w:tc>
          <w:tcPr>
            <w:tcW w:w="980" w:type="pct"/>
            <w:noWrap w:val="0"/>
            <w:vAlign w:val="center"/>
          </w:tcPr>
          <w:p w14:paraId="20BDCAE8">
            <w:pPr>
              <w:pStyle w:val="19"/>
              <w:bidi w:val="0"/>
              <w:rPr>
                <w:rFonts w:hint="default"/>
                <w:color w:val="auto"/>
              </w:rPr>
            </w:pPr>
            <w:r>
              <w:rPr>
                <w:rFonts w:hint="default"/>
                <w:color w:val="auto"/>
              </w:rPr>
              <w:t>保证安全距离、加装避雷器、降低接地电阻</w:t>
            </w:r>
          </w:p>
        </w:tc>
      </w:tr>
      <w:tr w14:paraId="3DBF9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pct"/>
            <w:vMerge w:val="restart"/>
            <w:noWrap w:val="0"/>
            <w:vAlign w:val="center"/>
          </w:tcPr>
          <w:p w14:paraId="51D917DB">
            <w:pPr>
              <w:pStyle w:val="19"/>
              <w:bidi w:val="0"/>
              <w:rPr>
                <w:rFonts w:hint="default"/>
                <w:color w:val="auto"/>
              </w:rPr>
            </w:pPr>
            <w:r>
              <w:rPr>
                <w:rFonts w:hint="default"/>
                <w:color w:val="auto"/>
              </w:rPr>
              <w:t>雷电侵入波</w:t>
            </w:r>
          </w:p>
        </w:tc>
        <w:tc>
          <w:tcPr>
            <w:tcW w:w="1380" w:type="pct"/>
            <w:noWrap w:val="0"/>
            <w:vAlign w:val="center"/>
          </w:tcPr>
          <w:p w14:paraId="2C8252A1">
            <w:pPr>
              <w:pStyle w:val="19"/>
              <w:bidi w:val="0"/>
              <w:rPr>
                <w:rFonts w:hint="default"/>
                <w:color w:val="auto"/>
              </w:rPr>
            </w:pPr>
            <w:r>
              <w:rPr>
                <w:rFonts w:hint="default"/>
                <w:color w:val="auto"/>
              </w:rPr>
              <w:t>雷电侵入波沿低压线路进入室内</w:t>
            </w:r>
          </w:p>
        </w:tc>
        <w:tc>
          <w:tcPr>
            <w:tcW w:w="792" w:type="pct"/>
            <w:noWrap w:val="0"/>
            <w:vAlign w:val="center"/>
          </w:tcPr>
          <w:p w14:paraId="4270319E">
            <w:pPr>
              <w:pStyle w:val="19"/>
              <w:bidi w:val="0"/>
              <w:rPr>
                <w:rFonts w:hint="default"/>
                <w:color w:val="auto"/>
              </w:rPr>
            </w:pPr>
            <w:r>
              <w:rPr>
                <w:rFonts w:hint="default"/>
                <w:color w:val="auto"/>
              </w:rPr>
              <w:t>人身触电</w:t>
            </w:r>
          </w:p>
        </w:tc>
        <w:tc>
          <w:tcPr>
            <w:tcW w:w="947" w:type="pct"/>
            <w:noWrap w:val="0"/>
            <w:vAlign w:val="center"/>
          </w:tcPr>
          <w:p w14:paraId="3D4F33C3">
            <w:pPr>
              <w:pStyle w:val="19"/>
              <w:bidi w:val="0"/>
              <w:rPr>
                <w:rFonts w:hint="default"/>
                <w:color w:val="auto"/>
              </w:rPr>
            </w:pPr>
            <w:r>
              <w:rPr>
                <w:rFonts w:hint="default"/>
                <w:color w:val="auto"/>
              </w:rPr>
              <w:t>人身伤亡</w:t>
            </w:r>
          </w:p>
        </w:tc>
        <w:tc>
          <w:tcPr>
            <w:tcW w:w="386" w:type="pct"/>
            <w:noWrap w:val="0"/>
            <w:vAlign w:val="center"/>
          </w:tcPr>
          <w:p w14:paraId="7DCD8316">
            <w:pPr>
              <w:pStyle w:val="19"/>
              <w:bidi w:val="0"/>
              <w:rPr>
                <w:rFonts w:hint="default"/>
                <w:color w:val="auto"/>
              </w:rPr>
            </w:pPr>
            <w:r>
              <w:rPr>
                <w:rFonts w:hint="default"/>
                <w:color w:val="auto"/>
              </w:rPr>
              <w:t>Ⅳ</w:t>
            </w:r>
          </w:p>
        </w:tc>
        <w:tc>
          <w:tcPr>
            <w:tcW w:w="980" w:type="pct"/>
            <w:noWrap w:val="0"/>
            <w:vAlign w:val="center"/>
          </w:tcPr>
          <w:p w14:paraId="173373B4">
            <w:pPr>
              <w:pStyle w:val="19"/>
              <w:bidi w:val="0"/>
              <w:rPr>
                <w:rFonts w:hint="default"/>
                <w:color w:val="auto"/>
              </w:rPr>
            </w:pPr>
            <w:r>
              <w:rPr>
                <w:rFonts w:hint="default"/>
                <w:color w:val="auto"/>
              </w:rPr>
              <w:t>低压线路设避雷器</w:t>
            </w:r>
          </w:p>
        </w:tc>
      </w:tr>
      <w:tr w14:paraId="15D27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513" w:type="pct"/>
            <w:vMerge w:val="continue"/>
            <w:noWrap w:val="0"/>
            <w:vAlign w:val="center"/>
          </w:tcPr>
          <w:p w14:paraId="2A7949E1">
            <w:pPr>
              <w:pStyle w:val="19"/>
              <w:bidi w:val="0"/>
              <w:rPr>
                <w:rFonts w:hint="default"/>
                <w:color w:val="auto"/>
              </w:rPr>
            </w:pPr>
          </w:p>
        </w:tc>
        <w:tc>
          <w:tcPr>
            <w:tcW w:w="1380" w:type="pct"/>
            <w:noWrap w:val="0"/>
            <w:vAlign w:val="center"/>
          </w:tcPr>
          <w:p w14:paraId="49264833">
            <w:pPr>
              <w:pStyle w:val="19"/>
              <w:bidi w:val="0"/>
              <w:rPr>
                <w:rFonts w:hint="default"/>
                <w:color w:val="auto"/>
              </w:rPr>
            </w:pPr>
            <w:r>
              <w:rPr>
                <w:rFonts w:hint="default"/>
                <w:color w:val="auto"/>
              </w:rPr>
              <w:t>雷电侵入波的正变换电压与来自高压边的反变换电压击穿变压器的绝缘</w:t>
            </w:r>
          </w:p>
        </w:tc>
        <w:tc>
          <w:tcPr>
            <w:tcW w:w="792" w:type="pct"/>
            <w:noWrap w:val="0"/>
            <w:vAlign w:val="center"/>
          </w:tcPr>
          <w:p w14:paraId="43A62931">
            <w:pPr>
              <w:pStyle w:val="19"/>
              <w:bidi w:val="0"/>
              <w:rPr>
                <w:rFonts w:hint="default"/>
                <w:color w:val="auto"/>
              </w:rPr>
            </w:pPr>
            <w:r>
              <w:rPr>
                <w:rFonts w:hint="default"/>
                <w:color w:val="auto"/>
              </w:rPr>
              <w:t>变压器绝缘击穿</w:t>
            </w:r>
          </w:p>
        </w:tc>
        <w:tc>
          <w:tcPr>
            <w:tcW w:w="947" w:type="pct"/>
            <w:noWrap w:val="0"/>
            <w:vAlign w:val="center"/>
          </w:tcPr>
          <w:p w14:paraId="5205059F">
            <w:pPr>
              <w:pStyle w:val="19"/>
              <w:bidi w:val="0"/>
              <w:rPr>
                <w:rFonts w:hint="default"/>
                <w:color w:val="auto"/>
              </w:rPr>
            </w:pPr>
            <w:r>
              <w:rPr>
                <w:rFonts w:hint="default"/>
                <w:color w:val="auto"/>
              </w:rPr>
              <w:t>设备损坏</w:t>
            </w:r>
          </w:p>
        </w:tc>
        <w:tc>
          <w:tcPr>
            <w:tcW w:w="386" w:type="pct"/>
            <w:noWrap w:val="0"/>
            <w:vAlign w:val="center"/>
          </w:tcPr>
          <w:p w14:paraId="25ED196A">
            <w:pPr>
              <w:pStyle w:val="19"/>
              <w:bidi w:val="0"/>
              <w:rPr>
                <w:rFonts w:hint="default"/>
                <w:color w:val="auto"/>
              </w:rPr>
            </w:pPr>
            <w:r>
              <w:rPr>
                <w:rFonts w:hint="default"/>
                <w:color w:val="auto"/>
              </w:rPr>
              <w:t>Ⅲ</w:t>
            </w:r>
          </w:p>
        </w:tc>
        <w:tc>
          <w:tcPr>
            <w:tcW w:w="980" w:type="pct"/>
            <w:noWrap w:val="0"/>
            <w:vAlign w:val="center"/>
          </w:tcPr>
          <w:p w14:paraId="67238369">
            <w:pPr>
              <w:pStyle w:val="19"/>
              <w:bidi w:val="0"/>
              <w:rPr>
                <w:rFonts w:hint="default"/>
                <w:color w:val="auto"/>
              </w:rPr>
            </w:pPr>
            <w:r>
              <w:rPr>
                <w:rFonts w:hint="default"/>
                <w:color w:val="auto"/>
              </w:rPr>
              <w:t>高低压边均设阀型避雷器</w:t>
            </w:r>
          </w:p>
        </w:tc>
      </w:tr>
    </w:tbl>
    <w:p w14:paraId="71E01D98">
      <w:pPr>
        <w:pStyle w:val="4"/>
        <w:bidi w:val="0"/>
        <w:rPr>
          <w:rFonts w:hint="default"/>
          <w:color w:val="auto"/>
          <w:lang w:val="en-US" w:eastAsia="zh-CN"/>
        </w:rPr>
      </w:pPr>
      <w:bookmarkStart w:id="210" w:name="_Toc19471"/>
      <w:r>
        <w:rPr>
          <w:rFonts w:hint="default"/>
          <w:color w:val="auto"/>
          <w:lang w:val="en-US" w:eastAsia="zh-CN"/>
        </w:rPr>
        <w:t>5.4.2 触电事故的FTA分析</w:t>
      </w:r>
      <w:bookmarkEnd w:id="210"/>
    </w:p>
    <w:p w14:paraId="500CDF28">
      <w:pPr>
        <w:bidi w:val="0"/>
        <w:rPr>
          <w:rFonts w:hint="default"/>
          <w:color w:val="auto"/>
          <w:lang w:val="en-US" w:eastAsia="zh-CN"/>
        </w:rPr>
      </w:pPr>
      <w:r>
        <w:rPr>
          <w:rFonts w:hint="default"/>
          <w:color w:val="auto"/>
          <w:lang w:val="en-US" w:eastAsia="zh-CN"/>
        </w:rPr>
        <w:t>1、间接电击事故树分析</w:t>
      </w:r>
    </w:p>
    <w:p w14:paraId="6C3422B7">
      <w:pPr>
        <w:bidi w:val="0"/>
        <w:rPr>
          <w:rFonts w:hint="default"/>
          <w:color w:val="auto"/>
          <w:lang w:val="en-US" w:eastAsia="zh-CN"/>
        </w:rPr>
      </w:pPr>
      <w:r>
        <w:rPr>
          <w:rFonts w:hint="default"/>
          <w:color w:val="auto"/>
          <w:lang w:val="en-US" w:eastAsia="zh-CN"/>
        </w:rPr>
        <w:t>统计资料表明：触电事故中的间接电击事故发生数量远远大于直接电击事故。故针对间接电击事故发生的基本条件事故树分析。</w:t>
      </w:r>
    </w:p>
    <w:p w14:paraId="64B2E180">
      <w:pPr>
        <w:bidi w:val="0"/>
        <w:rPr>
          <w:rFonts w:hint="default"/>
          <w:color w:val="auto"/>
          <w:lang w:val="en-US" w:eastAsia="zh-CN"/>
        </w:rPr>
      </w:pPr>
      <w:r>
        <w:rPr>
          <w:rFonts w:hint="default"/>
          <w:color w:val="auto"/>
          <w:lang w:val="en-US" w:eastAsia="zh-CN"/>
        </w:rPr>
        <w:t>（1）间接电击事故树</w:t>
      </w:r>
    </w:p>
    <w:p w14:paraId="1B23D663">
      <w:pPr>
        <w:bidi w:val="0"/>
        <w:ind w:left="0" w:leftChars="0" w:firstLine="0" w:firstLineChars="0"/>
        <w:jc w:val="center"/>
        <w:rPr>
          <w:rFonts w:hint="default"/>
          <w:color w:val="auto"/>
          <w:lang w:val="en-US" w:eastAsia="zh-CN"/>
        </w:rPr>
      </w:pPr>
      <w:r>
        <w:rPr>
          <w:rFonts w:hint="default" w:ascii="Times New Roman" w:hAnsi="Times New Roman" w:cs="Times New Roman"/>
          <w:color w:val="auto"/>
          <w:sz w:val="21"/>
          <w:szCs w:val="21"/>
        </w:rPr>
        <w:drawing>
          <wp:inline distT="0" distB="0" distL="114300" distR="114300">
            <wp:extent cx="5948045" cy="3086100"/>
            <wp:effectExtent l="0" t="0" r="14605" b="0"/>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14"/>
                    <a:stretch>
                      <a:fillRect/>
                    </a:stretch>
                  </pic:blipFill>
                  <pic:spPr>
                    <a:xfrm>
                      <a:off x="0" y="0"/>
                      <a:ext cx="5948045" cy="3086100"/>
                    </a:xfrm>
                    <a:prstGeom prst="rect">
                      <a:avLst/>
                    </a:prstGeom>
                    <a:noFill/>
                    <a:ln w="12700">
                      <a:noFill/>
                    </a:ln>
                  </pic:spPr>
                </pic:pic>
              </a:graphicData>
            </a:graphic>
          </wp:inline>
        </w:drawing>
      </w:r>
    </w:p>
    <w:p w14:paraId="11E7C684">
      <w:pPr>
        <w:pStyle w:val="18"/>
        <w:bidi w:val="0"/>
        <w:rPr>
          <w:rFonts w:hint="default"/>
          <w:color w:val="auto"/>
          <w:lang w:val="en-US" w:eastAsia="zh-CN"/>
        </w:rPr>
      </w:pPr>
      <w:r>
        <w:rPr>
          <w:rFonts w:hint="default"/>
          <w:color w:val="auto"/>
          <w:lang w:val="en-US" w:eastAsia="zh-CN"/>
        </w:rPr>
        <w:t>图5</w:t>
      </w:r>
      <w:r>
        <w:rPr>
          <w:rFonts w:hint="eastAsia"/>
          <w:color w:val="auto"/>
          <w:lang w:val="en-US" w:eastAsia="zh-CN"/>
        </w:rPr>
        <w:t>.4</w:t>
      </w:r>
      <w:r>
        <w:rPr>
          <w:rFonts w:hint="default"/>
          <w:color w:val="auto"/>
          <w:lang w:val="en-US" w:eastAsia="zh-CN"/>
        </w:rPr>
        <w:t>-</w:t>
      </w:r>
      <w:r>
        <w:rPr>
          <w:rFonts w:hint="eastAsia"/>
          <w:color w:val="auto"/>
          <w:lang w:val="en-US" w:eastAsia="zh-CN"/>
        </w:rPr>
        <w:t>1</w:t>
      </w:r>
      <w:r>
        <w:rPr>
          <w:rFonts w:hint="default"/>
          <w:color w:val="auto"/>
          <w:lang w:val="en-US" w:eastAsia="zh-CN"/>
        </w:rPr>
        <w:t xml:space="preserve">  间接电击事故树</w:t>
      </w:r>
    </w:p>
    <w:p w14:paraId="3D82BE10">
      <w:pPr>
        <w:bidi w:val="0"/>
        <w:rPr>
          <w:rFonts w:hint="eastAsia"/>
          <w:color w:val="auto"/>
        </w:rPr>
      </w:pPr>
      <w:r>
        <w:rPr>
          <w:rFonts w:hint="eastAsia"/>
          <w:color w:val="auto"/>
        </w:rPr>
        <w:t>（2）最小割集计算</w:t>
      </w:r>
    </w:p>
    <w:p w14:paraId="5A2E6979">
      <w:pPr>
        <w:rPr>
          <w:rFonts w:hint="eastAsia"/>
          <w:color w:val="auto"/>
        </w:rPr>
      </w:pPr>
      <w:r>
        <w:rPr>
          <w:rFonts w:hint="eastAsia"/>
          <w:color w:val="auto"/>
        </w:rPr>
        <w:t>T=A·B·C·D=(X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4</w:t>
      </w:r>
      <w:r>
        <w:rPr>
          <w:rFonts w:hint="eastAsia"/>
          <w:color w:val="auto"/>
        </w:rPr>
        <w:t>+E)·(F+G)·(X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w:t>
      </w:r>
    </w:p>
    <w:p w14:paraId="6E6069CC">
      <w:pPr>
        <w:rPr>
          <w:rFonts w:hint="eastAsia"/>
          <w:color w:val="auto"/>
        </w:rPr>
      </w:pP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13</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w:t>
      </w:r>
    </w:p>
    <w:p w14:paraId="063559DD">
      <w:pPr>
        <w:rPr>
          <w:rFonts w:hint="eastAsia"/>
          <w:color w:val="auto"/>
        </w:rPr>
      </w:pP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13</w:t>
      </w:r>
      <w:r>
        <w:rPr>
          <w:rFonts w:hint="eastAsia"/>
          <w:color w:val="auto"/>
        </w:rPr>
        <w:t>)</w:t>
      </w:r>
    </w:p>
    <w:p w14:paraId="631523FB">
      <w:pPr>
        <w:rPr>
          <w:rFonts w:hint="eastAsia"/>
          <w:color w:val="auto"/>
        </w:rPr>
      </w:pP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13</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13</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13</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13</w:t>
      </w:r>
      <w:r>
        <w:rPr>
          <w:rFonts w:hint="eastAsia"/>
          <w:color w:val="auto"/>
        </w:rPr>
        <w:t>)]</w:t>
      </w:r>
    </w:p>
    <w:p w14:paraId="15B350FC">
      <w:pPr>
        <w:bidi w:val="0"/>
        <w:rPr>
          <w:rFonts w:hint="default"/>
          <w:color w:val="auto"/>
          <w:lang w:val="en-US" w:eastAsia="zh-CN"/>
        </w:rPr>
      </w:pPr>
      <w:r>
        <w:rPr>
          <w:rFonts w:hint="eastAsia"/>
          <w:color w:val="auto"/>
        </w:rPr>
        <w:t>由此可见，最小割集有28个，且均为6事件割集：{X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w:t>
      </w:r>
      <w:r>
        <w:rPr>
          <w:rFonts w:hint="eastAsia"/>
          <w:color w:val="auto"/>
          <w:vertAlign w:val="baseline"/>
        </w:rPr>
        <w:t>X</w:t>
      </w:r>
      <w:r>
        <w:rPr>
          <w:rFonts w:hint="eastAsia"/>
          <w:color w:val="auto"/>
          <w:vertAlign w:val="subscript"/>
        </w:rPr>
        <w:t>4</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13</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13</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13</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13</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w:t>
      </w:r>
    </w:p>
    <w:p w14:paraId="1272405A">
      <w:pPr>
        <w:bidi w:val="0"/>
        <w:ind w:left="0" w:leftChars="0" w:firstLine="0" w:firstLineChars="0"/>
        <w:jc w:val="center"/>
        <w:rPr>
          <w:rFonts w:hint="default"/>
          <w:color w:val="auto"/>
          <w:lang w:val="en-US" w:eastAsia="zh-CN"/>
        </w:rPr>
      </w:pPr>
      <w:r>
        <w:rPr>
          <w:rFonts w:hint="default" w:ascii="Times New Roman" w:hAnsi="Times New Roman" w:cs="Times New Roman"/>
          <w:color w:val="auto"/>
          <w:kern w:val="0"/>
          <w:sz w:val="21"/>
          <w:szCs w:val="21"/>
        </w:rPr>
        <w:drawing>
          <wp:inline distT="0" distB="0" distL="114300" distR="114300">
            <wp:extent cx="5139690" cy="3263900"/>
            <wp:effectExtent l="0" t="0" r="3810" b="12700"/>
            <wp:docPr id="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
                    <pic:cNvPicPr>
                      <a:picLocks noChangeAspect="1"/>
                    </pic:cNvPicPr>
                  </pic:nvPicPr>
                  <pic:blipFill>
                    <a:blip r:embed="rId15"/>
                    <a:stretch>
                      <a:fillRect/>
                    </a:stretch>
                  </pic:blipFill>
                  <pic:spPr>
                    <a:xfrm>
                      <a:off x="0" y="0"/>
                      <a:ext cx="5139690" cy="3263900"/>
                    </a:xfrm>
                    <a:prstGeom prst="rect">
                      <a:avLst/>
                    </a:prstGeom>
                    <a:noFill/>
                    <a:ln w="12700">
                      <a:noFill/>
                    </a:ln>
                  </pic:spPr>
                </pic:pic>
              </a:graphicData>
            </a:graphic>
          </wp:inline>
        </w:drawing>
      </w:r>
    </w:p>
    <w:p w14:paraId="34189242">
      <w:pPr>
        <w:pStyle w:val="18"/>
        <w:bidi w:val="0"/>
        <w:rPr>
          <w:rFonts w:hint="default"/>
          <w:color w:val="auto"/>
          <w:lang w:val="en-US" w:eastAsia="zh-CN"/>
        </w:rPr>
      </w:pPr>
      <w:r>
        <w:rPr>
          <w:rFonts w:hint="default"/>
          <w:color w:val="auto"/>
          <w:lang w:val="en-US" w:eastAsia="zh-CN"/>
        </w:rPr>
        <w:t>图5</w:t>
      </w:r>
      <w:r>
        <w:rPr>
          <w:rFonts w:hint="eastAsia"/>
          <w:color w:val="auto"/>
          <w:lang w:val="en-US" w:eastAsia="zh-CN"/>
        </w:rPr>
        <w:t>.4</w:t>
      </w:r>
      <w:r>
        <w:rPr>
          <w:rFonts w:hint="default"/>
          <w:color w:val="auto"/>
          <w:lang w:val="en-US" w:eastAsia="zh-CN"/>
        </w:rPr>
        <w:t>-</w:t>
      </w:r>
      <w:r>
        <w:rPr>
          <w:rFonts w:hint="eastAsia"/>
          <w:color w:val="auto"/>
          <w:lang w:val="en-US" w:eastAsia="zh-CN"/>
        </w:rPr>
        <w:t>2</w:t>
      </w:r>
      <w:r>
        <w:rPr>
          <w:rFonts w:hint="default"/>
          <w:color w:val="auto"/>
          <w:lang w:val="en-US" w:eastAsia="zh-CN"/>
        </w:rPr>
        <w:t xml:space="preserve">  间接电击事故树成功树</w:t>
      </w:r>
    </w:p>
    <w:p w14:paraId="1D721673">
      <w:pPr>
        <w:rPr>
          <w:rFonts w:hint="eastAsia"/>
          <w:color w:val="auto"/>
        </w:rPr>
      </w:pPr>
      <w:r>
        <w:rPr>
          <w:rFonts w:hint="eastAsia"/>
          <w:color w:val="auto"/>
        </w:rPr>
        <w:t>（3）最小径集计算</w:t>
      </w:r>
    </w:p>
    <w:p w14:paraId="265012EC">
      <w:pPr>
        <w:rPr>
          <w:rFonts w:hint="eastAsia"/>
          <w:color w:val="auto"/>
        </w:rPr>
      </w:pPr>
      <w:r>
        <w:rPr>
          <w:rFonts w:hint="eastAsia"/>
          <w:color w:val="auto"/>
        </w:rPr>
        <w:t>T′=A′+B′+C′+D′=(X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4</w:t>
      </w:r>
      <w:r>
        <w:rPr>
          <w:rFonts w:hint="eastAsia"/>
          <w:color w:val="auto"/>
        </w:rPr>
        <w:t>′·E′)+(F′·G′)+(X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w:t>
      </w:r>
    </w:p>
    <w:p w14:paraId="19E83821">
      <w:pPr>
        <w:rPr>
          <w:rFonts w:hint="eastAsia"/>
          <w:color w:val="auto"/>
        </w:rPr>
      </w:pP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13</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w:t>
      </w:r>
    </w:p>
    <w:p w14:paraId="72D9DCCC">
      <w:pPr>
        <w:rPr>
          <w:rFonts w:hint="eastAsia" w:eastAsia="宋体"/>
          <w:color w:val="auto"/>
          <w:lang w:eastAsia="zh-CN"/>
        </w:rPr>
      </w:pPr>
      <w:r>
        <w:rPr>
          <w:rFonts w:hint="eastAsia"/>
          <w:color w:val="auto"/>
        </w:rPr>
        <w:t>由此可见，最小径集有6个：{X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13</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w:t>
      </w:r>
    </w:p>
    <w:p w14:paraId="1A02F6F8">
      <w:pPr>
        <w:rPr>
          <w:rFonts w:hint="eastAsia"/>
          <w:color w:val="auto"/>
        </w:rPr>
      </w:pPr>
      <w:r>
        <w:rPr>
          <w:rFonts w:hint="eastAsia"/>
          <w:color w:val="auto"/>
        </w:rPr>
        <w:t>其中四个单事件径集。</w:t>
      </w:r>
    </w:p>
    <w:p w14:paraId="491054AF">
      <w:pPr>
        <w:rPr>
          <w:rFonts w:hint="eastAsia"/>
          <w:color w:val="auto"/>
        </w:rPr>
      </w:pPr>
      <w:r>
        <w:rPr>
          <w:rFonts w:hint="eastAsia"/>
          <w:color w:val="auto"/>
        </w:rPr>
        <w:t>（4）结构重要度分析</w:t>
      </w:r>
    </w:p>
    <w:p w14:paraId="38BA3AF7">
      <w:pPr>
        <w:rPr>
          <w:rFonts w:hint="eastAsia"/>
          <w:color w:val="auto"/>
        </w:rPr>
      </w:pPr>
      <w:r>
        <w:rPr>
          <w:rFonts w:hint="eastAsia"/>
          <w:color w:val="auto"/>
        </w:rPr>
        <w:t>Ⅰφ(1)=Ⅰφ(2)=Ⅰφ(14)=Ⅰφ(15)＞Ⅰφ(3)=Ⅰφ(4)=Ⅰφ(5)=Ⅰφ(6)＞Ⅰφ(7)=Ⅰφ(8)=Ⅰφ(9)=Ⅰφ(10)=Ⅰφ(11)=Ⅰφ(12)</w:t>
      </w:r>
    </w:p>
    <w:p w14:paraId="67210810">
      <w:pPr>
        <w:rPr>
          <w:rFonts w:hint="eastAsia"/>
          <w:color w:val="auto"/>
        </w:rPr>
      </w:pPr>
      <w:r>
        <w:rPr>
          <w:rFonts w:hint="eastAsia"/>
          <w:color w:val="auto"/>
        </w:rPr>
        <w:t>（5）间接电击事故树分析小结：</w:t>
      </w:r>
    </w:p>
    <w:p w14:paraId="65BBBA07">
      <w:pPr>
        <w:rPr>
          <w:rFonts w:hint="eastAsia"/>
          <w:color w:val="auto"/>
        </w:rPr>
      </w:pPr>
      <w:r>
        <w:rPr>
          <w:rFonts w:hint="eastAsia"/>
          <w:color w:val="auto"/>
        </w:rPr>
        <w:t>Ⅰ：有28个最小割集，说明事件发生途径多；</w:t>
      </w:r>
    </w:p>
    <w:p w14:paraId="2A45E369">
      <w:pPr>
        <w:rPr>
          <w:rFonts w:hint="eastAsia"/>
          <w:color w:val="auto"/>
        </w:rPr>
      </w:pPr>
      <w:r>
        <w:rPr>
          <w:rFonts w:hint="eastAsia"/>
          <w:color w:val="auto"/>
        </w:rPr>
        <w:t>Ⅱ：单事件的最小径集有4个，其结构重要系数最大，是控制间接电击事故的最重要因素；其中X</w:t>
      </w:r>
      <w:r>
        <w:rPr>
          <w:rFonts w:hint="eastAsia"/>
          <w:color w:val="auto"/>
          <w:vertAlign w:val="subscript"/>
        </w:rPr>
        <w:t>1</w:t>
      </w:r>
      <w:r>
        <w:rPr>
          <w:rFonts w:hint="eastAsia"/>
          <w:color w:val="auto"/>
        </w:rPr>
        <w:t>（设备有电）和X</w:t>
      </w:r>
      <w:r>
        <w:rPr>
          <w:rFonts w:hint="eastAsia"/>
          <w:color w:val="auto"/>
          <w:vertAlign w:val="subscript"/>
        </w:rPr>
        <w:t>2</w:t>
      </w:r>
      <w:r>
        <w:rPr>
          <w:rFonts w:hint="eastAsia"/>
          <w:color w:val="auto"/>
        </w:rPr>
        <w:t>（开关接通）属于正常事件，X</w:t>
      </w:r>
      <w:r>
        <w:rPr>
          <w:rFonts w:hint="eastAsia"/>
          <w:color w:val="auto"/>
          <w:vertAlign w:val="subscript"/>
        </w:rPr>
        <w:t>4</w:t>
      </w:r>
      <w:r>
        <w:rPr>
          <w:rFonts w:hint="eastAsia"/>
          <w:color w:val="auto"/>
        </w:rPr>
        <w:t>（接近设备）及X</w:t>
      </w:r>
      <w:r>
        <w:rPr>
          <w:rFonts w:hint="eastAsia"/>
          <w:color w:val="auto"/>
          <w:vertAlign w:val="subscript"/>
        </w:rPr>
        <w:t>15</w:t>
      </w:r>
      <w:r>
        <w:rPr>
          <w:rFonts w:hint="eastAsia"/>
          <w:color w:val="auto"/>
        </w:rPr>
        <w:t>（无个人防护）是进行事故控制的最佳途径；通常可以通过设置屏护和佩戴个人防护用品来实施；</w:t>
      </w:r>
    </w:p>
    <w:p w14:paraId="422B86AF">
      <w:pPr>
        <w:rPr>
          <w:rFonts w:hint="eastAsia"/>
          <w:color w:val="auto"/>
        </w:rPr>
      </w:pPr>
      <w:r>
        <w:rPr>
          <w:rFonts w:hint="eastAsia"/>
          <w:color w:val="auto"/>
        </w:rPr>
        <w:t>Ⅲ：最小径集6个，但因X</w:t>
      </w:r>
      <w:r>
        <w:rPr>
          <w:rFonts w:hint="eastAsia"/>
          <w:color w:val="auto"/>
          <w:vertAlign w:val="subscript"/>
        </w:rPr>
        <w:t>1</w:t>
      </w:r>
      <w:r>
        <w:rPr>
          <w:rFonts w:hint="eastAsia"/>
          <w:color w:val="auto"/>
        </w:rPr>
        <w:t>（设备有电）和X</w:t>
      </w:r>
      <w:r>
        <w:rPr>
          <w:rFonts w:hint="eastAsia"/>
          <w:color w:val="auto"/>
          <w:vertAlign w:val="subscript"/>
        </w:rPr>
        <w:t>2</w:t>
      </w:r>
      <w:r>
        <w:rPr>
          <w:rFonts w:hint="eastAsia"/>
          <w:color w:val="auto"/>
        </w:rPr>
        <w:t>（开关接通）属于正常事件，故控制间接电击事件不发生主要有4种方案，控制少事件最小径集中的基本事件比多个基本事件省工、省时、经济、有效。</w:t>
      </w:r>
    </w:p>
    <w:p w14:paraId="6B5E5134">
      <w:pPr>
        <w:rPr>
          <w:rFonts w:hint="eastAsia"/>
          <w:color w:val="auto"/>
        </w:rPr>
      </w:pPr>
      <w:r>
        <w:rPr>
          <w:rFonts w:hint="eastAsia"/>
          <w:color w:val="auto"/>
        </w:rPr>
        <w:t>2、人员触电事故的事故树分析</w:t>
      </w:r>
    </w:p>
    <w:p w14:paraId="017251FE">
      <w:pPr>
        <w:rPr>
          <w:rFonts w:hint="eastAsia"/>
          <w:color w:val="auto"/>
        </w:rPr>
      </w:pPr>
      <w:r>
        <w:rPr>
          <w:rFonts w:hint="eastAsia"/>
          <w:color w:val="auto"/>
        </w:rPr>
        <w:t>本节采用事故树分析法对人员触电事故进行分析，以分析导致事故发生的原因与途径。</w:t>
      </w:r>
    </w:p>
    <w:p w14:paraId="4960B3EF">
      <w:pPr>
        <w:rPr>
          <w:rFonts w:hint="eastAsia"/>
          <w:color w:val="auto"/>
        </w:rPr>
      </w:pPr>
      <w:r>
        <w:rPr>
          <w:rFonts w:hint="eastAsia"/>
          <w:color w:val="auto"/>
        </w:rPr>
        <w:t>（1）画出事故树</w:t>
      </w:r>
    </w:p>
    <w:p w14:paraId="48E229C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rPr>
          <w:rFonts w:hint="eastAsia"/>
          <w:color w:val="auto"/>
        </w:rPr>
      </w:pPr>
      <w:r>
        <w:rPr>
          <w:rFonts w:hint="default" w:ascii="Times New Roman" w:hAnsi="Times New Roman" w:cs="Times New Roman"/>
          <w:color w:val="auto"/>
          <w:kern w:val="0"/>
          <w:sz w:val="21"/>
          <w:szCs w:val="21"/>
        </w:rPr>
        <w:drawing>
          <wp:inline distT="0" distB="0" distL="0" distR="0">
            <wp:extent cx="5486400" cy="3400425"/>
            <wp:effectExtent l="0" t="0" r="0" b="0"/>
            <wp:docPr id="25" name="_x0000_i1025"/>
            <wp:cNvGraphicFramePr/>
            <a:graphic xmlns:a="http://schemas.openxmlformats.org/drawingml/2006/main">
              <a:graphicData uri="http://schemas.openxmlformats.org/drawingml/2006/picture">
                <pic:pic xmlns:pic="http://schemas.openxmlformats.org/drawingml/2006/picture">
                  <pic:nvPicPr>
                    <pic:cNvPr id="25" name="_x0000_i1025"/>
                    <pic:cNvPicPr/>
                  </pic:nvPicPr>
                  <pic:blipFill>
                    <a:blip r:embed="rId16"/>
                    <a:stretch>
                      <a:fillRect/>
                    </a:stretch>
                  </pic:blipFill>
                  <pic:spPr>
                    <a:xfrm>
                      <a:off x="0" y="0"/>
                      <a:ext cx="5486400" cy="3400425"/>
                    </a:xfrm>
                    <a:prstGeom prst="rect">
                      <a:avLst/>
                    </a:prstGeom>
                  </pic:spPr>
                </pic:pic>
              </a:graphicData>
            </a:graphic>
          </wp:inline>
        </w:drawing>
      </w:r>
    </w:p>
    <w:p w14:paraId="4556DB1B">
      <w:pPr>
        <w:pStyle w:val="18"/>
        <w:bidi w:val="0"/>
        <w:rPr>
          <w:rFonts w:hint="eastAsia"/>
          <w:color w:val="auto"/>
        </w:rPr>
      </w:pPr>
      <w:r>
        <w:rPr>
          <w:rFonts w:hint="eastAsia"/>
          <w:color w:val="auto"/>
        </w:rPr>
        <w:t>图5</w:t>
      </w:r>
      <w:r>
        <w:rPr>
          <w:rFonts w:hint="eastAsia"/>
          <w:color w:val="auto"/>
          <w:lang w:val="en-US" w:eastAsia="zh-CN"/>
        </w:rPr>
        <w:t>.4-3</w:t>
      </w:r>
      <w:r>
        <w:rPr>
          <w:rFonts w:hint="eastAsia"/>
          <w:color w:val="auto"/>
        </w:rPr>
        <w:t xml:space="preserve"> </w:t>
      </w:r>
      <w:r>
        <w:rPr>
          <w:rFonts w:hint="eastAsia"/>
          <w:color w:val="auto"/>
          <w:lang w:val="en-US" w:eastAsia="zh-CN"/>
        </w:rPr>
        <w:t xml:space="preserve"> </w:t>
      </w:r>
      <w:r>
        <w:rPr>
          <w:rFonts w:hint="eastAsia"/>
          <w:color w:val="auto"/>
        </w:rPr>
        <w:t>人员触电事故树</w:t>
      </w:r>
    </w:p>
    <w:p w14:paraId="2E301D0C">
      <w:pPr>
        <w:rPr>
          <w:rFonts w:hint="eastAsia"/>
          <w:color w:val="auto"/>
        </w:rPr>
      </w:pPr>
      <w:r>
        <w:rPr>
          <w:rFonts w:hint="eastAsia"/>
          <w:color w:val="auto"/>
        </w:rPr>
        <w:t>（2）求最小割集</w:t>
      </w:r>
    </w:p>
    <w:p w14:paraId="47FA372C">
      <w:pPr>
        <w:rPr>
          <w:rFonts w:hint="eastAsia"/>
          <w:color w:val="auto"/>
        </w:rPr>
      </w:pPr>
      <w:r>
        <w:rPr>
          <w:rFonts w:hint="eastAsia"/>
          <w:color w:val="auto"/>
        </w:rPr>
        <w:t>该事故树的结构函数式为：</w:t>
      </w:r>
    </w:p>
    <w:p w14:paraId="553EB942">
      <w:pPr>
        <w:rPr>
          <w:rFonts w:hint="eastAsia"/>
          <w:color w:val="auto"/>
        </w:rPr>
      </w:pPr>
      <w:r>
        <w:rPr>
          <w:rFonts w:hint="eastAsia"/>
          <w:color w:val="auto"/>
        </w:rPr>
        <w:t>T=A</w:t>
      </w:r>
      <w:r>
        <w:rPr>
          <w:rFonts w:hint="eastAsia"/>
          <w:color w:val="auto"/>
          <w:vertAlign w:val="subscript"/>
        </w:rPr>
        <w:t>1</w:t>
      </w:r>
      <w:r>
        <w:rPr>
          <w:rFonts w:hint="eastAsia"/>
          <w:color w:val="auto"/>
        </w:rPr>
        <w:t>·A</w:t>
      </w:r>
      <w:r>
        <w:rPr>
          <w:rFonts w:hint="eastAsia"/>
          <w:color w:val="auto"/>
          <w:vertAlign w:val="subscript"/>
        </w:rPr>
        <w:t>2</w:t>
      </w:r>
    </w:p>
    <w:p w14:paraId="0D65E441">
      <w:pPr>
        <w:rPr>
          <w:rFonts w:hint="eastAsia"/>
          <w:color w:val="auto"/>
        </w:rPr>
      </w:pPr>
      <w:r>
        <w:rPr>
          <w:rFonts w:hint="eastAsia"/>
          <w:color w:val="auto"/>
        </w:rPr>
        <w:t>=（X</w:t>
      </w:r>
      <w:r>
        <w:rPr>
          <w:rFonts w:hint="eastAsia"/>
          <w:color w:val="auto"/>
          <w:vertAlign w:val="subscript"/>
        </w:rPr>
        <w:t>1</w:t>
      </w:r>
      <w:r>
        <w:rPr>
          <w:rFonts w:hint="eastAsia"/>
          <w:color w:val="auto"/>
        </w:rPr>
        <w:t>+B</w:t>
      </w:r>
      <w:r>
        <w:rPr>
          <w:rFonts w:hint="eastAsia"/>
          <w:color w:val="auto"/>
          <w:vertAlign w:val="subscript"/>
        </w:rPr>
        <w:t>1</w:t>
      </w:r>
      <w:r>
        <w:rPr>
          <w:rFonts w:hint="eastAsia"/>
          <w:color w:val="auto"/>
        </w:rPr>
        <w:t>+B</w:t>
      </w:r>
      <w:r>
        <w:rPr>
          <w:rFonts w:hint="eastAsia"/>
          <w:color w:val="auto"/>
          <w:vertAlign w:val="subscript"/>
        </w:rPr>
        <w:t>2</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12</w:t>
      </w:r>
      <w:r>
        <w:rPr>
          <w:rFonts w:hint="eastAsia"/>
          <w:color w:val="auto"/>
        </w:rPr>
        <w:t>）</w:t>
      </w:r>
    </w:p>
    <w:p w14:paraId="1772CB63">
      <w:pPr>
        <w:rPr>
          <w:rFonts w:hint="eastAsia"/>
          <w:color w:val="auto"/>
        </w:rPr>
      </w:pP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12</w:t>
      </w:r>
    </w:p>
    <w:p w14:paraId="501ED05D">
      <w:pPr>
        <w:rPr>
          <w:rFonts w:hint="eastAsia"/>
          <w:color w:val="auto"/>
        </w:rPr>
      </w:pPr>
      <w:r>
        <w:rPr>
          <w:rFonts w:hint="eastAsia"/>
          <w:color w:val="auto"/>
        </w:rPr>
        <w:t>得出最小割集K：｛X</w:t>
      </w:r>
      <w:r>
        <w:rPr>
          <w:rFonts w:hint="eastAsia"/>
          <w:color w:val="auto"/>
          <w:vertAlign w:val="subscript"/>
        </w:rPr>
        <w:t>1</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2</w:t>
      </w:r>
      <w:r>
        <w:rPr>
          <w:rFonts w:hint="eastAsia"/>
          <w:color w:val="auto"/>
          <w:vertAlign w:val="baseline"/>
        </w:rPr>
        <w:t>X</w:t>
      </w:r>
      <w:r>
        <w:rPr>
          <w:rFonts w:hint="eastAsia"/>
          <w:color w:val="auto"/>
          <w:vertAlign w:val="subscript"/>
        </w:rPr>
        <w:t>4</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12</w:t>
      </w:r>
      <w:r>
        <w:rPr>
          <w:rFonts w:hint="eastAsia"/>
          <w:color w:val="auto"/>
        </w:rPr>
        <w:t>｝</w:t>
      </w:r>
    </w:p>
    <w:p w14:paraId="70D85C76">
      <w:pPr>
        <w:rPr>
          <w:rFonts w:hint="eastAsia"/>
          <w:color w:val="auto"/>
        </w:rPr>
      </w:pPr>
      <w:r>
        <w:rPr>
          <w:rFonts w:hint="eastAsia"/>
          <w:color w:val="auto"/>
        </w:rPr>
        <w:t>从以上分析可知，共有21种引起触电事故的途径，验证该事故发生的可能性较小。</w:t>
      </w:r>
    </w:p>
    <w:p w14:paraId="40497F27">
      <w:pPr>
        <w:keepNext w:val="0"/>
        <w:keepLines w:val="0"/>
        <w:pageBreakBefore w:val="0"/>
        <w:widowControl w:val="0"/>
        <w:kinsoku/>
        <w:wordWrap/>
        <w:overflowPunct/>
        <w:topLinePunct w:val="0"/>
        <w:autoSpaceDE/>
        <w:autoSpaceDN/>
        <w:bidi w:val="0"/>
        <w:adjustRightInd/>
        <w:snapToGrid/>
        <w:spacing w:line="480" w:lineRule="auto"/>
        <w:rPr>
          <w:rFonts w:hint="eastAsia"/>
          <w:color w:val="auto"/>
        </w:rPr>
      </w:pPr>
      <w:r>
        <w:rPr>
          <w:rFonts w:hint="eastAsia"/>
          <w:color w:val="auto"/>
        </w:rPr>
        <w:t>（3）结构重要度分析：I（i）＝∑</w:t>
      </w:r>
      <m:oMath>
        <m:f>
          <m:fPr>
            <m:ctrlPr>
              <w:rPr>
                <w:rFonts w:hint="default" w:ascii="Cambria Math" w:hAnsi="Cambria Math"/>
                <w:color w:val="auto"/>
              </w:rPr>
            </m:ctrlPr>
          </m:fPr>
          <m:num>
            <m:r>
              <m:rPr>
                <m:sty m:val="p"/>
              </m:rPr>
              <w:rPr>
                <w:rFonts w:hint="default" w:ascii="Cambria Math" w:hAnsi="Cambria Math"/>
                <w:color w:val="auto"/>
              </w:rPr>
              <m:t>1</m:t>
            </m:r>
            <m:ctrlPr>
              <w:rPr>
                <w:rFonts w:hint="default" w:ascii="Cambria Math" w:hAnsi="Cambria Math"/>
                <w:color w:val="auto"/>
              </w:rPr>
            </m:ctrlPr>
          </m:num>
          <m:den>
            <m:sSub>
              <m:sSubPr>
                <m:ctrlPr>
                  <w:rPr>
                    <w:rFonts w:hint="default" w:ascii="Cambria Math" w:hAnsi="Cambria Math"/>
                    <w:color w:val="auto"/>
                  </w:rPr>
                </m:ctrlPr>
              </m:sSubPr>
              <m:e>
                <m:r>
                  <m:rPr>
                    <m:sty m:val="p"/>
                  </m:rPr>
                  <w:rPr>
                    <w:rFonts w:hint="default" w:ascii="Cambria Math" w:hAnsi="Cambria Math"/>
                    <w:color w:val="auto"/>
                  </w:rPr>
                  <m:t>X</m:t>
                </m:r>
                <m:ctrlPr>
                  <w:rPr>
                    <w:rFonts w:hint="default" w:ascii="Cambria Math" w:hAnsi="Cambria Math"/>
                    <w:color w:val="auto"/>
                  </w:rPr>
                </m:ctrlPr>
              </m:e>
              <m:sub>
                <m:r>
                  <m:rPr>
                    <m:sty m:val="p"/>
                  </m:rPr>
                  <w:rPr>
                    <w:rFonts w:hint="default" w:ascii="Cambria Math" w:hAnsi="Cambria Math"/>
                    <w:color w:val="auto"/>
                  </w:rPr>
                  <m:t>i</m:t>
                </m:r>
                <m:ctrlPr>
                  <w:rPr>
                    <w:rFonts w:hint="default" w:ascii="Cambria Math" w:hAnsi="Cambria Math"/>
                    <w:color w:val="auto"/>
                  </w:rPr>
                </m:ctrlPr>
              </m:sub>
            </m:sSub>
            <m:r>
              <m:rPr>
                <m:sty m:val="p"/>
              </m:rPr>
              <w:rPr>
                <w:rFonts w:hint="default" w:ascii="Cambria Math" w:hAnsi="Cambria Math"/>
                <w:color w:val="auto"/>
              </w:rPr>
              <m:t>∈</m:t>
            </m:r>
            <m:sSub>
              <m:sSubPr>
                <m:ctrlPr>
                  <w:rPr>
                    <w:rFonts w:hint="default" w:ascii="Cambria Math" w:hAnsi="Cambria Math"/>
                    <w:color w:val="auto"/>
                  </w:rPr>
                </m:ctrlPr>
              </m:sSubPr>
              <m:e>
                <m:r>
                  <m:rPr>
                    <m:sty m:val="p"/>
                  </m:rPr>
                  <w:rPr>
                    <w:rFonts w:hint="default" w:ascii="Cambria Math" w:hAnsi="Cambria Math"/>
                    <w:color w:val="auto"/>
                  </w:rPr>
                  <m:t>K</m:t>
                </m:r>
                <m:ctrlPr>
                  <w:rPr>
                    <w:rFonts w:hint="default" w:ascii="Cambria Math" w:hAnsi="Cambria Math"/>
                    <w:color w:val="auto"/>
                  </w:rPr>
                </m:ctrlPr>
              </m:e>
              <m:sub>
                <m:r>
                  <m:rPr>
                    <m:sty m:val="p"/>
                  </m:rPr>
                  <w:rPr>
                    <w:rFonts w:hint="default" w:ascii="Cambria Math" w:hAnsi="Cambria Math"/>
                    <w:color w:val="auto"/>
                  </w:rPr>
                  <m:t>i</m:t>
                </m:r>
                <m:ctrlPr>
                  <w:rPr>
                    <w:rFonts w:hint="default" w:ascii="Cambria Math" w:hAnsi="Cambria Math"/>
                    <w:color w:val="auto"/>
                  </w:rPr>
                </m:ctrlPr>
              </m:sub>
            </m:sSub>
            <m:sSup>
              <m:sSupPr>
                <m:ctrlPr>
                  <w:rPr>
                    <w:rFonts w:hint="default" w:ascii="Cambria Math" w:hAnsi="Cambria Math"/>
                    <w:color w:val="auto"/>
                  </w:rPr>
                </m:ctrlPr>
              </m:sSupPr>
              <m:e>
                <m:r>
                  <m:rPr>
                    <m:sty m:val="p"/>
                  </m:rPr>
                  <w:rPr>
                    <w:rFonts w:hint="default" w:ascii="Cambria Math" w:hAnsi="Cambria Math"/>
                    <w:color w:val="auto"/>
                  </w:rPr>
                  <m:t>2</m:t>
                </m:r>
                <m:ctrlPr>
                  <w:rPr>
                    <w:rFonts w:hint="default" w:ascii="Cambria Math" w:hAnsi="Cambria Math"/>
                    <w:color w:val="auto"/>
                  </w:rPr>
                </m:ctrlPr>
              </m:e>
              <m:sup>
                <m:sSub>
                  <m:sSubPr>
                    <m:ctrlPr>
                      <w:rPr>
                        <w:rFonts w:hint="default" w:ascii="Cambria Math" w:hAnsi="Cambria Math"/>
                        <w:color w:val="auto"/>
                      </w:rPr>
                    </m:ctrlPr>
                  </m:sSubPr>
                  <m:e>
                    <m:r>
                      <m:rPr>
                        <m:sty m:val="p"/>
                      </m:rPr>
                      <w:rPr>
                        <w:rFonts w:hint="default" w:ascii="Cambria Math" w:hAnsi="Cambria Math"/>
                        <w:color w:val="auto"/>
                      </w:rPr>
                      <m:t>n</m:t>
                    </m:r>
                    <m:ctrlPr>
                      <w:rPr>
                        <w:rFonts w:hint="default" w:ascii="Cambria Math" w:hAnsi="Cambria Math"/>
                        <w:color w:val="auto"/>
                      </w:rPr>
                    </m:ctrlPr>
                  </m:e>
                  <m:sub>
                    <m:r>
                      <m:rPr>
                        <m:sty m:val="p"/>
                      </m:rPr>
                      <w:rPr>
                        <w:rFonts w:hint="default" w:ascii="Cambria Math" w:hAnsi="Cambria Math"/>
                        <w:color w:val="auto"/>
                      </w:rPr>
                      <m:t>i</m:t>
                    </m:r>
                    <m:ctrlPr>
                      <w:rPr>
                        <w:rFonts w:hint="default" w:ascii="Cambria Math" w:hAnsi="Cambria Math"/>
                        <w:color w:val="auto"/>
                      </w:rPr>
                    </m:ctrlPr>
                  </m:sub>
                </m:sSub>
                <m:r>
                  <m:rPr>
                    <m:sty m:val="p"/>
                  </m:rPr>
                  <w:rPr>
                    <w:rFonts w:hint="default" w:ascii="Cambria Math" w:hAnsi="Cambria Math"/>
                    <w:color w:val="auto"/>
                  </w:rPr>
                  <m:t>−1</m:t>
                </m:r>
                <m:ctrlPr>
                  <w:rPr>
                    <w:rFonts w:hint="default" w:ascii="Cambria Math" w:hAnsi="Cambria Math"/>
                    <w:color w:val="auto"/>
                  </w:rPr>
                </m:ctrlPr>
              </m:sup>
            </m:sSup>
            <m:ctrlPr>
              <w:rPr>
                <w:rFonts w:hint="default" w:ascii="Cambria Math" w:hAnsi="Cambria Math"/>
                <w:color w:val="auto"/>
              </w:rPr>
            </m:ctrlPr>
          </m:den>
        </m:f>
      </m:oMath>
    </w:p>
    <w:p w14:paraId="683FF4D9">
      <w:pPr>
        <w:rPr>
          <w:rFonts w:hint="eastAsia"/>
          <w:color w:val="auto"/>
        </w:rPr>
      </w:pPr>
      <w:r>
        <w:rPr>
          <w:rFonts w:hint="eastAsia"/>
          <w:color w:val="auto"/>
        </w:rPr>
        <w:t>根据计算结果确定出结构重要度的次序。</w:t>
      </w:r>
    </w:p>
    <w:p w14:paraId="4DA3D140">
      <w:pPr>
        <w:rPr>
          <w:rFonts w:hint="eastAsia"/>
          <w:color w:val="auto"/>
        </w:rPr>
      </w:pPr>
      <w:r>
        <w:rPr>
          <w:rFonts w:hint="eastAsia"/>
          <w:color w:val="auto"/>
        </w:rPr>
        <w:t>根据公式可得到：I(1)=I(3)=I(4)=I(5)=I(6)=I(7)=I(8)=0.375</w:t>
      </w:r>
    </w:p>
    <w:p w14:paraId="6AD98031">
      <w:pPr>
        <w:rPr>
          <w:rFonts w:hint="eastAsia"/>
          <w:color w:val="auto"/>
        </w:rPr>
      </w:pPr>
      <w:r>
        <w:rPr>
          <w:rFonts w:hint="eastAsia"/>
          <w:color w:val="auto"/>
        </w:rPr>
        <w:t>I(2)=I(9)=1.125I(10)=I(11)=I(12)=0.875</w:t>
      </w:r>
    </w:p>
    <w:p w14:paraId="5A3C179A">
      <w:pPr>
        <w:rPr>
          <w:rFonts w:hint="eastAsia"/>
          <w:color w:val="auto"/>
        </w:rPr>
      </w:pPr>
      <w:r>
        <w:rPr>
          <w:rFonts w:hint="eastAsia"/>
          <w:color w:val="auto"/>
        </w:rPr>
        <w:t>结构重要度顺序为：</w:t>
      </w:r>
    </w:p>
    <w:p w14:paraId="1FEB3E07">
      <w:pPr>
        <w:rPr>
          <w:rFonts w:hint="eastAsia"/>
          <w:color w:val="auto"/>
        </w:rPr>
      </w:pPr>
      <w:r>
        <w:rPr>
          <w:rFonts w:hint="eastAsia"/>
          <w:color w:val="auto"/>
        </w:rPr>
        <w:t>I(1)=I(3)=I(4)=I(5)=I(6)=I(7)=I(8)＜I(10)=I(11)=I(12)＜I(2)=I(9)</w:t>
      </w:r>
    </w:p>
    <w:p w14:paraId="18EBC23C">
      <w:pPr>
        <w:rPr>
          <w:rFonts w:hint="eastAsia"/>
          <w:color w:val="auto"/>
        </w:rPr>
      </w:pPr>
      <w:r>
        <w:rPr>
          <w:rFonts w:hint="eastAsia"/>
          <w:color w:val="auto"/>
        </w:rPr>
        <w:t>（4）结论</w:t>
      </w:r>
    </w:p>
    <w:p w14:paraId="2908F700">
      <w:pPr>
        <w:rPr>
          <w:rFonts w:hint="eastAsia"/>
          <w:color w:val="auto"/>
        </w:rPr>
      </w:pPr>
      <w:r>
        <w:rPr>
          <w:rFonts w:hint="eastAsia"/>
          <w:color w:val="auto"/>
        </w:rPr>
        <w:t>该事故树共有21个最小割集，其中任何一个发生都会导致顶上事件的发生，通过分析可知，当未验电或未定期检验时，极易导致事故发生，在正常带电作业时，防护措施失效的情况下，也会导致事故的发生。</w:t>
      </w:r>
    </w:p>
    <w:p w14:paraId="20BB2A15">
      <w:pPr>
        <w:rPr>
          <w:rFonts w:hint="eastAsia"/>
          <w:color w:val="auto"/>
        </w:rPr>
      </w:pPr>
      <w:r>
        <w:rPr>
          <w:rFonts w:hint="eastAsia"/>
          <w:color w:val="auto"/>
        </w:rPr>
        <w:t>根据结构重要度分值的大小，可知接地可靠与正确使用安全防护用具及安全防护设施是防止触电事故的最重要环节，其次是严格执行作业中的监护制度和对系统中不带电体的绝缘性能的及时检查与修理，减少正常不带电部位意外带电的可能性。另外，充分的放电、严格的验电、可靠的防漏电保护和停电检修时对电线路作三相短路接地及电气设备线路定期检修等措施也是减少作业中触电事故的重要方法。在生产运行过程中，企业应根据实际情况，按照轻重缓急顺序对电气设备、防护设施、供电线路等进行定期检查维修，并进一步完善各项安全管理规章制度，加强对工作人员安全教育和培训，确保人身安全。</w:t>
      </w:r>
    </w:p>
    <w:p w14:paraId="1D514B98">
      <w:pPr>
        <w:pStyle w:val="4"/>
        <w:bidi w:val="0"/>
        <w:rPr>
          <w:rFonts w:hint="eastAsia"/>
          <w:color w:val="auto"/>
        </w:rPr>
      </w:pPr>
      <w:bookmarkStart w:id="211" w:name="_Toc17798"/>
      <w:bookmarkEnd w:id="211"/>
      <w:bookmarkStart w:id="212" w:name="_Toc10934"/>
      <w:bookmarkEnd w:id="212"/>
      <w:bookmarkStart w:id="213" w:name="_Toc23484"/>
      <w:r>
        <w:rPr>
          <w:rFonts w:hint="eastAsia"/>
          <w:color w:val="auto"/>
        </w:rPr>
        <w:t>5.4.3</w:t>
      </w:r>
      <w:r>
        <w:rPr>
          <w:rFonts w:hint="eastAsia"/>
          <w:color w:val="auto"/>
          <w:lang w:val="en-US" w:eastAsia="zh-CN"/>
        </w:rPr>
        <w:t xml:space="preserve"> </w:t>
      </w:r>
      <w:r>
        <w:rPr>
          <w:rFonts w:hint="eastAsia"/>
          <w:color w:val="auto"/>
        </w:rPr>
        <w:t>评价</w:t>
      </w:r>
      <w:r>
        <w:rPr>
          <w:rFonts w:hint="eastAsia"/>
          <w:color w:val="auto"/>
          <w:lang w:val="en-US" w:eastAsia="zh-CN"/>
        </w:rPr>
        <w:t>单元</w:t>
      </w:r>
      <w:r>
        <w:rPr>
          <w:rFonts w:hint="eastAsia"/>
          <w:color w:val="auto"/>
        </w:rPr>
        <w:t>小结</w:t>
      </w:r>
      <w:bookmarkEnd w:id="213"/>
    </w:p>
    <w:p w14:paraId="033B50AC">
      <w:pPr>
        <w:bidi w:val="0"/>
        <w:rPr>
          <w:rFonts w:hint="default"/>
          <w:color w:val="auto"/>
          <w:lang w:val="en-US" w:eastAsia="zh-CN"/>
        </w:rPr>
      </w:pPr>
      <w:r>
        <w:rPr>
          <w:rFonts w:hint="eastAsia"/>
          <w:color w:val="auto"/>
        </w:rPr>
        <w:t>经PHA预先危险性分析，本单元存在的危险有害因素等级为</w:t>
      </w:r>
      <w:r>
        <w:rPr>
          <w:rFonts w:hint="eastAsia"/>
          <w:color w:val="auto"/>
          <w:lang w:val="en-US" w:eastAsia="zh-CN"/>
        </w:rPr>
        <w:t>二</w:t>
      </w:r>
      <w:r>
        <w:rPr>
          <w:rFonts w:hint="eastAsia"/>
          <w:color w:val="auto"/>
        </w:rPr>
        <w:t>级</w:t>
      </w:r>
      <w:r>
        <w:rPr>
          <w:rFonts w:hint="eastAsia"/>
          <w:color w:val="auto"/>
          <w:lang w:eastAsia="zh-CN"/>
        </w:rPr>
        <w:t>。</w:t>
      </w:r>
      <w:r>
        <w:rPr>
          <w:rFonts w:hint="eastAsia"/>
          <w:color w:val="auto"/>
        </w:rPr>
        <w:t>该项目电负荷均属于三级用电负荷，无一、二级用电负荷，初步设计中明确了供电电源、计算负荷、供电方案、供配电系统、装备水平、主要设备选型及保护、控制措施、线路敷设、照明、防雷接地及通信等内容，供配电设施符合相关法律、法规的要求。</w:t>
      </w:r>
    </w:p>
    <w:p w14:paraId="50F6E148">
      <w:pPr>
        <w:pStyle w:val="3"/>
        <w:bidi w:val="0"/>
        <w:rPr>
          <w:rFonts w:hint="default"/>
          <w:color w:val="auto"/>
          <w:lang w:val="en-US" w:eastAsia="zh-CN"/>
        </w:rPr>
      </w:pPr>
      <w:bookmarkStart w:id="214" w:name="_Toc6173"/>
      <w:bookmarkStart w:id="215" w:name="_Toc27686"/>
      <w:r>
        <w:rPr>
          <w:rFonts w:hint="default"/>
          <w:color w:val="auto"/>
          <w:lang w:val="en-US" w:eastAsia="zh-CN"/>
        </w:rPr>
        <w:t>5.5 安全管理单元</w:t>
      </w:r>
      <w:bookmarkEnd w:id="214"/>
      <w:bookmarkEnd w:id="215"/>
    </w:p>
    <w:p w14:paraId="1204EBDA">
      <w:pPr>
        <w:bidi w:val="0"/>
        <w:rPr>
          <w:rFonts w:hint="default"/>
          <w:color w:val="auto"/>
          <w:lang w:val="en-US" w:eastAsia="zh-CN"/>
        </w:rPr>
      </w:pPr>
      <w:r>
        <w:rPr>
          <w:rFonts w:hint="default"/>
          <w:color w:val="auto"/>
          <w:lang w:val="en-US" w:eastAsia="zh-CN"/>
        </w:rPr>
        <w:t>安全生产管理工作是一项系统而复杂的工程。首先，要坚持</w:t>
      </w:r>
      <w:r>
        <w:rPr>
          <w:rFonts w:hint="eastAsia"/>
          <w:color w:val="auto"/>
          <w:lang w:val="en-US" w:eastAsia="zh-CN"/>
        </w:rPr>
        <w:t>“</w:t>
      </w:r>
      <w:r>
        <w:rPr>
          <w:rFonts w:hint="default"/>
          <w:color w:val="auto"/>
          <w:lang w:val="en-US" w:eastAsia="zh-CN"/>
        </w:rPr>
        <w:t>安全第一、预防为主、综合治理</w:t>
      </w:r>
      <w:r>
        <w:rPr>
          <w:rFonts w:hint="eastAsia"/>
          <w:color w:val="auto"/>
          <w:lang w:val="en-US" w:eastAsia="zh-CN"/>
        </w:rPr>
        <w:t>”</w:t>
      </w:r>
      <w:r>
        <w:rPr>
          <w:rFonts w:hint="default"/>
          <w:color w:val="auto"/>
          <w:lang w:val="en-US" w:eastAsia="zh-CN"/>
        </w:rPr>
        <w:t>的方针，各级领导和员工要从思想上对安全工作引起高度的重视，特别是在市场经济条件下要充分认识到安全就是效益，安全无小事。其次，要从制度上去规范员工的行为，建立健全安全生产管理规章制度、各级人员安全生产责任制及相关岗位的安全技术、操作规程。再次，要加强员工的安全教育及安全技能演练，提高安全素质。同时，应建立健全安全管理机构，明确责任人及其相应的安全管理职责。</w:t>
      </w:r>
    </w:p>
    <w:p w14:paraId="2FC7E19F">
      <w:pPr>
        <w:bidi w:val="0"/>
        <w:rPr>
          <w:rFonts w:hint="default"/>
          <w:color w:val="auto"/>
          <w:lang w:val="en-US" w:eastAsia="zh-CN"/>
        </w:rPr>
      </w:pPr>
      <w:r>
        <w:rPr>
          <w:rFonts w:hint="default"/>
          <w:color w:val="auto"/>
          <w:lang w:val="en-US" w:eastAsia="zh-CN"/>
        </w:rPr>
        <w:t>现对安全生产管理单元运用</w:t>
      </w:r>
      <w:r>
        <w:rPr>
          <w:rFonts w:hint="eastAsia"/>
          <w:color w:val="auto"/>
          <w:lang w:val="en-US" w:eastAsia="zh-CN"/>
        </w:rPr>
        <w:t>“</w:t>
      </w:r>
      <w:r>
        <w:rPr>
          <w:rFonts w:hint="default"/>
          <w:color w:val="auto"/>
          <w:lang w:val="en-US" w:eastAsia="zh-CN"/>
        </w:rPr>
        <w:t>预先性危险分析方法</w:t>
      </w:r>
      <w:r>
        <w:rPr>
          <w:rFonts w:hint="eastAsia"/>
          <w:color w:val="auto"/>
          <w:lang w:val="en-US" w:eastAsia="zh-CN"/>
        </w:rPr>
        <w:t>”</w:t>
      </w:r>
      <w:r>
        <w:rPr>
          <w:rFonts w:hint="default"/>
          <w:color w:val="auto"/>
          <w:lang w:val="en-US" w:eastAsia="zh-CN"/>
        </w:rPr>
        <w:t>进行辨识、评价如下：</w:t>
      </w:r>
    </w:p>
    <w:p w14:paraId="095C9EF3">
      <w:pPr>
        <w:pStyle w:val="4"/>
        <w:bidi w:val="0"/>
        <w:rPr>
          <w:rFonts w:hint="default"/>
          <w:color w:val="auto"/>
          <w:lang w:val="en-US" w:eastAsia="zh-CN"/>
        </w:rPr>
      </w:pPr>
      <w:bookmarkStart w:id="216" w:name="_Toc23280"/>
      <w:r>
        <w:rPr>
          <w:rFonts w:hint="default"/>
          <w:color w:val="auto"/>
          <w:lang w:val="en-US" w:eastAsia="zh-CN"/>
        </w:rPr>
        <w:t>5.5.1 安全管理预先危险性分析（PHA）</w:t>
      </w:r>
      <w:bookmarkEnd w:id="216"/>
    </w:p>
    <w:p w14:paraId="50F955CC">
      <w:pPr>
        <w:pStyle w:val="18"/>
        <w:bidi w:val="0"/>
        <w:rPr>
          <w:rFonts w:hint="default"/>
          <w:color w:val="auto"/>
          <w:lang w:val="en-US" w:eastAsia="zh-CN"/>
        </w:rPr>
      </w:pPr>
      <w:r>
        <w:rPr>
          <w:rFonts w:hint="default"/>
          <w:color w:val="auto"/>
          <w:lang w:val="en-US" w:eastAsia="zh-CN"/>
        </w:rPr>
        <w:t>表5</w:t>
      </w:r>
      <w:r>
        <w:rPr>
          <w:rFonts w:hint="eastAsia"/>
          <w:color w:val="auto"/>
          <w:lang w:val="en-US" w:eastAsia="zh-CN"/>
        </w:rPr>
        <w:t>.5</w:t>
      </w:r>
      <w:r>
        <w:rPr>
          <w:rFonts w:hint="default"/>
          <w:color w:val="auto"/>
          <w:lang w:val="en-US" w:eastAsia="zh-CN"/>
        </w:rPr>
        <w:t>-1  安全管理预先危险性分析表</w:t>
      </w:r>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8"/>
        <w:gridCol w:w="999"/>
        <w:gridCol w:w="2141"/>
        <w:gridCol w:w="1857"/>
        <w:gridCol w:w="713"/>
        <w:gridCol w:w="2581"/>
      </w:tblGrid>
      <w:tr w14:paraId="60039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blHeader/>
          <w:jc w:val="center"/>
        </w:trPr>
        <w:tc>
          <w:tcPr>
            <w:tcW w:w="589" w:type="pct"/>
            <w:noWrap w:val="0"/>
            <w:vAlign w:val="center"/>
          </w:tcPr>
          <w:p w14:paraId="2DDA6B8A">
            <w:pPr>
              <w:pStyle w:val="19"/>
              <w:bidi w:val="0"/>
              <w:rPr>
                <w:rFonts w:hint="default"/>
                <w:b/>
                <w:bCs/>
                <w:color w:val="auto"/>
              </w:rPr>
            </w:pPr>
            <w:r>
              <w:rPr>
                <w:rFonts w:hint="default"/>
                <w:b/>
                <w:bCs/>
                <w:color w:val="auto"/>
              </w:rPr>
              <w:t>分析项目</w:t>
            </w:r>
          </w:p>
        </w:tc>
        <w:tc>
          <w:tcPr>
            <w:tcW w:w="531" w:type="pct"/>
            <w:noWrap w:val="0"/>
            <w:vAlign w:val="center"/>
          </w:tcPr>
          <w:p w14:paraId="0DCF47F6">
            <w:pPr>
              <w:pStyle w:val="19"/>
              <w:bidi w:val="0"/>
              <w:rPr>
                <w:rFonts w:hint="default"/>
                <w:b/>
                <w:bCs/>
                <w:color w:val="auto"/>
              </w:rPr>
            </w:pPr>
            <w:r>
              <w:rPr>
                <w:rFonts w:hint="default"/>
                <w:b/>
                <w:bCs/>
                <w:color w:val="auto"/>
              </w:rPr>
              <w:t>危险因素</w:t>
            </w:r>
          </w:p>
        </w:tc>
        <w:tc>
          <w:tcPr>
            <w:tcW w:w="1138" w:type="pct"/>
            <w:noWrap w:val="0"/>
            <w:vAlign w:val="center"/>
          </w:tcPr>
          <w:p w14:paraId="3DA9C67C">
            <w:pPr>
              <w:pStyle w:val="19"/>
              <w:bidi w:val="0"/>
              <w:rPr>
                <w:rFonts w:hint="default"/>
                <w:b/>
                <w:bCs/>
                <w:color w:val="auto"/>
              </w:rPr>
            </w:pPr>
            <w:r>
              <w:rPr>
                <w:rFonts w:hint="default"/>
                <w:b/>
                <w:bCs/>
                <w:color w:val="auto"/>
              </w:rPr>
              <w:t>诱导因素</w:t>
            </w:r>
          </w:p>
        </w:tc>
        <w:tc>
          <w:tcPr>
            <w:tcW w:w="987" w:type="pct"/>
            <w:noWrap w:val="0"/>
            <w:vAlign w:val="center"/>
          </w:tcPr>
          <w:p w14:paraId="64F00562">
            <w:pPr>
              <w:pStyle w:val="19"/>
              <w:bidi w:val="0"/>
              <w:rPr>
                <w:rFonts w:hint="default"/>
                <w:b/>
                <w:bCs/>
                <w:color w:val="auto"/>
              </w:rPr>
            </w:pPr>
            <w:r>
              <w:rPr>
                <w:rFonts w:hint="default"/>
                <w:b/>
                <w:bCs/>
                <w:color w:val="auto"/>
              </w:rPr>
              <w:t>事故的后果</w:t>
            </w:r>
          </w:p>
        </w:tc>
        <w:tc>
          <w:tcPr>
            <w:tcW w:w="379" w:type="pct"/>
            <w:noWrap w:val="0"/>
            <w:vAlign w:val="center"/>
          </w:tcPr>
          <w:p w14:paraId="5639EAFA">
            <w:pPr>
              <w:pStyle w:val="19"/>
              <w:bidi w:val="0"/>
              <w:rPr>
                <w:rFonts w:hint="default"/>
                <w:b/>
                <w:bCs/>
                <w:color w:val="auto"/>
              </w:rPr>
            </w:pPr>
            <w:r>
              <w:rPr>
                <w:rFonts w:hint="default"/>
                <w:b/>
                <w:bCs/>
                <w:color w:val="auto"/>
              </w:rPr>
              <w:t>危险</w:t>
            </w:r>
          </w:p>
          <w:p w14:paraId="44D1D729">
            <w:pPr>
              <w:pStyle w:val="19"/>
              <w:bidi w:val="0"/>
              <w:rPr>
                <w:rFonts w:hint="default"/>
                <w:b/>
                <w:bCs/>
                <w:color w:val="auto"/>
              </w:rPr>
            </w:pPr>
            <w:r>
              <w:rPr>
                <w:rFonts w:hint="default"/>
                <w:b/>
                <w:bCs/>
                <w:color w:val="auto"/>
              </w:rPr>
              <w:t>等级</w:t>
            </w:r>
          </w:p>
        </w:tc>
        <w:tc>
          <w:tcPr>
            <w:tcW w:w="1372" w:type="pct"/>
            <w:noWrap w:val="0"/>
            <w:vAlign w:val="center"/>
          </w:tcPr>
          <w:p w14:paraId="13AE43DD">
            <w:pPr>
              <w:pStyle w:val="19"/>
              <w:bidi w:val="0"/>
              <w:rPr>
                <w:rFonts w:hint="default"/>
                <w:b/>
                <w:bCs/>
                <w:color w:val="auto"/>
              </w:rPr>
            </w:pPr>
            <w:r>
              <w:rPr>
                <w:rFonts w:hint="default"/>
                <w:b/>
                <w:bCs/>
                <w:color w:val="auto"/>
              </w:rPr>
              <w:t>技术措施及建议</w:t>
            </w:r>
          </w:p>
        </w:tc>
      </w:tr>
      <w:tr w14:paraId="6DC01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 w:type="pct"/>
            <w:noWrap w:val="0"/>
            <w:vAlign w:val="center"/>
          </w:tcPr>
          <w:p w14:paraId="2EEFCA09">
            <w:pPr>
              <w:pStyle w:val="19"/>
              <w:bidi w:val="0"/>
              <w:rPr>
                <w:rFonts w:hint="default"/>
                <w:color w:val="auto"/>
              </w:rPr>
            </w:pPr>
            <w:r>
              <w:rPr>
                <w:rFonts w:hint="default"/>
                <w:color w:val="auto"/>
              </w:rPr>
              <w:t>机构设置</w:t>
            </w:r>
          </w:p>
        </w:tc>
        <w:tc>
          <w:tcPr>
            <w:tcW w:w="531" w:type="pct"/>
            <w:noWrap w:val="0"/>
            <w:vAlign w:val="center"/>
          </w:tcPr>
          <w:p w14:paraId="35F1AAE6">
            <w:pPr>
              <w:pStyle w:val="19"/>
              <w:bidi w:val="0"/>
              <w:rPr>
                <w:rFonts w:hint="default"/>
                <w:color w:val="auto"/>
              </w:rPr>
            </w:pPr>
            <w:r>
              <w:rPr>
                <w:rFonts w:hint="default"/>
                <w:color w:val="auto"/>
              </w:rPr>
              <w:t>各种</w:t>
            </w:r>
          </w:p>
          <w:p w14:paraId="11E750EF">
            <w:pPr>
              <w:pStyle w:val="19"/>
              <w:bidi w:val="0"/>
              <w:rPr>
                <w:rFonts w:hint="default"/>
                <w:color w:val="auto"/>
              </w:rPr>
            </w:pPr>
            <w:r>
              <w:rPr>
                <w:rFonts w:hint="default"/>
                <w:color w:val="auto"/>
              </w:rPr>
              <w:t>事故</w:t>
            </w:r>
          </w:p>
        </w:tc>
        <w:tc>
          <w:tcPr>
            <w:tcW w:w="1138" w:type="pct"/>
            <w:noWrap w:val="0"/>
            <w:vAlign w:val="center"/>
          </w:tcPr>
          <w:p w14:paraId="7D4A2B6D">
            <w:pPr>
              <w:pStyle w:val="19"/>
              <w:bidi w:val="0"/>
              <w:rPr>
                <w:rFonts w:hint="default"/>
                <w:color w:val="auto"/>
              </w:rPr>
            </w:pPr>
            <w:r>
              <w:rPr>
                <w:rFonts w:hint="default"/>
                <w:color w:val="auto"/>
              </w:rPr>
              <w:t>安全管理机构不健全</w:t>
            </w:r>
          </w:p>
        </w:tc>
        <w:tc>
          <w:tcPr>
            <w:tcW w:w="987" w:type="pct"/>
            <w:noWrap w:val="0"/>
            <w:vAlign w:val="center"/>
          </w:tcPr>
          <w:p w14:paraId="5B811A97">
            <w:pPr>
              <w:pStyle w:val="19"/>
              <w:bidi w:val="0"/>
              <w:rPr>
                <w:rFonts w:hint="eastAsia" w:eastAsia="宋体"/>
                <w:color w:val="auto"/>
                <w:lang w:eastAsia="zh-CN"/>
              </w:rPr>
            </w:pPr>
            <w:r>
              <w:rPr>
                <w:rFonts w:hint="default"/>
                <w:color w:val="auto"/>
              </w:rPr>
              <w:t>人员伤亡、设备损坏、影响生产</w:t>
            </w:r>
          </w:p>
        </w:tc>
        <w:tc>
          <w:tcPr>
            <w:tcW w:w="379" w:type="pct"/>
            <w:noWrap w:val="0"/>
            <w:vAlign w:val="center"/>
          </w:tcPr>
          <w:p w14:paraId="745B1F55">
            <w:pPr>
              <w:pStyle w:val="19"/>
              <w:bidi w:val="0"/>
              <w:rPr>
                <w:rFonts w:hint="default"/>
                <w:color w:val="auto"/>
              </w:rPr>
            </w:pPr>
            <w:r>
              <w:rPr>
                <w:rFonts w:hint="default"/>
                <w:color w:val="auto"/>
              </w:rPr>
              <w:t>Ⅱ</w:t>
            </w:r>
          </w:p>
        </w:tc>
        <w:tc>
          <w:tcPr>
            <w:tcW w:w="1372" w:type="pct"/>
            <w:noWrap w:val="0"/>
            <w:vAlign w:val="center"/>
          </w:tcPr>
          <w:p w14:paraId="60D977FA">
            <w:pPr>
              <w:pStyle w:val="19"/>
              <w:bidi w:val="0"/>
              <w:rPr>
                <w:rFonts w:hint="default"/>
                <w:color w:val="auto"/>
              </w:rPr>
            </w:pPr>
            <w:r>
              <w:rPr>
                <w:rFonts w:hint="default"/>
                <w:color w:val="auto"/>
              </w:rPr>
              <w:t>建立健全安全管理机构。</w:t>
            </w:r>
          </w:p>
        </w:tc>
      </w:tr>
      <w:tr w14:paraId="3D079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589" w:type="pct"/>
            <w:noWrap w:val="0"/>
            <w:vAlign w:val="center"/>
          </w:tcPr>
          <w:p w14:paraId="78B9D6B3">
            <w:pPr>
              <w:pStyle w:val="19"/>
              <w:bidi w:val="0"/>
              <w:rPr>
                <w:rFonts w:hint="default"/>
                <w:color w:val="auto"/>
              </w:rPr>
            </w:pPr>
            <w:r>
              <w:rPr>
                <w:rFonts w:hint="default"/>
                <w:color w:val="auto"/>
              </w:rPr>
              <w:t>安全管理人员</w:t>
            </w:r>
          </w:p>
        </w:tc>
        <w:tc>
          <w:tcPr>
            <w:tcW w:w="531" w:type="pct"/>
            <w:noWrap w:val="0"/>
            <w:vAlign w:val="center"/>
          </w:tcPr>
          <w:p w14:paraId="62653144">
            <w:pPr>
              <w:pStyle w:val="19"/>
              <w:bidi w:val="0"/>
              <w:rPr>
                <w:rFonts w:hint="default"/>
                <w:color w:val="auto"/>
              </w:rPr>
            </w:pPr>
            <w:r>
              <w:rPr>
                <w:rFonts w:hint="default"/>
                <w:color w:val="auto"/>
              </w:rPr>
              <w:t>各种</w:t>
            </w:r>
          </w:p>
          <w:p w14:paraId="26DD1748">
            <w:pPr>
              <w:pStyle w:val="19"/>
              <w:bidi w:val="0"/>
              <w:rPr>
                <w:rFonts w:hint="default"/>
                <w:color w:val="auto"/>
              </w:rPr>
            </w:pPr>
            <w:r>
              <w:rPr>
                <w:rFonts w:hint="default"/>
                <w:color w:val="auto"/>
              </w:rPr>
              <w:t>事故</w:t>
            </w:r>
          </w:p>
        </w:tc>
        <w:tc>
          <w:tcPr>
            <w:tcW w:w="1138" w:type="pct"/>
            <w:noWrap w:val="0"/>
            <w:vAlign w:val="center"/>
          </w:tcPr>
          <w:p w14:paraId="62D6F359">
            <w:pPr>
              <w:pStyle w:val="19"/>
              <w:bidi w:val="0"/>
              <w:rPr>
                <w:rFonts w:hint="default"/>
                <w:color w:val="auto"/>
              </w:rPr>
            </w:pPr>
            <w:r>
              <w:rPr>
                <w:rFonts w:hint="default"/>
                <w:color w:val="auto"/>
              </w:rPr>
              <w:t>未配备安全管理人员</w:t>
            </w:r>
          </w:p>
        </w:tc>
        <w:tc>
          <w:tcPr>
            <w:tcW w:w="987" w:type="pct"/>
            <w:noWrap w:val="0"/>
            <w:vAlign w:val="center"/>
          </w:tcPr>
          <w:p w14:paraId="6D243398">
            <w:pPr>
              <w:pStyle w:val="19"/>
              <w:bidi w:val="0"/>
              <w:rPr>
                <w:rFonts w:hint="eastAsia" w:eastAsia="宋体"/>
                <w:color w:val="auto"/>
                <w:lang w:eastAsia="zh-CN"/>
              </w:rPr>
            </w:pPr>
            <w:r>
              <w:rPr>
                <w:rFonts w:hint="default"/>
                <w:color w:val="auto"/>
              </w:rPr>
              <w:t>人员伤亡、设备损坏、影响生产</w:t>
            </w:r>
          </w:p>
        </w:tc>
        <w:tc>
          <w:tcPr>
            <w:tcW w:w="379" w:type="pct"/>
            <w:noWrap w:val="0"/>
            <w:vAlign w:val="center"/>
          </w:tcPr>
          <w:p w14:paraId="566AB66B">
            <w:pPr>
              <w:pStyle w:val="19"/>
              <w:bidi w:val="0"/>
              <w:rPr>
                <w:rFonts w:hint="default"/>
                <w:color w:val="auto"/>
              </w:rPr>
            </w:pPr>
            <w:r>
              <w:rPr>
                <w:rFonts w:hint="default"/>
                <w:color w:val="auto"/>
              </w:rPr>
              <w:t>Ⅱ</w:t>
            </w:r>
          </w:p>
        </w:tc>
        <w:tc>
          <w:tcPr>
            <w:tcW w:w="1372" w:type="pct"/>
            <w:noWrap w:val="0"/>
            <w:vAlign w:val="center"/>
          </w:tcPr>
          <w:p w14:paraId="14A6C234">
            <w:pPr>
              <w:pStyle w:val="19"/>
              <w:bidi w:val="0"/>
              <w:rPr>
                <w:rFonts w:hint="default"/>
                <w:color w:val="auto"/>
              </w:rPr>
            </w:pPr>
            <w:r>
              <w:rPr>
                <w:rFonts w:hint="default"/>
                <w:color w:val="auto"/>
              </w:rPr>
              <w:t>配备安全管理人员。</w:t>
            </w:r>
          </w:p>
        </w:tc>
      </w:tr>
      <w:tr w14:paraId="08C22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jc w:val="center"/>
        </w:trPr>
        <w:tc>
          <w:tcPr>
            <w:tcW w:w="589" w:type="pct"/>
            <w:noWrap w:val="0"/>
            <w:vAlign w:val="center"/>
          </w:tcPr>
          <w:p w14:paraId="6EA701BB">
            <w:pPr>
              <w:pStyle w:val="19"/>
              <w:bidi w:val="0"/>
              <w:rPr>
                <w:rFonts w:hint="default"/>
                <w:color w:val="auto"/>
              </w:rPr>
            </w:pPr>
            <w:r>
              <w:rPr>
                <w:rFonts w:hint="default"/>
                <w:color w:val="auto"/>
              </w:rPr>
              <w:t>特种</w:t>
            </w:r>
          </w:p>
          <w:p w14:paraId="40230BF3">
            <w:pPr>
              <w:pStyle w:val="19"/>
              <w:bidi w:val="0"/>
              <w:rPr>
                <w:rFonts w:hint="default"/>
                <w:color w:val="auto"/>
              </w:rPr>
            </w:pPr>
            <w:r>
              <w:rPr>
                <w:rFonts w:hint="default"/>
                <w:color w:val="auto"/>
              </w:rPr>
              <w:t>作业人员</w:t>
            </w:r>
          </w:p>
        </w:tc>
        <w:tc>
          <w:tcPr>
            <w:tcW w:w="531" w:type="pct"/>
            <w:noWrap w:val="0"/>
            <w:vAlign w:val="center"/>
          </w:tcPr>
          <w:p w14:paraId="6174A92E">
            <w:pPr>
              <w:pStyle w:val="19"/>
              <w:bidi w:val="0"/>
              <w:rPr>
                <w:rFonts w:hint="default"/>
                <w:color w:val="auto"/>
              </w:rPr>
            </w:pPr>
            <w:r>
              <w:rPr>
                <w:rFonts w:hint="default"/>
                <w:color w:val="auto"/>
              </w:rPr>
              <w:t>各种</w:t>
            </w:r>
          </w:p>
          <w:p w14:paraId="5AD6CF34">
            <w:pPr>
              <w:pStyle w:val="19"/>
              <w:bidi w:val="0"/>
              <w:rPr>
                <w:rFonts w:hint="default"/>
                <w:color w:val="auto"/>
              </w:rPr>
            </w:pPr>
            <w:r>
              <w:rPr>
                <w:rFonts w:hint="default"/>
                <w:color w:val="auto"/>
              </w:rPr>
              <w:t>事故</w:t>
            </w:r>
          </w:p>
        </w:tc>
        <w:tc>
          <w:tcPr>
            <w:tcW w:w="1138" w:type="pct"/>
            <w:noWrap w:val="0"/>
            <w:vAlign w:val="center"/>
          </w:tcPr>
          <w:p w14:paraId="52866CA7">
            <w:pPr>
              <w:pStyle w:val="19"/>
              <w:bidi w:val="0"/>
              <w:rPr>
                <w:rFonts w:hint="default"/>
                <w:color w:val="auto"/>
              </w:rPr>
            </w:pPr>
            <w:r>
              <w:rPr>
                <w:rFonts w:hint="default"/>
                <w:color w:val="auto"/>
              </w:rPr>
              <w:t>不了解作业程序，引起误操作</w:t>
            </w:r>
          </w:p>
        </w:tc>
        <w:tc>
          <w:tcPr>
            <w:tcW w:w="987" w:type="pct"/>
            <w:noWrap w:val="0"/>
            <w:vAlign w:val="center"/>
          </w:tcPr>
          <w:p w14:paraId="6A1F8625">
            <w:pPr>
              <w:pStyle w:val="19"/>
              <w:bidi w:val="0"/>
              <w:rPr>
                <w:rFonts w:hint="default"/>
                <w:color w:val="auto"/>
              </w:rPr>
            </w:pPr>
            <w:r>
              <w:rPr>
                <w:rFonts w:hint="default"/>
                <w:color w:val="auto"/>
              </w:rPr>
              <w:t>造成未遂事故或重大事故，人员伤亡、设备损失</w:t>
            </w:r>
          </w:p>
        </w:tc>
        <w:tc>
          <w:tcPr>
            <w:tcW w:w="379" w:type="pct"/>
            <w:noWrap w:val="0"/>
            <w:vAlign w:val="center"/>
          </w:tcPr>
          <w:p w14:paraId="2D7C1C08">
            <w:pPr>
              <w:pStyle w:val="19"/>
              <w:bidi w:val="0"/>
              <w:rPr>
                <w:rFonts w:hint="default"/>
                <w:color w:val="auto"/>
              </w:rPr>
            </w:pPr>
            <w:r>
              <w:rPr>
                <w:rFonts w:hint="default"/>
                <w:color w:val="auto"/>
              </w:rPr>
              <w:fldChar w:fldCharType="begin"/>
            </w:r>
            <w:r>
              <w:rPr>
                <w:rFonts w:hint="default"/>
                <w:color w:val="auto"/>
              </w:rPr>
              <w:instrText xml:space="preserve"> = 4 \* ROMAN </w:instrText>
            </w:r>
            <w:r>
              <w:rPr>
                <w:rFonts w:hint="default"/>
                <w:color w:val="auto"/>
              </w:rPr>
              <w:fldChar w:fldCharType="separate"/>
            </w:r>
            <w:r>
              <w:rPr>
                <w:rFonts w:hint="default"/>
                <w:color w:val="auto"/>
              </w:rPr>
              <w:t>IV</w:t>
            </w:r>
            <w:r>
              <w:rPr>
                <w:rFonts w:hint="default"/>
                <w:color w:val="auto"/>
              </w:rPr>
              <w:fldChar w:fldCharType="end"/>
            </w:r>
          </w:p>
        </w:tc>
        <w:tc>
          <w:tcPr>
            <w:tcW w:w="1372" w:type="pct"/>
            <w:noWrap w:val="0"/>
            <w:vAlign w:val="center"/>
          </w:tcPr>
          <w:p w14:paraId="242D1EF9">
            <w:pPr>
              <w:pStyle w:val="19"/>
              <w:bidi w:val="0"/>
              <w:rPr>
                <w:rFonts w:hint="default"/>
                <w:color w:val="auto"/>
              </w:rPr>
            </w:pPr>
            <w:r>
              <w:rPr>
                <w:rFonts w:hint="default"/>
                <w:color w:val="auto"/>
              </w:rPr>
              <w:t>特种作业人员必须接受专门的技术培训，经考核合格取得操作资格证书后，方可上岗作业。</w:t>
            </w:r>
          </w:p>
        </w:tc>
      </w:tr>
      <w:tr w14:paraId="1A87E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 w:type="pct"/>
            <w:noWrap w:val="0"/>
            <w:vAlign w:val="center"/>
          </w:tcPr>
          <w:p w14:paraId="26FA428C">
            <w:pPr>
              <w:pStyle w:val="19"/>
              <w:bidi w:val="0"/>
              <w:rPr>
                <w:rFonts w:hint="default"/>
                <w:color w:val="auto"/>
              </w:rPr>
            </w:pPr>
            <w:r>
              <w:rPr>
                <w:rFonts w:hint="default"/>
                <w:color w:val="auto"/>
              </w:rPr>
              <w:t>规章制度与安全操作规程</w:t>
            </w:r>
          </w:p>
        </w:tc>
        <w:tc>
          <w:tcPr>
            <w:tcW w:w="531" w:type="pct"/>
            <w:noWrap w:val="0"/>
            <w:vAlign w:val="center"/>
          </w:tcPr>
          <w:p w14:paraId="5306C948">
            <w:pPr>
              <w:pStyle w:val="19"/>
              <w:bidi w:val="0"/>
              <w:rPr>
                <w:rFonts w:hint="default"/>
                <w:color w:val="auto"/>
              </w:rPr>
            </w:pPr>
            <w:r>
              <w:rPr>
                <w:rFonts w:hint="default"/>
                <w:color w:val="auto"/>
              </w:rPr>
              <w:t>各种</w:t>
            </w:r>
          </w:p>
          <w:p w14:paraId="79F6E93C">
            <w:pPr>
              <w:pStyle w:val="19"/>
              <w:bidi w:val="0"/>
              <w:rPr>
                <w:rFonts w:hint="default"/>
                <w:color w:val="auto"/>
              </w:rPr>
            </w:pPr>
            <w:r>
              <w:rPr>
                <w:rFonts w:hint="default"/>
                <w:color w:val="auto"/>
              </w:rPr>
              <w:t>事故</w:t>
            </w:r>
          </w:p>
        </w:tc>
        <w:tc>
          <w:tcPr>
            <w:tcW w:w="1138" w:type="pct"/>
            <w:noWrap w:val="0"/>
            <w:vAlign w:val="center"/>
          </w:tcPr>
          <w:p w14:paraId="3B120C8B">
            <w:pPr>
              <w:pStyle w:val="19"/>
              <w:bidi w:val="0"/>
              <w:rPr>
                <w:rFonts w:hint="default"/>
                <w:color w:val="auto"/>
              </w:rPr>
            </w:pPr>
            <w:r>
              <w:rPr>
                <w:rFonts w:hint="default"/>
                <w:color w:val="auto"/>
              </w:rPr>
              <w:t>安全管理制度和安全操作规程不健全或执行情况差</w:t>
            </w:r>
          </w:p>
        </w:tc>
        <w:tc>
          <w:tcPr>
            <w:tcW w:w="987" w:type="pct"/>
            <w:noWrap w:val="0"/>
            <w:vAlign w:val="center"/>
          </w:tcPr>
          <w:p w14:paraId="41666021">
            <w:pPr>
              <w:pStyle w:val="19"/>
              <w:bidi w:val="0"/>
              <w:rPr>
                <w:rFonts w:hint="eastAsia" w:eastAsia="宋体"/>
                <w:color w:val="auto"/>
                <w:lang w:eastAsia="zh-CN"/>
              </w:rPr>
            </w:pPr>
            <w:r>
              <w:rPr>
                <w:rFonts w:hint="default"/>
                <w:color w:val="auto"/>
              </w:rPr>
              <w:t>人员伤亡、设备损坏、影响生产</w:t>
            </w:r>
          </w:p>
        </w:tc>
        <w:tc>
          <w:tcPr>
            <w:tcW w:w="379" w:type="pct"/>
            <w:noWrap w:val="0"/>
            <w:vAlign w:val="center"/>
          </w:tcPr>
          <w:p w14:paraId="5C0164C6">
            <w:pPr>
              <w:pStyle w:val="19"/>
              <w:bidi w:val="0"/>
              <w:rPr>
                <w:rFonts w:hint="default"/>
                <w:color w:val="auto"/>
              </w:rPr>
            </w:pPr>
            <w:r>
              <w:rPr>
                <w:rFonts w:hint="default"/>
                <w:color w:val="auto"/>
              </w:rPr>
              <w:t>Ⅱ</w:t>
            </w:r>
          </w:p>
        </w:tc>
        <w:tc>
          <w:tcPr>
            <w:tcW w:w="1372" w:type="pct"/>
            <w:noWrap w:val="0"/>
            <w:vAlign w:val="center"/>
          </w:tcPr>
          <w:p w14:paraId="60812369">
            <w:pPr>
              <w:pStyle w:val="19"/>
              <w:bidi w:val="0"/>
              <w:rPr>
                <w:rFonts w:hint="default"/>
                <w:color w:val="auto"/>
              </w:rPr>
            </w:pPr>
            <w:r>
              <w:rPr>
                <w:rFonts w:hint="default"/>
                <w:color w:val="auto"/>
              </w:rPr>
              <w:t>建议健全各项安全管理制度、安全生产责任制和安全操作规程，并严格执行。</w:t>
            </w:r>
          </w:p>
        </w:tc>
      </w:tr>
      <w:tr w14:paraId="4302D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 w:type="pct"/>
            <w:noWrap w:val="0"/>
            <w:vAlign w:val="center"/>
          </w:tcPr>
          <w:p w14:paraId="54741E27">
            <w:pPr>
              <w:pStyle w:val="19"/>
              <w:bidi w:val="0"/>
              <w:rPr>
                <w:rFonts w:hint="default"/>
                <w:color w:val="auto"/>
              </w:rPr>
            </w:pPr>
            <w:r>
              <w:rPr>
                <w:rFonts w:hint="default"/>
                <w:color w:val="auto"/>
              </w:rPr>
              <w:t>安全教育与培训</w:t>
            </w:r>
          </w:p>
        </w:tc>
        <w:tc>
          <w:tcPr>
            <w:tcW w:w="531" w:type="pct"/>
            <w:noWrap w:val="0"/>
            <w:vAlign w:val="center"/>
          </w:tcPr>
          <w:p w14:paraId="55E99F63">
            <w:pPr>
              <w:pStyle w:val="19"/>
              <w:bidi w:val="0"/>
              <w:rPr>
                <w:rFonts w:hint="default"/>
                <w:color w:val="auto"/>
              </w:rPr>
            </w:pPr>
            <w:r>
              <w:rPr>
                <w:rFonts w:hint="default"/>
                <w:color w:val="auto"/>
              </w:rPr>
              <w:t>各种</w:t>
            </w:r>
          </w:p>
          <w:p w14:paraId="28222FD3">
            <w:pPr>
              <w:pStyle w:val="19"/>
              <w:bidi w:val="0"/>
              <w:rPr>
                <w:rFonts w:hint="default"/>
                <w:color w:val="auto"/>
              </w:rPr>
            </w:pPr>
            <w:r>
              <w:rPr>
                <w:rFonts w:hint="default"/>
                <w:color w:val="auto"/>
              </w:rPr>
              <w:t>事故</w:t>
            </w:r>
          </w:p>
        </w:tc>
        <w:tc>
          <w:tcPr>
            <w:tcW w:w="1138" w:type="pct"/>
            <w:noWrap w:val="0"/>
            <w:vAlign w:val="center"/>
          </w:tcPr>
          <w:p w14:paraId="7A3569DD">
            <w:pPr>
              <w:pStyle w:val="19"/>
              <w:bidi w:val="0"/>
              <w:rPr>
                <w:rFonts w:hint="default"/>
                <w:color w:val="auto"/>
              </w:rPr>
            </w:pPr>
            <w:r>
              <w:rPr>
                <w:rFonts w:hint="default"/>
                <w:color w:val="auto"/>
              </w:rPr>
              <w:t>安全教育与培训情况差或无安全教育与培训</w:t>
            </w:r>
          </w:p>
        </w:tc>
        <w:tc>
          <w:tcPr>
            <w:tcW w:w="987" w:type="pct"/>
            <w:noWrap w:val="0"/>
            <w:vAlign w:val="center"/>
          </w:tcPr>
          <w:p w14:paraId="6C19E29B">
            <w:pPr>
              <w:pStyle w:val="19"/>
              <w:bidi w:val="0"/>
              <w:rPr>
                <w:rFonts w:hint="default"/>
                <w:color w:val="auto"/>
              </w:rPr>
            </w:pPr>
            <w:r>
              <w:rPr>
                <w:rFonts w:hint="default"/>
                <w:color w:val="auto"/>
              </w:rPr>
              <w:t>人员伤亡、设备损坏、影响生产</w:t>
            </w:r>
          </w:p>
        </w:tc>
        <w:tc>
          <w:tcPr>
            <w:tcW w:w="379" w:type="pct"/>
            <w:noWrap w:val="0"/>
            <w:vAlign w:val="center"/>
          </w:tcPr>
          <w:p w14:paraId="042E4241">
            <w:pPr>
              <w:pStyle w:val="19"/>
              <w:bidi w:val="0"/>
              <w:rPr>
                <w:rFonts w:hint="default"/>
                <w:color w:val="auto"/>
              </w:rPr>
            </w:pPr>
            <w:r>
              <w:rPr>
                <w:rFonts w:hint="default"/>
                <w:color w:val="auto"/>
              </w:rPr>
              <w:t>Ⅱ</w:t>
            </w:r>
          </w:p>
        </w:tc>
        <w:tc>
          <w:tcPr>
            <w:tcW w:w="1372" w:type="pct"/>
            <w:noWrap w:val="0"/>
            <w:vAlign w:val="center"/>
          </w:tcPr>
          <w:p w14:paraId="2D42BC86">
            <w:pPr>
              <w:pStyle w:val="19"/>
              <w:bidi w:val="0"/>
              <w:rPr>
                <w:rFonts w:hint="default"/>
                <w:color w:val="auto"/>
              </w:rPr>
            </w:pPr>
            <w:r>
              <w:rPr>
                <w:rFonts w:hint="default"/>
                <w:color w:val="auto"/>
              </w:rPr>
              <w:t>对职工进行三级安全教育；采用新工艺、新技术、新材料和新设备时对职工进行专门培训。</w:t>
            </w:r>
          </w:p>
        </w:tc>
      </w:tr>
      <w:tr w14:paraId="44F41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 w:type="pct"/>
            <w:noWrap w:val="0"/>
            <w:vAlign w:val="center"/>
          </w:tcPr>
          <w:p w14:paraId="6AE16589">
            <w:pPr>
              <w:pStyle w:val="19"/>
              <w:bidi w:val="0"/>
              <w:rPr>
                <w:rFonts w:hint="default"/>
                <w:color w:val="auto"/>
              </w:rPr>
            </w:pPr>
            <w:r>
              <w:rPr>
                <w:rFonts w:hint="default"/>
                <w:color w:val="auto"/>
              </w:rPr>
              <w:t>安全技术措施计划</w:t>
            </w:r>
          </w:p>
        </w:tc>
        <w:tc>
          <w:tcPr>
            <w:tcW w:w="531" w:type="pct"/>
            <w:noWrap w:val="0"/>
            <w:vAlign w:val="center"/>
          </w:tcPr>
          <w:p w14:paraId="4365C262">
            <w:pPr>
              <w:pStyle w:val="19"/>
              <w:bidi w:val="0"/>
              <w:rPr>
                <w:rFonts w:hint="default"/>
                <w:color w:val="auto"/>
              </w:rPr>
            </w:pPr>
            <w:r>
              <w:rPr>
                <w:rFonts w:hint="default"/>
                <w:color w:val="auto"/>
              </w:rPr>
              <w:t>各种</w:t>
            </w:r>
          </w:p>
          <w:p w14:paraId="0546AFA1">
            <w:pPr>
              <w:pStyle w:val="19"/>
              <w:bidi w:val="0"/>
              <w:rPr>
                <w:rFonts w:hint="default"/>
                <w:color w:val="auto"/>
              </w:rPr>
            </w:pPr>
            <w:r>
              <w:rPr>
                <w:rFonts w:hint="default"/>
                <w:color w:val="auto"/>
              </w:rPr>
              <w:t>事故</w:t>
            </w:r>
          </w:p>
        </w:tc>
        <w:tc>
          <w:tcPr>
            <w:tcW w:w="1138" w:type="pct"/>
            <w:noWrap w:val="0"/>
            <w:vAlign w:val="center"/>
          </w:tcPr>
          <w:p w14:paraId="71F2A439">
            <w:pPr>
              <w:pStyle w:val="19"/>
              <w:bidi w:val="0"/>
              <w:rPr>
                <w:rFonts w:hint="default"/>
                <w:color w:val="auto"/>
              </w:rPr>
            </w:pPr>
            <w:r>
              <w:rPr>
                <w:rFonts w:hint="default"/>
                <w:color w:val="auto"/>
              </w:rPr>
              <w:t>无安全技术措施计划或计划不落实</w:t>
            </w:r>
          </w:p>
        </w:tc>
        <w:tc>
          <w:tcPr>
            <w:tcW w:w="987" w:type="pct"/>
            <w:noWrap w:val="0"/>
            <w:vAlign w:val="center"/>
          </w:tcPr>
          <w:p w14:paraId="6F43EB8A">
            <w:pPr>
              <w:pStyle w:val="19"/>
              <w:bidi w:val="0"/>
              <w:rPr>
                <w:rFonts w:hint="default"/>
                <w:color w:val="auto"/>
              </w:rPr>
            </w:pPr>
            <w:r>
              <w:rPr>
                <w:rFonts w:hint="default"/>
                <w:color w:val="auto"/>
              </w:rPr>
              <w:t>人员伤亡、设备损坏、影响生产</w:t>
            </w:r>
          </w:p>
        </w:tc>
        <w:tc>
          <w:tcPr>
            <w:tcW w:w="379" w:type="pct"/>
            <w:noWrap w:val="0"/>
            <w:vAlign w:val="center"/>
          </w:tcPr>
          <w:p w14:paraId="201A9EE0">
            <w:pPr>
              <w:pStyle w:val="19"/>
              <w:bidi w:val="0"/>
              <w:rPr>
                <w:rFonts w:hint="default"/>
                <w:color w:val="auto"/>
              </w:rPr>
            </w:pPr>
            <w:r>
              <w:rPr>
                <w:rFonts w:hint="default"/>
                <w:color w:val="auto"/>
              </w:rPr>
              <w:t>Ⅱ</w:t>
            </w:r>
          </w:p>
        </w:tc>
        <w:tc>
          <w:tcPr>
            <w:tcW w:w="1372" w:type="pct"/>
            <w:noWrap w:val="0"/>
            <w:vAlign w:val="center"/>
          </w:tcPr>
          <w:p w14:paraId="01F2BE7E">
            <w:pPr>
              <w:pStyle w:val="19"/>
              <w:bidi w:val="0"/>
              <w:rPr>
                <w:rFonts w:hint="default"/>
                <w:color w:val="auto"/>
              </w:rPr>
            </w:pPr>
            <w:r>
              <w:rPr>
                <w:rFonts w:hint="default"/>
                <w:color w:val="auto"/>
              </w:rPr>
              <w:t>编制安全技术措施计划并落实。</w:t>
            </w:r>
          </w:p>
        </w:tc>
      </w:tr>
      <w:tr w14:paraId="045EE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 w:type="pct"/>
            <w:noWrap w:val="0"/>
            <w:vAlign w:val="center"/>
          </w:tcPr>
          <w:p w14:paraId="615BDD8D">
            <w:pPr>
              <w:pStyle w:val="19"/>
              <w:bidi w:val="0"/>
              <w:rPr>
                <w:rFonts w:hint="default"/>
                <w:color w:val="auto"/>
              </w:rPr>
            </w:pPr>
            <w:r>
              <w:rPr>
                <w:rFonts w:hint="default"/>
                <w:color w:val="auto"/>
              </w:rPr>
              <w:t>安全技术资料管理</w:t>
            </w:r>
          </w:p>
        </w:tc>
        <w:tc>
          <w:tcPr>
            <w:tcW w:w="531" w:type="pct"/>
            <w:noWrap w:val="0"/>
            <w:vAlign w:val="center"/>
          </w:tcPr>
          <w:p w14:paraId="6E195E9F">
            <w:pPr>
              <w:pStyle w:val="19"/>
              <w:bidi w:val="0"/>
              <w:rPr>
                <w:rFonts w:hint="default"/>
                <w:color w:val="auto"/>
              </w:rPr>
            </w:pPr>
            <w:r>
              <w:rPr>
                <w:rFonts w:hint="default"/>
                <w:color w:val="auto"/>
              </w:rPr>
              <w:t>各种</w:t>
            </w:r>
          </w:p>
          <w:p w14:paraId="045DA6F9">
            <w:pPr>
              <w:pStyle w:val="19"/>
              <w:bidi w:val="0"/>
              <w:rPr>
                <w:rFonts w:hint="default"/>
                <w:color w:val="auto"/>
              </w:rPr>
            </w:pPr>
            <w:r>
              <w:rPr>
                <w:rFonts w:hint="default"/>
                <w:color w:val="auto"/>
              </w:rPr>
              <w:t>事故</w:t>
            </w:r>
          </w:p>
        </w:tc>
        <w:tc>
          <w:tcPr>
            <w:tcW w:w="1138" w:type="pct"/>
            <w:noWrap w:val="0"/>
            <w:vAlign w:val="center"/>
          </w:tcPr>
          <w:p w14:paraId="1243AE1C">
            <w:pPr>
              <w:pStyle w:val="19"/>
              <w:bidi w:val="0"/>
              <w:rPr>
                <w:rFonts w:hint="default"/>
                <w:color w:val="auto"/>
              </w:rPr>
            </w:pPr>
            <w:r>
              <w:rPr>
                <w:rFonts w:hint="default"/>
                <w:color w:val="auto"/>
              </w:rPr>
              <w:t>无安全技术资料档案</w:t>
            </w:r>
          </w:p>
        </w:tc>
        <w:tc>
          <w:tcPr>
            <w:tcW w:w="987" w:type="pct"/>
            <w:noWrap w:val="0"/>
            <w:vAlign w:val="center"/>
          </w:tcPr>
          <w:p w14:paraId="7462BD78">
            <w:pPr>
              <w:pStyle w:val="19"/>
              <w:bidi w:val="0"/>
              <w:rPr>
                <w:rFonts w:hint="default"/>
                <w:color w:val="auto"/>
              </w:rPr>
            </w:pPr>
            <w:r>
              <w:rPr>
                <w:rFonts w:hint="default"/>
                <w:color w:val="auto"/>
              </w:rPr>
              <w:t>人员伤亡、设备损坏、影响生产</w:t>
            </w:r>
          </w:p>
        </w:tc>
        <w:tc>
          <w:tcPr>
            <w:tcW w:w="379" w:type="pct"/>
            <w:noWrap w:val="0"/>
            <w:vAlign w:val="center"/>
          </w:tcPr>
          <w:p w14:paraId="3D710D6A">
            <w:pPr>
              <w:pStyle w:val="19"/>
              <w:bidi w:val="0"/>
              <w:rPr>
                <w:rFonts w:hint="default"/>
                <w:color w:val="auto"/>
              </w:rPr>
            </w:pPr>
            <w:r>
              <w:rPr>
                <w:rFonts w:hint="default"/>
                <w:color w:val="auto"/>
              </w:rPr>
              <w:t>Ⅱ</w:t>
            </w:r>
          </w:p>
        </w:tc>
        <w:tc>
          <w:tcPr>
            <w:tcW w:w="1372" w:type="pct"/>
            <w:noWrap w:val="0"/>
            <w:vAlign w:val="center"/>
          </w:tcPr>
          <w:p w14:paraId="2E288B8C">
            <w:pPr>
              <w:pStyle w:val="19"/>
              <w:bidi w:val="0"/>
              <w:rPr>
                <w:rFonts w:hint="default"/>
                <w:color w:val="auto"/>
              </w:rPr>
            </w:pPr>
            <w:r>
              <w:rPr>
                <w:rFonts w:hint="default"/>
                <w:color w:val="auto"/>
              </w:rPr>
              <w:t>建立各种安全技术资料档案。</w:t>
            </w:r>
          </w:p>
        </w:tc>
      </w:tr>
      <w:tr w14:paraId="0D16F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 w:type="pct"/>
            <w:noWrap w:val="0"/>
            <w:vAlign w:val="center"/>
          </w:tcPr>
          <w:p w14:paraId="7CD049B9">
            <w:pPr>
              <w:pStyle w:val="19"/>
              <w:bidi w:val="0"/>
              <w:rPr>
                <w:rFonts w:hint="default"/>
                <w:color w:val="auto"/>
              </w:rPr>
            </w:pPr>
            <w:r>
              <w:rPr>
                <w:rFonts w:hint="default"/>
                <w:color w:val="auto"/>
              </w:rPr>
              <w:t>应急机构、应急措施</w:t>
            </w:r>
          </w:p>
        </w:tc>
        <w:tc>
          <w:tcPr>
            <w:tcW w:w="531" w:type="pct"/>
            <w:noWrap w:val="0"/>
            <w:vAlign w:val="center"/>
          </w:tcPr>
          <w:p w14:paraId="2DB58FB6">
            <w:pPr>
              <w:pStyle w:val="19"/>
              <w:bidi w:val="0"/>
              <w:rPr>
                <w:rFonts w:hint="default"/>
                <w:color w:val="auto"/>
              </w:rPr>
            </w:pPr>
            <w:r>
              <w:rPr>
                <w:rFonts w:hint="default"/>
                <w:color w:val="auto"/>
              </w:rPr>
              <w:t>人员伤亡、设备损坏或抢救不及时</w:t>
            </w:r>
          </w:p>
        </w:tc>
        <w:tc>
          <w:tcPr>
            <w:tcW w:w="1138" w:type="pct"/>
            <w:noWrap w:val="0"/>
            <w:vAlign w:val="center"/>
          </w:tcPr>
          <w:p w14:paraId="4C568012">
            <w:pPr>
              <w:pStyle w:val="19"/>
              <w:bidi w:val="0"/>
              <w:rPr>
                <w:rFonts w:hint="default"/>
                <w:color w:val="auto"/>
              </w:rPr>
            </w:pPr>
            <w:r>
              <w:rPr>
                <w:rFonts w:hint="default"/>
                <w:color w:val="auto"/>
              </w:rPr>
              <w:t>无应急机构、应急措施或应急机构运行不良、措施不到位</w:t>
            </w:r>
          </w:p>
        </w:tc>
        <w:tc>
          <w:tcPr>
            <w:tcW w:w="987" w:type="pct"/>
            <w:noWrap w:val="0"/>
            <w:vAlign w:val="center"/>
          </w:tcPr>
          <w:p w14:paraId="6ADE4158">
            <w:pPr>
              <w:pStyle w:val="19"/>
              <w:bidi w:val="0"/>
              <w:rPr>
                <w:rFonts w:hint="default"/>
                <w:color w:val="auto"/>
              </w:rPr>
            </w:pPr>
            <w:r>
              <w:rPr>
                <w:rFonts w:hint="default"/>
                <w:color w:val="auto"/>
              </w:rPr>
              <w:t>人员伤亡、设备损坏、影响生产</w:t>
            </w:r>
          </w:p>
        </w:tc>
        <w:tc>
          <w:tcPr>
            <w:tcW w:w="379" w:type="pct"/>
            <w:noWrap w:val="0"/>
            <w:vAlign w:val="center"/>
          </w:tcPr>
          <w:p w14:paraId="345016BD">
            <w:pPr>
              <w:pStyle w:val="19"/>
              <w:bidi w:val="0"/>
              <w:rPr>
                <w:rFonts w:hint="default"/>
                <w:color w:val="auto"/>
              </w:rPr>
            </w:pPr>
            <w:r>
              <w:rPr>
                <w:rFonts w:hint="default"/>
                <w:color w:val="auto"/>
              </w:rPr>
              <w:t>Ⅲ</w:t>
            </w:r>
          </w:p>
        </w:tc>
        <w:tc>
          <w:tcPr>
            <w:tcW w:w="1372" w:type="pct"/>
            <w:noWrap w:val="0"/>
            <w:vAlign w:val="center"/>
          </w:tcPr>
          <w:p w14:paraId="323A79DC">
            <w:pPr>
              <w:pStyle w:val="19"/>
              <w:bidi w:val="0"/>
              <w:rPr>
                <w:rFonts w:hint="default"/>
                <w:color w:val="auto"/>
              </w:rPr>
            </w:pPr>
            <w:r>
              <w:rPr>
                <w:rFonts w:hint="default"/>
                <w:color w:val="auto"/>
              </w:rPr>
              <w:t>建立完善的应急机构，制定完善的应急措施。</w:t>
            </w:r>
          </w:p>
        </w:tc>
      </w:tr>
      <w:tr w14:paraId="79A53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 w:type="pct"/>
            <w:noWrap w:val="0"/>
            <w:vAlign w:val="center"/>
          </w:tcPr>
          <w:p w14:paraId="3349C040">
            <w:pPr>
              <w:pStyle w:val="19"/>
              <w:bidi w:val="0"/>
              <w:rPr>
                <w:rFonts w:hint="default"/>
                <w:color w:val="auto"/>
              </w:rPr>
            </w:pPr>
            <w:r>
              <w:rPr>
                <w:rFonts w:hint="default"/>
                <w:color w:val="auto"/>
              </w:rPr>
              <w:t>编制应急预案</w:t>
            </w:r>
          </w:p>
        </w:tc>
        <w:tc>
          <w:tcPr>
            <w:tcW w:w="531" w:type="pct"/>
            <w:noWrap w:val="0"/>
            <w:vAlign w:val="center"/>
          </w:tcPr>
          <w:p w14:paraId="659100B0">
            <w:pPr>
              <w:pStyle w:val="19"/>
              <w:bidi w:val="0"/>
              <w:rPr>
                <w:rFonts w:hint="default"/>
                <w:color w:val="auto"/>
              </w:rPr>
            </w:pPr>
            <w:r>
              <w:rPr>
                <w:rFonts w:hint="default"/>
                <w:color w:val="auto"/>
              </w:rPr>
              <w:t>人员伤亡、设备损坏或抢救不及时</w:t>
            </w:r>
          </w:p>
        </w:tc>
        <w:tc>
          <w:tcPr>
            <w:tcW w:w="1138" w:type="pct"/>
            <w:noWrap w:val="0"/>
            <w:vAlign w:val="center"/>
          </w:tcPr>
          <w:p w14:paraId="106C7BD8">
            <w:pPr>
              <w:pStyle w:val="19"/>
              <w:bidi w:val="0"/>
              <w:rPr>
                <w:rFonts w:hint="default"/>
                <w:color w:val="auto"/>
              </w:rPr>
            </w:pPr>
            <w:r>
              <w:rPr>
                <w:rFonts w:hint="default"/>
                <w:color w:val="auto"/>
              </w:rPr>
              <w:t>未编制应急预案或不完善</w:t>
            </w:r>
          </w:p>
        </w:tc>
        <w:tc>
          <w:tcPr>
            <w:tcW w:w="987" w:type="pct"/>
            <w:noWrap w:val="0"/>
            <w:vAlign w:val="center"/>
          </w:tcPr>
          <w:p w14:paraId="4BF09192">
            <w:pPr>
              <w:pStyle w:val="19"/>
              <w:bidi w:val="0"/>
              <w:rPr>
                <w:rFonts w:hint="default"/>
                <w:color w:val="auto"/>
              </w:rPr>
            </w:pPr>
            <w:r>
              <w:rPr>
                <w:rFonts w:hint="default"/>
                <w:color w:val="auto"/>
              </w:rPr>
              <w:t>在灾害和事故发生时，未能按计划有序有效的进行抢救，造成重大损失</w:t>
            </w:r>
          </w:p>
        </w:tc>
        <w:tc>
          <w:tcPr>
            <w:tcW w:w="379" w:type="pct"/>
            <w:noWrap w:val="0"/>
            <w:vAlign w:val="center"/>
          </w:tcPr>
          <w:p w14:paraId="1164C5B6">
            <w:pPr>
              <w:pStyle w:val="19"/>
              <w:bidi w:val="0"/>
              <w:rPr>
                <w:rFonts w:hint="default"/>
                <w:color w:val="auto"/>
              </w:rPr>
            </w:pPr>
            <w:r>
              <w:rPr>
                <w:rFonts w:hint="default"/>
                <w:color w:val="auto"/>
              </w:rPr>
              <w:fldChar w:fldCharType="begin"/>
            </w:r>
            <w:r>
              <w:rPr>
                <w:rFonts w:hint="default"/>
                <w:color w:val="auto"/>
              </w:rPr>
              <w:instrText xml:space="preserve"> = 4 \* ROMAN </w:instrText>
            </w:r>
            <w:r>
              <w:rPr>
                <w:rFonts w:hint="default"/>
                <w:color w:val="auto"/>
              </w:rPr>
              <w:fldChar w:fldCharType="separate"/>
            </w:r>
            <w:r>
              <w:rPr>
                <w:rFonts w:hint="default"/>
                <w:color w:val="auto"/>
              </w:rPr>
              <w:t>IV</w:t>
            </w:r>
            <w:r>
              <w:rPr>
                <w:rFonts w:hint="default"/>
                <w:color w:val="auto"/>
              </w:rPr>
              <w:fldChar w:fldCharType="end"/>
            </w:r>
          </w:p>
        </w:tc>
        <w:tc>
          <w:tcPr>
            <w:tcW w:w="1372" w:type="pct"/>
            <w:noWrap w:val="0"/>
            <w:vAlign w:val="center"/>
          </w:tcPr>
          <w:p w14:paraId="38A599E7">
            <w:pPr>
              <w:pStyle w:val="19"/>
              <w:bidi w:val="0"/>
              <w:rPr>
                <w:rFonts w:hint="default"/>
                <w:color w:val="auto"/>
              </w:rPr>
            </w:pPr>
            <w:r>
              <w:rPr>
                <w:rFonts w:hint="default"/>
                <w:color w:val="auto"/>
              </w:rPr>
              <w:t>编制应急救护预案，按计划演练，并根据实际情况对预案及时修改，制定相应的措施。</w:t>
            </w:r>
          </w:p>
        </w:tc>
      </w:tr>
      <w:tr w14:paraId="02BDF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 w:type="pct"/>
            <w:noWrap w:val="0"/>
            <w:vAlign w:val="center"/>
          </w:tcPr>
          <w:p w14:paraId="1C23F270">
            <w:pPr>
              <w:pStyle w:val="19"/>
              <w:bidi w:val="0"/>
              <w:rPr>
                <w:rFonts w:hint="default"/>
                <w:color w:val="auto"/>
              </w:rPr>
            </w:pPr>
            <w:r>
              <w:rPr>
                <w:rFonts w:hint="default"/>
                <w:color w:val="auto"/>
              </w:rPr>
              <w:t>劳动防护用品</w:t>
            </w:r>
          </w:p>
        </w:tc>
        <w:tc>
          <w:tcPr>
            <w:tcW w:w="531" w:type="pct"/>
            <w:noWrap w:val="0"/>
            <w:vAlign w:val="center"/>
          </w:tcPr>
          <w:p w14:paraId="4D7638D9">
            <w:pPr>
              <w:pStyle w:val="19"/>
              <w:bidi w:val="0"/>
              <w:rPr>
                <w:rFonts w:hint="default"/>
                <w:color w:val="auto"/>
              </w:rPr>
            </w:pPr>
            <w:r>
              <w:rPr>
                <w:rFonts w:hint="default"/>
                <w:color w:val="auto"/>
              </w:rPr>
              <w:t>发生伤害事故</w:t>
            </w:r>
          </w:p>
        </w:tc>
        <w:tc>
          <w:tcPr>
            <w:tcW w:w="1138" w:type="pct"/>
            <w:noWrap w:val="0"/>
            <w:vAlign w:val="center"/>
          </w:tcPr>
          <w:p w14:paraId="755EA80F">
            <w:pPr>
              <w:pStyle w:val="19"/>
              <w:bidi w:val="0"/>
              <w:rPr>
                <w:rFonts w:hint="default"/>
                <w:color w:val="auto"/>
              </w:rPr>
            </w:pPr>
            <w:r>
              <w:rPr>
                <w:rFonts w:hint="default"/>
                <w:color w:val="auto"/>
              </w:rPr>
              <w:t>劳动防护用品不合格</w:t>
            </w:r>
          </w:p>
        </w:tc>
        <w:tc>
          <w:tcPr>
            <w:tcW w:w="987" w:type="pct"/>
            <w:noWrap w:val="0"/>
            <w:vAlign w:val="center"/>
          </w:tcPr>
          <w:p w14:paraId="3F9385E0">
            <w:pPr>
              <w:pStyle w:val="19"/>
              <w:bidi w:val="0"/>
              <w:rPr>
                <w:rFonts w:hint="default"/>
                <w:color w:val="auto"/>
              </w:rPr>
            </w:pPr>
            <w:r>
              <w:rPr>
                <w:rFonts w:hint="default"/>
                <w:color w:val="auto"/>
              </w:rPr>
              <w:t>由于劳动保护用品失效而造成伤害，甚至死亡</w:t>
            </w:r>
          </w:p>
        </w:tc>
        <w:tc>
          <w:tcPr>
            <w:tcW w:w="379" w:type="pct"/>
            <w:noWrap w:val="0"/>
            <w:vAlign w:val="center"/>
          </w:tcPr>
          <w:p w14:paraId="6C6F9C18">
            <w:pPr>
              <w:pStyle w:val="19"/>
              <w:bidi w:val="0"/>
              <w:rPr>
                <w:rFonts w:hint="default"/>
                <w:color w:val="auto"/>
              </w:rPr>
            </w:pPr>
            <w:r>
              <w:rPr>
                <w:rFonts w:hint="default"/>
                <w:color w:val="auto"/>
              </w:rPr>
              <w:fldChar w:fldCharType="begin"/>
            </w:r>
            <w:r>
              <w:rPr>
                <w:rFonts w:hint="default"/>
                <w:color w:val="auto"/>
              </w:rPr>
              <w:instrText xml:space="preserve"> = 3 \* ROMAN </w:instrText>
            </w:r>
            <w:r>
              <w:rPr>
                <w:rFonts w:hint="default"/>
                <w:color w:val="auto"/>
              </w:rPr>
              <w:fldChar w:fldCharType="separate"/>
            </w:r>
            <w:r>
              <w:rPr>
                <w:rFonts w:hint="default"/>
                <w:color w:val="auto"/>
              </w:rPr>
              <w:t>III</w:t>
            </w:r>
            <w:r>
              <w:rPr>
                <w:rFonts w:hint="default"/>
                <w:color w:val="auto"/>
              </w:rPr>
              <w:fldChar w:fldCharType="end"/>
            </w:r>
          </w:p>
        </w:tc>
        <w:tc>
          <w:tcPr>
            <w:tcW w:w="1372" w:type="pct"/>
            <w:noWrap w:val="0"/>
            <w:vAlign w:val="center"/>
          </w:tcPr>
          <w:p w14:paraId="23E6DDBA">
            <w:pPr>
              <w:pStyle w:val="19"/>
              <w:bidi w:val="0"/>
              <w:rPr>
                <w:rFonts w:hint="default"/>
                <w:color w:val="auto"/>
              </w:rPr>
            </w:pPr>
            <w:r>
              <w:rPr>
                <w:rFonts w:hint="default"/>
                <w:color w:val="auto"/>
              </w:rPr>
              <w:t>依据国务院劳动行政主管部门指定的劳动防护用品发放标准发放劳动保护用品。</w:t>
            </w:r>
          </w:p>
        </w:tc>
      </w:tr>
      <w:tr w14:paraId="7B1EE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 w:type="pct"/>
            <w:noWrap w:val="0"/>
            <w:vAlign w:val="center"/>
          </w:tcPr>
          <w:p w14:paraId="359B1A78">
            <w:pPr>
              <w:pStyle w:val="19"/>
              <w:bidi w:val="0"/>
              <w:rPr>
                <w:rFonts w:hint="default"/>
                <w:color w:val="auto"/>
              </w:rPr>
            </w:pPr>
            <w:r>
              <w:rPr>
                <w:rFonts w:hint="default"/>
                <w:color w:val="auto"/>
              </w:rPr>
              <w:t>安全警示标志</w:t>
            </w:r>
          </w:p>
        </w:tc>
        <w:tc>
          <w:tcPr>
            <w:tcW w:w="531" w:type="pct"/>
            <w:noWrap w:val="0"/>
            <w:vAlign w:val="center"/>
          </w:tcPr>
          <w:p w14:paraId="6AAEE6AC">
            <w:pPr>
              <w:pStyle w:val="19"/>
              <w:bidi w:val="0"/>
              <w:rPr>
                <w:rFonts w:hint="default"/>
                <w:color w:val="auto"/>
              </w:rPr>
            </w:pPr>
            <w:r>
              <w:rPr>
                <w:rFonts w:hint="default"/>
                <w:color w:val="auto"/>
              </w:rPr>
              <w:t>各种事故</w:t>
            </w:r>
          </w:p>
        </w:tc>
        <w:tc>
          <w:tcPr>
            <w:tcW w:w="1138" w:type="pct"/>
            <w:noWrap w:val="0"/>
            <w:vAlign w:val="center"/>
          </w:tcPr>
          <w:p w14:paraId="60EF7329">
            <w:pPr>
              <w:pStyle w:val="19"/>
              <w:bidi w:val="0"/>
              <w:rPr>
                <w:rFonts w:hint="default"/>
                <w:color w:val="auto"/>
              </w:rPr>
            </w:pPr>
            <w:r>
              <w:rPr>
                <w:rFonts w:hint="default"/>
                <w:color w:val="auto"/>
              </w:rPr>
              <w:t>由于标志不清或无标志造成人身伤亡</w:t>
            </w:r>
          </w:p>
        </w:tc>
        <w:tc>
          <w:tcPr>
            <w:tcW w:w="987" w:type="pct"/>
            <w:noWrap w:val="0"/>
            <w:vAlign w:val="center"/>
          </w:tcPr>
          <w:p w14:paraId="62DF3823">
            <w:pPr>
              <w:pStyle w:val="19"/>
              <w:bidi w:val="0"/>
              <w:rPr>
                <w:rFonts w:hint="default"/>
                <w:color w:val="auto"/>
              </w:rPr>
            </w:pPr>
            <w:r>
              <w:rPr>
                <w:rFonts w:hint="default"/>
                <w:color w:val="auto"/>
              </w:rPr>
              <w:t>发生伤亡事故</w:t>
            </w:r>
          </w:p>
        </w:tc>
        <w:tc>
          <w:tcPr>
            <w:tcW w:w="379" w:type="pct"/>
            <w:noWrap w:val="0"/>
            <w:vAlign w:val="center"/>
          </w:tcPr>
          <w:p w14:paraId="210F6FDB">
            <w:pPr>
              <w:pStyle w:val="19"/>
              <w:bidi w:val="0"/>
              <w:rPr>
                <w:rFonts w:hint="default"/>
                <w:color w:val="auto"/>
              </w:rPr>
            </w:pPr>
            <w:r>
              <w:rPr>
                <w:rFonts w:hint="default"/>
                <w:color w:val="auto"/>
              </w:rPr>
              <w:fldChar w:fldCharType="begin"/>
            </w:r>
            <w:r>
              <w:rPr>
                <w:rFonts w:hint="default"/>
                <w:color w:val="auto"/>
              </w:rPr>
              <w:instrText xml:space="preserve"> = 4 \* ROMAN </w:instrText>
            </w:r>
            <w:r>
              <w:rPr>
                <w:rFonts w:hint="default"/>
                <w:color w:val="auto"/>
              </w:rPr>
              <w:fldChar w:fldCharType="separate"/>
            </w:r>
            <w:r>
              <w:rPr>
                <w:rFonts w:hint="default"/>
                <w:color w:val="auto"/>
              </w:rPr>
              <w:t>IV</w:t>
            </w:r>
            <w:r>
              <w:rPr>
                <w:rFonts w:hint="default"/>
                <w:color w:val="auto"/>
              </w:rPr>
              <w:fldChar w:fldCharType="end"/>
            </w:r>
          </w:p>
        </w:tc>
        <w:tc>
          <w:tcPr>
            <w:tcW w:w="1372" w:type="pct"/>
            <w:noWrap w:val="0"/>
            <w:vAlign w:val="center"/>
          </w:tcPr>
          <w:p w14:paraId="575BF971">
            <w:pPr>
              <w:pStyle w:val="19"/>
              <w:bidi w:val="0"/>
              <w:rPr>
                <w:rFonts w:hint="eastAsia" w:eastAsia="宋体"/>
                <w:color w:val="auto"/>
                <w:lang w:eastAsia="zh-CN"/>
              </w:rPr>
            </w:pPr>
            <w:r>
              <w:rPr>
                <w:rFonts w:hint="default"/>
                <w:color w:val="auto"/>
              </w:rPr>
              <w:t>在不同的作业场所必须按规定设置安全标志</w:t>
            </w:r>
            <w:r>
              <w:rPr>
                <w:rFonts w:hint="eastAsia"/>
                <w:color w:val="auto"/>
                <w:lang w:eastAsia="zh-CN"/>
              </w:rPr>
              <w:t>。</w:t>
            </w:r>
          </w:p>
        </w:tc>
      </w:tr>
    </w:tbl>
    <w:p w14:paraId="602FC565">
      <w:pPr>
        <w:pStyle w:val="4"/>
        <w:bidi w:val="0"/>
        <w:rPr>
          <w:rFonts w:hint="default"/>
          <w:color w:val="auto"/>
          <w:lang w:val="en-US" w:eastAsia="zh-CN"/>
        </w:rPr>
      </w:pPr>
      <w:bookmarkStart w:id="217" w:name="_Toc15366"/>
      <w:r>
        <w:rPr>
          <w:rFonts w:hint="default"/>
          <w:color w:val="auto"/>
          <w:lang w:val="en-US" w:eastAsia="zh-CN"/>
        </w:rPr>
        <w:t>5.5.2 安全管理分析</w:t>
      </w:r>
      <w:bookmarkEnd w:id="217"/>
    </w:p>
    <w:p w14:paraId="248F369D">
      <w:pPr>
        <w:bidi w:val="0"/>
        <w:rPr>
          <w:rFonts w:hint="default"/>
          <w:color w:val="auto"/>
          <w:lang w:val="en-US" w:eastAsia="zh-CN"/>
        </w:rPr>
      </w:pPr>
      <w:r>
        <w:rPr>
          <w:rFonts w:hint="default"/>
          <w:color w:val="auto"/>
          <w:lang w:val="en-US" w:eastAsia="zh-CN"/>
        </w:rPr>
        <w:t>一、安全生产管理机构</w:t>
      </w:r>
    </w:p>
    <w:p w14:paraId="677721E2">
      <w:pPr>
        <w:bidi w:val="0"/>
        <w:rPr>
          <w:rFonts w:hint="default"/>
          <w:color w:val="auto"/>
          <w:lang w:val="en-US" w:eastAsia="zh-CN"/>
        </w:rPr>
      </w:pPr>
      <w:r>
        <w:rPr>
          <w:rFonts w:hint="default"/>
          <w:color w:val="auto"/>
          <w:lang w:val="en-US" w:eastAsia="zh-CN"/>
        </w:rPr>
        <w:t>企业应按《中华人民共和国安全生产法》的要求设置安全生产管理机构，明确第一责任人，全面负责安全生产管理，专职安全员负责日常安全管理工作，班组长负责当班安全管理工作，形成三级安全管理机构，并由该机构负责落实国家有关安全生产法律法规，组织企业内部各种安全检查活动，负责日常安全检查，及时整改事故隐患，监督落实安全生产责任制等。</w:t>
      </w:r>
    </w:p>
    <w:p w14:paraId="148ECF9A">
      <w:pPr>
        <w:bidi w:val="0"/>
        <w:rPr>
          <w:rFonts w:hint="default"/>
          <w:color w:val="auto"/>
          <w:lang w:val="en-US" w:eastAsia="zh-CN"/>
        </w:rPr>
      </w:pPr>
      <w:r>
        <w:rPr>
          <w:rFonts w:hint="default"/>
          <w:color w:val="auto"/>
          <w:lang w:val="en-US" w:eastAsia="zh-CN"/>
        </w:rPr>
        <w:t>二、建立企业安全生产责任制</w:t>
      </w:r>
    </w:p>
    <w:p w14:paraId="01A5C937">
      <w:pPr>
        <w:bidi w:val="0"/>
        <w:rPr>
          <w:rFonts w:hint="default"/>
          <w:color w:val="auto"/>
          <w:lang w:val="en-US" w:eastAsia="zh-CN"/>
        </w:rPr>
      </w:pPr>
      <w:r>
        <w:rPr>
          <w:rFonts w:hint="default"/>
          <w:color w:val="auto"/>
          <w:lang w:val="en-US" w:eastAsia="zh-CN"/>
        </w:rPr>
        <w:t>企业应按《中华人民共和国安全生产法》和其它相关的法律法规的要求完善企业的安全生产责任制。包括：</w:t>
      </w:r>
    </w:p>
    <w:p w14:paraId="546F311F">
      <w:pPr>
        <w:bidi w:val="0"/>
        <w:rPr>
          <w:rFonts w:hint="default"/>
          <w:color w:val="auto"/>
          <w:lang w:val="en-US" w:eastAsia="zh-CN"/>
        </w:rPr>
      </w:pPr>
      <w:r>
        <w:rPr>
          <w:rFonts w:hint="default"/>
          <w:color w:val="auto"/>
          <w:lang w:val="en-US" w:eastAsia="zh-CN"/>
        </w:rPr>
        <w:t>1、主要负责人及安全管理人员安全生产责任制；</w:t>
      </w:r>
    </w:p>
    <w:p w14:paraId="14CAF9F1">
      <w:pPr>
        <w:bidi w:val="0"/>
        <w:rPr>
          <w:rFonts w:hint="default"/>
          <w:color w:val="auto"/>
          <w:lang w:val="en-US" w:eastAsia="zh-CN"/>
        </w:rPr>
      </w:pPr>
      <w:r>
        <w:rPr>
          <w:rFonts w:hint="default"/>
          <w:color w:val="auto"/>
          <w:lang w:val="en-US" w:eastAsia="zh-CN"/>
        </w:rPr>
        <w:t>2、安全生产管理机构及各职能机构负责人及其工作人员安全生产责任制；</w:t>
      </w:r>
    </w:p>
    <w:p w14:paraId="2AB563F5">
      <w:pPr>
        <w:bidi w:val="0"/>
        <w:rPr>
          <w:rFonts w:hint="default"/>
          <w:color w:val="auto"/>
          <w:lang w:val="en-US" w:eastAsia="zh-CN"/>
        </w:rPr>
      </w:pPr>
      <w:r>
        <w:rPr>
          <w:rFonts w:hint="default"/>
          <w:color w:val="auto"/>
          <w:lang w:val="en-US" w:eastAsia="zh-CN"/>
        </w:rPr>
        <w:t>3、班、组长安全生产责任制；</w:t>
      </w:r>
    </w:p>
    <w:p w14:paraId="2D0632B0">
      <w:pPr>
        <w:bidi w:val="0"/>
        <w:rPr>
          <w:rFonts w:hint="default"/>
          <w:color w:val="auto"/>
          <w:lang w:val="en-US" w:eastAsia="zh-CN"/>
        </w:rPr>
      </w:pPr>
      <w:r>
        <w:rPr>
          <w:rFonts w:hint="default"/>
          <w:color w:val="auto"/>
          <w:lang w:val="en-US" w:eastAsia="zh-CN"/>
        </w:rPr>
        <w:t>4、岗位（工种）工人安全生产责任制。</w:t>
      </w:r>
    </w:p>
    <w:p w14:paraId="38187B48">
      <w:pPr>
        <w:bidi w:val="0"/>
        <w:rPr>
          <w:rFonts w:hint="default"/>
          <w:color w:val="auto"/>
          <w:lang w:val="en-US" w:eastAsia="zh-CN"/>
        </w:rPr>
      </w:pPr>
      <w:r>
        <w:rPr>
          <w:rFonts w:hint="default"/>
          <w:color w:val="auto"/>
          <w:lang w:val="en-US" w:eastAsia="zh-CN"/>
        </w:rPr>
        <w:t>企业在项目建设和生产中，进行工程承包和部分工作承包的，必须依照《中华人民共和国安全生产法》的有关规定与施工单位、承包生产单位签订安全生产协议，并履行监督、协调和管理职能。</w:t>
      </w:r>
    </w:p>
    <w:p w14:paraId="039E6B0C">
      <w:pPr>
        <w:bidi w:val="0"/>
        <w:rPr>
          <w:rFonts w:hint="default"/>
          <w:color w:val="auto"/>
          <w:lang w:val="en-US" w:eastAsia="zh-CN"/>
        </w:rPr>
      </w:pPr>
      <w:r>
        <w:rPr>
          <w:rFonts w:hint="default"/>
          <w:color w:val="auto"/>
          <w:lang w:val="en-US" w:eastAsia="zh-CN"/>
        </w:rPr>
        <w:t>三、建立企业安全生产管理制度</w:t>
      </w:r>
    </w:p>
    <w:p w14:paraId="2ED2C09E">
      <w:pPr>
        <w:bidi w:val="0"/>
        <w:rPr>
          <w:rFonts w:hint="default"/>
          <w:color w:val="auto"/>
          <w:lang w:val="en-US" w:eastAsia="zh-CN"/>
        </w:rPr>
      </w:pPr>
      <w:r>
        <w:rPr>
          <w:rFonts w:hint="default"/>
          <w:color w:val="auto"/>
          <w:lang w:val="en-US" w:eastAsia="zh-CN"/>
        </w:rPr>
        <w:t>按《中华人民共和国安全生产法》和其它相关的法律法规规定建立健全安全管理制度：如安全检查制度、安全教育培训制度、职业危害预防制度及职业健康监护制度、生产安全事故管理制度；安全生产奖惩制度、设备安全管理制度(含设备维修制度)、安全生产档案管理制度、特种作业人员管理制度、劳动防护用品发放管理制度、重大危险源监控制度、安全生产会议制度、安全生产目标管理制度、隐患排查、整改制度、安全生产承诺制度、安全生产责任制度、应急救援物质管理制度、危险源辨识与风险评价管理制度、</w:t>
      </w:r>
      <w:r>
        <w:rPr>
          <w:rFonts w:hint="eastAsia"/>
          <w:color w:val="auto"/>
          <w:lang w:val="en-US" w:eastAsia="zh-CN"/>
        </w:rPr>
        <w:t>项目</w:t>
      </w:r>
      <w:r>
        <w:rPr>
          <w:rFonts w:hint="default"/>
          <w:color w:val="auto"/>
          <w:lang w:val="en-US" w:eastAsia="zh-CN"/>
        </w:rPr>
        <w:t>建设及验收安全管理制度、防震与抗震安全管理制度等。</w:t>
      </w:r>
    </w:p>
    <w:p w14:paraId="73393FB5">
      <w:pPr>
        <w:bidi w:val="0"/>
        <w:rPr>
          <w:rFonts w:hint="default"/>
          <w:color w:val="auto"/>
          <w:lang w:val="en-US" w:eastAsia="zh-CN"/>
        </w:rPr>
      </w:pPr>
      <w:r>
        <w:rPr>
          <w:rFonts w:hint="default"/>
          <w:color w:val="auto"/>
          <w:lang w:val="en-US" w:eastAsia="zh-CN"/>
        </w:rPr>
        <w:t>四、制定作业安全规程和各工种安全操作规程</w:t>
      </w:r>
    </w:p>
    <w:p w14:paraId="3E7DDC99">
      <w:pPr>
        <w:bidi w:val="0"/>
        <w:rPr>
          <w:rFonts w:hint="default"/>
          <w:color w:val="auto"/>
          <w:lang w:val="en-US" w:eastAsia="zh-CN"/>
        </w:rPr>
      </w:pPr>
      <w:r>
        <w:rPr>
          <w:rFonts w:hint="default"/>
          <w:color w:val="auto"/>
          <w:lang w:val="en-US" w:eastAsia="zh-CN"/>
        </w:rPr>
        <w:t>根据生产工艺、设备、设施、工序、工种的构成和组成情况，按设备、工序、工种建立健全安全操作规程。</w:t>
      </w:r>
    </w:p>
    <w:p w14:paraId="00CE2364">
      <w:pPr>
        <w:bidi w:val="0"/>
        <w:rPr>
          <w:rFonts w:hint="default"/>
          <w:color w:val="auto"/>
          <w:lang w:val="en-US" w:eastAsia="zh-CN"/>
        </w:rPr>
      </w:pPr>
      <w:r>
        <w:rPr>
          <w:rFonts w:hint="default"/>
          <w:color w:val="auto"/>
          <w:lang w:val="en-US" w:eastAsia="zh-CN"/>
        </w:rPr>
        <w:t>五、建立企业安全生产管理档案</w:t>
      </w:r>
    </w:p>
    <w:p w14:paraId="2DADC091">
      <w:pPr>
        <w:bidi w:val="0"/>
        <w:rPr>
          <w:rFonts w:hint="default"/>
          <w:color w:val="auto"/>
          <w:lang w:val="en-US" w:eastAsia="zh-CN"/>
        </w:rPr>
      </w:pPr>
      <w:r>
        <w:rPr>
          <w:rFonts w:hint="default"/>
          <w:color w:val="auto"/>
          <w:lang w:val="en-US" w:eastAsia="zh-CN"/>
        </w:rPr>
        <w:t>建立完善安全生产记录档案，及时掌握企业安全生产状况，便于企业制定安全生产技术措施和安全决策。故建议企业建立以下安全生产记录档案。</w:t>
      </w:r>
    </w:p>
    <w:p w14:paraId="42D74850">
      <w:pPr>
        <w:bidi w:val="0"/>
        <w:rPr>
          <w:rFonts w:hint="default"/>
          <w:color w:val="auto"/>
          <w:lang w:val="en-US" w:eastAsia="zh-CN"/>
        </w:rPr>
      </w:pPr>
      <w:r>
        <w:rPr>
          <w:rFonts w:hint="default"/>
          <w:color w:val="auto"/>
          <w:lang w:val="en-US" w:eastAsia="zh-CN"/>
        </w:rPr>
        <w:t>1、各级安全生产会议记录档案；</w:t>
      </w:r>
    </w:p>
    <w:p w14:paraId="227EDE56">
      <w:pPr>
        <w:bidi w:val="0"/>
        <w:rPr>
          <w:rFonts w:hint="default"/>
          <w:color w:val="auto"/>
          <w:lang w:val="en-US" w:eastAsia="zh-CN"/>
        </w:rPr>
      </w:pPr>
      <w:r>
        <w:rPr>
          <w:rFonts w:hint="default"/>
          <w:color w:val="auto"/>
          <w:lang w:val="en-US" w:eastAsia="zh-CN"/>
        </w:rPr>
        <w:t>2、各类从业人员安全教育培训、考核、持证情况档案；</w:t>
      </w:r>
    </w:p>
    <w:p w14:paraId="7FAD2833">
      <w:pPr>
        <w:bidi w:val="0"/>
        <w:rPr>
          <w:rFonts w:hint="default"/>
          <w:color w:val="auto"/>
          <w:lang w:val="en-US" w:eastAsia="zh-CN"/>
        </w:rPr>
      </w:pPr>
      <w:r>
        <w:rPr>
          <w:rFonts w:hint="default"/>
          <w:color w:val="auto"/>
          <w:lang w:val="en-US" w:eastAsia="zh-CN"/>
        </w:rPr>
        <w:t>3、设备、设施安全管理档案；</w:t>
      </w:r>
    </w:p>
    <w:p w14:paraId="05149ABC">
      <w:pPr>
        <w:bidi w:val="0"/>
        <w:rPr>
          <w:rFonts w:hint="default"/>
          <w:color w:val="auto"/>
          <w:lang w:val="en-US" w:eastAsia="zh-CN"/>
        </w:rPr>
      </w:pPr>
      <w:r>
        <w:rPr>
          <w:rFonts w:hint="default"/>
          <w:color w:val="auto"/>
          <w:lang w:val="en-US" w:eastAsia="zh-CN"/>
        </w:rPr>
        <w:t>4、现场安全检查、事故隐患及其整改情况档案；</w:t>
      </w:r>
    </w:p>
    <w:p w14:paraId="457CBF7A">
      <w:pPr>
        <w:bidi w:val="0"/>
        <w:rPr>
          <w:rFonts w:hint="default"/>
          <w:color w:val="auto"/>
          <w:lang w:val="en-US" w:eastAsia="zh-CN"/>
        </w:rPr>
      </w:pPr>
      <w:r>
        <w:rPr>
          <w:rFonts w:hint="default"/>
          <w:color w:val="auto"/>
          <w:lang w:val="en-US" w:eastAsia="zh-CN"/>
        </w:rPr>
        <w:t>5、职工劳动用品发放管理档案；</w:t>
      </w:r>
    </w:p>
    <w:p w14:paraId="407C9ACF">
      <w:pPr>
        <w:bidi w:val="0"/>
        <w:rPr>
          <w:rFonts w:hint="default"/>
          <w:color w:val="auto"/>
          <w:lang w:val="en-US" w:eastAsia="zh-CN"/>
        </w:rPr>
      </w:pPr>
      <w:r>
        <w:rPr>
          <w:rFonts w:hint="default"/>
          <w:color w:val="auto"/>
          <w:lang w:val="en-US" w:eastAsia="zh-CN"/>
        </w:rPr>
        <w:t>6、职工违章处罚情况档案；</w:t>
      </w:r>
    </w:p>
    <w:p w14:paraId="3AE95D4F">
      <w:pPr>
        <w:bidi w:val="0"/>
        <w:rPr>
          <w:rFonts w:hint="default"/>
          <w:color w:val="auto"/>
          <w:lang w:val="en-US" w:eastAsia="zh-CN"/>
        </w:rPr>
      </w:pPr>
      <w:r>
        <w:rPr>
          <w:rFonts w:hint="default"/>
          <w:color w:val="auto"/>
          <w:lang w:val="en-US" w:eastAsia="zh-CN"/>
        </w:rPr>
        <w:t>7、伤亡事故分析、处理、统计档案；</w:t>
      </w:r>
    </w:p>
    <w:p w14:paraId="71E07E2C">
      <w:pPr>
        <w:bidi w:val="0"/>
        <w:rPr>
          <w:rFonts w:hint="default"/>
          <w:color w:val="auto"/>
          <w:lang w:val="en-US" w:eastAsia="zh-CN"/>
        </w:rPr>
      </w:pPr>
      <w:r>
        <w:rPr>
          <w:rFonts w:hint="default"/>
          <w:color w:val="auto"/>
          <w:lang w:val="en-US" w:eastAsia="zh-CN"/>
        </w:rPr>
        <w:t>8、特种作业人员记录档案；</w:t>
      </w:r>
    </w:p>
    <w:p w14:paraId="644EC45B">
      <w:pPr>
        <w:bidi w:val="0"/>
        <w:rPr>
          <w:rFonts w:hint="default"/>
          <w:color w:val="auto"/>
          <w:lang w:val="en-US" w:eastAsia="zh-CN"/>
        </w:rPr>
      </w:pPr>
      <w:r>
        <w:rPr>
          <w:rFonts w:hint="default"/>
          <w:color w:val="auto"/>
          <w:lang w:val="en-US" w:eastAsia="zh-CN"/>
        </w:rPr>
        <w:t>9、安全生产责任制签订、考核情况档案；</w:t>
      </w:r>
    </w:p>
    <w:p w14:paraId="3BB0A0AD">
      <w:pPr>
        <w:bidi w:val="0"/>
        <w:rPr>
          <w:rFonts w:hint="default"/>
          <w:color w:val="auto"/>
          <w:lang w:val="en-US" w:eastAsia="zh-CN"/>
        </w:rPr>
      </w:pPr>
      <w:r>
        <w:rPr>
          <w:rFonts w:hint="default"/>
          <w:color w:val="auto"/>
          <w:lang w:val="en-US" w:eastAsia="zh-CN"/>
        </w:rPr>
        <w:t>10、其它安全生产管理档案。</w:t>
      </w:r>
    </w:p>
    <w:p w14:paraId="2595F8D1">
      <w:pPr>
        <w:bidi w:val="0"/>
        <w:rPr>
          <w:rFonts w:hint="default"/>
          <w:color w:val="auto"/>
          <w:lang w:val="en-US" w:eastAsia="zh-CN"/>
        </w:rPr>
      </w:pPr>
      <w:r>
        <w:rPr>
          <w:rFonts w:hint="default"/>
          <w:color w:val="auto"/>
          <w:lang w:val="en-US" w:eastAsia="zh-CN"/>
        </w:rPr>
        <w:t>六、制定企业安全生产投入和技术措施计划</w:t>
      </w:r>
    </w:p>
    <w:p w14:paraId="16068ACF">
      <w:pPr>
        <w:bidi w:val="0"/>
        <w:rPr>
          <w:rFonts w:hint="default"/>
          <w:color w:val="auto"/>
          <w:lang w:val="en-US" w:eastAsia="zh-CN"/>
        </w:rPr>
      </w:pPr>
      <w:r>
        <w:rPr>
          <w:rFonts w:hint="default"/>
          <w:color w:val="auto"/>
          <w:lang w:val="en-US" w:eastAsia="zh-CN"/>
        </w:rPr>
        <w:t>通过制定安全技术措施，以便针对不同作业场所的具体情况进行安全控制。</w:t>
      </w:r>
    </w:p>
    <w:p w14:paraId="347A0802">
      <w:pPr>
        <w:bidi w:val="0"/>
        <w:rPr>
          <w:rFonts w:hint="default"/>
          <w:color w:val="auto"/>
          <w:lang w:val="en-US" w:eastAsia="zh-CN"/>
        </w:rPr>
      </w:pPr>
      <w:r>
        <w:rPr>
          <w:rFonts w:hint="default"/>
          <w:color w:val="auto"/>
          <w:lang w:val="en-US" w:eastAsia="zh-CN"/>
        </w:rPr>
        <w:t>七、加强对企业各级人员的安全培训考核工作</w:t>
      </w:r>
    </w:p>
    <w:p w14:paraId="614061F2">
      <w:pPr>
        <w:bidi w:val="0"/>
        <w:rPr>
          <w:rFonts w:hint="default"/>
          <w:color w:val="auto"/>
          <w:lang w:val="en-US" w:eastAsia="zh-CN"/>
        </w:rPr>
      </w:pPr>
      <w:r>
        <w:rPr>
          <w:rFonts w:hint="default"/>
          <w:color w:val="auto"/>
          <w:lang w:val="en-US" w:eastAsia="zh-CN"/>
        </w:rPr>
        <w:t>《中华人民共和国安全生产法》规定，主要负责人和安全生产管理人员应当由主管的负有安全生产监督管理职责的部门对其安全生产知识和管理能力考核合格；特种作业人员需经培训，考核取得资格证后方可持证上岗；生产作业人员需经</w:t>
      </w:r>
      <w:r>
        <w:rPr>
          <w:rFonts w:hint="eastAsia"/>
          <w:color w:val="auto"/>
          <w:lang w:val="en-US" w:eastAsia="zh-CN"/>
        </w:rPr>
        <w:t>“</w:t>
      </w:r>
      <w:r>
        <w:rPr>
          <w:rFonts w:hint="default"/>
          <w:color w:val="auto"/>
          <w:lang w:val="en-US" w:eastAsia="zh-CN"/>
        </w:rPr>
        <w:t>三级</w:t>
      </w:r>
      <w:r>
        <w:rPr>
          <w:rFonts w:hint="eastAsia"/>
          <w:color w:val="auto"/>
          <w:lang w:val="en-US" w:eastAsia="zh-CN"/>
        </w:rPr>
        <w:t>”</w:t>
      </w:r>
      <w:r>
        <w:rPr>
          <w:rFonts w:hint="default"/>
          <w:color w:val="auto"/>
          <w:lang w:val="en-US" w:eastAsia="zh-CN"/>
        </w:rPr>
        <w:t>安全教育并考核合格方可上岗作业，未经安全生产教育和培训合格不得上岗作业。</w:t>
      </w:r>
    </w:p>
    <w:p w14:paraId="53D807B3">
      <w:pPr>
        <w:bidi w:val="0"/>
        <w:rPr>
          <w:rFonts w:hint="default"/>
          <w:color w:val="auto"/>
          <w:lang w:val="en-US" w:eastAsia="zh-CN"/>
        </w:rPr>
      </w:pPr>
      <w:r>
        <w:rPr>
          <w:rFonts w:hint="default"/>
          <w:color w:val="auto"/>
          <w:lang w:val="en-US" w:eastAsia="zh-CN"/>
        </w:rPr>
        <w:t>本报告根据有关安全生产的培训要求提出安全教育培训对象和内容如下：</w:t>
      </w:r>
    </w:p>
    <w:p w14:paraId="302840CB">
      <w:pPr>
        <w:bidi w:val="0"/>
        <w:rPr>
          <w:rFonts w:hint="default"/>
          <w:color w:val="auto"/>
          <w:lang w:val="en-US" w:eastAsia="zh-CN"/>
        </w:rPr>
      </w:pPr>
      <w:r>
        <w:rPr>
          <w:rFonts w:hint="default"/>
          <w:color w:val="auto"/>
          <w:lang w:val="en-US" w:eastAsia="zh-CN"/>
        </w:rPr>
        <w:t>1、对新从业人员，应进行</w:t>
      </w:r>
      <w:r>
        <w:rPr>
          <w:rFonts w:hint="eastAsia"/>
          <w:color w:val="auto"/>
          <w:lang w:val="en-US" w:eastAsia="zh-CN"/>
        </w:rPr>
        <w:t>“</w:t>
      </w:r>
      <w:r>
        <w:rPr>
          <w:rFonts w:hint="default"/>
          <w:color w:val="auto"/>
          <w:lang w:val="en-US" w:eastAsia="zh-CN"/>
        </w:rPr>
        <w:t>三级</w:t>
      </w:r>
      <w:r>
        <w:rPr>
          <w:rFonts w:hint="eastAsia"/>
          <w:color w:val="auto"/>
          <w:lang w:val="en-US" w:eastAsia="zh-CN"/>
        </w:rPr>
        <w:t>”</w:t>
      </w:r>
      <w:r>
        <w:rPr>
          <w:rFonts w:hint="default"/>
          <w:color w:val="auto"/>
          <w:lang w:val="en-US" w:eastAsia="zh-CN"/>
        </w:rPr>
        <w:t>安全生产教育培训。</w:t>
      </w:r>
    </w:p>
    <w:p w14:paraId="3302961A">
      <w:pPr>
        <w:bidi w:val="0"/>
        <w:rPr>
          <w:rFonts w:hint="default"/>
          <w:color w:val="auto"/>
          <w:lang w:val="en-US" w:eastAsia="zh-CN"/>
        </w:rPr>
      </w:pPr>
      <w:r>
        <w:rPr>
          <w:rFonts w:hint="default"/>
          <w:color w:val="auto"/>
          <w:lang w:val="en-US" w:eastAsia="zh-CN"/>
        </w:rPr>
        <w:t>（1）厂级安全生产教育培训内容主要是：安全生产基本知识；尾矿回采安全生产规章制度；劳动纪律；作业场所和工作岗位存在的危险因素、防范措施及事故应急措施；有关事故案例等。</w:t>
      </w:r>
    </w:p>
    <w:p w14:paraId="438F091E">
      <w:pPr>
        <w:bidi w:val="0"/>
        <w:rPr>
          <w:rFonts w:hint="default"/>
          <w:color w:val="auto"/>
          <w:lang w:val="en-US" w:eastAsia="zh-CN"/>
        </w:rPr>
      </w:pPr>
      <w:r>
        <w:rPr>
          <w:rFonts w:hint="default"/>
          <w:color w:val="auto"/>
          <w:lang w:val="en-US" w:eastAsia="zh-CN"/>
        </w:rPr>
        <w:t>（2）车间级安全生产教育培训内容主要是：本车间安全生产状况和规章制度；作业场所和工作岗位存在的危险因素、防范措施及事故应急措施；事故案例等。</w:t>
      </w:r>
    </w:p>
    <w:p w14:paraId="0F85EA4D">
      <w:pPr>
        <w:bidi w:val="0"/>
        <w:rPr>
          <w:rFonts w:hint="default"/>
          <w:color w:val="auto"/>
          <w:lang w:val="en-US" w:eastAsia="zh-CN"/>
        </w:rPr>
      </w:pPr>
      <w:r>
        <w:rPr>
          <w:rFonts w:hint="default"/>
          <w:color w:val="auto"/>
          <w:lang w:val="en-US" w:eastAsia="zh-CN"/>
        </w:rPr>
        <w:t>（3）班组级安全生产教育培训内容主要是：岗位安全操作规程；生产设备、安全装置、劳动防护用品的正确使用方法；事故案例等。</w:t>
      </w:r>
    </w:p>
    <w:p w14:paraId="1224EC62">
      <w:pPr>
        <w:bidi w:val="0"/>
        <w:rPr>
          <w:rFonts w:hint="default"/>
          <w:color w:val="auto"/>
          <w:lang w:val="en-US" w:eastAsia="zh-CN"/>
        </w:rPr>
      </w:pPr>
      <w:r>
        <w:rPr>
          <w:rFonts w:hint="default"/>
          <w:color w:val="auto"/>
          <w:lang w:val="en-US" w:eastAsia="zh-CN"/>
        </w:rPr>
        <w:t>2、培训时间</w:t>
      </w:r>
    </w:p>
    <w:p w14:paraId="53E14B94">
      <w:pPr>
        <w:bidi w:val="0"/>
        <w:rPr>
          <w:rFonts w:hint="default"/>
          <w:color w:val="auto"/>
          <w:lang w:val="en-US" w:eastAsia="zh-CN"/>
        </w:rPr>
      </w:pPr>
      <w:r>
        <w:rPr>
          <w:rFonts w:hint="default"/>
          <w:color w:val="auto"/>
          <w:lang w:val="en-US" w:eastAsia="zh-CN"/>
        </w:rPr>
        <w:t>（1）新上岗的从业人员安全培训时间不得少于</w:t>
      </w:r>
      <w:r>
        <w:rPr>
          <w:rFonts w:hint="eastAsia"/>
          <w:color w:val="auto"/>
          <w:lang w:val="en-US" w:eastAsia="zh-CN"/>
        </w:rPr>
        <w:t>72</w:t>
      </w:r>
      <w:r>
        <w:rPr>
          <w:rFonts w:hint="default"/>
          <w:color w:val="auto"/>
          <w:lang w:val="en-US" w:eastAsia="zh-CN"/>
        </w:rPr>
        <w:t>学时，每年再培训的时间不得少于20学时。</w:t>
      </w:r>
    </w:p>
    <w:p w14:paraId="1FECC5FF">
      <w:pPr>
        <w:bidi w:val="0"/>
        <w:rPr>
          <w:rFonts w:hint="default"/>
          <w:color w:val="auto"/>
          <w:lang w:val="en-US" w:eastAsia="zh-CN"/>
        </w:rPr>
      </w:pPr>
      <w:r>
        <w:rPr>
          <w:rFonts w:hint="default"/>
          <w:color w:val="auto"/>
          <w:lang w:val="en-US" w:eastAsia="zh-CN"/>
        </w:rPr>
        <w:t>（2）调整工作岗位或离岗一年以上重新上岗时，应进行相应的车间级安全生产教育培训。</w:t>
      </w:r>
    </w:p>
    <w:p w14:paraId="6EB74F04">
      <w:pPr>
        <w:bidi w:val="0"/>
        <w:rPr>
          <w:rFonts w:hint="default"/>
          <w:color w:val="auto"/>
          <w:lang w:val="en-US" w:eastAsia="zh-CN"/>
        </w:rPr>
      </w:pPr>
      <w:r>
        <w:rPr>
          <w:rFonts w:hint="default"/>
          <w:color w:val="auto"/>
          <w:lang w:val="en-US" w:eastAsia="zh-CN"/>
        </w:rPr>
        <w:t>（3）实施新工艺、新技术或使用新设备、新材料时应对从业人员进行有针对性的安全生产教育培训。</w:t>
      </w:r>
    </w:p>
    <w:p w14:paraId="6F889567">
      <w:pPr>
        <w:bidi w:val="0"/>
        <w:rPr>
          <w:rFonts w:hint="default"/>
          <w:color w:val="auto"/>
          <w:lang w:val="en-US" w:eastAsia="zh-CN"/>
        </w:rPr>
      </w:pPr>
      <w:r>
        <w:rPr>
          <w:rFonts w:hint="default"/>
          <w:color w:val="auto"/>
          <w:lang w:val="en-US" w:eastAsia="zh-CN"/>
        </w:rPr>
        <w:t>要确立终身教育的观念和全员培训的目标，对在岗的从业人员应进行经常性的安全生产教育培训，其内容主要是：安全生产新知识、新技术；安全生产法律法规；作业场所和工作岗位存在危险因素、防范措施及事故应急措施事故案例等。</w:t>
      </w:r>
    </w:p>
    <w:p w14:paraId="22382FC4">
      <w:pPr>
        <w:bidi w:val="0"/>
        <w:rPr>
          <w:rFonts w:hint="default"/>
          <w:color w:val="auto"/>
          <w:lang w:val="en-US" w:eastAsia="zh-CN"/>
        </w:rPr>
      </w:pPr>
      <w:r>
        <w:rPr>
          <w:rFonts w:hint="default"/>
          <w:color w:val="auto"/>
          <w:lang w:val="en-US" w:eastAsia="zh-CN"/>
        </w:rPr>
        <w:t>八、加强安全警示、标示</w:t>
      </w:r>
    </w:p>
    <w:p w14:paraId="5664A258">
      <w:pPr>
        <w:bidi w:val="0"/>
        <w:rPr>
          <w:rFonts w:hint="default"/>
          <w:color w:val="auto"/>
          <w:lang w:val="en-US" w:eastAsia="zh-CN"/>
        </w:rPr>
      </w:pPr>
      <w:r>
        <w:rPr>
          <w:rFonts w:hint="default"/>
          <w:color w:val="auto"/>
          <w:lang w:val="en-US" w:eastAsia="zh-CN"/>
        </w:rPr>
        <w:t>企业应在</w:t>
      </w:r>
      <w:r>
        <w:rPr>
          <w:rFonts w:hint="eastAsia"/>
          <w:color w:val="auto"/>
          <w:lang w:val="en-US" w:eastAsia="zh-CN"/>
        </w:rPr>
        <w:t>本项目</w:t>
      </w:r>
      <w:r>
        <w:rPr>
          <w:rFonts w:hint="default"/>
          <w:color w:val="auto"/>
          <w:lang w:val="en-US" w:eastAsia="zh-CN"/>
        </w:rPr>
        <w:t>防排洪设施、供配电设施、厂区道路、水池及边坡等设置安全警示、标识牌。</w:t>
      </w:r>
    </w:p>
    <w:p w14:paraId="1743426B">
      <w:pPr>
        <w:bidi w:val="0"/>
        <w:rPr>
          <w:rFonts w:hint="default"/>
          <w:color w:val="auto"/>
          <w:lang w:val="en-US" w:eastAsia="zh-CN"/>
        </w:rPr>
      </w:pPr>
      <w:r>
        <w:rPr>
          <w:rFonts w:hint="default"/>
          <w:color w:val="auto"/>
          <w:lang w:val="en-US" w:eastAsia="zh-CN"/>
        </w:rPr>
        <w:t>九、事故应急救援</w:t>
      </w:r>
    </w:p>
    <w:p w14:paraId="608634F1">
      <w:pPr>
        <w:bidi w:val="0"/>
        <w:rPr>
          <w:rFonts w:hint="default"/>
          <w:color w:val="auto"/>
          <w:lang w:val="en-US" w:eastAsia="zh-CN"/>
        </w:rPr>
      </w:pPr>
      <w:r>
        <w:rPr>
          <w:rFonts w:hint="default"/>
          <w:color w:val="auto"/>
          <w:lang w:val="en-US" w:eastAsia="zh-CN"/>
        </w:rPr>
        <w:t>根据建设项目存在的危险有害因素分布情况，编制安全生产事故应急救援预案，并按照要求进行评审备案。设置应急救援组织机构，明确应急救援职责及应急对策措施，配备必要的应急救援器材、设备，并定期组织演练，保存演练记录。</w:t>
      </w:r>
    </w:p>
    <w:p w14:paraId="561D3E3A">
      <w:pPr>
        <w:bidi w:val="0"/>
        <w:rPr>
          <w:rFonts w:hint="default"/>
          <w:color w:val="auto"/>
          <w:lang w:val="en-US" w:eastAsia="zh-CN"/>
        </w:rPr>
      </w:pPr>
      <w:r>
        <w:rPr>
          <w:rFonts w:hint="default"/>
          <w:color w:val="auto"/>
          <w:lang w:val="en-US" w:eastAsia="zh-CN"/>
        </w:rPr>
        <w:t>制定应急预案演练计划，根据</w:t>
      </w:r>
      <w:r>
        <w:rPr>
          <w:rFonts w:hint="eastAsia"/>
          <w:color w:val="auto"/>
          <w:lang w:val="en-US" w:eastAsia="zh-CN"/>
        </w:rPr>
        <w:t>本项目</w:t>
      </w:r>
      <w:r>
        <w:rPr>
          <w:rFonts w:hint="default"/>
          <w:color w:val="auto"/>
          <w:lang w:val="en-US" w:eastAsia="zh-CN"/>
        </w:rPr>
        <w:t>事故风险特点，每年至少组织一次综合应急预案演练或者专项应急预案演练，每半年至少组织一次现场处置方案演练。生产安全事故应急处置和应急救援结束后，应当对应急预案实施情况进行总结评估。</w:t>
      </w:r>
    </w:p>
    <w:p w14:paraId="154551D3">
      <w:pPr>
        <w:pStyle w:val="4"/>
        <w:bidi w:val="0"/>
        <w:rPr>
          <w:rFonts w:hint="default"/>
          <w:color w:val="auto"/>
          <w:lang w:val="en-US" w:eastAsia="zh-CN"/>
        </w:rPr>
      </w:pPr>
      <w:bookmarkStart w:id="218" w:name="_Toc10181"/>
      <w:r>
        <w:rPr>
          <w:rFonts w:hint="default"/>
          <w:color w:val="auto"/>
          <w:lang w:val="en-US" w:eastAsia="zh-CN"/>
        </w:rPr>
        <w:t>5.5.3 评价单元小结</w:t>
      </w:r>
      <w:bookmarkEnd w:id="218"/>
    </w:p>
    <w:p w14:paraId="62F38149">
      <w:pPr>
        <w:bidi w:val="0"/>
        <w:rPr>
          <w:rFonts w:hint="default"/>
          <w:color w:val="auto"/>
          <w:lang w:val="en-US" w:eastAsia="zh-CN"/>
        </w:rPr>
      </w:pPr>
      <w:r>
        <w:rPr>
          <w:rFonts w:hint="default"/>
          <w:color w:val="auto"/>
          <w:lang w:val="en-US" w:eastAsia="zh-CN"/>
        </w:rPr>
        <w:t>企业应根据生产的发展及建设项目的具体情况，设置安全生产管理机构，完善安全生产责任制、安全管理制度、安全技术操作规程等。</w:t>
      </w:r>
    </w:p>
    <w:p w14:paraId="3F49ACAE">
      <w:pPr>
        <w:bidi w:val="0"/>
        <w:rPr>
          <w:rFonts w:hint="default"/>
          <w:color w:val="auto"/>
          <w:lang w:val="en-US" w:eastAsia="zh-CN"/>
        </w:rPr>
      </w:pPr>
      <w:r>
        <w:rPr>
          <w:rFonts w:hint="default"/>
          <w:color w:val="auto"/>
          <w:lang w:val="en-US" w:eastAsia="zh-CN"/>
        </w:rPr>
        <w:t>本单元应注意以下问题：</w:t>
      </w:r>
    </w:p>
    <w:p w14:paraId="40C9F777">
      <w:pPr>
        <w:bidi w:val="0"/>
        <w:rPr>
          <w:rFonts w:hint="default"/>
          <w:color w:val="auto"/>
          <w:lang w:val="en-US" w:eastAsia="zh-CN"/>
        </w:rPr>
      </w:pPr>
      <w:r>
        <w:rPr>
          <w:rFonts w:hint="default"/>
          <w:color w:val="auto"/>
          <w:lang w:val="en-US" w:eastAsia="zh-CN"/>
        </w:rPr>
        <w:t>1、企业设置了三级安全管理机构，应补充完善各级安全管理机构、人员职责；</w:t>
      </w:r>
    </w:p>
    <w:p w14:paraId="377E8F7F">
      <w:pPr>
        <w:bidi w:val="0"/>
        <w:rPr>
          <w:rFonts w:hint="default"/>
          <w:color w:val="auto"/>
          <w:lang w:val="en-US" w:eastAsia="zh-CN"/>
        </w:rPr>
      </w:pPr>
      <w:r>
        <w:rPr>
          <w:rFonts w:hint="default"/>
          <w:color w:val="auto"/>
          <w:lang w:val="en-US" w:eastAsia="zh-CN"/>
        </w:rPr>
        <w:t>2、建立安全生产管理机构，确定主要负责人和安全管理人员，并经安全生产监管监察部门对其安全生产知识和管理能力考核合格，特种作业人员应取得特种作业资格证。</w:t>
      </w:r>
    </w:p>
    <w:p w14:paraId="3F3C3435">
      <w:pPr>
        <w:bidi w:val="0"/>
        <w:rPr>
          <w:rFonts w:hint="default"/>
          <w:color w:val="auto"/>
          <w:lang w:val="en-US" w:eastAsia="zh-CN"/>
        </w:rPr>
      </w:pPr>
      <w:r>
        <w:rPr>
          <w:rFonts w:hint="default"/>
          <w:color w:val="auto"/>
          <w:lang w:val="en-US" w:eastAsia="zh-CN"/>
        </w:rPr>
        <w:t>3、企业应建立健全安全责任制、安全管理制度、安全操作规程及相应的安全管理台帐，并编制事故应急救援预案，进行定期演练。</w:t>
      </w:r>
    </w:p>
    <w:p w14:paraId="0C3B8F62">
      <w:pPr>
        <w:bidi w:val="0"/>
        <w:rPr>
          <w:rFonts w:hint="default"/>
          <w:color w:val="auto"/>
          <w:lang w:val="en-US" w:eastAsia="zh-CN"/>
        </w:rPr>
      </w:pPr>
      <w:r>
        <w:rPr>
          <w:rFonts w:hint="default"/>
          <w:color w:val="auto"/>
          <w:lang w:val="en-US" w:eastAsia="zh-CN"/>
        </w:rPr>
        <w:t>4、为从业人员提供符合国家标准或者行业标准的劳动防护用品。</w:t>
      </w:r>
    </w:p>
    <w:p w14:paraId="47A7C84E">
      <w:pPr>
        <w:bidi w:val="0"/>
        <w:rPr>
          <w:color w:val="auto"/>
        </w:rPr>
      </w:pPr>
      <w:r>
        <w:rPr>
          <w:rFonts w:hint="default"/>
          <w:color w:val="auto"/>
          <w:lang w:val="en-US" w:eastAsia="zh-CN"/>
        </w:rPr>
        <w:t>5、企业应编制安全生产事故应急救援预案并备案。</w:t>
      </w:r>
    </w:p>
    <w:p w14:paraId="70282BFB">
      <w:pPr>
        <w:rPr>
          <w:rFonts w:hint="eastAsia"/>
          <w:color w:val="auto"/>
        </w:rPr>
      </w:pPr>
      <w:r>
        <w:rPr>
          <w:rFonts w:hint="eastAsia"/>
          <w:color w:val="auto"/>
        </w:rPr>
        <w:br w:type="page"/>
      </w:r>
    </w:p>
    <w:p w14:paraId="0F5CD54E">
      <w:pPr>
        <w:pStyle w:val="2"/>
        <w:bidi w:val="0"/>
        <w:rPr>
          <w:rFonts w:hint="eastAsia"/>
          <w:color w:val="auto"/>
        </w:rPr>
      </w:pPr>
      <w:bookmarkStart w:id="219" w:name="_Toc21617"/>
      <w:r>
        <w:rPr>
          <w:rFonts w:hint="eastAsia"/>
          <w:color w:val="auto"/>
        </w:rPr>
        <w:t>6 安全对策措施建议</w:t>
      </w:r>
      <w:bookmarkEnd w:id="219"/>
    </w:p>
    <w:p w14:paraId="7CAD2D5D">
      <w:pPr>
        <w:pStyle w:val="3"/>
        <w:bidi w:val="0"/>
        <w:rPr>
          <w:rFonts w:hint="eastAsia"/>
          <w:color w:val="auto"/>
        </w:rPr>
      </w:pPr>
      <w:bookmarkStart w:id="220" w:name="_Toc26596"/>
      <w:r>
        <w:rPr>
          <w:rFonts w:hint="eastAsia"/>
          <w:color w:val="auto"/>
        </w:rPr>
        <w:t>6.1 厂址及总平面布置单元安全对策措施建议</w:t>
      </w:r>
      <w:bookmarkEnd w:id="220"/>
    </w:p>
    <w:p w14:paraId="25B833E1">
      <w:pPr>
        <w:bidi w:val="0"/>
        <w:rPr>
          <w:rFonts w:hint="eastAsia"/>
          <w:color w:val="auto"/>
        </w:rPr>
      </w:pPr>
      <w:r>
        <w:rPr>
          <w:rFonts w:hint="eastAsia"/>
          <w:color w:val="auto"/>
        </w:rPr>
        <w:t>1、根据《选矿安全规程》（</w:t>
      </w:r>
      <w:r>
        <w:rPr>
          <w:rFonts w:hint="eastAsia"/>
          <w:color w:val="auto"/>
          <w:lang w:eastAsia="zh-CN"/>
        </w:rPr>
        <w:t>GB/T 18152-2000</w:t>
      </w:r>
      <w:r>
        <w:rPr>
          <w:rFonts w:hint="eastAsia"/>
          <w:color w:val="auto"/>
        </w:rPr>
        <w:t>）第5.1.1条规定，选择厂址应有完整的地形、工程地质、水文地质、地震、气象及环境影响评价等方面的资料作依据。</w:t>
      </w:r>
    </w:p>
    <w:p w14:paraId="031D1A22">
      <w:pPr>
        <w:bidi w:val="0"/>
        <w:rPr>
          <w:rFonts w:hint="eastAsia"/>
          <w:color w:val="auto"/>
        </w:rPr>
      </w:pPr>
      <w:r>
        <w:rPr>
          <w:rFonts w:hint="eastAsia"/>
          <w:color w:val="auto"/>
        </w:rPr>
        <w:t>2、根据《选矿安全规程》（</w:t>
      </w:r>
      <w:r>
        <w:rPr>
          <w:rFonts w:hint="eastAsia"/>
          <w:color w:val="auto"/>
          <w:lang w:eastAsia="zh-CN"/>
        </w:rPr>
        <w:t>GB/T 18152-2000</w:t>
      </w:r>
      <w:r>
        <w:rPr>
          <w:rFonts w:hint="eastAsia"/>
          <w:color w:val="auto"/>
        </w:rPr>
        <w:t>）第5.1.2条规定，选择厂址，宜避开岩溶、流砂、淤泥、湿陷性黄土、断层、塌方、泥石流、滑坡等不良地质地段，否则，应采取可靠的安全措施。</w:t>
      </w:r>
    </w:p>
    <w:p w14:paraId="49DA6795">
      <w:pPr>
        <w:bidi w:val="0"/>
        <w:rPr>
          <w:rFonts w:hint="eastAsia"/>
          <w:color w:val="auto"/>
        </w:rPr>
      </w:pPr>
      <w:r>
        <w:rPr>
          <w:rFonts w:hint="eastAsia"/>
          <w:color w:val="auto"/>
        </w:rPr>
        <w:t>3、按工艺流程合理布置厂房，做到功能分区明确、道路通畅、物流高效，厂区建筑物之间符合《建筑设计防火规范》（GB 50016-2014，2018年版）的表3.4.1规定。</w:t>
      </w:r>
    </w:p>
    <w:p w14:paraId="67E075C3">
      <w:pPr>
        <w:bidi w:val="0"/>
        <w:rPr>
          <w:rFonts w:hint="eastAsia"/>
          <w:color w:val="auto"/>
        </w:rPr>
      </w:pPr>
      <w:r>
        <w:rPr>
          <w:rFonts w:hint="eastAsia"/>
          <w:color w:val="auto"/>
        </w:rPr>
        <w:t>4、根据《选矿安全规程》（</w:t>
      </w:r>
      <w:r>
        <w:rPr>
          <w:rFonts w:hint="eastAsia"/>
          <w:color w:val="auto"/>
          <w:lang w:eastAsia="zh-CN"/>
        </w:rPr>
        <w:t>GB/T 18152-2000</w:t>
      </w:r>
      <w:r>
        <w:rPr>
          <w:rFonts w:hint="eastAsia"/>
          <w:color w:val="auto"/>
        </w:rPr>
        <w:t>）第5.2.3条规定，应设置通达厂房、仓库和可燃原料堆场的消防车道（也可利用交通运输道路），其宽度应不小于3.5m。尽头式消防车道，应设回车道或不小于12m×12m的回车场。</w:t>
      </w:r>
    </w:p>
    <w:p w14:paraId="13B7480B">
      <w:pPr>
        <w:bidi w:val="0"/>
        <w:rPr>
          <w:rFonts w:hint="eastAsia"/>
          <w:color w:val="auto"/>
        </w:rPr>
      </w:pPr>
      <w:r>
        <w:rPr>
          <w:rFonts w:hint="eastAsia"/>
          <w:color w:val="auto"/>
        </w:rPr>
        <w:t>5、根据《选矿安全规程》（</w:t>
      </w:r>
      <w:r>
        <w:rPr>
          <w:rFonts w:hint="eastAsia"/>
          <w:color w:val="auto"/>
          <w:lang w:eastAsia="zh-CN"/>
        </w:rPr>
        <w:t>GB/T 18152-2000</w:t>
      </w:r>
      <w:r>
        <w:rPr>
          <w:rFonts w:hint="eastAsia"/>
          <w:color w:val="auto"/>
        </w:rPr>
        <w:t>）第6.7条规定，荷载较重和振动较大的设备，其基础不应坐落在平台上，而应坐落在地基上。操作平台有集中荷载时应采取特殊加固措施。</w:t>
      </w:r>
    </w:p>
    <w:p w14:paraId="2FCA2D99">
      <w:pPr>
        <w:bidi w:val="0"/>
        <w:rPr>
          <w:rFonts w:hint="eastAsia"/>
          <w:color w:val="auto"/>
        </w:rPr>
      </w:pPr>
      <w:r>
        <w:rPr>
          <w:rFonts w:hint="eastAsia"/>
          <w:color w:val="auto"/>
        </w:rPr>
        <w:t>6、根据《选矿安全规程》（</w:t>
      </w:r>
      <w:r>
        <w:rPr>
          <w:rFonts w:hint="eastAsia"/>
          <w:color w:val="auto"/>
          <w:lang w:eastAsia="zh-CN"/>
        </w:rPr>
        <w:t>GB/T 18152-2000</w:t>
      </w:r>
      <w:r>
        <w:rPr>
          <w:rFonts w:hint="eastAsia"/>
          <w:color w:val="auto"/>
        </w:rPr>
        <w:t>）第6.9条规定，厂房内主要操作通道宽度应不小于1.5m一般设备维护通道宽度应不小于1.0m通道净空高度应小于2.0m。</w:t>
      </w:r>
    </w:p>
    <w:p w14:paraId="251D8D6A">
      <w:pPr>
        <w:bidi w:val="0"/>
        <w:rPr>
          <w:rFonts w:hint="eastAsia"/>
          <w:color w:val="auto"/>
        </w:rPr>
      </w:pPr>
      <w:r>
        <w:rPr>
          <w:rFonts w:hint="eastAsia"/>
          <w:color w:val="auto"/>
        </w:rPr>
        <w:t>7、根据《选矿安全规程》（</w:t>
      </w:r>
      <w:r>
        <w:rPr>
          <w:rFonts w:hint="eastAsia"/>
          <w:color w:val="auto"/>
          <w:lang w:eastAsia="zh-CN"/>
        </w:rPr>
        <w:t>GB/T 18152-2000</w:t>
      </w:r>
      <w:r>
        <w:rPr>
          <w:rFonts w:hint="eastAsia"/>
          <w:color w:val="auto"/>
        </w:rPr>
        <w:t>）第6.11条规定，高度超过0.6m的平台，周围应设栏杆；平台上的孔洞应设栏杆或盖板；必要时，平台边缘应设安全防护板。</w:t>
      </w:r>
    </w:p>
    <w:p w14:paraId="4A179868">
      <w:pPr>
        <w:bidi w:val="0"/>
        <w:rPr>
          <w:rFonts w:hint="eastAsia"/>
          <w:color w:val="auto"/>
        </w:rPr>
      </w:pPr>
      <w:r>
        <w:rPr>
          <w:rFonts w:hint="eastAsia"/>
          <w:color w:val="auto"/>
        </w:rPr>
        <w:t>8、根据《选矿安全规程》（</w:t>
      </w:r>
      <w:r>
        <w:rPr>
          <w:rFonts w:hint="eastAsia"/>
          <w:color w:val="auto"/>
          <w:lang w:eastAsia="zh-CN"/>
        </w:rPr>
        <w:t>GB/T 18152-2000</w:t>
      </w:r>
      <w:r>
        <w:rPr>
          <w:rFonts w:hint="eastAsia"/>
          <w:color w:val="auto"/>
        </w:rPr>
        <w:t>）第6.12条规定，天桥、通道及走梯，宜用花纹钢板制作。直梯、斜梯、栏杆及平台的制作，应分别符合GB 4053.1、GB 4053.2、GB 4053.3和GB 4053.4的要求。</w:t>
      </w:r>
    </w:p>
    <w:p w14:paraId="199A91F9">
      <w:pPr>
        <w:bidi w:val="0"/>
        <w:rPr>
          <w:rFonts w:hint="eastAsia"/>
          <w:color w:val="auto"/>
        </w:rPr>
      </w:pPr>
      <w:r>
        <w:rPr>
          <w:rFonts w:hint="eastAsia"/>
          <w:color w:val="auto"/>
        </w:rPr>
        <w:t>9、根据《选矿安全规程》（</w:t>
      </w:r>
      <w:r>
        <w:rPr>
          <w:rFonts w:hint="eastAsia"/>
          <w:color w:val="auto"/>
          <w:lang w:eastAsia="zh-CN"/>
        </w:rPr>
        <w:t>GB/T 18152-2000</w:t>
      </w:r>
      <w:r>
        <w:rPr>
          <w:rFonts w:hint="eastAsia"/>
          <w:color w:val="auto"/>
        </w:rPr>
        <w:t>）第6.13条规定，应定期检查、维护和清扫栏杆、平台和走梯。</w:t>
      </w:r>
    </w:p>
    <w:p w14:paraId="2E87ACB4">
      <w:pPr>
        <w:bidi w:val="0"/>
        <w:rPr>
          <w:rFonts w:hint="eastAsia"/>
          <w:color w:val="auto"/>
        </w:rPr>
      </w:pPr>
      <w:r>
        <w:rPr>
          <w:rFonts w:hint="eastAsia"/>
          <w:color w:val="auto"/>
        </w:rPr>
        <w:t>10、根据《选矿安全规程》（</w:t>
      </w:r>
      <w:r>
        <w:rPr>
          <w:rFonts w:hint="eastAsia"/>
          <w:color w:val="auto"/>
          <w:lang w:eastAsia="zh-CN"/>
        </w:rPr>
        <w:t>GB/T 18152-2000</w:t>
      </w:r>
      <w:r>
        <w:rPr>
          <w:rFonts w:hint="eastAsia"/>
          <w:color w:val="auto"/>
        </w:rPr>
        <w:t>）第6.17条规定，设备的开关和操作箱，应设在设备附近便于操作的位置。相互联系的设备开关和操作箱，宜集中放置。主要设备电机的安装高度，应便于操作人员检查、维护；如难以满足，应设局部操作平台。</w:t>
      </w:r>
    </w:p>
    <w:p w14:paraId="67722C04">
      <w:pPr>
        <w:bidi w:val="0"/>
        <w:rPr>
          <w:rFonts w:hint="eastAsia"/>
          <w:color w:val="auto"/>
        </w:rPr>
      </w:pPr>
      <w:r>
        <w:rPr>
          <w:rFonts w:hint="eastAsia"/>
          <w:color w:val="auto"/>
        </w:rPr>
        <w:t>11、根据《选矿安全规程》（</w:t>
      </w:r>
      <w:r>
        <w:rPr>
          <w:rFonts w:hint="eastAsia"/>
          <w:color w:val="auto"/>
          <w:lang w:eastAsia="zh-CN"/>
        </w:rPr>
        <w:t>GB/T 18152-2000</w:t>
      </w:r>
      <w:r>
        <w:rPr>
          <w:rFonts w:hint="eastAsia"/>
          <w:color w:val="auto"/>
        </w:rPr>
        <w:t>）第6.18条规定，厂内各类管线、溜槽，不应妨碍操作和行走。</w:t>
      </w:r>
    </w:p>
    <w:p w14:paraId="32FBEC18">
      <w:pPr>
        <w:bidi w:val="0"/>
        <w:rPr>
          <w:rFonts w:hint="eastAsia"/>
          <w:color w:val="auto"/>
        </w:rPr>
      </w:pPr>
      <w:r>
        <w:rPr>
          <w:rFonts w:hint="eastAsia"/>
          <w:color w:val="auto"/>
        </w:rPr>
        <w:t>12、根据《选矿安全规程》（</w:t>
      </w:r>
      <w:r>
        <w:rPr>
          <w:rFonts w:hint="eastAsia"/>
          <w:color w:val="auto"/>
          <w:lang w:eastAsia="zh-CN"/>
        </w:rPr>
        <w:t>GB/T 18152-2000</w:t>
      </w:r>
      <w:r>
        <w:rPr>
          <w:rFonts w:hint="eastAsia"/>
          <w:color w:val="auto"/>
        </w:rPr>
        <w:t>）第6.21条规定，厂房应有足够的、供设备（部件）装配和检修用的场地。</w:t>
      </w:r>
    </w:p>
    <w:p w14:paraId="69C33038">
      <w:pPr>
        <w:bidi w:val="0"/>
        <w:rPr>
          <w:rFonts w:hint="eastAsia"/>
          <w:color w:val="auto"/>
        </w:rPr>
      </w:pPr>
      <w:r>
        <w:rPr>
          <w:rFonts w:hint="eastAsia"/>
          <w:color w:val="auto"/>
        </w:rPr>
        <w:t>13、该场地抗震设防烈度为8度，须进行抗震设防。</w:t>
      </w:r>
    </w:p>
    <w:p w14:paraId="5E154489">
      <w:pPr>
        <w:bidi w:val="0"/>
        <w:rPr>
          <w:rFonts w:hint="eastAsia"/>
          <w:color w:val="auto"/>
        </w:rPr>
      </w:pPr>
      <w:r>
        <w:rPr>
          <w:rFonts w:hint="eastAsia"/>
          <w:color w:val="auto"/>
        </w:rPr>
        <w:t>14、应定期检查、维护和清扫栏杆、平台和走梯。</w:t>
      </w:r>
    </w:p>
    <w:p w14:paraId="347581E0">
      <w:pPr>
        <w:pStyle w:val="3"/>
        <w:bidi w:val="0"/>
        <w:rPr>
          <w:rFonts w:hint="eastAsia"/>
          <w:color w:val="auto"/>
        </w:rPr>
      </w:pPr>
      <w:bookmarkStart w:id="221" w:name="_Toc26008"/>
      <w:r>
        <w:rPr>
          <w:rFonts w:hint="eastAsia"/>
          <w:color w:val="auto"/>
        </w:rPr>
        <w:t xml:space="preserve">6.2 </w:t>
      </w:r>
      <w:r>
        <w:rPr>
          <w:rFonts w:hint="eastAsia"/>
          <w:color w:val="auto"/>
          <w:lang w:val="en-US" w:eastAsia="zh-CN"/>
        </w:rPr>
        <w:t>选矿</w:t>
      </w:r>
      <w:r>
        <w:rPr>
          <w:rFonts w:hint="eastAsia"/>
          <w:color w:val="auto"/>
        </w:rPr>
        <w:t>工艺单元安全对策措施建议</w:t>
      </w:r>
      <w:bookmarkEnd w:id="221"/>
    </w:p>
    <w:p w14:paraId="2B15B964">
      <w:pPr>
        <w:bidi w:val="0"/>
        <w:rPr>
          <w:rFonts w:hint="eastAsia"/>
          <w:color w:val="auto"/>
        </w:rPr>
      </w:pPr>
      <w:r>
        <w:rPr>
          <w:rFonts w:hint="eastAsia"/>
          <w:color w:val="auto"/>
        </w:rPr>
        <w:t>1、做好机械设备及电路的维修保养工作，避免人员伤害事故的发生。</w:t>
      </w:r>
    </w:p>
    <w:p w14:paraId="38976EEE">
      <w:pPr>
        <w:bidi w:val="0"/>
        <w:rPr>
          <w:rFonts w:hint="eastAsia"/>
          <w:color w:val="auto"/>
        </w:rPr>
      </w:pPr>
      <w:r>
        <w:rPr>
          <w:rFonts w:hint="eastAsia"/>
          <w:color w:val="auto"/>
        </w:rPr>
        <w:t>2、上班前应穿好一切防护用品，加药时必须穿防滑胶鞋防止滑倒、摔伤。</w:t>
      </w:r>
    </w:p>
    <w:p w14:paraId="183FA0E5">
      <w:pPr>
        <w:bidi w:val="0"/>
        <w:rPr>
          <w:rFonts w:hint="eastAsia"/>
          <w:color w:val="auto"/>
        </w:rPr>
      </w:pPr>
      <w:r>
        <w:rPr>
          <w:rFonts w:hint="eastAsia"/>
          <w:color w:val="auto"/>
        </w:rPr>
        <w:t>3、作业平台应设置安全防护栏杆及安全警示标志。</w:t>
      </w:r>
    </w:p>
    <w:p w14:paraId="6538CF75">
      <w:pPr>
        <w:bidi w:val="0"/>
        <w:rPr>
          <w:rFonts w:hint="eastAsia"/>
          <w:color w:val="auto"/>
        </w:rPr>
      </w:pPr>
      <w:r>
        <w:rPr>
          <w:rFonts w:hint="eastAsia"/>
          <w:color w:val="auto"/>
        </w:rPr>
        <w:t>4、电工作业人员应持证上岗，线路停、送电、应严格执行工作票制度。电气设备可能被人触及的裸露带电部分，应严格按照规定接地、接零保护。</w:t>
      </w:r>
    </w:p>
    <w:p w14:paraId="2B397038">
      <w:pPr>
        <w:bidi w:val="0"/>
        <w:rPr>
          <w:rFonts w:hint="eastAsia"/>
          <w:color w:val="auto"/>
        </w:rPr>
      </w:pPr>
      <w:r>
        <w:rPr>
          <w:rFonts w:hint="eastAsia"/>
          <w:color w:val="auto"/>
          <w:lang w:val="en-US" w:eastAsia="zh-CN"/>
        </w:rPr>
        <w:t>5</w:t>
      </w:r>
      <w:r>
        <w:rPr>
          <w:rFonts w:hint="eastAsia"/>
          <w:color w:val="auto"/>
        </w:rPr>
        <w:t>、皮带输送机的安全防范措施</w:t>
      </w:r>
    </w:p>
    <w:p w14:paraId="483CE650">
      <w:pPr>
        <w:bidi w:val="0"/>
        <w:rPr>
          <w:rFonts w:hint="eastAsia"/>
          <w:color w:val="auto"/>
        </w:rPr>
      </w:pPr>
      <w:r>
        <w:rPr>
          <w:rFonts w:hint="eastAsia"/>
          <w:color w:val="auto"/>
        </w:rPr>
        <w:t>①安装打滑保护系统，其工作原理是采用传感器测量胶带运行速度，通过与传感器滚筒线速度进行比较，当有差值输出时，即判断胶带打滑。</w:t>
      </w:r>
    </w:p>
    <w:p w14:paraId="76BC7D90">
      <w:pPr>
        <w:bidi w:val="0"/>
        <w:rPr>
          <w:rFonts w:hint="eastAsia"/>
          <w:color w:val="auto"/>
        </w:rPr>
      </w:pPr>
      <w:r>
        <w:rPr>
          <w:rFonts w:hint="eastAsia"/>
          <w:color w:val="auto"/>
        </w:rPr>
        <w:t>②皮带输送机安装物料传感器来避免物料的堵塞，当发生堵塞故障时，料位传感器发生信号，用于保护和停机。</w:t>
      </w:r>
    </w:p>
    <w:p w14:paraId="7759F717">
      <w:pPr>
        <w:bidi w:val="0"/>
        <w:rPr>
          <w:rFonts w:hint="eastAsia"/>
          <w:color w:val="auto"/>
        </w:rPr>
      </w:pPr>
      <w:r>
        <w:rPr>
          <w:rFonts w:hint="eastAsia"/>
          <w:color w:val="auto"/>
        </w:rPr>
        <w:t>③安装拉绳开关，拉绳开关是用于皮带输送机沿线紧急停机的一种现场操作保护装置，建议可以选用无源机械双向拉绳开关，可以在紧急情况下，在带式输送机沿线任意位置拉动拉绳，使拉绳开关触点动作，实现紧急停机。</w:t>
      </w:r>
    </w:p>
    <w:p w14:paraId="5E7604E5">
      <w:pPr>
        <w:bidi w:val="0"/>
        <w:rPr>
          <w:rFonts w:hint="eastAsia"/>
          <w:color w:val="auto"/>
        </w:rPr>
      </w:pPr>
      <w:r>
        <w:rPr>
          <w:rFonts w:hint="eastAsia"/>
          <w:color w:val="auto"/>
        </w:rPr>
        <w:t>④利用红外线传感器测量皮带温度，可以灵敏、高效检测皮带温度。</w:t>
      </w:r>
    </w:p>
    <w:p w14:paraId="472D96AC">
      <w:pPr>
        <w:bidi w:val="0"/>
        <w:rPr>
          <w:rFonts w:hint="eastAsia"/>
          <w:color w:val="auto"/>
        </w:rPr>
      </w:pPr>
      <w:r>
        <w:rPr>
          <w:rFonts w:hint="eastAsia"/>
          <w:color w:val="auto"/>
        </w:rPr>
        <w:t>⑤加强皮带输送机运行管理和维护，当发现胶带打滑，及时停机处理。</w:t>
      </w:r>
    </w:p>
    <w:p w14:paraId="1D5310EE">
      <w:pPr>
        <w:bidi w:val="0"/>
        <w:rPr>
          <w:rFonts w:hint="eastAsia"/>
          <w:color w:val="auto"/>
        </w:rPr>
      </w:pPr>
      <w:r>
        <w:rPr>
          <w:rFonts w:hint="eastAsia"/>
          <w:color w:val="auto"/>
        </w:rPr>
        <w:t>⑥使用打滑保护装置，当皮带输送机打滑时，通过打滑传感器，发出信号，自动切断电源停机。</w:t>
      </w:r>
    </w:p>
    <w:p w14:paraId="4876B8B5">
      <w:pPr>
        <w:bidi w:val="0"/>
        <w:rPr>
          <w:rFonts w:hint="eastAsia"/>
          <w:color w:val="auto"/>
        </w:rPr>
      </w:pPr>
      <w:r>
        <w:rPr>
          <w:rFonts w:hint="eastAsia"/>
          <w:color w:val="auto"/>
          <w:lang w:val="en-US" w:eastAsia="zh-CN"/>
        </w:rPr>
        <w:t>6</w:t>
      </w:r>
      <w:r>
        <w:rPr>
          <w:rFonts w:hint="eastAsia"/>
          <w:color w:val="auto"/>
        </w:rPr>
        <w:t>、压滤机液压系统存储高压液体，如果未经授权的人员自行拆卸液压系统，可能会导致高压液体喷溅，造成人员伤害。因此，操作人员必须经过专业培训，了解液压系统的结构和操作原理，以及如何安全地处理液压系统中的高压液体。此外，操作人员应严格遵守操作规程，不得擅自拆卸液压系统，以避免发生意外‌。定期对液压系统和电气系统进行检查和维护，确保其安全运行，及时发现并处理潜在的安全隐患‌。</w:t>
      </w:r>
    </w:p>
    <w:p w14:paraId="73CD84BF">
      <w:pPr>
        <w:bidi w:val="0"/>
        <w:rPr>
          <w:rFonts w:hint="eastAsia"/>
          <w:color w:val="auto"/>
        </w:rPr>
      </w:pPr>
      <w:r>
        <w:rPr>
          <w:rFonts w:hint="eastAsia"/>
          <w:color w:val="auto"/>
          <w:lang w:val="en-US" w:eastAsia="zh-CN"/>
        </w:rPr>
        <w:t>7</w:t>
      </w:r>
      <w:r>
        <w:rPr>
          <w:rFonts w:hint="eastAsia"/>
          <w:color w:val="auto"/>
        </w:rPr>
        <w:t>、有限空间作业安全措施</w:t>
      </w:r>
    </w:p>
    <w:p w14:paraId="666A5EDA">
      <w:pPr>
        <w:bidi w:val="0"/>
        <w:rPr>
          <w:rFonts w:hint="eastAsia"/>
          <w:color w:val="auto"/>
        </w:rPr>
      </w:pPr>
      <w:r>
        <w:rPr>
          <w:rFonts w:hint="eastAsia"/>
          <w:color w:val="auto"/>
        </w:rPr>
        <w:t>有限空间作业应当严格遵守“先通风、再检测、后作业”的原则。检测指标包括氧浓度、易燃易爆物质（可燃性气体、爆炸性粉尘）浓度、有毒有害气体浓度。检测应当符合相关国家标准或者行业标准的规定。未经通风和检测合格，任何人员不得进入有限空间作业。检测的时间不得早于作业开始前30min。有限空间作业场所的照明灯具电压应当符合《特低电压限值》（GB/T 3805）等国家标准或者行业标准的规定；作业场所存在可燃性气体、粉尘的，其电气设施设备及照明灯具的防爆安全要求应当符合《爆炸性环境第一部分：设备通用要求》（GB 3836.1）等国家标准或者行业标准的规定。工贸企业有限空间作业还应当符合下列要求：保持有限空间出入口畅通；设置明显的安全警示标志和警示说明；作业前清点作业人员和工器具；作业人员与外部有可靠的通讯联络；监护人员不得离开作业现场，并与作业人员保持联系；存在交叉作业时，采取避免互相伤害的措施。加强个体防护，为相关岗位人员配备相应的防护用品（如防毒面具、防毒手套等）。</w:t>
      </w:r>
    </w:p>
    <w:p w14:paraId="66BD22F6">
      <w:pPr>
        <w:bidi w:val="0"/>
        <w:rPr>
          <w:rFonts w:hint="eastAsia"/>
          <w:color w:val="auto"/>
        </w:rPr>
      </w:pPr>
      <w:r>
        <w:rPr>
          <w:rFonts w:hint="eastAsia"/>
          <w:color w:val="auto"/>
        </w:rPr>
        <w:t>建设单位应制定有限空间作业的相关制度、作业规程。</w:t>
      </w:r>
    </w:p>
    <w:p w14:paraId="1F850B6C">
      <w:pPr>
        <w:bidi w:val="0"/>
        <w:rPr>
          <w:rFonts w:hint="eastAsia"/>
          <w:color w:val="auto"/>
        </w:rPr>
      </w:pPr>
      <w:r>
        <w:rPr>
          <w:rFonts w:hint="eastAsia"/>
          <w:color w:val="auto"/>
        </w:rPr>
        <w:t>进有限空间作业时应按要求办理有限空间作业许可证，并执行作业规程。</w:t>
      </w:r>
    </w:p>
    <w:p w14:paraId="2C0DE1BE">
      <w:pPr>
        <w:bidi w:val="0"/>
        <w:rPr>
          <w:rFonts w:hint="eastAsia"/>
          <w:color w:val="auto"/>
        </w:rPr>
      </w:pPr>
      <w:r>
        <w:rPr>
          <w:rFonts w:hint="eastAsia"/>
          <w:color w:val="auto"/>
          <w:lang w:val="en-US" w:eastAsia="zh-CN"/>
        </w:rPr>
        <w:t>8</w:t>
      </w:r>
      <w:r>
        <w:rPr>
          <w:rFonts w:hint="eastAsia"/>
          <w:color w:val="auto"/>
        </w:rPr>
        <w:t>、根据《选矿安全规程》（</w:t>
      </w:r>
      <w:r>
        <w:rPr>
          <w:rFonts w:hint="eastAsia"/>
          <w:color w:val="auto"/>
          <w:lang w:eastAsia="zh-CN"/>
        </w:rPr>
        <w:t>GB/T 18152-2000</w:t>
      </w:r>
      <w:r>
        <w:rPr>
          <w:rFonts w:hint="eastAsia"/>
          <w:color w:val="auto"/>
        </w:rPr>
        <w:t>）第6.15条规定，道口和有物体碰撞、坠落危险的地点，均应设醒目的警告标志和防护设施。</w:t>
      </w:r>
    </w:p>
    <w:p w14:paraId="05DC4C18">
      <w:pPr>
        <w:bidi w:val="0"/>
        <w:rPr>
          <w:rFonts w:hint="eastAsia"/>
          <w:color w:val="auto"/>
        </w:rPr>
      </w:pPr>
      <w:r>
        <w:rPr>
          <w:rFonts w:hint="eastAsia"/>
          <w:color w:val="auto"/>
          <w:lang w:val="en-US" w:eastAsia="zh-CN"/>
        </w:rPr>
        <w:t>9</w:t>
      </w:r>
      <w:r>
        <w:rPr>
          <w:rFonts w:hint="eastAsia"/>
          <w:color w:val="auto"/>
        </w:rPr>
        <w:t>、根据《选矿安全规程》（</w:t>
      </w:r>
      <w:r>
        <w:rPr>
          <w:rFonts w:hint="eastAsia"/>
          <w:color w:val="auto"/>
          <w:lang w:eastAsia="zh-CN"/>
        </w:rPr>
        <w:t>GB/T 18152-2000</w:t>
      </w:r>
      <w:r>
        <w:rPr>
          <w:rFonts w:hint="eastAsia"/>
          <w:color w:val="auto"/>
        </w:rPr>
        <w:t>）第6.16条规定，设备裸露的转动部分，应设防护罩或防护屏。防护罩、防护屏应分别符合GB 8196、GB 8197的要求。</w:t>
      </w:r>
    </w:p>
    <w:p w14:paraId="6806E81E">
      <w:pPr>
        <w:bidi w:val="0"/>
        <w:rPr>
          <w:rFonts w:hint="eastAsia"/>
          <w:color w:val="auto"/>
        </w:rPr>
      </w:pPr>
      <w:r>
        <w:rPr>
          <w:rFonts w:hint="eastAsia"/>
          <w:color w:val="auto"/>
        </w:rPr>
        <w:t>1</w:t>
      </w:r>
      <w:r>
        <w:rPr>
          <w:rFonts w:hint="eastAsia"/>
          <w:color w:val="auto"/>
          <w:lang w:val="en-US" w:eastAsia="zh-CN"/>
        </w:rPr>
        <w:t>0</w:t>
      </w:r>
      <w:r>
        <w:rPr>
          <w:rFonts w:hint="eastAsia"/>
          <w:color w:val="auto"/>
        </w:rPr>
        <w:t>、根据《选矿安全规程》（</w:t>
      </w:r>
      <w:r>
        <w:rPr>
          <w:rFonts w:hint="eastAsia"/>
          <w:color w:val="auto"/>
          <w:lang w:eastAsia="zh-CN"/>
        </w:rPr>
        <w:t>GB/T 18152-2000</w:t>
      </w:r>
      <w:r>
        <w:rPr>
          <w:rFonts w:hint="eastAsia"/>
          <w:color w:val="auto"/>
        </w:rPr>
        <w:t>）第7.1.1条规定，运转设备的下列作业，应停车进行：</w:t>
      </w:r>
    </w:p>
    <w:p w14:paraId="3E411696">
      <w:pPr>
        <w:bidi w:val="0"/>
        <w:rPr>
          <w:rFonts w:hint="eastAsia"/>
          <w:color w:val="auto"/>
        </w:rPr>
      </w:pPr>
      <w:r>
        <w:rPr>
          <w:rFonts w:hint="eastAsia"/>
          <w:color w:val="auto"/>
        </w:rPr>
        <w:t>（1）处理故障</w:t>
      </w:r>
    </w:p>
    <w:p w14:paraId="0CDE2642">
      <w:pPr>
        <w:bidi w:val="0"/>
        <w:rPr>
          <w:rFonts w:hint="eastAsia"/>
          <w:color w:val="auto"/>
        </w:rPr>
      </w:pPr>
      <w:r>
        <w:rPr>
          <w:rFonts w:hint="eastAsia"/>
          <w:color w:val="auto"/>
        </w:rPr>
        <w:t>（2）更换部件</w:t>
      </w:r>
    </w:p>
    <w:p w14:paraId="41FDC3BA">
      <w:pPr>
        <w:bidi w:val="0"/>
        <w:rPr>
          <w:rFonts w:hint="eastAsia"/>
          <w:color w:val="auto"/>
        </w:rPr>
      </w:pPr>
      <w:r>
        <w:rPr>
          <w:rFonts w:hint="eastAsia"/>
          <w:color w:val="auto"/>
        </w:rPr>
        <w:t>（3）局部调整设备部件</w:t>
      </w:r>
    </w:p>
    <w:p w14:paraId="523A77F0">
      <w:pPr>
        <w:bidi w:val="0"/>
        <w:rPr>
          <w:rFonts w:hint="eastAsia"/>
          <w:color w:val="auto"/>
        </w:rPr>
      </w:pPr>
      <w:r>
        <w:rPr>
          <w:rFonts w:hint="eastAsia"/>
          <w:color w:val="auto"/>
        </w:rPr>
        <w:t>（4）调整皮带松紧</w:t>
      </w:r>
    </w:p>
    <w:p w14:paraId="2EEAE71D">
      <w:pPr>
        <w:bidi w:val="0"/>
        <w:rPr>
          <w:rFonts w:hint="eastAsia"/>
          <w:color w:val="auto"/>
        </w:rPr>
      </w:pPr>
      <w:r>
        <w:rPr>
          <w:rFonts w:hint="eastAsia"/>
          <w:color w:val="auto"/>
        </w:rPr>
        <w:t>（5）清扫设备。</w:t>
      </w:r>
    </w:p>
    <w:p w14:paraId="187CB6F2">
      <w:pPr>
        <w:bidi w:val="0"/>
        <w:rPr>
          <w:rFonts w:hint="eastAsia"/>
          <w:color w:val="auto"/>
        </w:rPr>
      </w:pPr>
      <w:r>
        <w:rPr>
          <w:rFonts w:hint="eastAsia"/>
          <w:color w:val="auto"/>
        </w:rPr>
        <w:t>1</w:t>
      </w:r>
      <w:r>
        <w:rPr>
          <w:rFonts w:hint="eastAsia"/>
          <w:color w:val="auto"/>
          <w:lang w:val="en-US" w:eastAsia="zh-CN"/>
        </w:rPr>
        <w:t>1</w:t>
      </w:r>
      <w:r>
        <w:rPr>
          <w:rFonts w:hint="eastAsia"/>
          <w:color w:val="auto"/>
        </w:rPr>
        <w:t>、根据《选矿安全规程》（</w:t>
      </w:r>
      <w:r>
        <w:rPr>
          <w:rFonts w:hint="eastAsia"/>
          <w:color w:val="auto"/>
          <w:lang w:eastAsia="zh-CN"/>
        </w:rPr>
        <w:t>GB/T 18152-2000</w:t>
      </w:r>
      <w:r>
        <w:rPr>
          <w:rFonts w:hint="eastAsia"/>
          <w:color w:val="auto"/>
        </w:rPr>
        <w:t>）第7.1.3条规定，人员进入停止运转的设备内部或上部，事前应用操作牌换电源牌，切断电源，锁上电源开关，挂上“有人作业，严禁合闸”的标志牌，并设专人监护。</w:t>
      </w:r>
    </w:p>
    <w:p w14:paraId="49F5FF94">
      <w:pPr>
        <w:bidi w:val="0"/>
        <w:rPr>
          <w:rFonts w:hint="default" w:eastAsia="宋体"/>
          <w:color w:val="auto"/>
          <w:lang w:val="en-US" w:eastAsia="zh-CN"/>
        </w:rPr>
      </w:pPr>
      <w:r>
        <w:rPr>
          <w:rFonts w:hint="eastAsia"/>
          <w:color w:val="auto"/>
          <w:lang w:val="en-US" w:eastAsia="zh-CN"/>
        </w:rPr>
        <w:t>12、</w:t>
      </w:r>
      <w:r>
        <w:rPr>
          <w:rFonts w:hint="eastAsia"/>
          <w:color w:val="auto"/>
        </w:rPr>
        <w:t>根据《选矿安全规程》（</w:t>
      </w:r>
      <w:r>
        <w:rPr>
          <w:rFonts w:hint="eastAsia"/>
          <w:color w:val="auto"/>
          <w:lang w:eastAsia="zh-CN"/>
        </w:rPr>
        <w:t>GB/T 18152-2000</w:t>
      </w:r>
      <w:r>
        <w:rPr>
          <w:rFonts w:hint="eastAsia"/>
          <w:color w:val="auto"/>
        </w:rPr>
        <w:t>）第</w:t>
      </w:r>
      <w:r>
        <w:rPr>
          <w:rFonts w:hint="eastAsia"/>
          <w:color w:val="auto"/>
          <w:lang w:val="en-US" w:eastAsia="zh-CN"/>
        </w:rPr>
        <w:t>7.3.1</w:t>
      </w:r>
      <w:r>
        <w:rPr>
          <w:rFonts w:hint="eastAsia"/>
          <w:color w:val="auto"/>
        </w:rPr>
        <w:t>条规定，</w:t>
      </w:r>
      <w:r>
        <w:rPr>
          <w:rFonts w:hint="eastAsia"/>
          <w:color w:val="auto"/>
          <w:lang w:val="en-US" w:eastAsia="zh-CN"/>
        </w:rPr>
        <w:t>磨矿机两侧和轴瓦侧面，应有防护栏杆。磨矿机运转时，人员不应在运转筒体两侧和下部逗留或工作；并应经常观察人孔门是否严密，严防磨矿介质飞出伤人。封闭磨矿机人孔时，应确认磨矿机内无人，方可封闭。</w:t>
      </w:r>
    </w:p>
    <w:p w14:paraId="50284133">
      <w:pPr>
        <w:bidi w:val="0"/>
        <w:rPr>
          <w:rFonts w:hint="default" w:eastAsia="宋体"/>
          <w:color w:val="auto"/>
          <w:lang w:val="en-US" w:eastAsia="zh-CN"/>
        </w:rPr>
      </w:pPr>
      <w:r>
        <w:rPr>
          <w:rFonts w:hint="eastAsia"/>
          <w:color w:val="auto"/>
          <w:lang w:val="en-US" w:eastAsia="zh-CN"/>
        </w:rPr>
        <w:t>13、</w:t>
      </w:r>
      <w:r>
        <w:rPr>
          <w:rFonts w:hint="eastAsia"/>
          <w:color w:val="auto"/>
        </w:rPr>
        <w:t>根据《选矿安全规程》（</w:t>
      </w:r>
      <w:r>
        <w:rPr>
          <w:rFonts w:hint="eastAsia"/>
          <w:color w:val="auto"/>
          <w:lang w:eastAsia="zh-CN"/>
        </w:rPr>
        <w:t>GB/T 18152-2000</w:t>
      </w:r>
      <w:r>
        <w:rPr>
          <w:rFonts w:hint="eastAsia"/>
          <w:color w:val="auto"/>
        </w:rPr>
        <w:t>）第</w:t>
      </w:r>
      <w:r>
        <w:rPr>
          <w:rFonts w:hint="eastAsia"/>
          <w:color w:val="auto"/>
          <w:lang w:val="en-US" w:eastAsia="zh-CN"/>
        </w:rPr>
        <w:t>7.3.4</w:t>
      </w:r>
      <w:r>
        <w:rPr>
          <w:rFonts w:hint="eastAsia"/>
          <w:color w:val="auto"/>
        </w:rPr>
        <w:t>条规定，</w:t>
      </w:r>
      <w:r>
        <w:rPr>
          <w:rFonts w:hint="eastAsia"/>
          <w:color w:val="auto"/>
          <w:lang w:val="en-US" w:eastAsia="zh-CN"/>
        </w:rPr>
        <w:t>球磨机“胀肚”时，应立即停止给料，然后按“前水闭，后水加，提高分级浓度降返砂”的原则处理。</w:t>
      </w:r>
    </w:p>
    <w:p w14:paraId="16403AA4">
      <w:pPr>
        <w:bidi w:val="0"/>
        <w:rPr>
          <w:rFonts w:hint="eastAsia"/>
          <w:color w:val="auto"/>
        </w:rPr>
      </w:pPr>
      <w:r>
        <w:rPr>
          <w:rFonts w:hint="eastAsia"/>
          <w:color w:val="auto"/>
          <w:lang w:val="en-US" w:eastAsia="zh-CN"/>
        </w:rPr>
        <w:t>14、</w:t>
      </w:r>
      <w:r>
        <w:rPr>
          <w:rFonts w:hint="eastAsia"/>
          <w:color w:val="auto"/>
        </w:rPr>
        <w:t>根据《选矿安全规程》（</w:t>
      </w:r>
      <w:r>
        <w:rPr>
          <w:rFonts w:hint="eastAsia"/>
          <w:color w:val="auto"/>
          <w:lang w:eastAsia="zh-CN"/>
        </w:rPr>
        <w:t>GB/T 18152-2000</w:t>
      </w:r>
      <w:r>
        <w:rPr>
          <w:rFonts w:hint="eastAsia"/>
          <w:color w:val="auto"/>
        </w:rPr>
        <w:t>）第7</w:t>
      </w:r>
      <w:r>
        <w:rPr>
          <w:rFonts w:hint="eastAsia"/>
          <w:color w:val="auto"/>
          <w:lang w:val="en-US" w:eastAsia="zh-CN"/>
        </w:rPr>
        <w:t>.</w:t>
      </w:r>
      <w:r>
        <w:rPr>
          <w:rFonts w:hint="eastAsia"/>
          <w:color w:val="auto"/>
        </w:rPr>
        <w:t>3</w:t>
      </w:r>
      <w:r>
        <w:rPr>
          <w:rFonts w:hint="eastAsia"/>
          <w:color w:val="auto"/>
          <w:lang w:val="en-US" w:eastAsia="zh-CN"/>
        </w:rPr>
        <w:t>.</w:t>
      </w:r>
      <w:r>
        <w:rPr>
          <w:rFonts w:hint="eastAsia"/>
          <w:color w:val="auto"/>
        </w:rPr>
        <w:t>9条规定，处理分级设备的返砂槽堵塞时不应攀登在分级机、直线振动筛或其他设备上进行。</w:t>
      </w:r>
    </w:p>
    <w:p w14:paraId="5C6B862A">
      <w:pPr>
        <w:bidi w:val="0"/>
        <w:rPr>
          <w:rFonts w:hint="eastAsia"/>
          <w:color w:val="auto"/>
        </w:rPr>
      </w:pPr>
      <w:r>
        <w:rPr>
          <w:rFonts w:hint="eastAsia"/>
          <w:color w:val="auto"/>
          <w:lang w:val="en-US" w:eastAsia="zh-CN"/>
        </w:rPr>
        <w:t>15、</w:t>
      </w:r>
      <w:r>
        <w:rPr>
          <w:rFonts w:hint="eastAsia"/>
          <w:color w:val="auto"/>
        </w:rPr>
        <w:t>根据《选矿安全规程》（</w:t>
      </w:r>
      <w:r>
        <w:rPr>
          <w:rFonts w:hint="eastAsia"/>
          <w:color w:val="auto"/>
          <w:lang w:eastAsia="zh-CN"/>
        </w:rPr>
        <w:t>GB/T 18152-2000</w:t>
      </w:r>
      <w:r>
        <w:rPr>
          <w:rFonts w:hint="eastAsia"/>
          <w:color w:val="auto"/>
        </w:rPr>
        <w:t>）第7</w:t>
      </w:r>
      <w:r>
        <w:rPr>
          <w:rFonts w:hint="eastAsia"/>
          <w:color w:val="auto"/>
          <w:lang w:val="en-US" w:eastAsia="zh-CN"/>
        </w:rPr>
        <w:t>.</w:t>
      </w:r>
      <w:r>
        <w:rPr>
          <w:rFonts w:hint="eastAsia"/>
          <w:color w:val="auto"/>
        </w:rPr>
        <w:t>5</w:t>
      </w:r>
      <w:r>
        <w:rPr>
          <w:rFonts w:hint="eastAsia"/>
          <w:color w:val="auto"/>
          <w:lang w:val="en-US" w:eastAsia="zh-CN"/>
        </w:rPr>
        <w:t>.</w:t>
      </w:r>
      <w:r>
        <w:rPr>
          <w:rFonts w:hint="eastAsia"/>
          <w:color w:val="auto"/>
        </w:rPr>
        <w:t>1</w:t>
      </w:r>
      <w:r>
        <w:rPr>
          <w:rFonts w:hint="eastAsia"/>
          <w:color w:val="auto"/>
          <w:lang w:val="en-US" w:eastAsia="zh-CN"/>
        </w:rPr>
        <w:t>.</w:t>
      </w:r>
      <w:r>
        <w:rPr>
          <w:rFonts w:hint="eastAsia"/>
          <w:color w:val="auto"/>
        </w:rPr>
        <w:t>1条规定，螺旋溜槽应按高度每2m~2.5m设一分层操作平台。</w:t>
      </w:r>
    </w:p>
    <w:p w14:paraId="059DCDFB">
      <w:pPr>
        <w:bidi w:val="0"/>
        <w:rPr>
          <w:rFonts w:hint="default" w:eastAsia="宋体"/>
          <w:color w:val="auto"/>
          <w:lang w:val="en-US" w:eastAsia="zh-CN"/>
        </w:rPr>
      </w:pPr>
      <w:r>
        <w:rPr>
          <w:rFonts w:hint="eastAsia"/>
          <w:color w:val="auto"/>
          <w:lang w:val="en-US" w:eastAsia="zh-CN"/>
        </w:rPr>
        <w:t>16、</w:t>
      </w:r>
      <w:r>
        <w:rPr>
          <w:rFonts w:hint="eastAsia"/>
          <w:color w:val="auto"/>
        </w:rPr>
        <w:t>根据《选矿安全规程》（</w:t>
      </w:r>
      <w:r>
        <w:rPr>
          <w:rFonts w:hint="eastAsia"/>
          <w:color w:val="auto"/>
          <w:lang w:eastAsia="zh-CN"/>
        </w:rPr>
        <w:t>GB/T 18152-2000</w:t>
      </w:r>
      <w:r>
        <w:rPr>
          <w:rFonts w:hint="eastAsia"/>
          <w:color w:val="auto"/>
        </w:rPr>
        <w:t>）第</w:t>
      </w:r>
      <w:r>
        <w:rPr>
          <w:rFonts w:hint="eastAsia"/>
          <w:color w:val="auto"/>
          <w:lang w:val="en-US" w:eastAsia="zh-CN"/>
        </w:rPr>
        <w:t>7.5.2.1</w:t>
      </w:r>
      <w:r>
        <w:rPr>
          <w:rFonts w:hint="eastAsia"/>
          <w:color w:val="auto"/>
        </w:rPr>
        <w:t>条规定，</w:t>
      </w:r>
      <w:r>
        <w:rPr>
          <w:rFonts w:hint="eastAsia"/>
          <w:color w:val="auto"/>
          <w:lang w:val="en-US" w:eastAsia="zh-CN"/>
        </w:rPr>
        <w:t>调整干选磁滑轮下料分料板时，作业人员应站在磁滑轮侧面进行，以防矿物迸出伤人。</w:t>
      </w:r>
    </w:p>
    <w:p w14:paraId="371B6029">
      <w:pPr>
        <w:bidi w:val="0"/>
        <w:rPr>
          <w:rFonts w:hint="eastAsia"/>
          <w:color w:val="auto"/>
        </w:rPr>
      </w:pPr>
      <w:r>
        <w:rPr>
          <w:rFonts w:hint="eastAsia"/>
          <w:color w:val="auto"/>
          <w:lang w:val="en-US" w:eastAsia="zh-CN"/>
        </w:rPr>
        <w:t>17、</w:t>
      </w:r>
      <w:r>
        <w:rPr>
          <w:rFonts w:hint="eastAsia"/>
          <w:color w:val="auto"/>
        </w:rPr>
        <w:t>根据《选矿安全规程》（</w:t>
      </w:r>
      <w:r>
        <w:rPr>
          <w:rFonts w:hint="eastAsia"/>
          <w:color w:val="auto"/>
          <w:lang w:eastAsia="zh-CN"/>
        </w:rPr>
        <w:t>GB/T 18152-2000</w:t>
      </w:r>
      <w:r>
        <w:rPr>
          <w:rFonts w:hint="eastAsia"/>
          <w:color w:val="auto"/>
        </w:rPr>
        <w:t>）第7</w:t>
      </w:r>
      <w:r>
        <w:rPr>
          <w:rFonts w:hint="eastAsia"/>
          <w:color w:val="auto"/>
          <w:lang w:val="en-US" w:eastAsia="zh-CN"/>
        </w:rPr>
        <w:t>.</w:t>
      </w:r>
      <w:r>
        <w:rPr>
          <w:rFonts w:hint="eastAsia"/>
          <w:color w:val="auto"/>
        </w:rPr>
        <w:t>5</w:t>
      </w:r>
      <w:r>
        <w:rPr>
          <w:rFonts w:hint="eastAsia"/>
          <w:color w:val="auto"/>
          <w:lang w:val="en-US" w:eastAsia="zh-CN"/>
        </w:rPr>
        <w:t>.</w:t>
      </w:r>
      <w:r>
        <w:rPr>
          <w:rFonts w:hint="eastAsia"/>
          <w:color w:val="auto"/>
        </w:rPr>
        <w:t>4</w:t>
      </w:r>
      <w:r>
        <w:rPr>
          <w:rFonts w:hint="eastAsia"/>
          <w:color w:val="auto"/>
          <w:lang w:val="en-US" w:eastAsia="zh-CN"/>
        </w:rPr>
        <w:t>.</w:t>
      </w:r>
      <w:r>
        <w:rPr>
          <w:rFonts w:hint="eastAsia"/>
          <w:color w:val="auto"/>
        </w:rPr>
        <w:t>15条规定，回转窑点火时</w:t>
      </w:r>
      <w:r>
        <w:rPr>
          <w:rFonts w:hint="eastAsia"/>
          <w:color w:val="auto"/>
          <w:lang w:eastAsia="zh-CN"/>
        </w:rPr>
        <w:t>，</w:t>
      </w:r>
      <w:r>
        <w:rPr>
          <w:rFonts w:hint="eastAsia"/>
          <w:color w:val="auto"/>
        </w:rPr>
        <w:t>应先将煤气管道系统通入蒸汽</w:t>
      </w:r>
      <w:r>
        <w:rPr>
          <w:rFonts w:hint="eastAsia"/>
          <w:color w:val="auto"/>
          <w:lang w:eastAsia="zh-CN"/>
        </w:rPr>
        <w:t>，</w:t>
      </w:r>
      <w:r>
        <w:rPr>
          <w:rFonts w:hint="eastAsia"/>
          <w:color w:val="auto"/>
        </w:rPr>
        <w:t>以清除残余煤气</w:t>
      </w:r>
      <w:r>
        <w:rPr>
          <w:rFonts w:hint="eastAsia"/>
          <w:color w:val="auto"/>
          <w:lang w:eastAsia="zh-CN"/>
        </w:rPr>
        <w:t>，</w:t>
      </w:r>
      <w:r>
        <w:rPr>
          <w:rFonts w:hint="eastAsia"/>
          <w:color w:val="auto"/>
        </w:rPr>
        <w:t>同时开动抽风机10min</w:t>
      </w:r>
      <w:r>
        <w:rPr>
          <w:rFonts w:hint="eastAsia"/>
          <w:color w:val="auto"/>
          <w:lang w:eastAsia="zh-CN"/>
        </w:rPr>
        <w:t>，</w:t>
      </w:r>
      <w:r>
        <w:rPr>
          <w:rFonts w:hint="eastAsia"/>
          <w:color w:val="auto"/>
        </w:rPr>
        <w:t>然后用火把点燃煤气火嘴</w:t>
      </w:r>
      <w:r>
        <w:rPr>
          <w:rFonts w:hint="eastAsia"/>
          <w:color w:val="auto"/>
          <w:lang w:eastAsia="zh-CN"/>
        </w:rPr>
        <w:t>（</w:t>
      </w:r>
      <w:r>
        <w:rPr>
          <w:rFonts w:hint="eastAsia"/>
          <w:color w:val="auto"/>
        </w:rPr>
        <w:t>先点火把后开阀门</w:t>
      </w:r>
      <w:r>
        <w:rPr>
          <w:rFonts w:hint="eastAsia"/>
          <w:color w:val="auto"/>
          <w:lang w:eastAsia="zh-CN"/>
        </w:rPr>
        <w:t>）；</w:t>
      </w:r>
      <w:r>
        <w:rPr>
          <w:rFonts w:hint="eastAsia"/>
          <w:color w:val="auto"/>
        </w:rPr>
        <w:t>如果点不着</w:t>
      </w:r>
      <w:r>
        <w:rPr>
          <w:rFonts w:hint="eastAsia"/>
          <w:color w:val="auto"/>
          <w:lang w:eastAsia="zh-CN"/>
        </w:rPr>
        <w:t>，</w:t>
      </w:r>
      <w:r>
        <w:rPr>
          <w:rFonts w:hint="eastAsia"/>
          <w:color w:val="auto"/>
        </w:rPr>
        <w:t>应查明原因</w:t>
      </w:r>
      <w:r>
        <w:rPr>
          <w:rFonts w:hint="eastAsia"/>
          <w:color w:val="auto"/>
          <w:lang w:eastAsia="zh-CN"/>
        </w:rPr>
        <w:t>，</w:t>
      </w:r>
      <w:r>
        <w:rPr>
          <w:rFonts w:hint="eastAsia"/>
          <w:color w:val="auto"/>
        </w:rPr>
        <w:t>间隔10~15min后再点。</w:t>
      </w:r>
    </w:p>
    <w:p w14:paraId="2F7CB84F">
      <w:pPr>
        <w:bidi w:val="0"/>
        <w:rPr>
          <w:rFonts w:hint="eastAsia"/>
          <w:color w:val="auto"/>
        </w:rPr>
      </w:pPr>
      <w:r>
        <w:rPr>
          <w:rFonts w:hint="eastAsia"/>
          <w:color w:val="auto"/>
          <w:lang w:val="en-US" w:eastAsia="zh-CN"/>
        </w:rPr>
        <w:t>18、</w:t>
      </w:r>
      <w:r>
        <w:rPr>
          <w:rFonts w:hint="eastAsia"/>
          <w:color w:val="auto"/>
        </w:rPr>
        <w:t>根据《选矿安全规程》（</w:t>
      </w:r>
      <w:r>
        <w:rPr>
          <w:rFonts w:hint="eastAsia"/>
          <w:color w:val="auto"/>
          <w:lang w:eastAsia="zh-CN"/>
        </w:rPr>
        <w:t>GB/T 18152-2000</w:t>
      </w:r>
      <w:r>
        <w:rPr>
          <w:rFonts w:hint="eastAsia"/>
          <w:color w:val="auto"/>
        </w:rPr>
        <w:t>）第7</w:t>
      </w:r>
      <w:r>
        <w:rPr>
          <w:rFonts w:hint="eastAsia"/>
          <w:color w:val="auto"/>
          <w:lang w:val="en-US" w:eastAsia="zh-CN"/>
        </w:rPr>
        <w:t>.</w:t>
      </w:r>
      <w:r>
        <w:rPr>
          <w:rFonts w:hint="eastAsia"/>
          <w:color w:val="auto"/>
        </w:rPr>
        <w:t>5</w:t>
      </w:r>
      <w:r>
        <w:rPr>
          <w:rFonts w:hint="eastAsia"/>
          <w:color w:val="auto"/>
          <w:lang w:val="en-US" w:eastAsia="zh-CN"/>
        </w:rPr>
        <w:t>.</w:t>
      </w:r>
      <w:r>
        <w:rPr>
          <w:rFonts w:hint="eastAsia"/>
          <w:color w:val="auto"/>
        </w:rPr>
        <w:t>4</w:t>
      </w:r>
      <w:r>
        <w:rPr>
          <w:rFonts w:hint="eastAsia"/>
          <w:color w:val="auto"/>
          <w:lang w:val="en-US" w:eastAsia="zh-CN"/>
        </w:rPr>
        <w:t>.</w:t>
      </w:r>
      <w:r>
        <w:rPr>
          <w:rFonts w:hint="eastAsia"/>
          <w:color w:val="auto"/>
        </w:rPr>
        <w:t>16条规定，点火前应做煤气爆发试验</w:t>
      </w:r>
      <w:r>
        <w:rPr>
          <w:rFonts w:hint="eastAsia"/>
          <w:color w:val="auto"/>
          <w:lang w:eastAsia="zh-CN"/>
        </w:rPr>
        <w:t>，</w:t>
      </w:r>
      <w:r>
        <w:rPr>
          <w:rFonts w:hint="eastAsia"/>
          <w:color w:val="auto"/>
        </w:rPr>
        <w:t>试验不合格不应点火。</w:t>
      </w:r>
    </w:p>
    <w:p w14:paraId="164DBDA6">
      <w:pPr>
        <w:bidi w:val="0"/>
        <w:rPr>
          <w:rFonts w:hint="eastAsia"/>
          <w:color w:val="auto"/>
        </w:rPr>
      </w:pPr>
      <w:r>
        <w:rPr>
          <w:rFonts w:hint="eastAsia"/>
          <w:color w:val="auto"/>
          <w:lang w:val="en-US" w:eastAsia="zh-CN"/>
        </w:rPr>
        <w:t>19、</w:t>
      </w:r>
      <w:r>
        <w:rPr>
          <w:rFonts w:hint="eastAsia"/>
          <w:color w:val="auto"/>
        </w:rPr>
        <w:t>根据《选矿安全规程》（</w:t>
      </w:r>
      <w:r>
        <w:rPr>
          <w:rFonts w:hint="eastAsia"/>
          <w:color w:val="auto"/>
          <w:lang w:eastAsia="zh-CN"/>
        </w:rPr>
        <w:t>GB/T 18152-2000</w:t>
      </w:r>
      <w:r>
        <w:rPr>
          <w:rFonts w:hint="eastAsia"/>
          <w:color w:val="auto"/>
        </w:rPr>
        <w:t>）第7</w:t>
      </w:r>
      <w:r>
        <w:rPr>
          <w:rFonts w:hint="eastAsia"/>
          <w:color w:val="auto"/>
          <w:lang w:val="en-US" w:eastAsia="zh-CN"/>
        </w:rPr>
        <w:t>.</w:t>
      </w:r>
      <w:r>
        <w:rPr>
          <w:rFonts w:hint="eastAsia"/>
          <w:color w:val="auto"/>
        </w:rPr>
        <w:t>5</w:t>
      </w:r>
      <w:r>
        <w:rPr>
          <w:rFonts w:hint="eastAsia"/>
          <w:color w:val="auto"/>
          <w:lang w:val="en-US" w:eastAsia="zh-CN"/>
        </w:rPr>
        <w:t>.</w:t>
      </w:r>
      <w:r>
        <w:rPr>
          <w:rFonts w:hint="eastAsia"/>
          <w:color w:val="auto"/>
        </w:rPr>
        <w:t>4</w:t>
      </w:r>
      <w:r>
        <w:rPr>
          <w:rFonts w:hint="eastAsia"/>
          <w:color w:val="auto"/>
          <w:lang w:val="en-US" w:eastAsia="zh-CN"/>
        </w:rPr>
        <w:t>.</w:t>
      </w:r>
      <w:r>
        <w:rPr>
          <w:rFonts w:hint="eastAsia"/>
          <w:color w:val="auto"/>
        </w:rPr>
        <w:t>17条规定，进窑检修应搭好踏板</w:t>
      </w:r>
      <w:r>
        <w:rPr>
          <w:rFonts w:hint="eastAsia"/>
          <w:color w:val="auto"/>
          <w:lang w:eastAsia="zh-CN"/>
        </w:rPr>
        <w:t>，</w:t>
      </w:r>
      <w:r>
        <w:rPr>
          <w:rFonts w:hint="eastAsia"/>
          <w:color w:val="auto"/>
        </w:rPr>
        <w:t>窑内应用安全灯</w:t>
      </w:r>
      <w:r>
        <w:rPr>
          <w:rFonts w:hint="eastAsia"/>
          <w:color w:val="auto"/>
          <w:lang w:eastAsia="zh-CN"/>
        </w:rPr>
        <w:t>（</w:t>
      </w:r>
      <w:r>
        <w:rPr>
          <w:rFonts w:hint="eastAsia"/>
          <w:color w:val="auto"/>
        </w:rPr>
        <w:t>低压、防爆</w:t>
      </w:r>
      <w:r>
        <w:rPr>
          <w:rFonts w:hint="eastAsia"/>
          <w:color w:val="auto"/>
          <w:lang w:eastAsia="zh-CN"/>
        </w:rPr>
        <w:t>）</w:t>
      </w:r>
      <w:r>
        <w:rPr>
          <w:rFonts w:hint="eastAsia"/>
          <w:color w:val="auto"/>
        </w:rPr>
        <w:t>照明</w:t>
      </w:r>
      <w:r>
        <w:rPr>
          <w:rFonts w:hint="eastAsia"/>
          <w:color w:val="auto"/>
          <w:lang w:eastAsia="zh-CN"/>
        </w:rPr>
        <w:t>；</w:t>
      </w:r>
      <w:r>
        <w:rPr>
          <w:rFonts w:hint="eastAsia"/>
          <w:color w:val="auto"/>
        </w:rPr>
        <w:t>窑转动时</w:t>
      </w:r>
      <w:r>
        <w:rPr>
          <w:rFonts w:hint="eastAsia"/>
          <w:color w:val="auto"/>
          <w:lang w:eastAsia="zh-CN"/>
        </w:rPr>
        <w:t>，</w:t>
      </w:r>
      <w:r>
        <w:rPr>
          <w:rFonts w:hint="eastAsia"/>
          <w:color w:val="auto"/>
        </w:rPr>
        <w:t>内部不应有人</w:t>
      </w:r>
      <w:r>
        <w:rPr>
          <w:rFonts w:hint="eastAsia"/>
          <w:color w:val="auto"/>
          <w:lang w:eastAsia="zh-CN"/>
        </w:rPr>
        <w:t>；</w:t>
      </w:r>
      <w:r>
        <w:rPr>
          <w:rFonts w:hint="eastAsia"/>
          <w:color w:val="auto"/>
        </w:rPr>
        <w:t>抢修时应申请作业票。</w:t>
      </w:r>
    </w:p>
    <w:p w14:paraId="4A0D3897">
      <w:pPr>
        <w:bidi w:val="0"/>
        <w:rPr>
          <w:rFonts w:hint="eastAsia"/>
          <w:color w:val="auto"/>
        </w:rPr>
      </w:pPr>
      <w:r>
        <w:rPr>
          <w:rFonts w:hint="eastAsia"/>
          <w:color w:val="auto"/>
          <w:lang w:val="en-US" w:eastAsia="zh-CN"/>
        </w:rPr>
        <w:t>20、</w:t>
      </w:r>
      <w:r>
        <w:rPr>
          <w:rFonts w:hint="eastAsia"/>
          <w:color w:val="auto"/>
        </w:rPr>
        <w:t>根据《选矿安全规程》（</w:t>
      </w:r>
      <w:r>
        <w:rPr>
          <w:rFonts w:hint="eastAsia"/>
          <w:color w:val="auto"/>
          <w:lang w:eastAsia="zh-CN"/>
        </w:rPr>
        <w:t>GB/T 18152-2000</w:t>
      </w:r>
      <w:r>
        <w:rPr>
          <w:rFonts w:hint="eastAsia"/>
          <w:color w:val="auto"/>
        </w:rPr>
        <w:t>）第7</w:t>
      </w:r>
      <w:r>
        <w:rPr>
          <w:rFonts w:hint="eastAsia"/>
          <w:color w:val="auto"/>
          <w:lang w:val="en-US" w:eastAsia="zh-CN"/>
        </w:rPr>
        <w:t>.</w:t>
      </w:r>
      <w:r>
        <w:rPr>
          <w:rFonts w:hint="eastAsia"/>
          <w:color w:val="auto"/>
        </w:rPr>
        <w:t>5</w:t>
      </w:r>
      <w:r>
        <w:rPr>
          <w:rFonts w:hint="eastAsia"/>
          <w:color w:val="auto"/>
          <w:lang w:val="en-US" w:eastAsia="zh-CN"/>
        </w:rPr>
        <w:t>.</w:t>
      </w:r>
      <w:r>
        <w:rPr>
          <w:rFonts w:hint="eastAsia"/>
          <w:color w:val="auto"/>
        </w:rPr>
        <w:t>4</w:t>
      </w:r>
      <w:r>
        <w:rPr>
          <w:rFonts w:hint="eastAsia"/>
          <w:color w:val="auto"/>
          <w:lang w:val="en-US" w:eastAsia="zh-CN"/>
        </w:rPr>
        <w:t>.</w:t>
      </w:r>
      <w:r>
        <w:rPr>
          <w:rFonts w:hint="eastAsia"/>
          <w:color w:val="auto"/>
        </w:rPr>
        <w:t>18条规定，窑内检修打砖时</w:t>
      </w:r>
      <w:r>
        <w:rPr>
          <w:rFonts w:hint="eastAsia"/>
          <w:color w:val="auto"/>
          <w:lang w:eastAsia="zh-CN"/>
        </w:rPr>
        <w:t>，</w:t>
      </w:r>
      <w:r>
        <w:rPr>
          <w:rFonts w:hint="eastAsia"/>
          <w:color w:val="auto"/>
        </w:rPr>
        <w:t>应从里向外打</w:t>
      </w:r>
      <w:r>
        <w:rPr>
          <w:rFonts w:hint="eastAsia"/>
          <w:color w:val="auto"/>
          <w:lang w:eastAsia="zh-CN"/>
        </w:rPr>
        <w:t>，</w:t>
      </w:r>
      <w:r>
        <w:rPr>
          <w:rFonts w:hint="eastAsia"/>
          <w:color w:val="auto"/>
        </w:rPr>
        <w:t>并应有人监护。</w:t>
      </w:r>
    </w:p>
    <w:p w14:paraId="22DD27DF">
      <w:pPr>
        <w:bidi w:val="0"/>
        <w:rPr>
          <w:rFonts w:hint="eastAsia"/>
          <w:color w:val="auto"/>
        </w:rPr>
      </w:pPr>
      <w:r>
        <w:rPr>
          <w:rFonts w:hint="eastAsia"/>
          <w:color w:val="auto"/>
          <w:lang w:val="en-US" w:eastAsia="zh-CN"/>
        </w:rPr>
        <w:t>21</w:t>
      </w:r>
      <w:r>
        <w:rPr>
          <w:rFonts w:hint="eastAsia"/>
          <w:color w:val="auto"/>
        </w:rPr>
        <w:t>、根据《选矿安全规程》（</w:t>
      </w:r>
      <w:r>
        <w:rPr>
          <w:rFonts w:hint="eastAsia"/>
          <w:color w:val="auto"/>
          <w:lang w:eastAsia="zh-CN"/>
        </w:rPr>
        <w:t>GB/T 18152-2000</w:t>
      </w:r>
      <w:r>
        <w:rPr>
          <w:rFonts w:hint="eastAsia"/>
          <w:color w:val="auto"/>
        </w:rPr>
        <w:t>）第7.6.1条规定，操作过滤机应保持均匀给矿，分矿箱和管路应畅通。</w:t>
      </w:r>
    </w:p>
    <w:p w14:paraId="4626BFC6">
      <w:pPr>
        <w:bidi w:val="0"/>
        <w:rPr>
          <w:rFonts w:hint="eastAsia"/>
          <w:color w:val="auto"/>
        </w:rPr>
      </w:pPr>
      <w:r>
        <w:rPr>
          <w:rFonts w:hint="eastAsia"/>
          <w:color w:val="auto"/>
          <w:lang w:val="en-US" w:eastAsia="zh-CN"/>
        </w:rPr>
        <w:t>22</w:t>
      </w:r>
      <w:r>
        <w:rPr>
          <w:rFonts w:hint="eastAsia"/>
          <w:color w:val="auto"/>
        </w:rPr>
        <w:t>、根据《选矿安全规程》（</w:t>
      </w:r>
      <w:r>
        <w:rPr>
          <w:rFonts w:hint="eastAsia"/>
          <w:color w:val="auto"/>
          <w:lang w:eastAsia="zh-CN"/>
        </w:rPr>
        <w:t>GB/T 18152-2000</w:t>
      </w:r>
      <w:r>
        <w:rPr>
          <w:rFonts w:hint="eastAsia"/>
          <w:color w:val="auto"/>
        </w:rPr>
        <w:t>）第7.6.2条规定，大型内滤式真空过滤机内的人行板道，应设安全装置。</w:t>
      </w:r>
    </w:p>
    <w:p w14:paraId="794CF7A4">
      <w:pPr>
        <w:bidi w:val="0"/>
        <w:rPr>
          <w:rFonts w:hint="eastAsia"/>
          <w:color w:val="auto"/>
        </w:rPr>
      </w:pPr>
      <w:r>
        <w:rPr>
          <w:rFonts w:hint="eastAsia"/>
          <w:color w:val="auto"/>
        </w:rPr>
        <w:t>23、根据《选矿安全规程》（</w:t>
      </w:r>
      <w:r>
        <w:rPr>
          <w:rFonts w:hint="eastAsia"/>
          <w:color w:val="auto"/>
          <w:lang w:eastAsia="zh-CN"/>
        </w:rPr>
        <w:t>GB/T 18152-2000</w:t>
      </w:r>
      <w:r>
        <w:rPr>
          <w:rFonts w:hint="eastAsia"/>
          <w:color w:val="auto"/>
        </w:rPr>
        <w:t>）第8.1.1条规定，砂泵站（特别是高压砂泵站）应设必要的监测仪表，容积式的砂泵站应设超压保护装置。静水压力较高的泵站应在砂泵单向阀后设置安全阀或防水锤。</w:t>
      </w:r>
    </w:p>
    <w:p w14:paraId="7EE0597B">
      <w:pPr>
        <w:bidi w:val="0"/>
        <w:rPr>
          <w:rFonts w:hint="eastAsia"/>
          <w:color w:val="auto"/>
        </w:rPr>
      </w:pPr>
      <w:r>
        <w:rPr>
          <w:rFonts w:hint="eastAsia"/>
          <w:color w:val="auto"/>
        </w:rPr>
        <w:t>24、根据《选矿安全规程》（</w:t>
      </w:r>
      <w:r>
        <w:rPr>
          <w:rFonts w:hint="eastAsia"/>
          <w:color w:val="auto"/>
          <w:lang w:eastAsia="zh-CN"/>
        </w:rPr>
        <w:t>GB/T 18152-2000</w:t>
      </w:r>
      <w:r>
        <w:rPr>
          <w:rFonts w:hint="eastAsia"/>
          <w:color w:val="auto"/>
        </w:rPr>
        <w:t>）第8.1.2条规定，事故尾矿池应定期清理，经常保持足够的贮存容积。事故尾矿溢流不得任意外排，确需临时外排时，应经有关部门批准。</w:t>
      </w:r>
    </w:p>
    <w:p w14:paraId="0BCEE905">
      <w:pPr>
        <w:bidi w:val="0"/>
        <w:rPr>
          <w:rFonts w:hint="eastAsia"/>
          <w:color w:val="auto"/>
        </w:rPr>
      </w:pPr>
      <w:r>
        <w:rPr>
          <w:rFonts w:hint="eastAsia"/>
          <w:color w:val="auto"/>
        </w:rPr>
        <w:t>2</w:t>
      </w:r>
      <w:r>
        <w:rPr>
          <w:rFonts w:hint="eastAsia"/>
          <w:color w:val="auto"/>
          <w:lang w:val="en-US" w:eastAsia="zh-CN"/>
        </w:rPr>
        <w:t>5</w:t>
      </w:r>
      <w:r>
        <w:rPr>
          <w:rFonts w:hint="eastAsia"/>
          <w:color w:val="auto"/>
        </w:rPr>
        <w:t>、根据《选矿安全规程》（</w:t>
      </w:r>
      <w:r>
        <w:rPr>
          <w:rFonts w:hint="eastAsia"/>
          <w:color w:val="auto"/>
          <w:lang w:eastAsia="zh-CN"/>
        </w:rPr>
        <w:t>GB/T 18152-2000</w:t>
      </w:r>
      <w:r>
        <w:rPr>
          <w:rFonts w:hint="eastAsia"/>
          <w:color w:val="auto"/>
        </w:rPr>
        <w:t>）第8.1.4条规定，矿浆仓来矿处设置的格栅和仓内设置的水位指示装置，应经常冲洗清理与维护。</w:t>
      </w:r>
    </w:p>
    <w:p w14:paraId="75970AF7">
      <w:pPr>
        <w:bidi w:val="0"/>
        <w:rPr>
          <w:rFonts w:hint="eastAsia"/>
          <w:color w:val="auto"/>
        </w:rPr>
      </w:pPr>
      <w:r>
        <w:rPr>
          <w:rFonts w:hint="eastAsia"/>
          <w:color w:val="auto"/>
        </w:rPr>
        <w:t>2</w:t>
      </w:r>
      <w:r>
        <w:rPr>
          <w:rFonts w:hint="eastAsia"/>
          <w:color w:val="auto"/>
          <w:lang w:val="en-US" w:eastAsia="zh-CN"/>
        </w:rPr>
        <w:t>6</w:t>
      </w:r>
      <w:r>
        <w:rPr>
          <w:rFonts w:hint="eastAsia"/>
          <w:color w:val="auto"/>
        </w:rPr>
        <w:t>、根据《选矿安全规程》（</w:t>
      </w:r>
      <w:r>
        <w:rPr>
          <w:rFonts w:hint="eastAsia"/>
          <w:color w:val="auto"/>
          <w:lang w:eastAsia="zh-CN"/>
        </w:rPr>
        <w:t>GB/T 18152-2000</w:t>
      </w:r>
      <w:r>
        <w:rPr>
          <w:rFonts w:hint="eastAsia"/>
          <w:color w:val="auto"/>
        </w:rPr>
        <w:t>）第9.2.4条规定，带式输送机应具有相应的防止逆转、胶带撕裂、断绳、断带、跑偏及脱槽的措施，并应有制动装置及清理胶带和滚筒的装置，线路上应有信号、电气联锁和停车装置。</w:t>
      </w:r>
    </w:p>
    <w:p w14:paraId="6EB3BAD1">
      <w:pPr>
        <w:bidi w:val="0"/>
        <w:rPr>
          <w:rFonts w:hint="eastAsia"/>
          <w:color w:val="auto"/>
        </w:rPr>
      </w:pPr>
      <w:r>
        <w:rPr>
          <w:rFonts w:hint="eastAsia"/>
          <w:color w:val="auto"/>
        </w:rPr>
        <w:t>2</w:t>
      </w:r>
      <w:r>
        <w:rPr>
          <w:rFonts w:hint="eastAsia"/>
          <w:color w:val="auto"/>
          <w:lang w:val="en-US" w:eastAsia="zh-CN"/>
        </w:rPr>
        <w:t>7</w:t>
      </w:r>
      <w:r>
        <w:rPr>
          <w:rFonts w:hint="eastAsia"/>
          <w:color w:val="auto"/>
        </w:rPr>
        <w:t>、根据《选矿安全规程》（</w:t>
      </w:r>
      <w:r>
        <w:rPr>
          <w:rFonts w:hint="eastAsia"/>
          <w:color w:val="auto"/>
          <w:lang w:eastAsia="zh-CN"/>
        </w:rPr>
        <w:t>GB/T 18152-2000</w:t>
      </w:r>
      <w:r>
        <w:rPr>
          <w:rFonts w:hint="eastAsia"/>
          <w:color w:val="auto"/>
        </w:rPr>
        <w:t>）第9.2.6条规定，带式输送机运行应遵守下列规定：</w:t>
      </w:r>
    </w:p>
    <w:p w14:paraId="1501F161">
      <w:pPr>
        <w:bidi w:val="0"/>
        <w:rPr>
          <w:rFonts w:hint="eastAsia"/>
          <w:color w:val="auto"/>
        </w:rPr>
      </w:pPr>
      <w:r>
        <w:rPr>
          <w:rFonts w:hint="eastAsia"/>
          <w:color w:val="auto"/>
        </w:rPr>
        <w:t>（1）人员不应乘坐、跨越、钻爬带式输送机带式输送机不应运送规定物料以外的其他物料</w:t>
      </w:r>
    </w:p>
    <w:p w14:paraId="4D480376">
      <w:pPr>
        <w:bidi w:val="0"/>
        <w:rPr>
          <w:rFonts w:hint="eastAsia"/>
          <w:color w:val="auto"/>
        </w:rPr>
      </w:pPr>
      <w:r>
        <w:rPr>
          <w:rFonts w:hint="eastAsia"/>
          <w:color w:val="auto"/>
        </w:rPr>
        <w:t>（2）不应从运行中的带式输送机上用手捡矿石手选皮带除外</w:t>
      </w:r>
    </w:p>
    <w:p w14:paraId="63B361C5">
      <w:pPr>
        <w:bidi w:val="0"/>
        <w:rPr>
          <w:rFonts w:hint="eastAsia"/>
          <w:color w:val="auto"/>
        </w:rPr>
      </w:pPr>
      <w:r>
        <w:rPr>
          <w:rFonts w:hint="eastAsia"/>
          <w:color w:val="auto"/>
        </w:rPr>
        <w:t>（3）输送带、传动轮和改向轮上的杂物应及时停车清除不应在运行的输送带下清矿</w:t>
      </w:r>
    </w:p>
    <w:p w14:paraId="25776DD3">
      <w:pPr>
        <w:bidi w:val="0"/>
        <w:rPr>
          <w:rFonts w:hint="eastAsia"/>
          <w:color w:val="auto"/>
        </w:rPr>
      </w:pPr>
      <w:r>
        <w:rPr>
          <w:rFonts w:hint="eastAsia"/>
          <w:color w:val="auto"/>
        </w:rPr>
        <w:t>（4）运行中的带式输送机不应进行检修、打扫和注油不应用手摸托滚、首尾轮等转动部件。</w:t>
      </w:r>
    </w:p>
    <w:p w14:paraId="3EEFE6C3">
      <w:pPr>
        <w:bidi w:val="0"/>
        <w:rPr>
          <w:rFonts w:hint="eastAsia"/>
          <w:color w:val="auto"/>
        </w:rPr>
      </w:pPr>
      <w:r>
        <w:rPr>
          <w:rFonts w:hint="eastAsia"/>
          <w:color w:val="auto"/>
          <w:lang w:val="en-US" w:eastAsia="zh-CN"/>
        </w:rPr>
        <w:t>28</w:t>
      </w:r>
      <w:r>
        <w:rPr>
          <w:rFonts w:hint="eastAsia"/>
          <w:color w:val="auto"/>
        </w:rPr>
        <w:t>、根据《选矿安全规程》（</w:t>
      </w:r>
      <w:r>
        <w:rPr>
          <w:rFonts w:hint="eastAsia"/>
          <w:color w:val="auto"/>
          <w:lang w:eastAsia="zh-CN"/>
        </w:rPr>
        <w:t>GB/T 18152-2000</w:t>
      </w:r>
      <w:r>
        <w:rPr>
          <w:rFonts w:hint="eastAsia"/>
          <w:color w:val="auto"/>
        </w:rPr>
        <w:t>）第9.2.8条规定，更换栏板、清扫器（刮泥板）和托辊，应停车、切断电源进行并应有专人监护。</w:t>
      </w:r>
    </w:p>
    <w:p w14:paraId="45D9C7FB">
      <w:pPr>
        <w:bidi w:val="0"/>
        <w:rPr>
          <w:rFonts w:hint="eastAsia"/>
          <w:color w:val="auto"/>
        </w:rPr>
      </w:pPr>
      <w:r>
        <w:rPr>
          <w:rFonts w:hint="eastAsia"/>
          <w:color w:val="auto"/>
          <w:lang w:val="en-US" w:eastAsia="zh-CN"/>
        </w:rPr>
        <w:t>29</w:t>
      </w:r>
      <w:r>
        <w:rPr>
          <w:rFonts w:hint="eastAsia"/>
          <w:color w:val="auto"/>
        </w:rPr>
        <w:t>、根据《选矿安全规程》（</w:t>
      </w:r>
      <w:r>
        <w:rPr>
          <w:rFonts w:hint="eastAsia"/>
          <w:color w:val="auto"/>
          <w:lang w:eastAsia="zh-CN"/>
        </w:rPr>
        <w:t>GB/T 18152-2000</w:t>
      </w:r>
      <w:r>
        <w:rPr>
          <w:rFonts w:hint="eastAsia"/>
          <w:color w:val="auto"/>
        </w:rPr>
        <w:t>）第9.2.9条规定，带式输送机不能启动或打滑时，不应用脚蹬踩、用手推拉或压杠子等办法处理。</w:t>
      </w:r>
    </w:p>
    <w:p w14:paraId="5F023A50">
      <w:pPr>
        <w:pStyle w:val="3"/>
        <w:bidi w:val="0"/>
        <w:rPr>
          <w:rFonts w:hint="eastAsia"/>
          <w:color w:val="auto"/>
        </w:rPr>
      </w:pPr>
      <w:bookmarkStart w:id="222" w:name="_Toc30469"/>
      <w:r>
        <w:rPr>
          <w:rFonts w:hint="eastAsia"/>
          <w:color w:val="auto"/>
        </w:rPr>
        <w:t>6.3 给排水系统单元安全对策措施建议</w:t>
      </w:r>
      <w:bookmarkEnd w:id="222"/>
    </w:p>
    <w:p w14:paraId="112A3FA5">
      <w:pPr>
        <w:bidi w:val="0"/>
        <w:rPr>
          <w:rFonts w:hint="eastAsia"/>
          <w:color w:val="auto"/>
        </w:rPr>
      </w:pPr>
      <w:r>
        <w:rPr>
          <w:rFonts w:hint="eastAsia"/>
          <w:color w:val="auto"/>
        </w:rPr>
        <w:t>1、做好厂区人工边坡的护坡措施，并做好厂区四周排水和植被绿化工程，防止雨水冲刷产生水土流失。</w:t>
      </w:r>
    </w:p>
    <w:p w14:paraId="1B2A9222">
      <w:pPr>
        <w:bidi w:val="0"/>
        <w:rPr>
          <w:rFonts w:hint="eastAsia"/>
          <w:color w:val="auto"/>
        </w:rPr>
      </w:pPr>
      <w:r>
        <w:rPr>
          <w:rFonts w:hint="eastAsia"/>
          <w:color w:val="auto"/>
        </w:rPr>
        <w:t>2、建立完善的动火管理制度，在禁火区动火必须进行动火审批、动火分析等，严格执行有关规范，采取预防措施，并加强监督检查，确保作业安全。</w:t>
      </w:r>
    </w:p>
    <w:p w14:paraId="4B92D2A8">
      <w:pPr>
        <w:bidi w:val="0"/>
        <w:rPr>
          <w:rFonts w:hint="eastAsia"/>
          <w:color w:val="auto"/>
        </w:rPr>
      </w:pPr>
      <w:r>
        <w:rPr>
          <w:rFonts w:hint="eastAsia"/>
          <w:color w:val="auto"/>
        </w:rPr>
        <w:t>3、各建筑物之间充分考虑防火安全距离，在主要生产工段及车间配置消防设施。</w:t>
      </w:r>
    </w:p>
    <w:p w14:paraId="1D5A0684">
      <w:pPr>
        <w:bidi w:val="0"/>
        <w:rPr>
          <w:rFonts w:hint="eastAsia"/>
          <w:color w:val="auto"/>
        </w:rPr>
      </w:pPr>
      <w:r>
        <w:rPr>
          <w:rFonts w:hint="eastAsia"/>
          <w:color w:val="auto"/>
        </w:rPr>
        <w:t>4、保持配电房道路通畅，并配置防火砂、干粉灭火器等消防器材。</w:t>
      </w:r>
    </w:p>
    <w:p w14:paraId="05725843">
      <w:pPr>
        <w:bidi w:val="0"/>
        <w:rPr>
          <w:rFonts w:hint="eastAsia"/>
          <w:color w:val="auto"/>
        </w:rPr>
      </w:pPr>
      <w:r>
        <w:rPr>
          <w:rFonts w:hint="eastAsia"/>
          <w:color w:val="auto"/>
        </w:rPr>
        <w:t>5、经常对职工进行消防安全知识教育和培训，使其掌握并熟练使用灭火器材。</w:t>
      </w:r>
    </w:p>
    <w:p w14:paraId="348D40AD">
      <w:pPr>
        <w:bidi w:val="0"/>
        <w:rPr>
          <w:rFonts w:hint="eastAsia"/>
          <w:color w:val="auto"/>
        </w:rPr>
      </w:pPr>
      <w:r>
        <w:rPr>
          <w:rFonts w:hint="eastAsia"/>
          <w:color w:val="auto"/>
        </w:rPr>
        <w:t>6、易燃易爆物品进行分类管理，并按不同要求采取相应的消防措施；易燃易爆物品的使用、储存和运输，应执行有关易燃易爆物品的安全管理规定。</w:t>
      </w:r>
    </w:p>
    <w:p w14:paraId="79FD8260">
      <w:pPr>
        <w:bidi w:val="0"/>
        <w:rPr>
          <w:rFonts w:hint="eastAsia"/>
          <w:color w:val="auto"/>
        </w:rPr>
      </w:pPr>
      <w:r>
        <w:rPr>
          <w:rFonts w:hint="eastAsia"/>
          <w:color w:val="auto"/>
        </w:rPr>
        <w:t>7、保证电气设备绝缘良好，防止裸露，定期对电气设备进行检修，防止线路老化。</w:t>
      </w:r>
    </w:p>
    <w:p w14:paraId="36CA125A">
      <w:pPr>
        <w:bidi w:val="0"/>
        <w:rPr>
          <w:rFonts w:hint="eastAsia"/>
          <w:color w:val="auto"/>
        </w:rPr>
      </w:pPr>
      <w:r>
        <w:rPr>
          <w:rFonts w:hint="eastAsia"/>
          <w:color w:val="auto"/>
        </w:rPr>
        <w:t>8、厂房、库房等应按国家有关规定设置相应数量的安全出口，楼梯、走道及门的宽度应符合防火规范，安全疏散门应向外开启。</w:t>
      </w:r>
    </w:p>
    <w:p w14:paraId="65F687FD">
      <w:pPr>
        <w:bidi w:val="0"/>
        <w:rPr>
          <w:rFonts w:hint="eastAsia"/>
          <w:color w:val="auto"/>
        </w:rPr>
      </w:pPr>
      <w:r>
        <w:rPr>
          <w:rFonts w:hint="eastAsia"/>
          <w:color w:val="auto"/>
        </w:rPr>
        <w:t>9、任何单位和个人，严禁擅自将消防设备和消防工具挪作他用。</w:t>
      </w:r>
    </w:p>
    <w:p w14:paraId="5D899530">
      <w:pPr>
        <w:bidi w:val="0"/>
        <w:rPr>
          <w:rFonts w:hint="eastAsia"/>
          <w:color w:val="auto"/>
        </w:rPr>
      </w:pPr>
      <w:r>
        <w:rPr>
          <w:rFonts w:hint="eastAsia"/>
          <w:color w:val="auto"/>
        </w:rPr>
        <w:t>10、下一步安全设施设计中明确水消防系统的设计内容，是否利旧工程。</w:t>
      </w:r>
    </w:p>
    <w:p w14:paraId="6297B505">
      <w:pPr>
        <w:bidi w:val="0"/>
        <w:rPr>
          <w:rFonts w:hint="eastAsia"/>
          <w:color w:val="auto"/>
        </w:rPr>
      </w:pPr>
      <w:r>
        <w:rPr>
          <w:rFonts w:hint="eastAsia"/>
          <w:color w:val="auto"/>
        </w:rPr>
        <w:t>11、根据《选矿安全规程》（</w:t>
      </w:r>
      <w:r>
        <w:rPr>
          <w:rFonts w:hint="eastAsia"/>
          <w:color w:val="auto"/>
          <w:lang w:eastAsia="zh-CN"/>
        </w:rPr>
        <w:t>GB/T 18152-2000</w:t>
      </w:r>
      <w:r>
        <w:rPr>
          <w:rFonts w:hint="eastAsia"/>
          <w:color w:val="auto"/>
        </w:rPr>
        <w:t>）第11.2条规定，应按生产的火灾危险性分类，合理选择建构筑物的耐火等级，并采取相应的消防措施。</w:t>
      </w:r>
    </w:p>
    <w:p w14:paraId="10EB2F48">
      <w:pPr>
        <w:bidi w:val="0"/>
        <w:rPr>
          <w:rFonts w:hint="eastAsia"/>
          <w:color w:val="auto"/>
        </w:rPr>
      </w:pPr>
      <w:r>
        <w:rPr>
          <w:rFonts w:hint="eastAsia"/>
          <w:color w:val="auto"/>
        </w:rPr>
        <w:t>12、根据《选矿安全规程》（</w:t>
      </w:r>
      <w:r>
        <w:rPr>
          <w:rFonts w:hint="eastAsia"/>
          <w:color w:val="auto"/>
          <w:lang w:eastAsia="zh-CN"/>
        </w:rPr>
        <w:t>GB/T 18152-2000</w:t>
      </w:r>
      <w:r>
        <w:rPr>
          <w:rFonts w:hint="eastAsia"/>
          <w:color w:val="auto"/>
        </w:rPr>
        <w:t>）第11.3条规定，厂房、库房、站房、地下室，应按国家有关规定设置适当数量的安全出口。安全疏散距离和楼梯、走道及门的宽度应符合防火规范，安全疏散门应向外开启。</w:t>
      </w:r>
    </w:p>
    <w:p w14:paraId="423D3768">
      <w:pPr>
        <w:bidi w:val="0"/>
        <w:rPr>
          <w:rFonts w:hint="eastAsia"/>
          <w:color w:val="auto"/>
        </w:rPr>
      </w:pPr>
      <w:r>
        <w:rPr>
          <w:rFonts w:hint="eastAsia"/>
          <w:color w:val="auto"/>
        </w:rPr>
        <w:t>13、根据《选矿安全规程》（</w:t>
      </w:r>
      <w:r>
        <w:rPr>
          <w:rFonts w:hint="eastAsia"/>
          <w:color w:val="auto"/>
          <w:lang w:eastAsia="zh-CN"/>
        </w:rPr>
        <w:t>GB/T 18152-2000</w:t>
      </w:r>
      <w:r>
        <w:rPr>
          <w:rFonts w:hint="eastAsia"/>
          <w:color w:val="auto"/>
        </w:rPr>
        <w:t>）第11.9条规定，应经常对职工进行消防安全教育熟练使用灭火器材。</w:t>
      </w:r>
    </w:p>
    <w:p w14:paraId="36FDA7E1">
      <w:pPr>
        <w:bidi w:val="0"/>
        <w:rPr>
          <w:rFonts w:hint="eastAsia"/>
          <w:color w:val="auto"/>
        </w:rPr>
      </w:pPr>
      <w:r>
        <w:rPr>
          <w:rFonts w:hint="eastAsia"/>
          <w:color w:val="auto"/>
        </w:rPr>
        <w:t>14、建筑物的防火间距应符合《建筑设计防火规范》（GB 0016-2014，2018版）3.4.1的要求。</w:t>
      </w:r>
    </w:p>
    <w:p w14:paraId="6A075C30">
      <w:pPr>
        <w:bidi w:val="0"/>
        <w:rPr>
          <w:rFonts w:hint="eastAsia"/>
          <w:color w:val="auto"/>
        </w:rPr>
      </w:pPr>
      <w:r>
        <w:rPr>
          <w:rFonts w:hint="eastAsia"/>
          <w:color w:val="auto"/>
        </w:rPr>
        <w:t>15、根据《建筑设计防火规范》（GB 0016-2014，2018版）第3.7.1条规定，厂房的安全出口应分散布置。每个防火分区或一个防火分区的每个楼层，其相邻2个安全出口最近边缘之间的水平距离不应小于5m。</w:t>
      </w:r>
    </w:p>
    <w:p w14:paraId="49F46D21">
      <w:pPr>
        <w:bidi w:val="0"/>
        <w:rPr>
          <w:rFonts w:hint="eastAsia"/>
          <w:color w:val="auto"/>
        </w:rPr>
      </w:pPr>
      <w:r>
        <w:rPr>
          <w:rFonts w:hint="eastAsia"/>
          <w:color w:val="auto"/>
        </w:rPr>
        <w:t>16、根据《建筑设计防火规范》（GB 0016-2014，2018版）第7.1.8条规定，消防车道应符合下列要求：</w:t>
      </w:r>
    </w:p>
    <w:p w14:paraId="5FC09D42">
      <w:pPr>
        <w:bidi w:val="0"/>
        <w:rPr>
          <w:rFonts w:hint="eastAsia"/>
          <w:color w:val="auto"/>
        </w:rPr>
      </w:pPr>
      <w:r>
        <w:rPr>
          <w:rFonts w:hint="eastAsia"/>
          <w:color w:val="auto"/>
        </w:rPr>
        <w:t>（1）车道的净宽度和净空高度均不应小于4.0m；</w:t>
      </w:r>
    </w:p>
    <w:p w14:paraId="620027E0">
      <w:pPr>
        <w:bidi w:val="0"/>
        <w:rPr>
          <w:rFonts w:hint="eastAsia"/>
          <w:color w:val="auto"/>
        </w:rPr>
      </w:pPr>
      <w:r>
        <w:rPr>
          <w:rFonts w:hint="eastAsia"/>
          <w:color w:val="auto"/>
        </w:rPr>
        <w:t>（2）转弯半径应满足消防车转弯的要求；</w:t>
      </w:r>
    </w:p>
    <w:p w14:paraId="0EE1C016">
      <w:pPr>
        <w:bidi w:val="0"/>
        <w:rPr>
          <w:rFonts w:hint="eastAsia"/>
          <w:color w:val="auto"/>
        </w:rPr>
      </w:pPr>
      <w:r>
        <w:rPr>
          <w:rFonts w:hint="eastAsia"/>
          <w:color w:val="auto"/>
        </w:rPr>
        <w:t>（3）消防车道与建筑之间不应设置妨碍消防车操作的树木、架空管线等障碍物；</w:t>
      </w:r>
    </w:p>
    <w:p w14:paraId="015D1196">
      <w:pPr>
        <w:bidi w:val="0"/>
        <w:rPr>
          <w:rFonts w:hint="eastAsia"/>
          <w:color w:val="auto"/>
        </w:rPr>
      </w:pPr>
      <w:r>
        <w:rPr>
          <w:rFonts w:hint="eastAsia"/>
          <w:color w:val="auto"/>
        </w:rPr>
        <w:t>（4）消防车道靠建筑外墙一侧的边缘距离建筑外墙不宜小于5m；</w:t>
      </w:r>
    </w:p>
    <w:p w14:paraId="2CCAD72C">
      <w:pPr>
        <w:bidi w:val="0"/>
        <w:rPr>
          <w:rFonts w:hint="eastAsia"/>
          <w:color w:val="auto"/>
        </w:rPr>
      </w:pPr>
      <w:r>
        <w:rPr>
          <w:rFonts w:hint="eastAsia"/>
          <w:color w:val="auto"/>
        </w:rPr>
        <w:t>（5）消防车道的坡度不宜大于8%。</w:t>
      </w:r>
    </w:p>
    <w:p w14:paraId="728FF35A">
      <w:pPr>
        <w:bidi w:val="0"/>
        <w:rPr>
          <w:rFonts w:hint="eastAsia"/>
          <w:color w:val="auto"/>
        </w:rPr>
      </w:pPr>
      <w:r>
        <w:rPr>
          <w:rFonts w:hint="eastAsia"/>
          <w:color w:val="auto"/>
        </w:rPr>
        <w:t>17、根据《选矿安全规程》（</w:t>
      </w:r>
      <w:r>
        <w:rPr>
          <w:rFonts w:hint="eastAsia"/>
          <w:color w:val="auto"/>
          <w:lang w:eastAsia="zh-CN"/>
        </w:rPr>
        <w:t>GB/T 18152-2000</w:t>
      </w:r>
      <w:r>
        <w:rPr>
          <w:rFonts w:hint="eastAsia"/>
          <w:color w:val="auto"/>
        </w:rPr>
        <w:t>）第12.8条规定，厂区生活饮水和生产卫生用水，其水源选择、水源卫生防护及水质标准，应符合 GB 5749 和《工业企业设计卫生标准》的有关规定。</w:t>
      </w:r>
    </w:p>
    <w:p w14:paraId="78BE7B7F">
      <w:pPr>
        <w:bidi w:val="0"/>
        <w:rPr>
          <w:rFonts w:hint="eastAsia"/>
          <w:color w:val="auto"/>
        </w:rPr>
      </w:pPr>
      <w:r>
        <w:rPr>
          <w:rFonts w:hint="eastAsia"/>
          <w:color w:val="auto"/>
        </w:rPr>
        <w:t>应每月进行一次水质检验，水质不合格的不应作为饮用水源。</w:t>
      </w:r>
    </w:p>
    <w:p w14:paraId="3CB79030">
      <w:pPr>
        <w:bidi w:val="0"/>
        <w:rPr>
          <w:rFonts w:hint="eastAsia"/>
          <w:color w:val="auto"/>
        </w:rPr>
      </w:pPr>
      <w:r>
        <w:rPr>
          <w:rFonts w:hint="eastAsia"/>
          <w:color w:val="auto"/>
        </w:rPr>
        <w:t>18、根据《选矿安全规程》（</w:t>
      </w:r>
      <w:r>
        <w:rPr>
          <w:rFonts w:hint="eastAsia"/>
          <w:color w:val="auto"/>
          <w:lang w:eastAsia="zh-CN"/>
        </w:rPr>
        <w:t>GB/T 18152-2000</w:t>
      </w:r>
      <w:r>
        <w:rPr>
          <w:rFonts w:hint="eastAsia"/>
          <w:color w:val="auto"/>
        </w:rPr>
        <w:t>）第12.9条规定，生产车间应设饮水站，及时供给职工符合卫生标准的饮用水。户外作业的人员，应发给随身携带的水壶。</w:t>
      </w:r>
    </w:p>
    <w:p w14:paraId="2B974F6E">
      <w:pPr>
        <w:bidi w:val="0"/>
        <w:rPr>
          <w:rFonts w:hint="eastAsia"/>
          <w:color w:val="auto"/>
        </w:rPr>
      </w:pPr>
      <w:r>
        <w:rPr>
          <w:rFonts w:hint="eastAsia"/>
          <w:color w:val="auto"/>
        </w:rPr>
        <w:t>19、根据《建筑灭火器配置设计规范》（GB 50140-2005）第5.1.1条规定，灭火器应设置在位置明显和便于取用的地点，且不得影响安全疏散。</w:t>
      </w:r>
    </w:p>
    <w:p w14:paraId="6FFC0E5E">
      <w:pPr>
        <w:bidi w:val="0"/>
        <w:rPr>
          <w:rFonts w:hint="eastAsia"/>
          <w:color w:val="auto"/>
        </w:rPr>
      </w:pPr>
      <w:r>
        <w:rPr>
          <w:rFonts w:hint="eastAsia"/>
          <w:color w:val="auto"/>
        </w:rPr>
        <w:t>20、根据《建筑灭火器配置设计规范》（GB 50140-2005）第5.1.3条规定，灭火器的摆放应稳固，其铭牌应朝外。手提式灭火器宜设置在灭火器箱内或挂钩、托架上,其顶部离地面高度不应大于1.50m；底部离地面高度不宜小于0.08m。灭火器箱不得上锁。</w:t>
      </w:r>
    </w:p>
    <w:p w14:paraId="50D709A0">
      <w:pPr>
        <w:bidi w:val="0"/>
        <w:rPr>
          <w:rFonts w:hint="eastAsia"/>
          <w:color w:val="auto"/>
        </w:rPr>
      </w:pPr>
      <w:r>
        <w:rPr>
          <w:rFonts w:hint="eastAsia"/>
          <w:color w:val="auto"/>
        </w:rPr>
        <w:t>21、灭火器的保护距离，应符合《建筑灭火器配置设计规范》（GB 50140-2005）第5.2条规定。</w:t>
      </w:r>
    </w:p>
    <w:p w14:paraId="3EBE569F">
      <w:pPr>
        <w:bidi w:val="0"/>
        <w:rPr>
          <w:rFonts w:hint="eastAsia"/>
          <w:color w:val="auto"/>
        </w:rPr>
      </w:pPr>
      <w:r>
        <w:rPr>
          <w:rFonts w:hint="eastAsia"/>
          <w:color w:val="auto"/>
        </w:rPr>
        <w:t>22、根据《建筑灭火器配置设计规范》（GB 50140-2005）第6.1.1条规定，一个计算单元内配置的灭火器数量不得少于2具。</w:t>
      </w:r>
    </w:p>
    <w:p w14:paraId="01F1F23B">
      <w:pPr>
        <w:bidi w:val="0"/>
        <w:rPr>
          <w:rFonts w:hint="eastAsia"/>
          <w:color w:val="auto"/>
        </w:rPr>
      </w:pPr>
      <w:r>
        <w:rPr>
          <w:rFonts w:hint="eastAsia"/>
          <w:color w:val="auto"/>
        </w:rPr>
        <w:t>23、根据《建筑灭火器配置设计规范》（GB 50140-2005）第6.1.2条规定，每个设置点的灭火器数量不宜多于5具。</w:t>
      </w:r>
    </w:p>
    <w:p w14:paraId="4FE3EB46">
      <w:pPr>
        <w:pStyle w:val="3"/>
        <w:bidi w:val="0"/>
        <w:rPr>
          <w:rFonts w:hint="eastAsia"/>
          <w:color w:val="auto"/>
        </w:rPr>
      </w:pPr>
      <w:bookmarkStart w:id="223" w:name="_Toc19219"/>
      <w:r>
        <w:rPr>
          <w:rFonts w:hint="eastAsia"/>
          <w:color w:val="auto"/>
        </w:rPr>
        <w:t>6.4 供配电系统单元安全对策措施建议</w:t>
      </w:r>
      <w:bookmarkEnd w:id="223"/>
    </w:p>
    <w:p w14:paraId="3BAED3F3">
      <w:pPr>
        <w:bidi w:val="0"/>
        <w:rPr>
          <w:rFonts w:hint="eastAsia"/>
          <w:color w:val="auto"/>
        </w:rPr>
      </w:pPr>
      <w:r>
        <w:rPr>
          <w:rFonts w:hint="eastAsia"/>
          <w:color w:val="auto"/>
        </w:rPr>
        <w:t>1、手持电动工具、电气施工机械、施工临时用电设备及潮湿场所用电设备等在有条件的情况下加装漏电保护装置，防止触电危及人身安全。</w:t>
      </w:r>
    </w:p>
    <w:p w14:paraId="2F158BDB">
      <w:pPr>
        <w:bidi w:val="0"/>
        <w:rPr>
          <w:rFonts w:hint="eastAsia"/>
          <w:color w:val="auto"/>
        </w:rPr>
      </w:pPr>
      <w:r>
        <w:rPr>
          <w:rFonts w:hint="eastAsia"/>
          <w:color w:val="auto"/>
        </w:rPr>
        <w:t>2、高低压配电室配电柜前、后两端的操作维护通道宽度应满足GB50053的有关规定。</w:t>
      </w:r>
    </w:p>
    <w:p w14:paraId="24273157">
      <w:pPr>
        <w:bidi w:val="0"/>
        <w:rPr>
          <w:rFonts w:hint="eastAsia"/>
          <w:color w:val="auto"/>
        </w:rPr>
      </w:pPr>
      <w:r>
        <w:rPr>
          <w:rFonts w:hint="eastAsia"/>
          <w:color w:val="auto"/>
        </w:rPr>
        <w:t>3、应避免电气线路发生短路、过负荷，防止引发电气火灾。</w:t>
      </w:r>
    </w:p>
    <w:p w14:paraId="490DA929">
      <w:pPr>
        <w:bidi w:val="0"/>
        <w:rPr>
          <w:rFonts w:hint="eastAsia"/>
          <w:color w:val="auto"/>
        </w:rPr>
      </w:pPr>
      <w:r>
        <w:rPr>
          <w:rFonts w:hint="eastAsia"/>
          <w:color w:val="auto"/>
        </w:rPr>
        <w:t>4、在带电的导线、设备、变压器开关附近，不应有损坏电气绝缘或引起电气火灾的热源。</w:t>
      </w:r>
    </w:p>
    <w:p w14:paraId="138358BF">
      <w:pPr>
        <w:bidi w:val="0"/>
        <w:rPr>
          <w:rFonts w:hint="eastAsia"/>
          <w:color w:val="auto"/>
        </w:rPr>
      </w:pPr>
      <w:r>
        <w:rPr>
          <w:rFonts w:hint="eastAsia"/>
          <w:color w:val="auto"/>
        </w:rPr>
        <w:t>5、电源进线上应装设带漏电保护功能的断路器，以有效地消除接地电弧产生的隐患，从而大幅度降低我国单相接地短路引发的火灾。</w:t>
      </w:r>
    </w:p>
    <w:p w14:paraId="3989B20E">
      <w:pPr>
        <w:bidi w:val="0"/>
        <w:rPr>
          <w:rFonts w:hint="eastAsia"/>
          <w:color w:val="auto"/>
        </w:rPr>
      </w:pPr>
      <w:r>
        <w:rPr>
          <w:rFonts w:hint="eastAsia"/>
          <w:color w:val="auto"/>
        </w:rPr>
        <w:t>6、严禁明接头、鸡爪子接头和电缆不正常包扎，防止引起火灾。</w:t>
      </w:r>
    </w:p>
    <w:p w14:paraId="2B853927">
      <w:pPr>
        <w:bidi w:val="0"/>
        <w:rPr>
          <w:rFonts w:hint="eastAsia"/>
          <w:color w:val="auto"/>
        </w:rPr>
      </w:pPr>
      <w:r>
        <w:rPr>
          <w:rFonts w:hint="eastAsia"/>
          <w:color w:val="auto"/>
        </w:rPr>
        <w:t>7、项目电力装置，应符合GB50070和其他有关规范、规程的要求。</w:t>
      </w:r>
    </w:p>
    <w:p w14:paraId="302A12FF">
      <w:pPr>
        <w:bidi w:val="0"/>
        <w:rPr>
          <w:rFonts w:hint="eastAsia"/>
          <w:color w:val="auto"/>
        </w:rPr>
      </w:pPr>
      <w:r>
        <w:rPr>
          <w:rFonts w:hint="eastAsia"/>
          <w:color w:val="auto"/>
        </w:rPr>
        <w:t>8、施工选用的设备和器材应符合国家现行技术标准的规定，并有合格的有效证件，要把住设备、器材的质量关，严格做好进料验收，特别是各种电器元件、导线及绝缘材料。</w:t>
      </w:r>
    </w:p>
    <w:p w14:paraId="0ECBCB9F">
      <w:pPr>
        <w:bidi w:val="0"/>
        <w:rPr>
          <w:rFonts w:hint="eastAsia"/>
          <w:color w:val="auto"/>
        </w:rPr>
      </w:pPr>
      <w:r>
        <w:rPr>
          <w:rFonts w:hint="eastAsia"/>
          <w:color w:val="auto"/>
        </w:rPr>
        <w:t>9、电气设备可能被人触及的裸露带电部分，应进行可靠接地、接零保护。</w:t>
      </w:r>
    </w:p>
    <w:p w14:paraId="4400F95C">
      <w:pPr>
        <w:bidi w:val="0"/>
        <w:rPr>
          <w:rFonts w:hint="eastAsia"/>
          <w:color w:val="auto"/>
        </w:rPr>
      </w:pPr>
      <w:r>
        <w:rPr>
          <w:rFonts w:hint="eastAsia"/>
          <w:color w:val="auto"/>
        </w:rPr>
        <w:t>10、停电和送电，应严格执行操作票制度。</w:t>
      </w:r>
    </w:p>
    <w:p w14:paraId="01C207D0">
      <w:pPr>
        <w:bidi w:val="0"/>
        <w:rPr>
          <w:rFonts w:hint="eastAsia"/>
          <w:color w:val="auto"/>
        </w:rPr>
      </w:pPr>
      <w:r>
        <w:rPr>
          <w:rFonts w:hint="eastAsia"/>
          <w:color w:val="auto"/>
        </w:rPr>
        <w:t>11、熔断器、熔丝、熔片、热继电器等保险装置，使用前应进行核对，不应任意更换或代用。</w:t>
      </w:r>
    </w:p>
    <w:p w14:paraId="0DFE76E0">
      <w:pPr>
        <w:bidi w:val="0"/>
        <w:rPr>
          <w:rFonts w:hint="eastAsia"/>
          <w:color w:val="auto"/>
        </w:rPr>
      </w:pPr>
      <w:r>
        <w:rPr>
          <w:rFonts w:hint="eastAsia"/>
          <w:color w:val="auto"/>
        </w:rPr>
        <w:t>12、企业供配电、电力装置的过电压保护、电气设备的保护接地以及建筑物的防雷接地等，设计严格按照国家标准有关设计规范规定执行，确保设备及人身安全，供电可靠。</w:t>
      </w:r>
    </w:p>
    <w:p w14:paraId="4F36C448">
      <w:pPr>
        <w:bidi w:val="0"/>
        <w:rPr>
          <w:rFonts w:hint="eastAsia"/>
          <w:color w:val="auto"/>
        </w:rPr>
      </w:pPr>
      <w:r>
        <w:rPr>
          <w:rFonts w:hint="eastAsia"/>
          <w:color w:val="auto"/>
        </w:rPr>
        <w:t>13、供电线路在进线端设置避雷装置，防止高电位的侵入，确保供电的可靠性。</w:t>
      </w:r>
    </w:p>
    <w:p w14:paraId="23E8EE0A">
      <w:pPr>
        <w:bidi w:val="0"/>
        <w:rPr>
          <w:rFonts w:hint="eastAsia"/>
          <w:color w:val="auto"/>
        </w:rPr>
      </w:pPr>
      <w:r>
        <w:rPr>
          <w:rFonts w:hint="eastAsia"/>
          <w:color w:val="auto"/>
        </w:rPr>
        <w:t>14、根据《选矿安全规程》（</w:t>
      </w:r>
      <w:r>
        <w:rPr>
          <w:rFonts w:hint="eastAsia"/>
          <w:color w:val="auto"/>
          <w:lang w:eastAsia="zh-CN"/>
        </w:rPr>
        <w:t>GB/T 18152-2000</w:t>
      </w:r>
      <w:r>
        <w:rPr>
          <w:rFonts w:hint="eastAsia"/>
          <w:color w:val="auto"/>
        </w:rPr>
        <w:t>）第6.26条规定，检修设备应事先切断电源，用操作牌换电源牌，在操作箱上挂好“禁止开动”标志牌方可开始作业。</w:t>
      </w:r>
    </w:p>
    <w:p w14:paraId="5BD67DF8">
      <w:pPr>
        <w:bidi w:val="0"/>
        <w:rPr>
          <w:rFonts w:hint="eastAsia"/>
          <w:color w:val="auto"/>
        </w:rPr>
      </w:pPr>
      <w:r>
        <w:rPr>
          <w:rFonts w:hint="eastAsia"/>
          <w:color w:val="auto"/>
        </w:rPr>
        <w:t>15、根据《选矿安全规程》（</w:t>
      </w:r>
      <w:r>
        <w:rPr>
          <w:rFonts w:hint="eastAsia"/>
          <w:color w:val="auto"/>
          <w:lang w:eastAsia="zh-CN"/>
        </w:rPr>
        <w:t>GB/T 18152-2000</w:t>
      </w:r>
      <w:r>
        <w:rPr>
          <w:rFonts w:hint="eastAsia"/>
          <w:color w:val="auto"/>
        </w:rPr>
        <w:t>）第10.1.2条规定，10.1，2 电气作业人员应经过专门的安全技术培训考核，持证上岗。</w:t>
      </w:r>
    </w:p>
    <w:p w14:paraId="2013425F">
      <w:pPr>
        <w:bidi w:val="0"/>
        <w:rPr>
          <w:rFonts w:hint="eastAsia"/>
          <w:color w:val="auto"/>
        </w:rPr>
      </w:pPr>
      <w:r>
        <w:rPr>
          <w:rFonts w:hint="eastAsia"/>
          <w:color w:val="auto"/>
        </w:rPr>
        <w:t>16、根据《选矿安全规程》（</w:t>
      </w:r>
      <w:r>
        <w:rPr>
          <w:rFonts w:hint="eastAsia"/>
          <w:color w:val="auto"/>
          <w:lang w:eastAsia="zh-CN"/>
        </w:rPr>
        <w:t>GB/T 18152-2000</w:t>
      </w:r>
      <w:r>
        <w:rPr>
          <w:rFonts w:hint="eastAsia"/>
          <w:color w:val="auto"/>
        </w:rPr>
        <w:t>）第10.1.4条规定，所有电气设备和线路，应根据对人的危害程度设置明显的警示标志、防护网和安全遮栏。</w:t>
      </w:r>
    </w:p>
    <w:p w14:paraId="6244C232">
      <w:pPr>
        <w:bidi w:val="0"/>
        <w:rPr>
          <w:rFonts w:hint="eastAsia"/>
          <w:color w:val="auto"/>
        </w:rPr>
      </w:pPr>
      <w:r>
        <w:rPr>
          <w:rFonts w:hint="eastAsia"/>
          <w:color w:val="auto"/>
        </w:rPr>
        <w:t>17、根据《选矿安全规程》（</w:t>
      </w:r>
      <w:r>
        <w:rPr>
          <w:rFonts w:hint="eastAsia"/>
          <w:color w:val="auto"/>
          <w:lang w:eastAsia="zh-CN"/>
        </w:rPr>
        <w:t>GB/T 18152-2000</w:t>
      </w:r>
      <w:r>
        <w:rPr>
          <w:rFonts w:hint="eastAsia"/>
          <w:color w:val="auto"/>
        </w:rPr>
        <w:t>）第10.1.5条规定，电气作业人员作业时，应穿戴防护用品和使用防护用具。修理、调试电气设备和线路，应由电气作业人员进行。</w:t>
      </w:r>
    </w:p>
    <w:p w14:paraId="05C0663E">
      <w:pPr>
        <w:bidi w:val="0"/>
        <w:rPr>
          <w:rFonts w:hint="eastAsia"/>
          <w:color w:val="auto"/>
        </w:rPr>
      </w:pPr>
      <w:r>
        <w:rPr>
          <w:rFonts w:hint="eastAsia"/>
          <w:color w:val="auto"/>
        </w:rPr>
        <w:t>18、根据《选矿安全规程》（</w:t>
      </w:r>
      <w:r>
        <w:rPr>
          <w:rFonts w:hint="eastAsia"/>
          <w:color w:val="auto"/>
          <w:lang w:eastAsia="zh-CN"/>
        </w:rPr>
        <w:t>GB/T 18152-2000</w:t>
      </w:r>
      <w:r>
        <w:rPr>
          <w:rFonts w:hint="eastAsia"/>
          <w:color w:val="auto"/>
        </w:rPr>
        <w:t>）第10.1.6条规定，电气设备可能被人触及的裸露带电部分，应设置安全防护罩或遮栏及警示牌。</w:t>
      </w:r>
    </w:p>
    <w:p w14:paraId="25D28861">
      <w:pPr>
        <w:bidi w:val="0"/>
        <w:rPr>
          <w:rFonts w:hint="eastAsia"/>
          <w:color w:val="auto"/>
        </w:rPr>
      </w:pPr>
      <w:r>
        <w:rPr>
          <w:rFonts w:hint="eastAsia"/>
          <w:color w:val="auto"/>
        </w:rPr>
        <w:t>19、根据《选矿安全规程》（</w:t>
      </w:r>
      <w:r>
        <w:rPr>
          <w:rFonts w:hint="eastAsia"/>
          <w:color w:val="auto"/>
          <w:lang w:eastAsia="zh-CN"/>
        </w:rPr>
        <w:t>GB/T 18152-2000</w:t>
      </w:r>
      <w:r>
        <w:rPr>
          <w:rFonts w:hint="eastAsia"/>
          <w:color w:val="auto"/>
        </w:rPr>
        <w:t>）第10.5.4条规定，电气设备及装置的金属框架或外壳、电缆的金属包皮，应可靠接地，接地电阻应不超过2Q。</w:t>
      </w:r>
    </w:p>
    <w:p w14:paraId="182C5919">
      <w:pPr>
        <w:bidi w:val="0"/>
        <w:rPr>
          <w:rFonts w:hint="eastAsia"/>
          <w:color w:val="auto"/>
        </w:rPr>
      </w:pPr>
      <w:r>
        <w:rPr>
          <w:rFonts w:hint="eastAsia"/>
          <w:color w:val="auto"/>
        </w:rPr>
        <w:t>20、根据《20kV及以下变电所设计规范》（GB 50053-2013）第2.0.1条规定，变电所的所址应根据下列要求，经技术经济等因素综合分析和比较后确定：</w:t>
      </w:r>
    </w:p>
    <w:p w14:paraId="42AC050D">
      <w:pPr>
        <w:bidi w:val="0"/>
        <w:rPr>
          <w:rFonts w:hint="eastAsia"/>
          <w:color w:val="auto"/>
        </w:rPr>
      </w:pPr>
      <w:r>
        <w:rPr>
          <w:rFonts w:hint="eastAsia"/>
          <w:color w:val="auto"/>
        </w:rPr>
        <w:t>（1）宜接近负荷中心；</w:t>
      </w:r>
    </w:p>
    <w:p w14:paraId="09ED2B91">
      <w:pPr>
        <w:bidi w:val="0"/>
        <w:rPr>
          <w:rFonts w:hint="eastAsia"/>
          <w:color w:val="auto"/>
        </w:rPr>
      </w:pPr>
      <w:r>
        <w:rPr>
          <w:rFonts w:hint="eastAsia"/>
          <w:color w:val="auto"/>
        </w:rPr>
        <w:t>（2）宜接近电源侧；</w:t>
      </w:r>
    </w:p>
    <w:p w14:paraId="14287D0A">
      <w:pPr>
        <w:bidi w:val="0"/>
        <w:rPr>
          <w:rFonts w:hint="eastAsia"/>
          <w:color w:val="auto"/>
        </w:rPr>
      </w:pPr>
      <w:r>
        <w:rPr>
          <w:rFonts w:hint="eastAsia"/>
          <w:color w:val="auto"/>
        </w:rPr>
        <w:t>（3）应方便进出线；</w:t>
      </w:r>
    </w:p>
    <w:p w14:paraId="0883E911">
      <w:pPr>
        <w:bidi w:val="0"/>
        <w:rPr>
          <w:rFonts w:hint="eastAsia"/>
          <w:color w:val="auto"/>
        </w:rPr>
      </w:pPr>
      <w:r>
        <w:rPr>
          <w:rFonts w:hint="eastAsia"/>
          <w:color w:val="auto"/>
        </w:rPr>
        <w:t>（4）应方便设备运输；</w:t>
      </w:r>
    </w:p>
    <w:p w14:paraId="39818D16">
      <w:pPr>
        <w:bidi w:val="0"/>
        <w:rPr>
          <w:rFonts w:hint="eastAsia"/>
          <w:color w:val="auto"/>
        </w:rPr>
      </w:pPr>
      <w:r>
        <w:rPr>
          <w:rFonts w:hint="eastAsia"/>
          <w:color w:val="auto"/>
        </w:rPr>
        <w:t>（5）不应设在有剧烈振动或高温的场所；</w:t>
      </w:r>
    </w:p>
    <w:p w14:paraId="4183F695">
      <w:pPr>
        <w:bidi w:val="0"/>
        <w:rPr>
          <w:rFonts w:hint="eastAsia"/>
          <w:color w:val="auto"/>
        </w:rPr>
      </w:pPr>
      <w:r>
        <w:rPr>
          <w:rFonts w:hint="eastAsia"/>
          <w:color w:val="auto"/>
        </w:rPr>
        <w:t>（6）不宜设在多尘或有腐蚀性物质的场所，当无法远离时，不应设在污染源盛行风向的下风侧，或应采取有效的防护措施；</w:t>
      </w:r>
    </w:p>
    <w:p w14:paraId="2BCEA5F4">
      <w:pPr>
        <w:bidi w:val="0"/>
        <w:rPr>
          <w:rFonts w:hint="eastAsia"/>
          <w:color w:val="auto"/>
        </w:rPr>
      </w:pPr>
      <w:r>
        <w:rPr>
          <w:rFonts w:hint="eastAsia"/>
          <w:color w:val="auto"/>
        </w:rPr>
        <w:t>（7）不应设在厕所、浴室、厨房或其他经常积水场所的正下方处，也不宜设在与上述场所相贴邻的地方，当贴邻时，相邻的隔墙应做无渗漏、无结露的防水处理；</w:t>
      </w:r>
    </w:p>
    <w:p w14:paraId="7758F234">
      <w:pPr>
        <w:bidi w:val="0"/>
        <w:rPr>
          <w:rFonts w:hint="eastAsia"/>
          <w:color w:val="auto"/>
        </w:rPr>
      </w:pPr>
      <w:r>
        <w:rPr>
          <w:rFonts w:hint="eastAsia"/>
          <w:color w:val="auto"/>
        </w:rPr>
        <w:t>（8）当与有爆炸或火灾危险的建筑物毗连时，变电所的所址应符合现行国家标准《爆炸和火灾危险环境电力装置设计规范》（GB 50058）的有关规定；</w:t>
      </w:r>
    </w:p>
    <w:p w14:paraId="238F5386">
      <w:pPr>
        <w:bidi w:val="0"/>
        <w:rPr>
          <w:rFonts w:hint="eastAsia"/>
          <w:color w:val="auto"/>
        </w:rPr>
      </w:pPr>
      <w:r>
        <w:rPr>
          <w:rFonts w:hint="eastAsia"/>
          <w:color w:val="auto"/>
        </w:rPr>
        <w:t>（9）不应设在地势低注和可能积水的场所；</w:t>
      </w:r>
    </w:p>
    <w:p w14:paraId="553C5A4D">
      <w:pPr>
        <w:bidi w:val="0"/>
        <w:rPr>
          <w:rFonts w:hint="eastAsia"/>
          <w:color w:val="auto"/>
        </w:rPr>
      </w:pPr>
      <w:r>
        <w:rPr>
          <w:rFonts w:hint="eastAsia"/>
          <w:color w:val="auto"/>
        </w:rPr>
        <w:t>（10）不宜设在对防电磁干扰有较高要求的设备机房的正上方、正下方或与其贴邻的场所，当需要设在上述场所时，应采取防电磁干扰的措施。</w:t>
      </w:r>
    </w:p>
    <w:p w14:paraId="4E210EFE">
      <w:pPr>
        <w:bidi w:val="0"/>
        <w:rPr>
          <w:rFonts w:hint="eastAsia"/>
          <w:color w:val="auto"/>
        </w:rPr>
      </w:pPr>
      <w:r>
        <w:rPr>
          <w:rFonts w:hint="eastAsia"/>
          <w:color w:val="auto"/>
        </w:rPr>
        <w:t>21、根据《20kV及以下变电所设计规范》（GB 50053-2013）第3.1.4条规定，电气设备的接地应符合现行国家标准《交流电气装置的接地设计规范》GB/T50065和《低压电气装置》（或《建筑物电气装置》）GB/T16895系列标准的有关规定。</w:t>
      </w:r>
    </w:p>
    <w:p w14:paraId="166EDCD8">
      <w:pPr>
        <w:bidi w:val="0"/>
        <w:rPr>
          <w:rFonts w:hint="eastAsia"/>
          <w:color w:val="auto"/>
        </w:rPr>
      </w:pPr>
      <w:r>
        <w:rPr>
          <w:rFonts w:hint="eastAsia"/>
          <w:color w:val="auto"/>
        </w:rPr>
        <w:t>22、根据《20kV及以下变电所设计规范》（GB 50053-2013）第4.2.2条规定，露天或半露天变电所的变压器四周应设高度不低于1.8m的固定围栏或围墙，变压器外廓与围栏或围墙的净距不应小于0.8m，变压器底部距地面不应小于0.3m。油重小于1000kg的相邻油浸变压器外廓之间的净距不应小于1.5m；油重1000kg～2500kg的相邻油浸变压器外廓之间的净距不应小于3.0m；油重大于2500kg的相邻油浸变压器外廓之间的净距不应小于5m；当不能满足上述要求时，应设置防火墙。</w:t>
      </w:r>
    </w:p>
    <w:p w14:paraId="5188A525">
      <w:pPr>
        <w:bidi w:val="0"/>
        <w:rPr>
          <w:rFonts w:hint="eastAsia"/>
          <w:color w:val="auto"/>
        </w:rPr>
      </w:pPr>
      <w:r>
        <w:rPr>
          <w:rFonts w:hint="eastAsia"/>
          <w:color w:val="auto"/>
        </w:rPr>
        <w:t>23、根据《20kV及以下变电所设计规范》（GB 50053-2013）第4.2.3条规定，当露天或半露天变压器供给一级负荷用电时，相邻油浸变压器的净距不应小于5m；当小于5m时，应设置防火墙。</w:t>
      </w:r>
    </w:p>
    <w:p w14:paraId="28E90BDF">
      <w:pPr>
        <w:bidi w:val="0"/>
        <w:rPr>
          <w:rFonts w:hint="eastAsia"/>
          <w:color w:val="auto"/>
        </w:rPr>
      </w:pPr>
      <w:r>
        <w:rPr>
          <w:rFonts w:hint="eastAsia"/>
          <w:color w:val="auto"/>
        </w:rPr>
        <w:t>24、根据《20kV及以下变电所设计规范》（GB 50053-2013）第6.1.1条规定，变压器室、配电室和电容器室的耐火等级不应低于二级。</w:t>
      </w:r>
    </w:p>
    <w:p w14:paraId="7612ADE5">
      <w:pPr>
        <w:bidi w:val="0"/>
        <w:rPr>
          <w:rFonts w:hint="eastAsia"/>
          <w:color w:val="auto"/>
        </w:rPr>
      </w:pPr>
      <w:r>
        <w:rPr>
          <w:rFonts w:hint="eastAsia"/>
          <w:color w:val="auto"/>
        </w:rPr>
        <w:t>25、根据《20kV及以下变电所设计规范》（GB 50053-2013）第6.2.2条规定，变压器室、配电室、电容器室的门应向外开启。相邻配电室之间有门时，应采用不燃材料制作的双向弹簧门。</w:t>
      </w:r>
    </w:p>
    <w:p w14:paraId="36FAA7CA">
      <w:pPr>
        <w:bidi w:val="0"/>
        <w:rPr>
          <w:rFonts w:hint="eastAsia"/>
          <w:color w:val="auto"/>
        </w:rPr>
      </w:pPr>
      <w:r>
        <w:rPr>
          <w:rFonts w:hint="eastAsia"/>
          <w:color w:val="auto"/>
        </w:rPr>
        <w:t>26、根据《20kV及以下变电所设计规范》（GB 50053-2013）第6.2.4条规定，变压器室、配电室、电容器室等房间应设置防止雨、雪和蛇、鼠等小动物从采光窗、通风窗、门、电缆沟等处进入室内的设施。</w:t>
      </w:r>
    </w:p>
    <w:p w14:paraId="06413C0F">
      <w:pPr>
        <w:bidi w:val="0"/>
        <w:rPr>
          <w:rFonts w:hint="eastAsia"/>
          <w:color w:val="auto"/>
        </w:rPr>
      </w:pPr>
      <w:r>
        <w:rPr>
          <w:rFonts w:hint="eastAsia"/>
          <w:color w:val="auto"/>
        </w:rPr>
        <w:t>27、根据《20kV及以下变电所设计规范》（GB 50053-2013）第6.3.4条规定，配电室宜采用自然通风。设置在地下或地下室的变、配电所，宜装设除湿、通风换气设备；控制室和值班室宜设置空气调节设施。</w:t>
      </w:r>
    </w:p>
    <w:p w14:paraId="1A8B41EF">
      <w:pPr>
        <w:bidi w:val="0"/>
        <w:rPr>
          <w:rFonts w:hint="eastAsia"/>
          <w:color w:val="auto"/>
        </w:rPr>
      </w:pPr>
      <w:r>
        <w:rPr>
          <w:rFonts w:hint="eastAsia"/>
          <w:color w:val="auto"/>
        </w:rPr>
        <w:t>28、根据《20kV及以下变电所设计规范》（GB 50053-2013）第6.4.1条规定，高、低压配电室、变压器室、电容器室、控制室内不应有无关的管道和线路通过。</w:t>
      </w:r>
    </w:p>
    <w:p w14:paraId="1518E753">
      <w:pPr>
        <w:bidi w:val="0"/>
        <w:rPr>
          <w:rFonts w:hint="eastAsia"/>
          <w:color w:val="auto"/>
        </w:rPr>
      </w:pPr>
      <w:r>
        <w:rPr>
          <w:rFonts w:hint="eastAsia"/>
          <w:color w:val="auto"/>
        </w:rPr>
        <w:t>29、根据《低压配电设计规范》（GB 50054-2011）第4.1.1条规定，配电室的位置应靠近用电负荷中心，设置在尘埃少、腐蚀介质少、周围环境干燥和无剧烈震动的场所，并宜留有发展余地。</w:t>
      </w:r>
    </w:p>
    <w:p w14:paraId="42C854EB">
      <w:pPr>
        <w:bidi w:val="0"/>
        <w:rPr>
          <w:rFonts w:hint="eastAsia"/>
          <w:color w:val="auto"/>
        </w:rPr>
      </w:pPr>
      <w:r>
        <w:rPr>
          <w:rFonts w:hint="eastAsia"/>
          <w:color w:val="auto"/>
        </w:rPr>
        <w:t>30、根据《低压配电设计规范》（GB 50054-2011）第4.1.2条规定，配电设备的布置必须遵循安全、可靠、适用和经济等原则，应便于安装、操作、搬运、检修、试验和监测。</w:t>
      </w:r>
    </w:p>
    <w:p w14:paraId="6F6966B7">
      <w:pPr>
        <w:bidi w:val="0"/>
        <w:rPr>
          <w:rFonts w:hint="eastAsia"/>
          <w:color w:val="auto"/>
        </w:rPr>
      </w:pPr>
      <w:r>
        <w:rPr>
          <w:rFonts w:hint="eastAsia"/>
          <w:color w:val="auto"/>
        </w:rPr>
        <w:t>31、根据《低压配电设计规范》（GB 50054-2011）第4.1.3条规定，配电室内除本室需用的管道外，不应有其它的管道通过。室内水、汽管道上不应设置阀门和中间接头；水、汽管道与散热器的连接应采用焊接，并应做等电位联结。配电屏的上、方及电缆沟内不应敷设水、汽管道。</w:t>
      </w:r>
    </w:p>
    <w:p w14:paraId="12C41AA7">
      <w:pPr>
        <w:bidi w:val="0"/>
        <w:rPr>
          <w:rFonts w:hint="eastAsia"/>
          <w:color w:val="auto"/>
        </w:rPr>
      </w:pPr>
      <w:r>
        <w:rPr>
          <w:rFonts w:hint="eastAsia"/>
          <w:color w:val="auto"/>
        </w:rPr>
        <w:t>32、根据《低压配电设计规范》（GB 50054-2011）第4.3.4条规定，配电室内的电缆沟，应采取防水盒排水措施。配电室的地面宜高出本层地面50mm或设置防水门槛。</w:t>
      </w:r>
    </w:p>
    <w:p w14:paraId="5F985948">
      <w:pPr>
        <w:bidi w:val="0"/>
        <w:rPr>
          <w:rFonts w:hint="eastAsia"/>
          <w:color w:val="auto"/>
        </w:rPr>
      </w:pPr>
      <w:r>
        <w:rPr>
          <w:rFonts w:hint="eastAsia"/>
          <w:color w:val="auto"/>
        </w:rPr>
        <w:t>33、根据《电气装置安装工程 接地装置施工及验收规范》（GB 50169-2016）第3.0.4条规定，电气装置的下列金属部分，均必须接地：</w:t>
      </w:r>
    </w:p>
    <w:p w14:paraId="3619C3C4">
      <w:pPr>
        <w:bidi w:val="0"/>
        <w:rPr>
          <w:rFonts w:hint="eastAsia"/>
          <w:color w:val="auto"/>
        </w:rPr>
      </w:pPr>
      <w:r>
        <w:rPr>
          <w:rFonts w:hint="eastAsia"/>
          <w:color w:val="auto"/>
        </w:rPr>
        <w:t>（1）电气设备的金属底座、框架及外壳和传动装置。</w:t>
      </w:r>
    </w:p>
    <w:p w14:paraId="1021E474">
      <w:pPr>
        <w:bidi w:val="0"/>
        <w:rPr>
          <w:rFonts w:hint="eastAsia"/>
          <w:color w:val="auto"/>
        </w:rPr>
      </w:pPr>
      <w:r>
        <w:rPr>
          <w:rFonts w:hint="eastAsia"/>
          <w:color w:val="auto"/>
        </w:rPr>
        <w:t>（2）携带式或移动式用电器具的金属底座和外壳。</w:t>
      </w:r>
    </w:p>
    <w:p w14:paraId="61B7936A">
      <w:pPr>
        <w:bidi w:val="0"/>
        <w:rPr>
          <w:rFonts w:hint="eastAsia"/>
          <w:color w:val="auto"/>
        </w:rPr>
      </w:pPr>
      <w:r>
        <w:rPr>
          <w:rFonts w:hint="eastAsia"/>
          <w:color w:val="auto"/>
        </w:rPr>
        <w:t>（3）箱式变电站的金属箱体。</w:t>
      </w:r>
    </w:p>
    <w:p w14:paraId="5473A496">
      <w:pPr>
        <w:bidi w:val="0"/>
        <w:rPr>
          <w:rFonts w:hint="eastAsia"/>
          <w:color w:val="auto"/>
        </w:rPr>
      </w:pPr>
      <w:r>
        <w:rPr>
          <w:rFonts w:hint="eastAsia"/>
          <w:color w:val="auto"/>
        </w:rPr>
        <w:t>（4）互感器的二次绕组。</w:t>
      </w:r>
    </w:p>
    <w:p w14:paraId="0486FBC2">
      <w:pPr>
        <w:bidi w:val="0"/>
        <w:rPr>
          <w:rFonts w:hint="eastAsia"/>
          <w:color w:val="auto"/>
        </w:rPr>
      </w:pPr>
      <w:r>
        <w:rPr>
          <w:rFonts w:hint="eastAsia"/>
          <w:color w:val="auto"/>
        </w:rPr>
        <w:t>（5）配电、控制、保护用的屏（柜、箱）及操作台的金属框架和底座。</w:t>
      </w:r>
    </w:p>
    <w:p w14:paraId="345FBC5F">
      <w:pPr>
        <w:bidi w:val="0"/>
        <w:rPr>
          <w:rFonts w:hint="eastAsia"/>
          <w:color w:val="auto"/>
        </w:rPr>
      </w:pPr>
      <w:r>
        <w:rPr>
          <w:rFonts w:hint="eastAsia"/>
          <w:color w:val="auto"/>
        </w:rPr>
        <w:t>（6）电力电缆的金属护层、接头盒、终端头和金属保护管及二次电缆的屏蔽层。</w:t>
      </w:r>
    </w:p>
    <w:p w14:paraId="4662AF71">
      <w:pPr>
        <w:bidi w:val="0"/>
        <w:rPr>
          <w:rFonts w:hint="eastAsia"/>
          <w:color w:val="auto"/>
        </w:rPr>
      </w:pPr>
      <w:r>
        <w:rPr>
          <w:rFonts w:hint="eastAsia"/>
          <w:color w:val="auto"/>
        </w:rPr>
        <w:t>（7）电缆桥架、支架和井架。</w:t>
      </w:r>
    </w:p>
    <w:p w14:paraId="5A018E54">
      <w:pPr>
        <w:bidi w:val="0"/>
        <w:rPr>
          <w:rFonts w:hint="eastAsia"/>
          <w:color w:val="auto"/>
        </w:rPr>
      </w:pPr>
      <w:r>
        <w:rPr>
          <w:rFonts w:hint="eastAsia"/>
          <w:color w:val="auto"/>
        </w:rPr>
        <w:t>（8）变电站（换流站）构、支架。</w:t>
      </w:r>
    </w:p>
    <w:p w14:paraId="485AB53C">
      <w:pPr>
        <w:bidi w:val="0"/>
        <w:rPr>
          <w:rFonts w:hint="eastAsia"/>
          <w:color w:val="auto"/>
        </w:rPr>
      </w:pPr>
      <w:r>
        <w:rPr>
          <w:rFonts w:hint="eastAsia"/>
          <w:color w:val="auto"/>
        </w:rPr>
        <w:t>（9）装有架空地线或电气设备的电力线路杆塔。</w:t>
      </w:r>
    </w:p>
    <w:p w14:paraId="1428D13D">
      <w:pPr>
        <w:bidi w:val="0"/>
        <w:rPr>
          <w:rFonts w:hint="eastAsia"/>
          <w:color w:val="auto"/>
        </w:rPr>
      </w:pPr>
      <w:r>
        <w:rPr>
          <w:rFonts w:hint="eastAsia"/>
          <w:color w:val="auto"/>
        </w:rPr>
        <w:t>（10）配电装置的金属遮栏。</w:t>
      </w:r>
    </w:p>
    <w:p w14:paraId="7BD2F139">
      <w:pPr>
        <w:bidi w:val="0"/>
        <w:rPr>
          <w:rFonts w:hint="eastAsia"/>
          <w:color w:val="auto"/>
        </w:rPr>
      </w:pPr>
      <w:r>
        <w:rPr>
          <w:rFonts w:hint="eastAsia"/>
          <w:color w:val="auto"/>
        </w:rPr>
        <w:t>（11）电热设备的金属外壳。</w:t>
      </w:r>
    </w:p>
    <w:p w14:paraId="174E8AC8">
      <w:pPr>
        <w:bidi w:val="0"/>
        <w:rPr>
          <w:rFonts w:hint="eastAsia"/>
          <w:color w:val="auto"/>
        </w:rPr>
      </w:pPr>
      <w:r>
        <w:rPr>
          <w:rFonts w:hint="eastAsia"/>
          <w:color w:val="auto"/>
        </w:rPr>
        <w:t>34、根据《电气装置安装工程 接地装置施工及验收规范》（GB 50169-2016）第4.2.9条规定，电气装置的接地必须单独与接地母线或接地网相连接，严禁在一条接地线中串接两个及两个以上需要接地的电气装置。</w:t>
      </w:r>
    </w:p>
    <w:p w14:paraId="50297E33">
      <w:pPr>
        <w:bidi w:val="0"/>
        <w:rPr>
          <w:rFonts w:hint="eastAsia"/>
          <w:color w:val="auto"/>
        </w:rPr>
      </w:pPr>
      <w:r>
        <w:rPr>
          <w:rFonts w:hint="eastAsia"/>
          <w:color w:val="auto"/>
        </w:rPr>
        <w:t>35、根据《电气装置安装工程 接地装置施工及验收规范》（GB 50169-2016）第4.11.3条规定，接地线与变压器中性点的连接应牢固，且防松垫圈等零件应齐全。</w:t>
      </w:r>
    </w:p>
    <w:p w14:paraId="58C2B19A">
      <w:pPr>
        <w:bidi w:val="0"/>
        <w:rPr>
          <w:rFonts w:hint="eastAsia"/>
          <w:color w:val="auto"/>
        </w:rPr>
      </w:pPr>
      <w:r>
        <w:rPr>
          <w:rFonts w:hint="eastAsia"/>
          <w:color w:val="auto"/>
        </w:rPr>
        <w:t>36、根据《电气装置安装工程 接地装置施工及验收规范》（GB 50169-2016）第4.12.1条规定，接地装置的设置应符合设计要求。</w:t>
      </w:r>
    </w:p>
    <w:p w14:paraId="181DE3A7">
      <w:pPr>
        <w:bidi w:val="0"/>
        <w:rPr>
          <w:rFonts w:hint="eastAsia"/>
          <w:color w:val="auto"/>
        </w:rPr>
      </w:pPr>
      <w:r>
        <w:rPr>
          <w:rFonts w:hint="eastAsia"/>
          <w:color w:val="auto"/>
        </w:rPr>
        <w:t>37、根据《电气装置安装工程 接地装置施工及验收规范》（GB 50169-2016）第4.12.2条规定，电气装置的系统接地、保护接地及建筑物的防雷接地等采用同一接地装置，接地装置的接地电阻值应符合其中最小值的要求。</w:t>
      </w:r>
    </w:p>
    <w:p w14:paraId="25822C68">
      <w:pPr>
        <w:bidi w:val="0"/>
        <w:rPr>
          <w:rFonts w:hint="eastAsia"/>
          <w:color w:val="auto"/>
        </w:rPr>
      </w:pPr>
      <w:r>
        <w:rPr>
          <w:rFonts w:hint="eastAsia"/>
          <w:color w:val="auto"/>
        </w:rPr>
        <w:t>38、根据《电气装置安装工程 接地装置施工及验收规范》（GB 50169-2016）第4.13.1条规定，携带式和移动式用电设备应用专用的绿/黄双色绝缘多股软铜绞线接地。移动式用电设备的接地线截面积不应小于2.5mm²，携带式用电设备的接地线截面积不应小于1.5mm²。</w:t>
      </w:r>
    </w:p>
    <w:p w14:paraId="21030ADF">
      <w:pPr>
        <w:bidi w:val="0"/>
        <w:rPr>
          <w:rFonts w:hint="eastAsia"/>
          <w:color w:val="auto"/>
        </w:rPr>
      </w:pPr>
      <w:r>
        <w:rPr>
          <w:rFonts w:hint="eastAsia"/>
          <w:color w:val="auto"/>
        </w:rPr>
        <w:t>39、根据《建筑物防雷设计规范》（GB 50057-2010）第4.1.2条规定，各类防雷建筑物应设内部防雷装置，并应符合下列规定：</w:t>
      </w:r>
    </w:p>
    <w:p w14:paraId="7FE7086A">
      <w:pPr>
        <w:bidi w:val="0"/>
        <w:rPr>
          <w:rFonts w:hint="eastAsia"/>
          <w:color w:val="auto"/>
        </w:rPr>
      </w:pPr>
      <w:r>
        <w:rPr>
          <w:rFonts w:hint="eastAsia"/>
          <w:color w:val="auto"/>
        </w:rPr>
        <w:t>（1）在建筑物的地下室或地面层处，下列物体应与防雷装置做防雷等电位连接：</w:t>
      </w:r>
    </w:p>
    <w:p w14:paraId="2B526D7E">
      <w:pPr>
        <w:bidi w:val="0"/>
        <w:rPr>
          <w:rFonts w:hint="eastAsia"/>
          <w:color w:val="auto"/>
        </w:rPr>
      </w:pPr>
      <w:r>
        <w:rPr>
          <w:rFonts w:hint="eastAsia"/>
          <w:color w:val="auto"/>
        </w:rPr>
        <w:t>1）建筑物金属体。</w:t>
      </w:r>
    </w:p>
    <w:p w14:paraId="486E5520">
      <w:pPr>
        <w:bidi w:val="0"/>
        <w:rPr>
          <w:rFonts w:hint="eastAsia"/>
          <w:color w:val="auto"/>
        </w:rPr>
      </w:pPr>
      <w:r>
        <w:rPr>
          <w:rFonts w:hint="eastAsia"/>
          <w:color w:val="auto"/>
        </w:rPr>
        <w:t>2）金属装置。</w:t>
      </w:r>
    </w:p>
    <w:p w14:paraId="6EB2F2B6">
      <w:pPr>
        <w:bidi w:val="0"/>
        <w:rPr>
          <w:rFonts w:hint="eastAsia"/>
          <w:color w:val="auto"/>
        </w:rPr>
      </w:pPr>
      <w:r>
        <w:rPr>
          <w:rFonts w:hint="eastAsia"/>
          <w:color w:val="auto"/>
        </w:rPr>
        <w:t>3）建筑物内系统。</w:t>
      </w:r>
    </w:p>
    <w:p w14:paraId="466EF202">
      <w:pPr>
        <w:bidi w:val="0"/>
        <w:rPr>
          <w:rFonts w:hint="eastAsia"/>
          <w:color w:val="auto"/>
        </w:rPr>
      </w:pPr>
      <w:r>
        <w:rPr>
          <w:rFonts w:hint="eastAsia"/>
          <w:color w:val="auto"/>
        </w:rPr>
        <w:t>4）进出建筑物的金属管线。</w:t>
      </w:r>
    </w:p>
    <w:p w14:paraId="5C805EFB">
      <w:pPr>
        <w:bidi w:val="0"/>
        <w:rPr>
          <w:rFonts w:hint="eastAsia"/>
          <w:color w:val="auto"/>
        </w:rPr>
      </w:pPr>
      <w:r>
        <w:rPr>
          <w:rFonts w:hint="eastAsia"/>
          <w:color w:val="auto"/>
        </w:rPr>
        <w:t>（2）除本条第1款的措施外，外部防雷装置与建筑物金属体、金属装置、建筑物内系统之间，尚应满足间隔距离的要求。</w:t>
      </w:r>
    </w:p>
    <w:p w14:paraId="40E7EF70">
      <w:pPr>
        <w:pStyle w:val="3"/>
        <w:bidi w:val="0"/>
        <w:rPr>
          <w:rFonts w:hint="eastAsia"/>
          <w:color w:val="auto"/>
        </w:rPr>
      </w:pPr>
      <w:bookmarkStart w:id="224" w:name="_Toc32283"/>
      <w:r>
        <w:rPr>
          <w:rFonts w:hint="eastAsia"/>
          <w:color w:val="auto"/>
        </w:rPr>
        <w:t>6.5 安全管理单元安全对策措施建议</w:t>
      </w:r>
      <w:bookmarkEnd w:id="224"/>
    </w:p>
    <w:p w14:paraId="0A5D693C">
      <w:pPr>
        <w:bidi w:val="0"/>
        <w:rPr>
          <w:rFonts w:hint="eastAsia"/>
          <w:color w:val="auto"/>
        </w:rPr>
      </w:pPr>
      <w:r>
        <w:rPr>
          <w:rFonts w:hint="eastAsia"/>
          <w:color w:val="auto"/>
        </w:rPr>
        <w:t>1、应认真加强工艺操作管理，严格控制好各种工艺指标。</w:t>
      </w:r>
    </w:p>
    <w:p w14:paraId="49E78DDC">
      <w:pPr>
        <w:bidi w:val="0"/>
        <w:rPr>
          <w:rFonts w:hint="eastAsia"/>
          <w:color w:val="auto"/>
        </w:rPr>
      </w:pPr>
      <w:r>
        <w:rPr>
          <w:rFonts w:hint="eastAsia"/>
          <w:color w:val="auto"/>
        </w:rPr>
        <w:t>2、企业应定期检维修设备设施，并完善各生产工段的安全防护设施，定期检查维护纯水系统和污水系统，保障供、排水的稳定。</w:t>
      </w:r>
    </w:p>
    <w:p w14:paraId="106F3141">
      <w:pPr>
        <w:bidi w:val="0"/>
        <w:rPr>
          <w:rFonts w:hint="eastAsia"/>
          <w:color w:val="auto"/>
        </w:rPr>
      </w:pPr>
      <w:r>
        <w:rPr>
          <w:rFonts w:hint="eastAsia"/>
          <w:color w:val="auto"/>
        </w:rPr>
        <w:t>3、企业应建立健全各安全管理台帐并如实记录。</w:t>
      </w:r>
    </w:p>
    <w:p w14:paraId="7F330B76">
      <w:pPr>
        <w:bidi w:val="0"/>
        <w:rPr>
          <w:rFonts w:hint="eastAsia"/>
          <w:color w:val="auto"/>
        </w:rPr>
      </w:pPr>
      <w:r>
        <w:rPr>
          <w:rFonts w:hint="eastAsia"/>
          <w:color w:val="auto"/>
        </w:rPr>
        <w:t>4、根据《中华人民共和国安全生产法》（中华人民共和国主席令第88号）第四条规定，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p w14:paraId="4FC910EF">
      <w:pPr>
        <w:bidi w:val="0"/>
        <w:rPr>
          <w:rFonts w:hint="eastAsia"/>
          <w:color w:val="auto"/>
        </w:rPr>
      </w:pPr>
      <w:r>
        <w:rPr>
          <w:rFonts w:hint="eastAsia"/>
          <w:color w:val="auto"/>
        </w:rPr>
        <w:t>5、根据《中华人民共和国安全生产法》（中华人民共和国主席令第88号）第二十一条规定，生产经营单位的主要负责人对本单位安全生产工作负有下列职责：</w:t>
      </w:r>
    </w:p>
    <w:p w14:paraId="32DD12BF">
      <w:pPr>
        <w:bidi w:val="0"/>
        <w:rPr>
          <w:rFonts w:hint="eastAsia"/>
          <w:color w:val="auto"/>
        </w:rPr>
      </w:pPr>
      <w:r>
        <w:rPr>
          <w:rFonts w:hint="eastAsia"/>
          <w:color w:val="auto"/>
        </w:rPr>
        <w:t>（一）建立健全并落实本单位全员安全生产责任制，加强安全生产标准化建设；</w:t>
      </w:r>
    </w:p>
    <w:p w14:paraId="6BB2C4DE">
      <w:pPr>
        <w:bidi w:val="0"/>
        <w:rPr>
          <w:rFonts w:hint="eastAsia"/>
          <w:color w:val="auto"/>
        </w:rPr>
      </w:pPr>
      <w:r>
        <w:rPr>
          <w:rFonts w:hint="eastAsia"/>
          <w:color w:val="auto"/>
        </w:rPr>
        <w:t>（二）组织制定并实施本单位安全生产规章制度和操作规程；</w:t>
      </w:r>
    </w:p>
    <w:p w14:paraId="532A4CC1">
      <w:pPr>
        <w:bidi w:val="0"/>
        <w:rPr>
          <w:rFonts w:hint="eastAsia"/>
          <w:color w:val="auto"/>
        </w:rPr>
      </w:pPr>
      <w:r>
        <w:rPr>
          <w:rFonts w:hint="eastAsia"/>
          <w:color w:val="auto"/>
        </w:rPr>
        <w:t>（三）组织制定并实施本单位安全生产教育和培训计划；</w:t>
      </w:r>
    </w:p>
    <w:p w14:paraId="19F74482">
      <w:pPr>
        <w:bidi w:val="0"/>
        <w:rPr>
          <w:rFonts w:hint="eastAsia"/>
          <w:color w:val="auto"/>
        </w:rPr>
      </w:pPr>
      <w:r>
        <w:rPr>
          <w:rFonts w:hint="eastAsia"/>
          <w:color w:val="auto"/>
        </w:rPr>
        <w:t>（四）保证本单位安全生产投入的有效实施；</w:t>
      </w:r>
    </w:p>
    <w:p w14:paraId="458BE487">
      <w:pPr>
        <w:bidi w:val="0"/>
        <w:rPr>
          <w:rFonts w:hint="eastAsia"/>
          <w:color w:val="auto"/>
        </w:rPr>
      </w:pPr>
      <w:r>
        <w:rPr>
          <w:rFonts w:hint="eastAsia"/>
          <w:color w:val="auto"/>
        </w:rPr>
        <w:t>（五）组织建立并落实安全风险分级管控和隐患排查治理双重预防工作机制，督促、检查本单位的安全生产工作，及时消除生产安全事故隐患；</w:t>
      </w:r>
    </w:p>
    <w:p w14:paraId="4D364FC2">
      <w:pPr>
        <w:bidi w:val="0"/>
        <w:rPr>
          <w:rFonts w:hint="eastAsia"/>
          <w:color w:val="auto"/>
        </w:rPr>
      </w:pPr>
      <w:r>
        <w:rPr>
          <w:rFonts w:hint="eastAsia"/>
          <w:color w:val="auto"/>
        </w:rPr>
        <w:t>（六）组织制定并实施本单位的生产安全事故应急救援预案；</w:t>
      </w:r>
    </w:p>
    <w:p w14:paraId="572D2403">
      <w:pPr>
        <w:bidi w:val="0"/>
        <w:rPr>
          <w:rFonts w:hint="eastAsia"/>
          <w:color w:val="auto"/>
        </w:rPr>
      </w:pPr>
      <w:r>
        <w:rPr>
          <w:rFonts w:hint="eastAsia"/>
          <w:color w:val="auto"/>
        </w:rPr>
        <w:t>（七）及时、如实报告生产安全事故。</w:t>
      </w:r>
    </w:p>
    <w:p w14:paraId="6CD2FA31">
      <w:pPr>
        <w:bidi w:val="0"/>
        <w:rPr>
          <w:rFonts w:hint="eastAsia"/>
          <w:color w:val="auto"/>
        </w:rPr>
      </w:pPr>
      <w:r>
        <w:rPr>
          <w:rFonts w:hint="eastAsia"/>
          <w:color w:val="auto"/>
        </w:rPr>
        <w:t>6、根据《中华人民共和国安全生产法》（中华人民共和国主席令第88号）第二十二条规定，生产经营单位的全员安全生产责任制应当明确各岗位的责任人员、责任范围和考核标准等内容。</w:t>
      </w:r>
    </w:p>
    <w:p w14:paraId="5935452D">
      <w:pPr>
        <w:bidi w:val="0"/>
        <w:rPr>
          <w:rFonts w:hint="eastAsia"/>
          <w:color w:val="auto"/>
        </w:rPr>
      </w:pPr>
      <w:r>
        <w:rPr>
          <w:rFonts w:hint="eastAsia"/>
          <w:color w:val="auto"/>
        </w:rPr>
        <w:t>生产经营单位应当建立相应的机制，加强对全员安全生产责任制落实情况的监督考核，保证全员安全生产责任制的落实。</w:t>
      </w:r>
    </w:p>
    <w:p w14:paraId="3168197E">
      <w:pPr>
        <w:bidi w:val="0"/>
        <w:rPr>
          <w:rFonts w:hint="eastAsia"/>
          <w:color w:val="auto"/>
        </w:rPr>
      </w:pPr>
      <w:r>
        <w:rPr>
          <w:rFonts w:hint="eastAsia"/>
          <w:color w:val="auto"/>
        </w:rPr>
        <w:t>7、根据《中华人民共和国安全生产法》（中华人民共和国主席令第88号）第二十四条规定，矿山、金属冶炼、建筑施工、运输单位和危险物品的生产、经营、储存、装卸单位，应当设置安全生产管理机构或者配备专职安全生产管理人员。</w:t>
      </w:r>
    </w:p>
    <w:p w14:paraId="47B280B5">
      <w:pPr>
        <w:bidi w:val="0"/>
        <w:rPr>
          <w:rFonts w:hint="eastAsia"/>
          <w:color w:val="auto"/>
        </w:rPr>
      </w:pPr>
      <w:r>
        <w:rPr>
          <w:rFonts w:hint="eastAsia"/>
          <w:color w:val="auto"/>
        </w:rPr>
        <w:t>前款规定以外的其他生产经营单位，从业人员超过一百人的，应当设置安全生产管理机构或者配备专职安全生产管理人员；从业人员在一百人以下的，应当配备专职或者兼职的安全生产管理人员。</w:t>
      </w:r>
    </w:p>
    <w:p w14:paraId="6913140A">
      <w:pPr>
        <w:bidi w:val="0"/>
        <w:rPr>
          <w:rFonts w:hint="eastAsia"/>
          <w:color w:val="auto"/>
        </w:rPr>
      </w:pPr>
      <w:r>
        <w:rPr>
          <w:rFonts w:hint="eastAsia"/>
          <w:color w:val="auto"/>
        </w:rPr>
        <w:t>8、根据《中华人民共和国安全生产法》（中华人民共和国主席令第88号）第二十八条规定，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14:paraId="4D2DB5BF">
      <w:pPr>
        <w:bidi w:val="0"/>
        <w:rPr>
          <w:rFonts w:hint="eastAsia"/>
          <w:color w:val="auto"/>
        </w:rPr>
      </w:pPr>
      <w:r>
        <w:rPr>
          <w:rFonts w:hint="eastAsia"/>
          <w:color w:val="auto"/>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14:paraId="59CFC1EC">
      <w:pPr>
        <w:bidi w:val="0"/>
        <w:rPr>
          <w:rFonts w:hint="eastAsia"/>
          <w:color w:val="auto"/>
        </w:rPr>
      </w:pPr>
      <w:r>
        <w:rPr>
          <w:rFonts w:hint="eastAsia"/>
          <w:color w:val="auto"/>
        </w:rPr>
        <w:t>生产经营单位接收中等职业学校、高等学校学生实习的，应当对实习学生进行相应的安全生产教育和培训，提供必要的劳动防护用品。学校应当协助生产经营单位对实习学生进行安全生产教育和培训。</w:t>
      </w:r>
    </w:p>
    <w:p w14:paraId="09A43A78">
      <w:pPr>
        <w:bidi w:val="0"/>
        <w:rPr>
          <w:rFonts w:hint="eastAsia"/>
          <w:color w:val="auto"/>
        </w:rPr>
      </w:pPr>
      <w:r>
        <w:rPr>
          <w:rFonts w:hint="eastAsia"/>
          <w:color w:val="auto"/>
        </w:rPr>
        <w:t>生产经营单位应当建立安全生产教育和培训档案，如实记录安全生产教育和培训的时间、内容、参加人员以及考核结果等情况。</w:t>
      </w:r>
    </w:p>
    <w:p w14:paraId="3D87AC15">
      <w:pPr>
        <w:bidi w:val="0"/>
        <w:rPr>
          <w:rFonts w:hint="eastAsia"/>
          <w:color w:val="auto"/>
        </w:rPr>
      </w:pPr>
      <w:r>
        <w:rPr>
          <w:rFonts w:hint="eastAsia"/>
          <w:color w:val="auto"/>
        </w:rPr>
        <w:t>9、根据《中华人民共和国安全生产法》（中华人民共和国主席令第88号）第三十条规定，生产经营单位的特种作业人员必须按照国家有关规定经专门的安全作业培训，取得相应资格，方可上岗作业。</w:t>
      </w:r>
    </w:p>
    <w:p w14:paraId="2F0674C7">
      <w:pPr>
        <w:bidi w:val="0"/>
        <w:rPr>
          <w:rFonts w:hint="eastAsia"/>
          <w:color w:val="auto"/>
        </w:rPr>
      </w:pPr>
      <w:r>
        <w:rPr>
          <w:rFonts w:hint="eastAsia"/>
          <w:color w:val="auto"/>
        </w:rPr>
        <w:t>特种作业人员的范围由国务院应急管理部门会同国务院有关部门确定。</w:t>
      </w:r>
    </w:p>
    <w:p w14:paraId="4C2E099C">
      <w:pPr>
        <w:bidi w:val="0"/>
        <w:rPr>
          <w:rFonts w:hint="eastAsia"/>
          <w:color w:val="auto"/>
        </w:rPr>
      </w:pPr>
      <w:r>
        <w:rPr>
          <w:rFonts w:hint="eastAsia"/>
          <w:color w:val="auto"/>
        </w:rPr>
        <w:t>10、根据《中华人民共和国安全生产法》（中华人民共和国主席令第88号）第三十一条规定，生产经营单位新建、改建、扩建工程项目的安全设施，必须与主体工程同时设计、同时施工、同时投入生产和使用。安全设施投资应当纳入建设项目概算。</w:t>
      </w:r>
    </w:p>
    <w:p w14:paraId="6D165233">
      <w:pPr>
        <w:bidi w:val="0"/>
        <w:rPr>
          <w:rFonts w:hint="eastAsia"/>
          <w:color w:val="auto"/>
        </w:rPr>
      </w:pPr>
      <w:r>
        <w:rPr>
          <w:rFonts w:hint="eastAsia"/>
          <w:color w:val="auto"/>
        </w:rPr>
        <w:t>11、根据《中华人民共和国安全生产法》（中华人民共和国主席令第88号）第三十五条规定，生产经营单位应当在有较大危险因素的生产经营场所和有关设施、设备上，设置明显的安全警示标志。</w:t>
      </w:r>
    </w:p>
    <w:p w14:paraId="7AC6A831">
      <w:pPr>
        <w:bidi w:val="0"/>
        <w:rPr>
          <w:rFonts w:hint="eastAsia"/>
          <w:color w:val="auto"/>
        </w:rPr>
      </w:pPr>
      <w:r>
        <w:rPr>
          <w:rFonts w:hint="eastAsia"/>
          <w:color w:val="auto"/>
        </w:rPr>
        <w:t>12、根据《中华人民共和国安全生产法》（中华人民共和国主席令第88号）第四十条规定，生产经营单位对重大危险源应当登记建档，进行定期检测、评估、监控，并制定应急预案，告知从业人员和相关人员在紧急情况下应当采取的应急措施。</w:t>
      </w:r>
    </w:p>
    <w:p w14:paraId="1AB825CC">
      <w:pPr>
        <w:bidi w:val="0"/>
        <w:rPr>
          <w:rFonts w:hint="eastAsia"/>
          <w:color w:val="auto"/>
        </w:rPr>
      </w:pPr>
      <w:r>
        <w:rPr>
          <w:rFonts w:hint="eastAsia"/>
          <w:color w:val="auto"/>
        </w:rPr>
        <w:t>生产经营单位应当按照国家有关规定将本单位重大危险源及有关安全措施、应急措施报有关地方人民政府应急管理部门和有关部门备案。有关地方人民政府应急管理部门和有关部门应当通过相关信息系统实现信息共享。</w:t>
      </w:r>
    </w:p>
    <w:p w14:paraId="43C75488">
      <w:pPr>
        <w:bidi w:val="0"/>
        <w:rPr>
          <w:rFonts w:hint="eastAsia"/>
          <w:color w:val="auto"/>
        </w:rPr>
      </w:pPr>
      <w:r>
        <w:rPr>
          <w:rFonts w:hint="eastAsia"/>
          <w:color w:val="auto"/>
        </w:rPr>
        <w:t>13、根据《中华人民共和国安全生产法》（中华人民共和国主席令第88号）第四十一条规定，生产经营单位应当建立安全风险分级管控制度，按照安全风险分级采取相应的管控措施。</w:t>
      </w:r>
    </w:p>
    <w:p w14:paraId="65F4B048">
      <w:pPr>
        <w:bidi w:val="0"/>
        <w:rPr>
          <w:rFonts w:hint="eastAsia"/>
          <w:color w:val="auto"/>
        </w:rPr>
      </w:pPr>
      <w:r>
        <w:rPr>
          <w:rFonts w:hint="eastAsia"/>
          <w:color w:val="auto"/>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14:paraId="6222F459">
      <w:pPr>
        <w:bidi w:val="0"/>
        <w:rPr>
          <w:rFonts w:hint="eastAsia"/>
          <w:color w:val="auto"/>
        </w:rPr>
      </w:pPr>
      <w:r>
        <w:rPr>
          <w:rFonts w:hint="eastAsia"/>
          <w:color w:val="auto"/>
        </w:rPr>
        <w:t>14、根据《中华人民共和国安全生产法》（中华人民共和国主席令第88号）第四十四条规定，生产经营单位应当教育和督促从业人员严格执行本单位的安全生产规章制度和安全操作规程；并向从业人员如实告知作业场所和工作岗位存在的危险因素、防范措施以及事故应急措施。</w:t>
      </w:r>
    </w:p>
    <w:p w14:paraId="775F0DD1">
      <w:pPr>
        <w:bidi w:val="0"/>
        <w:rPr>
          <w:rFonts w:hint="eastAsia"/>
          <w:color w:val="auto"/>
        </w:rPr>
      </w:pPr>
      <w:r>
        <w:rPr>
          <w:rFonts w:hint="eastAsia"/>
          <w:color w:val="auto"/>
        </w:rPr>
        <w:t>生产经营单位应当关注从业人员的身体、心理状况和行为习惯，加强对从业人员的心理疏导、精神慰藉，严格落实岗位安全生产责任，防范从业人员行为异常导致事故发生。</w:t>
      </w:r>
    </w:p>
    <w:p w14:paraId="05F1388D">
      <w:pPr>
        <w:bidi w:val="0"/>
        <w:rPr>
          <w:rFonts w:hint="eastAsia"/>
          <w:color w:val="auto"/>
        </w:rPr>
      </w:pPr>
      <w:r>
        <w:rPr>
          <w:rFonts w:hint="eastAsia"/>
          <w:color w:val="auto"/>
        </w:rPr>
        <w:t>15、根据《中华人民共和国安全生产法》（中华人民共和国主席令第88号）第四十五条规定，生产经营单位必须为从业人员提供符合国家标准或者行业标准的劳动防护用品，并监督、教育从业人员按照使用规则佩戴、使用。</w:t>
      </w:r>
    </w:p>
    <w:p w14:paraId="368653D5">
      <w:pPr>
        <w:bidi w:val="0"/>
        <w:rPr>
          <w:rFonts w:hint="eastAsia"/>
          <w:color w:val="auto"/>
        </w:rPr>
      </w:pPr>
      <w:r>
        <w:rPr>
          <w:rFonts w:hint="eastAsia"/>
          <w:color w:val="auto"/>
        </w:rPr>
        <w:t>16、根据《中华人民共和国安全生产法》（中华人民共和国主席令第88号）第四十六条规定，生产经营单位的安全生产管理人员应当根据本单位的生产经营特点，对安全生产状况进行经常性检查；对检查中发现的安全问题，应当立即处理；不能处理的，应当及时报告本单位有关负责人，有关负责人应当及时处理。检查及处理情况应当如实记录在案。</w:t>
      </w:r>
    </w:p>
    <w:p w14:paraId="21C04E32">
      <w:pPr>
        <w:bidi w:val="0"/>
        <w:rPr>
          <w:rFonts w:hint="eastAsia"/>
          <w:color w:val="auto"/>
        </w:rPr>
      </w:pPr>
      <w:r>
        <w:rPr>
          <w:rFonts w:hint="eastAsia"/>
          <w:color w:val="auto"/>
        </w:rPr>
        <w:t>生产经营单位的安全生产管理人员在检查中发现重大事故隐患，依照前款规定向本单位有关负责人报告，有关负责人不及时处理的，安全生产管理人员可以向主管的负有安全生产监督管理职责的部门报告，接到报告的部门应当依法及时处理。</w:t>
      </w:r>
    </w:p>
    <w:p w14:paraId="655ABAF6">
      <w:pPr>
        <w:bidi w:val="0"/>
        <w:rPr>
          <w:rFonts w:hint="eastAsia"/>
          <w:color w:val="auto"/>
        </w:rPr>
      </w:pPr>
      <w:r>
        <w:rPr>
          <w:rFonts w:hint="eastAsia"/>
          <w:color w:val="auto"/>
        </w:rPr>
        <w:t>17、根据《中华人民共和国安全生产法》（中华人民共和国主席令第88号）第五十一条规定，生产经营单位必须依法参加工伤保险，为从业人员缴纳保险费。</w:t>
      </w:r>
    </w:p>
    <w:p w14:paraId="63BE9E37">
      <w:pPr>
        <w:bidi w:val="0"/>
        <w:rPr>
          <w:rFonts w:hint="eastAsia"/>
          <w:color w:val="auto"/>
        </w:rPr>
      </w:pPr>
      <w:r>
        <w:rPr>
          <w:rFonts w:hint="eastAsia"/>
          <w:color w:val="auto"/>
        </w:rPr>
        <w:t>国家鼓励生产经营单位投保安全生产责任保险；属于国家规定的高危行业、领域的生产经营单位，应当投保安全生产责任保险。具体范围和实施办法由国务院应急管理部门会同国务院财政部门、国务院保险监督管理机构和相关行业主管部门制定。</w:t>
      </w:r>
    </w:p>
    <w:p w14:paraId="6845AB87">
      <w:pPr>
        <w:bidi w:val="0"/>
        <w:rPr>
          <w:rFonts w:hint="eastAsia"/>
          <w:color w:val="auto"/>
        </w:rPr>
      </w:pPr>
      <w:r>
        <w:rPr>
          <w:rFonts w:hint="eastAsia"/>
          <w:color w:val="auto"/>
        </w:rPr>
        <w:t>18、根据《中华人民共和国安全生产法》（中华人民共和国主席令第88号）第五十七条规定，从业人员在作业过程中，应当严格落实岗位安全责任，遵守本单位的安全生产规章制度和操作规程，服从管理，正确佩戴和使用劳动防护用品。</w:t>
      </w:r>
    </w:p>
    <w:p w14:paraId="285FDFDA">
      <w:pPr>
        <w:bidi w:val="0"/>
        <w:rPr>
          <w:rFonts w:hint="eastAsia"/>
          <w:color w:val="auto"/>
        </w:rPr>
      </w:pPr>
      <w:r>
        <w:rPr>
          <w:rFonts w:hint="eastAsia"/>
          <w:color w:val="auto"/>
        </w:rPr>
        <w:t>19、根据《中华人民共和国安全生产法》（中华人民共和国主席令第88号）第八十一条规定，生产经营单位应当制定本单位生产安全事故应急救援预案，与所在地县级以上地方人民政府组织制定的生产安全事故应急救援预案相衔接，并定期组织演练。</w:t>
      </w:r>
    </w:p>
    <w:p w14:paraId="7FE3DC7D">
      <w:pPr>
        <w:bidi w:val="0"/>
        <w:rPr>
          <w:rFonts w:hint="eastAsia"/>
          <w:color w:val="auto"/>
        </w:rPr>
      </w:pPr>
      <w:r>
        <w:rPr>
          <w:rFonts w:hint="eastAsia"/>
          <w:color w:val="auto"/>
        </w:rPr>
        <w:t>20、根据《云南省安全生产条例》（云南省第十二届人民代表大会常务委员会第63号）第十三条生产经营单位应当保证安全生产所必需的资金投入。有关生产经营单位应当按照规定提取、使用安全生产费用，在成本中据实列支，专门用于改善安全生产条件。</w:t>
      </w:r>
    </w:p>
    <w:p w14:paraId="7715AC39">
      <w:pPr>
        <w:bidi w:val="0"/>
        <w:rPr>
          <w:rFonts w:hint="eastAsia"/>
          <w:color w:val="auto"/>
        </w:rPr>
      </w:pPr>
      <w:r>
        <w:rPr>
          <w:rFonts w:hint="eastAsia"/>
          <w:color w:val="auto"/>
        </w:rPr>
        <w:t>21、根据《云南省安全生产条例》（云南省第十二届人民代表大会常务委员会第63号）第十八条规定，生产经营单位应当建立健全下列制度：</w:t>
      </w:r>
    </w:p>
    <w:p w14:paraId="418D2511">
      <w:pPr>
        <w:bidi w:val="0"/>
        <w:rPr>
          <w:rFonts w:hint="eastAsia"/>
          <w:color w:val="auto"/>
        </w:rPr>
      </w:pPr>
      <w:r>
        <w:rPr>
          <w:rFonts w:hint="eastAsia"/>
          <w:color w:val="auto"/>
        </w:rPr>
        <w:t>（一）安全生产责任制度；</w:t>
      </w:r>
    </w:p>
    <w:p w14:paraId="2E74ED4B">
      <w:pPr>
        <w:bidi w:val="0"/>
        <w:rPr>
          <w:rFonts w:hint="eastAsia"/>
          <w:color w:val="auto"/>
        </w:rPr>
      </w:pPr>
      <w:r>
        <w:rPr>
          <w:rFonts w:hint="eastAsia"/>
          <w:color w:val="auto"/>
        </w:rPr>
        <w:t>（二）安全生产例会制度；</w:t>
      </w:r>
    </w:p>
    <w:p w14:paraId="4A97CF37">
      <w:pPr>
        <w:bidi w:val="0"/>
        <w:rPr>
          <w:rFonts w:hint="eastAsia"/>
          <w:color w:val="auto"/>
        </w:rPr>
      </w:pPr>
      <w:r>
        <w:rPr>
          <w:rFonts w:hint="eastAsia"/>
          <w:color w:val="auto"/>
        </w:rPr>
        <w:t>（三）安全生产奖惩制度；</w:t>
      </w:r>
    </w:p>
    <w:p w14:paraId="6316FC70">
      <w:pPr>
        <w:bidi w:val="0"/>
        <w:rPr>
          <w:rFonts w:hint="eastAsia"/>
          <w:color w:val="auto"/>
        </w:rPr>
      </w:pPr>
      <w:r>
        <w:rPr>
          <w:rFonts w:hint="eastAsia"/>
          <w:color w:val="auto"/>
        </w:rPr>
        <w:t>（四）安全生产教育培训制度；</w:t>
      </w:r>
    </w:p>
    <w:p w14:paraId="53714E71">
      <w:pPr>
        <w:bidi w:val="0"/>
        <w:rPr>
          <w:rFonts w:hint="eastAsia"/>
          <w:color w:val="auto"/>
        </w:rPr>
      </w:pPr>
      <w:r>
        <w:rPr>
          <w:rFonts w:hint="eastAsia"/>
          <w:color w:val="auto"/>
        </w:rPr>
        <w:t>（五）安全生产检查制度；</w:t>
      </w:r>
    </w:p>
    <w:p w14:paraId="601C205E">
      <w:pPr>
        <w:bidi w:val="0"/>
        <w:rPr>
          <w:rFonts w:hint="eastAsia"/>
          <w:color w:val="auto"/>
        </w:rPr>
      </w:pPr>
      <w:r>
        <w:rPr>
          <w:rFonts w:hint="eastAsia"/>
          <w:color w:val="auto"/>
        </w:rPr>
        <w:t>（六）生产经营场所、设备、设施安全管理制度；</w:t>
      </w:r>
    </w:p>
    <w:p w14:paraId="5EA92757">
      <w:pPr>
        <w:bidi w:val="0"/>
        <w:rPr>
          <w:rFonts w:hint="eastAsia"/>
          <w:color w:val="auto"/>
        </w:rPr>
      </w:pPr>
      <w:r>
        <w:rPr>
          <w:rFonts w:hint="eastAsia"/>
          <w:color w:val="auto"/>
        </w:rPr>
        <w:t>（七）安全生产风险分级管理控制制度；</w:t>
      </w:r>
    </w:p>
    <w:p w14:paraId="3B1A476B">
      <w:pPr>
        <w:bidi w:val="0"/>
        <w:rPr>
          <w:rFonts w:hint="eastAsia"/>
          <w:color w:val="auto"/>
        </w:rPr>
      </w:pPr>
      <w:r>
        <w:rPr>
          <w:rFonts w:hint="eastAsia"/>
          <w:color w:val="auto"/>
        </w:rPr>
        <w:t>（八）危险源管理制度；</w:t>
      </w:r>
    </w:p>
    <w:p w14:paraId="1DD95452">
      <w:pPr>
        <w:bidi w:val="0"/>
        <w:rPr>
          <w:rFonts w:hint="eastAsia"/>
          <w:color w:val="auto"/>
        </w:rPr>
      </w:pPr>
      <w:r>
        <w:rPr>
          <w:rFonts w:hint="eastAsia"/>
          <w:color w:val="auto"/>
        </w:rPr>
        <w:t>（九）安全生产应急管理和事故报告处理制度；</w:t>
      </w:r>
    </w:p>
    <w:p w14:paraId="05AFD49D">
      <w:pPr>
        <w:bidi w:val="0"/>
        <w:rPr>
          <w:rFonts w:hint="eastAsia"/>
          <w:color w:val="auto"/>
        </w:rPr>
      </w:pPr>
      <w:r>
        <w:rPr>
          <w:rFonts w:hint="eastAsia"/>
          <w:color w:val="auto"/>
        </w:rPr>
        <w:t>（十）危险作业、特种作业人员、劳动防护用品管理制度；</w:t>
      </w:r>
    </w:p>
    <w:p w14:paraId="02A1550C">
      <w:pPr>
        <w:bidi w:val="0"/>
        <w:rPr>
          <w:rFonts w:hint="eastAsia"/>
          <w:color w:val="auto"/>
        </w:rPr>
      </w:pPr>
      <w:r>
        <w:rPr>
          <w:rFonts w:hint="eastAsia"/>
          <w:color w:val="auto"/>
        </w:rPr>
        <w:t>（十一）法律法规规定的其他安全生产制度。</w:t>
      </w:r>
    </w:p>
    <w:p w14:paraId="3EB17EFD">
      <w:pPr>
        <w:bidi w:val="0"/>
        <w:rPr>
          <w:rFonts w:hint="eastAsia"/>
          <w:color w:val="auto"/>
        </w:rPr>
      </w:pPr>
      <w:r>
        <w:rPr>
          <w:rFonts w:hint="eastAsia"/>
          <w:color w:val="auto"/>
        </w:rPr>
        <w:t>22、根据《云南省安全生产条例》（云南省第十二届人民代表大会常务委员会第63号）第二十一条规定，生产经营单位进行高处作业、有限空间作业、危险物品充装和接卸作业、危险场所动火作业等危险作业，应当严格执行操作规程，落实安全措施，加强现场安全管理。</w:t>
      </w:r>
    </w:p>
    <w:p w14:paraId="1BB8A4E9">
      <w:pPr>
        <w:bidi w:val="0"/>
        <w:rPr>
          <w:rFonts w:hint="eastAsia"/>
          <w:color w:val="auto"/>
        </w:rPr>
      </w:pPr>
      <w:r>
        <w:rPr>
          <w:rFonts w:hint="eastAsia"/>
          <w:color w:val="auto"/>
        </w:rPr>
        <w:t>23、根据《云南省安全生产条例》（云南省第十二届人民代表大会常务委员会第63号）第二十二条规定，生产经营单位应当按照有关规定对从业人员、被派遣劳动者和实习人员，以及离岗后重新上岗、换岗和采用新工艺、新技术、新材料或者使用新设备人员进行安全生产教育和培训。未经安全生产教育和培训合格的，不得安排上岗作业。</w:t>
      </w:r>
    </w:p>
    <w:p w14:paraId="4EF13B20">
      <w:pPr>
        <w:bidi w:val="0"/>
        <w:rPr>
          <w:rFonts w:hint="eastAsia"/>
          <w:color w:val="auto"/>
        </w:rPr>
      </w:pPr>
      <w:r>
        <w:rPr>
          <w:rFonts w:hint="eastAsia"/>
          <w:color w:val="auto"/>
        </w:rPr>
        <w:t>生产经营单位应当建立安全生产教育和培训档案，如实记录安全生产教育和培训的时间、地点、内容、师资、参加人员、考核结果等情况。</w:t>
      </w:r>
    </w:p>
    <w:p w14:paraId="1F93570E">
      <w:pPr>
        <w:pStyle w:val="3"/>
        <w:bidi w:val="0"/>
        <w:rPr>
          <w:rFonts w:hint="eastAsia"/>
          <w:color w:val="auto"/>
        </w:rPr>
      </w:pPr>
      <w:bookmarkStart w:id="225" w:name="_Toc16091"/>
      <w:r>
        <w:rPr>
          <w:rFonts w:hint="eastAsia"/>
          <w:color w:val="auto"/>
        </w:rPr>
        <w:t>6.6 其他安全对策措施与建议</w:t>
      </w:r>
      <w:bookmarkEnd w:id="225"/>
    </w:p>
    <w:p w14:paraId="723ADBE7">
      <w:pPr>
        <w:bidi w:val="0"/>
        <w:rPr>
          <w:rFonts w:hint="eastAsia"/>
          <w:color w:val="auto"/>
        </w:rPr>
      </w:pPr>
      <w:r>
        <w:rPr>
          <w:rFonts w:hint="eastAsia"/>
          <w:color w:val="auto"/>
        </w:rPr>
        <w:t>1、根据《选矿安全规程》（</w:t>
      </w:r>
      <w:r>
        <w:rPr>
          <w:rFonts w:hint="eastAsia"/>
          <w:color w:val="auto"/>
          <w:lang w:eastAsia="zh-CN"/>
        </w:rPr>
        <w:t>GB/T 18152-2000</w:t>
      </w:r>
      <w:r>
        <w:rPr>
          <w:rFonts w:hint="eastAsia"/>
          <w:color w:val="auto"/>
        </w:rPr>
        <w:t>）第6.30条规定，进行高处作业（包括45°以上的斜坡），应系安全带。</w:t>
      </w:r>
    </w:p>
    <w:p w14:paraId="7BDA3FD8">
      <w:pPr>
        <w:bidi w:val="0"/>
        <w:rPr>
          <w:rFonts w:hint="eastAsia"/>
          <w:color w:val="auto"/>
        </w:rPr>
      </w:pPr>
      <w:r>
        <w:rPr>
          <w:rFonts w:hint="eastAsia"/>
          <w:color w:val="auto"/>
        </w:rPr>
        <w:t>2、根据《选矿安全规程》（</w:t>
      </w:r>
      <w:r>
        <w:rPr>
          <w:rFonts w:hint="eastAsia"/>
          <w:color w:val="auto"/>
          <w:lang w:eastAsia="zh-CN"/>
        </w:rPr>
        <w:t>GB/T 18152-2000</w:t>
      </w:r>
      <w:r>
        <w:rPr>
          <w:rFonts w:hint="eastAsia"/>
          <w:color w:val="auto"/>
        </w:rPr>
        <w:t>）第12.1条规定，招收新职工应经过健康检查，按国家有关规定不适合从事选矿生产的人员不应录用。</w:t>
      </w:r>
    </w:p>
    <w:p w14:paraId="287EB029">
      <w:pPr>
        <w:bidi w:val="0"/>
        <w:rPr>
          <w:rFonts w:hint="eastAsia"/>
          <w:color w:val="auto"/>
        </w:rPr>
      </w:pPr>
      <w:r>
        <w:rPr>
          <w:rFonts w:hint="eastAsia"/>
          <w:color w:val="auto"/>
        </w:rPr>
        <w:t>3、根据《选矿安全规程》（</w:t>
      </w:r>
      <w:r>
        <w:rPr>
          <w:rFonts w:hint="eastAsia"/>
          <w:color w:val="auto"/>
          <w:lang w:eastAsia="zh-CN"/>
        </w:rPr>
        <w:t>GB/T 18152-2000</w:t>
      </w:r>
      <w:r>
        <w:rPr>
          <w:rFonts w:hint="eastAsia"/>
          <w:color w:val="auto"/>
        </w:rPr>
        <w:t>）第12.7条规定，作业场所的噪声不应超过85dB（A），否则应采取综合防噪措施。</w:t>
      </w:r>
    </w:p>
    <w:p w14:paraId="393B0BE0">
      <w:pPr>
        <w:bidi w:val="0"/>
        <w:rPr>
          <w:rFonts w:hint="eastAsia"/>
          <w:color w:val="auto"/>
        </w:rPr>
      </w:pPr>
      <w:r>
        <w:rPr>
          <w:rFonts w:hint="eastAsia"/>
          <w:color w:val="auto"/>
        </w:rPr>
        <w:t>4、根据《选矿安全规程》（</w:t>
      </w:r>
      <w:r>
        <w:rPr>
          <w:rFonts w:hint="eastAsia"/>
          <w:color w:val="auto"/>
          <w:lang w:eastAsia="zh-CN"/>
        </w:rPr>
        <w:t>GB/T 18152-2000</w:t>
      </w:r>
      <w:r>
        <w:rPr>
          <w:rFonts w:hint="eastAsia"/>
          <w:color w:val="auto"/>
        </w:rPr>
        <w:t>）第12.11条规定，应根据气候特点采取防暑降温或防冻避寒措施。</w:t>
      </w:r>
    </w:p>
    <w:p w14:paraId="1D7D64A9">
      <w:pPr>
        <w:bidi w:val="0"/>
        <w:rPr>
          <w:rFonts w:hint="eastAsia"/>
          <w:color w:val="auto"/>
        </w:rPr>
      </w:pPr>
      <w:r>
        <w:rPr>
          <w:rFonts w:hint="eastAsia"/>
          <w:color w:val="auto"/>
        </w:rPr>
        <w:t>5、根据《安全标志及其使用导则》（GB 2894-2008）第9.1条规定，标志牌应设在与安全有关的醒目地方，并使大家看见后，有足够的时间来注意它所表示的内容。环境信息标志宜设在有关场所的入口处和醒目处；局部信息标志应设在所涉及的相应危险地点或设备（部件）附近的醒目处。</w:t>
      </w:r>
    </w:p>
    <w:p w14:paraId="14B9E5D2">
      <w:pPr>
        <w:bidi w:val="0"/>
        <w:rPr>
          <w:rFonts w:hint="eastAsia"/>
          <w:color w:val="auto"/>
        </w:rPr>
      </w:pPr>
      <w:r>
        <w:rPr>
          <w:rFonts w:hint="eastAsia"/>
          <w:color w:val="auto"/>
        </w:rPr>
        <w:t>6、根据《安全标志及其使用导则》（GB 2894-2008）第9.2条规定，标志牌不应设在门、窗、架等可移动的物体上，以免标志牌随母体物体相应移动，影响认读。标志牌前不得放置妨碍认读的障碍物。</w:t>
      </w:r>
    </w:p>
    <w:p w14:paraId="525E6DCD">
      <w:pPr>
        <w:bidi w:val="0"/>
        <w:rPr>
          <w:rFonts w:hint="eastAsia"/>
          <w:color w:val="auto"/>
        </w:rPr>
      </w:pPr>
      <w:r>
        <w:rPr>
          <w:rFonts w:hint="eastAsia"/>
          <w:color w:val="auto"/>
        </w:rPr>
        <w:t>7、根据《安全标志及其使用导则》（GB 2894-2008）第9.3条规定，标志牌的平面与视线夹角应接近90°，观察者位于最大观察距离时，最小夹角不低于75°。</w:t>
      </w:r>
    </w:p>
    <w:p w14:paraId="688EAA6E">
      <w:pPr>
        <w:bidi w:val="0"/>
        <w:rPr>
          <w:rFonts w:hint="eastAsia"/>
          <w:color w:val="auto"/>
        </w:rPr>
      </w:pPr>
      <w:r>
        <w:rPr>
          <w:rFonts w:hint="eastAsia"/>
          <w:color w:val="auto"/>
        </w:rPr>
        <w:t>8、根据《安全标志及其使用导则》（GB 2894-2008）第9.4条规定，标志牌应设置在明亮的环境中，</w:t>
      </w:r>
    </w:p>
    <w:p w14:paraId="7631B753">
      <w:pPr>
        <w:bidi w:val="0"/>
        <w:rPr>
          <w:rFonts w:hint="eastAsia"/>
          <w:color w:val="auto"/>
        </w:rPr>
      </w:pPr>
      <w:r>
        <w:rPr>
          <w:rFonts w:hint="eastAsia"/>
          <w:color w:val="auto"/>
        </w:rPr>
        <w:t>9、根据《安全标志及其使用导则》（GB 2894-2008）第9.5条规定，多个标志牌在一起设置时，应按警告、禁止、指令、提示类型的顺序，先左后右、先上后下地排列。</w:t>
      </w:r>
    </w:p>
    <w:p w14:paraId="45B3F021">
      <w:pPr>
        <w:bidi w:val="0"/>
        <w:rPr>
          <w:rFonts w:hint="eastAsia"/>
          <w:color w:val="auto"/>
        </w:rPr>
      </w:pPr>
      <w:r>
        <w:rPr>
          <w:rFonts w:hint="eastAsia"/>
          <w:color w:val="auto"/>
        </w:rPr>
        <w:t>10、根据《安全标志及其使用导则》（GB 2894-2008）第9.6条规定，标志牌的固定方式分附着式、悬挂式和柱式三种。悬挂式和附着式的固定应稳固不倾斜，柱式的标志牌和支架应牢固地联接在一起。</w:t>
      </w:r>
    </w:p>
    <w:p w14:paraId="21DEA4F4">
      <w:pPr>
        <w:bidi w:val="0"/>
        <w:rPr>
          <w:rFonts w:hint="eastAsia"/>
          <w:color w:val="auto"/>
        </w:rPr>
      </w:pPr>
      <w:r>
        <w:rPr>
          <w:rFonts w:hint="eastAsia"/>
          <w:color w:val="auto"/>
        </w:rPr>
        <w:t>11、根据《安全标志及其使用导则》（GB 2894-2008）第10.1条规定，安全标志牌至少每半年检查一次，如发现有破损、变形、褪色等不符合要求时应及时修整或更换。</w:t>
      </w:r>
    </w:p>
    <w:p w14:paraId="018C7D77">
      <w:pPr>
        <w:bidi w:val="0"/>
        <w:rPr>
          <w:rFonts w:hint="eastAsia"/>
          <w:color w:val="auto"/>
        </w:rPr>
      </w:pPr>
      <w:r>
        <w:rPr>
          <w:rFonts w:hint="eastAsia"/>
          <w:color w:val="auto"/>
        </w:rPr>
        <w:t>12、根据《安全标志及其使用导则》（GB 2894-2008）第10.2条规定，在修整或更换激光安全标志时应有临时的标志替换，以避免发生意外的伤害。</w:t>
      </w:r>
    </w:p>
    <w:p w14:paraId="05D9EAF9">
      <w:pPr>
        <w:bidi w:val="0"/>
        <w:rPr>
          <w:rFonts w:hint="eastAsia"/>
          <w:color w:val="auto"/>
        </w:rPr>
      </w:pPr>
      <w:r>
        <w:rPr>
          <w:rFonts w:hint="eastAsia"/>
          <w:color w:val="auto"/>
        </w:rPr>
        <w:t>13、根据《安全标志及其使用导则》（GB 2894-2008）第A.4条规定，检查与维修：凡涂有安全色的部位，每半年应检查一次，应保持整洁、明亮，如有变色、褪色等不符合安全色范围，逆反射系数低于70%或安全色的使用环境改变时，应及时重涂或更换，以保证安全色正确、醒目，达到安全警示的目的。</w:t>
      </w:r>
    </w:p>
    <w:p w14:paraId="1B1BFCCF">
      <w:pPr>
        <w:bidi w:val="0"/>
        <w:rPr>
          <w:rFonts w:hint="eastAsia"/>
          <w:color w:val="auto"/>
        </w:rPr>
      </w:pPr>
      <w:r>
        <w:rPr>
          <w:rFonts w:hint="eastAsia"/>
          <w:color w:val="auto"/>
        </w:rPr>
        <w:t>14、根据《个体防护装备配备规范第1部分：总则》（GB39800.1-2020）第5.1.1条规定，用人单位应建立健全个体防护装备管理制度，至少应包括采购,验收、保管、选择、发放、使用、报废、培训等内容，并应建立健全个体防护装备管理档案。</w:t>
      </w:r>
    </w:p>
    <w:p w14:paraId="2DC94FA3">
      <w:pPr>
        <w:bidi w:val="0"/>
        <w:rPr>
          <w:rFonts w:hint="eastAsia"/>
          <w:color w:val="auto"/>
        </w:rPr>
      </w:pPr>
      <w:r>
        <w:rPr>
          <w:rFonts w:hint="eastAsia"/>
          <w:color w:val="auto"/>
        </w:rPr>
        <w:t>15、根据《个体防护装备配备规范第1部分：总则》（GB39800.1-2020）第5.1.2条规定，用人单位应在入库前对个体防护装备进行进货验收，确定产品是否符合国家或行业标准；对国家规定应进行定期强检的个体防护装备，用人单位应按相关规定,委托具有检测资质的检验检测机构进行定期检验。</w:t>
      </w:r>
    </w:p>
    <w:p w14:paraId="0620D1B0">
      <w:pPr>
        <w:bidi w:val="0"/>
        <w:rPr>
          <w:rFonts w:hint="eastAsia"/>
          <w:color w:val="auto"/>
        </w:rPr>
      </w:pPr>
      <w:r>
        <w:rPr>
          <w:rFonts w:hint="eastAsia"/>
          <w:color w:val="auto"/>
        </w:rPr>
        <w:t>16、根据《个体防护装备配备规范第1部分：总则》（GB39800.1-2020）第5.1.3条规定，在作业过程中发现存在其他危害因素，现有个体防护装备不能满足作业安全要求，需要另外配备时，应立即停止相关作业，按照本部分的要求配备相应的个体防护装备后，方可继续作业。</w:t>
      </w:r>
    </w:p>
    <w:p w14:paraId="433EFC08">
      <w:pPr>
        <w:bidi w:val="0"/>
        <w:rPr>
          <w:rFonts w:hint="eastAsia"/>
          <w:color w:val="auto"/>
        </w:rPr>
      </w:pPr>
      <w:r>
        <w:rPr>
          <w:rFonts w:hint="eastAsia"/>
          <w:color w:val="auto"/>
        </w:rPr>
        <w:t>17、根据《个体防护装备配备规范第1部分：总则》（GB39800.1-2020）第5.3.1条规定，出现以下情况之一，用人单位应给子判废和更换新品：</w:t>
      </w:r>
    </w:p>
    <w:p w14:paraId="09B5884E">
      <w:pPr>
        <w:bidi w:val="0"/>
        <w:rPr>
          <w:rFonts w:hint="eastAsia"/>
          <w:color w:val="auto"/>
        </w:rPr>
      </w:pPr>
      <w:r>
        <w:rPr>
          <w:rFonts w:hint="eastAsia"/>
          <w:color w:val="auto"/>
        </w:rPr>
        <w:t>（1）个体防护装备经检验或检查被判定不合格；</w:t>
      </w:r>
    </w:p>
    <w:p w14:paraId="254430B2">
      <w:pPr>
        <w:bidi w:val="0"/>
        <w:rPr>
          <w:rFonts w:hint="eastAsia"/>
          <w:color w:val="auto"/>
        </w:rPr>
      </w:pPr>
      <w:r>
        <w:rPr>
          <w:rFonts w:hint="eastAsia"/>
          <w:color w:val="auto"/>
        </w:rPr>
        <w:t>（2）个体防护装备超过有效期；</w:t>
      </w:r>
    </w:p>
    <w:p w14:paraId="5CA3AB94">
      <w:pPr>
        <w:bidi w:val="0"/>
        <w:rPr>
          <w:rFonts w:hint="eastAsia"/>
          <w:color w:val="auto"/>
        </w:rPr>
      </w:pPr>
      <w:r>
        <w:rPr>
          <w:rFonts w:hint="eastAsia"/>
          <w:color w:val="auto"/>
        </w:rPr>
        <w:t>（3）个体防护装备功能已经失效；</w:t>
      </w:r>
    </w:p>
    <w:p w14:paraId="6AE432B5">
      <w:pPr>
        <w:bidi w:val="0"/>
        <w:rPr>
          <w:rFonts w:hint="eastAsia"/>
          <w:color w:val="auto"/>
        </w:rPr>
      </w:pPr>
      <w:r>
        <w:rPr>
          <w:rFonts w:hint="eastAsia"/>
          <w:color w:val="auto"/>
        </w:rPr>
        <w:t>（4）个体防护装备的使用说明书中规定的其他判废或更换条件。</w:t>
      </w:r>
    </w:p>
    <w:p w14:paraId="393D9B3B">
      <w:pPr>
        <w:bidi w:val="0"/>
        <w:rPr>
          <w:rFonts w:hint="eastAsia"/>
          <w:color w:val="auto"/>
        </w:rPr>
      </w:pPr>
      <w:r>
        <w:rPr>
          <w:rFonts w:hint="eastAsia"/>
          <w:color w:val="auto"/>
        </w:rPr>
        <w:t>18、根据《个体防护装备配备规范第1部分：总则》（GB39800.1-2020）第5.3.2条规定，被判废或被更换后的个体防护装备不得再次使用。</w:t>
      </w:r>
    </w:p>
    <w:p w14:paraId="41A95C50">
      <w:pPr>
        <w:bidi w:val="0"/>
        <w:rPr>
          <w:rFonts w:hint="eastAsia"/>
          <w:color w:val="auto"/>
        </w:rPr>
      </w:pPr>
      <w:r>
        <w:rPr>
          <w:rFonts w:hint="eastAsia"/>
          <w:color w:val="auto"/>
        </w:rPr>
        <w:t>19、根据《个体防护装备配备规范第1部分：总则》（GB39800.1-2020）第5.4.2条规定，用人单位应按计划定期对作业人员进行培训,培训内容至少应包括工作中存在的危害种类和法律法规,标准等规定的防护要求,本单位采取的控制措施,以及个体防护装备的选择,防护效果,使用方法及维护、保养方法、检查方法等。</w:t>
      </w:r>
    </w:p>
    <w:p w14:paraId="34539947">
      <w:pPr>
        <w:bidi w:val="0"/>
        <w:rPr>
          <w:rFonts w:hint="eastAsia"/>
          <w:color w:val="auto"/>
        </w:rPr>
      </w:pPr>
      <w:r>
        <w:rPr>
          <w:rFonts w:hint="eastAsia"/>
          <w:color w:val="auto"/>
        </w:rPr>
        <w:t>20、根据《个体防护装备配备规范第1部分：总则》（GB39800.1-2020）第5.4.3条规定，当有新员工人职、员工转岗、个体防护装备配备发生变化，法律法规及标准发生变化等情况，需要培训时用人单位应及时进行培训。</w:t>
      </w:r>
    </w:p>
    <w:p w14:paraId="2B23294E">
      <w:pPr>
        <w:bidi w:val="0"/>
        <w:rPr>
          <w:rFonts w:hint="eastAsia"/>
          <w:color w:val="auto"/>
        </w:rPr>
      </w:pPr>
      <w:r>
        <w:rPr>
          <w:rFonts w:hint="eastAsia"/>
          <w:color w:val="auto"/>
        </w:rPr>
        <w:t>21、根据《个体防护装备配备规范第1部分：总则》（GB39800.1-2020）第5.4.4条规定，未按规定佩戴和使用个体防护装备的作业人员，不得上岗作业。</w:t>
      </w:r>
    </w:p>
    <w:p w14:paraId="2F737385">
      <w:pPr>
        <w:bidi w:val="0"/>
        <w:rPr>
          <w:rFonts w:hint="eastAsia"/>
          <w:color w:val="auto"/>
        </w:rPr>
      </w:pPr>
      <w:r>
        <w:rPr>
          <w:rFonts w:hint="eastAsia"/>
          <w:color w:val="auto"/>
        </w:rPr>
        <w:t>22、根据《个体防护装备配备规范第1部分：总则》（GB39800.1-2020）第5.4.5条规定，作业人员应熟练掌握个体防护装备正确佩戴和使用方法，用人单位应监督作业人员个体防护装备的使用情况。</w:t>
      </w:r>
    </w:p>
    <w:p w14:paraId="1B152BA8">
      <w:pPr>
        <w:pStyle w:val="3"/>
        <w:bidi w:val="0"/>
        <w:rPr>
          <w:rFonts w:hint="eastAsia"/>
          <w:color w:val="auto"/>
        </w:rPr>
      </w:pPr>
      <w:bookmarkStart w:id="226" w:name="_Toc30917"/>
      <w:r>
        <w:rPr>
          <w:rFonts w:hint="eastAsia"/>
          <w:color w:val="auto"/>
        </w:rPr>
        <w:t>6.7 安全设施设计中应补充的安全对策措施及建议</w:t>
      </w:r>
      <w:bookmarkEnd w:id="226"/>
    </w:p>
    <w:p w14:paraId="37242DB2">
      <w:pPr>
        <w:bidi w:val="0"/>
        <w:rPr>
          <w:rFonts w:hint="eastAsia"/>
          <w:color w:val="auto"/>
          <w:lang w:val="en-US" w:eastAsia="zh-CN"/>
        </w:rPr>
      </w:pPr>
      <w:r>
        <w:rPr>
          <w:rFonts w:hint="eastAsia"/>
          <w:color w:val="auto"/>
          <w:lang w:val="en-US" w:eastAsia="zh-CN"/>
        </w:rPr>
        <w:t>1、</w:t>
      </w:r>
      <w:r>
        <w:rPr>
          <w:rFonts w:hint="default"/>
          <w:color w:val="auto"/>
          <w:lang w:val="en-US" w:eastAsia="zh-CN"/>
        </w:rPr>
        <w:t>建议安全设施设计中应明确安全设施投入情况</w:t>
      </w:r>
      <w:r>
        <w:rPr>
          <w:rFonts w:hint="eastAsia"/>
          <w:color w:val="auto"/>
          <w:lang w:val="en-US" w:eastAsia="zh-CN"/>
        </w:rPr>
        <w:t>。</w:t>
      </w:r>
    </w:p>
    <w:p w14:paraId="3EEEF7DF">
      <w:pPr>
        <w:bidi w:val="0"/>
        <w:rPr>
          <w:rFonts w:hint="default"/>
          <w:color w:val="auto"/>
          <w:lang w:val="en-US" w:eastAsia="zh-CN"/>
        </w:rPr>
      </w:pPr>
      <w:r>
        <w:rPr>
          <w:rFonts w:hint="eastAsia"/>
          <w:color w:val="auto"/>
          <w:lang w:val="en-US" w:eastAsia="zh-CN"/>
        </w:rPr>
        <w:t>2、</w:t>
      </w:r>
      <w:r>
        <w:rPr>
          <w:rFonts w:hint="default"/>
          <w:color w:val="auto"/>
          <w:lang w:val="en-US" w:eastAsia="zh-CN"/>
        </w:rPr>
        <w:t>建议安全设施设计中</w:t>
      </w:r>
      <w:r>
        <w:rPr>
          <w:rFonts w:hint="eastAsia"/>
          <w:color w:val="auto"/>
          <w:lang w:val="en-US" w:eastAsia="zh-CN"/>
        </w:rPr>
        <w:t>完善烘干设备的设计内容及其安全设施。</w:t>
      </w:r>
    </w:p>
    <w:p w14:paraId="77B782F0">
      <w:pPr>
        <w:rPr>
          <w:rFonts w:hint="eastAsia"/>
          <w:color w:val="auto"/>
        </w:rPr>
      </w:pPr>
      <w:r>
        <w:rPr>
          <w:rFonts w:hint="eastAsia"/>
          <w:color w:val="auto"/>
        </w:rPr>
        <w:br w:type="page"/>
      </w:r>
    </w:p>
    <w:p w14:paraId="10ED4A74">
      <w:pPr>
        <w:pStyle w:val="2"/>
        <w:bidi w:val="0"/>
        <w:rPr>
          <w:rFonts w:hint="eastAsia"/>
          <w:color w:val="auto"/>
        </w:rPr>
      </w:pPr>
      <w:bookmarkStart w:id="227" w:name="_Toc31092"/>
      <w:r>
        <w:rPr>
          <w:rFonts w:hint="eastAsia"/>
          <w:color w:val="auto"/>
        </w:rPr>
        <w:t>7 评价结论</w:t>
      </w:r>
      <w:bookmarkEnd w:id="227"/>
    </w:p>
    <w:p w14:paraId="79C3ED41">
      <w:pPr>
        <w:pStyle w:val="3"/>
        <w:bidi w:val="0"/>
        <w:rPr>
          <w:rFonts w:hint="eastAsia"/>
          <w:color w:val="auto"/>
        </w:rPr>
      </w:pPr>
      <w:bookmarkStart w:id="228" w:name="_Toc17235"/>
      <w:r>
        <w:rPr>
          <w:rFonts w:hint="eastAsia"/>
          <w:color w:val="auto"/>
        </w:rPr>
        <w:t>7.1 主要危险、有害因素及重大危险源辨识结果</w:t>
      </w:r>
      <w:bookmarkEnd w:id="228"/>
    </w:p>
    <w:p w14:paraId="4C01A6A2">
      <w:pPr>
        <w:pStyle w:val="4"/>
        <w:bidi w:val="0"/>
        <w:rPr>
          <w:rFonts w:hint="eastAsia"/>
          <w:color w:val="auto"/>
        </w:rPr>
      </w:pPr>
      <w:bookmarkStart w:id="229" w:name="_Toc15458"/>
      <w:r>
        <w:rPr>
          <w:rFonts w:hint="eastAsia"/>
          <w:color w:val="auto"/>
        </w:rPr>
        <w:t>7.1.1 项目存在的主要危险、有害因素</w:t>
      </w:r>
      <w:bookmarkEnd w:id="229"/>
    </w:p>
    <w:p w14:paraId="33C7334A">
      <w:pPr>
        <w:bidi w:val="0"/>
        <w:rPr>
          <w:rFonts w:hint="eastAsia"/>
          <w:color w:val="auto"/>
        </w:rPr>
      </w:pPr>
      <w:r>
        <w:rPr>
          <w:rFonts w:hint="eastAsia"/>
          <w:color w:val="auto"/>
        </w:rPr>
        <w:t>建设项目在建设和生产过程中主要危险因素有：坍塌、物体打击、机械伤害、触电、高处坠落、车辆伤害、火灾、爆炸、</w:t>
      </w:r>
      <w:r>
        <w:rPr>
          <w:rFonts w:hint="eastAsia"/>
          <w:color w:val="auto"/>
          <w:lang w:val="en-US" w:eastAsia="zh-CN"/>
        </w:rPr>
        <w:t>灼烫</w:t>
      </w:r>
      <w:r>
        <w:rPr>
          <w:rFonts w:hint="eastAsia"/>
          <w:color w:val="auto"/>
        </w:rPr>
        <w:t>、容器爆炸、其他伤害、中毒与窒息及淹溺等危险因素。</w:t>
      </w:r>
    </w:p>
    <w:p w14:paraId="0D2234B7">
      <w:pPr>
        <w:bidi w:val="0"/>
        <w:rPr>
          <w:rFonts w:hint="eastAsia"/>
          <w:color w:val="auto"/>
        </w:rPr>
      </w:pPr>
      <w:r>
        <w:rPr>
          <w:rFonts w:hint="eastAsia"/>
          <w:color w:val="auto"/>
        </w:rPr>
        <w:t>主要有害因素有：粉尘、噪声、振动等。</w:t>
      </w:r>
    </w:p>
    <w:p w14:paraId="6F291853">
      <w:pPr>
        <w:pStyle w:val="4"/>
        <w:bidi w:val="0"/>
        <w:rPr>
          <w:rFonts w:hint="eastAsia"/>
          <w:color w:val="auto"/>
        </w:rPr>
      </w:pPr>
      <w:bookmarkStart w:id="230" w:name="_Toc24031"/>
      <w:r>
        <w:rPr>
          <w:rFonts w:hint="eastAsia"/>
          <w:color w:val="auto"/>
        </w:rPr>
        <w:t>7.1.2 项目存在的重大危险源</w:t>
      </w:r>
      <w:bookmarkEnd w:id="230"/>
    </w:p>
    <w:p w14:paraId="0A3F8DD0">
      <w:pPr>
        <w:bidi w:val="0"/>
        <w:rPr>
          <w:rFonts w:hint="eastAsia"/>
          <w:color w:val="auto"/>
        </w:rPr>
      </w:pPr>
      <w:r>
        <w:rPr>
          <w:rFonts w:hint="eastAsia"/>
          <w:color w:val="auto"/>
        </w:rPr>
        <w:t>根据《危险化学品重大危险源辨识》（GB18218-2018）进行辨识，该项目未构成重大危险源。</w:t>
      </w:r>
    </w:p>
    <w:p w14:paraId="104B83C6">
      <w:pPr>
        <w:pStyle w:val="4"/>
        <w:bidi w:val="0"/>
        <w:rPr>
          <w:rFonts w:hint="eastAsia"/>
          <w:color w:val="auto"/>
        </w:rPr>
      </w:pPr>
      <w:bookmarkStart w:id="231" w:name="_Toc24921"/>
      <w:r>
        <w:rPr>
          <w:rFonts w:hint="eastAsia"/>
          <w:color w:val="auto"/>
        </w:rPr>
        <w:t>7.1.3 需要重点防范的危险、有害因素</w:t>
      </w:r>
      <w:bookmarkEnd w:id="231"/>
    </w:p>
    <w:p w14:paraId="1EA1559D">
      <w:pPr>
        <w:bidi w:val="0"/>
        <w:rPr>
          <w:rFonts w:hint="eastAsia"/>
          <w:color w:val="auto"/>
        </w:rPr>
      </w:pPr>
      <w:r>
        <w:rPr>
          <w:rFonts w:hint="eastAsia"/>
          <w:color w:val="auto"/>
        </w:rPr>
        <w:t>重点防范的危险因素有：坍塌、火灾、车辆伤害、物体打击、高处坠落、机械伤害及触电等危险因素。</w:t>
      </w:r>
    </w:p>
    <w:p w14:paraId="0CD85C4C">
      <w:pPr>
        <w:bidi w:val="0"/>
        <w:rPr>
          <w:rFonts w:hint="eastAsia"/>
          <w:color w:val="auto"/>
        </w:rPr>
      </w:pPr>
      <w:r>
        <w:rPr>
          <w:rFonts w:hint="eastAsia"/>
          <w:color w:val="auto"/>
        </w:rPr>
        <w:t>重点防范的有害因素主要有：粉尘、噪声及振动。</w:t>
      </w:r>
    </w:p>
    <w:p w14:paraId="35ACBC16">
      <w:pPr>
        <w:pStyle w:val="3"/>
        <w:bidi w:val="0"/>
        <w:rPr>
          <w:rFonts w:hint="eastAsia"/>
          <w:color w:val="auto"/>
        </w:rPr>
      </w:pPr>
      <w:bookmarkStart w:id="232" w:name="_Toc13645"/>
      <w:r>
        <w:rPr>
          <w:rFonts w:hint="eastAsia"/>
          <w:color w:val="auto"/>
        </w:rPr>
        <w:t>7.2 应重视的安全对策措施建议</w:t>
      </w:r>
      <w:bookmarkEnd w:id="232"/>
    </w:p>
    <w:p w14:paraId="71AF1ED5">
      <w:pPr>
        <w:bidi w:val="0"/>
        <w:rPr>
          <w:rFonts w:hint="eastAsia"/>
          <w:color w:val="auto"/>
        </w:rPr>
      </w:pPr>
      <w:r>
        <w:rPr>
          <w:rFonts w:hint="eastAsia"/>
          <w:color w:val="auto"/>
        </w:rPr>
        <w:t>1、拟建场地属于区域地壳稳定性属次稳定区，场地土类型为中软，建筑物易产生不均匀沉降变形，建、构筑物基础型式的选用不当或建构筑物强度不满足要求，会导致建构筑物变形甚至发生坍塌事故。</w:t>
      </w:r>
    </w:p>
    <w:p w14:paraId="4B74F122">
      <w:pPr>
        <w:bidi w:val="0"/>
        <w:rPr>
          <w:rFonts w:hint="eastAsia"/>
          <w:color w:val="auto"/>
        </w:rPr>
      </w:pPr>
      <w:r>
        <w:rPr>
          <w:rFonts w:hint="eastAsia"/>
          <w:color w:val="auto"/>
        </w:rPr>
        <w:t>2、拟建场地场地土对混凝土结构具微腐蚀性，对混凝土结构中的钢筋具微腐蚀性，对钢结构具微腐蚀性，如基础未采取相应的防腐措施，可能导致坍塌。</w:t>
      </w:r>
      <w:r>
        <w:rPr>
          <w:rFonts w:hint="eastAsia"/>
          <w:color w:val="auto"/>
          <w:lang w:val="en-US" w:eastAsia="zh-CN"/>
        </w:rPr>
        <w:t>筛分</w:t>
      </w:r>
      <w:r>
        <w:rPr>
          <w:rFonts w:hint="eastAsia"/>
          <w:color w:val="auto"/>
        </w:rPr>
        <w:t>机械、球磨机械振动较大，若不采取适当措施，亦会引起坍塌。</w:t>
      </w:r>
    </w:p>
    <w:p w14:paraId="6730E638">
      <w:pPr>
        <w:bidi w:val="0"/>
        <w:rPr>
          <w:rFonts w:hint="eastAsia"/>
          <w:color w:val="auto"/>
        </w:rPr>
      </w:pPr>
      <w:r>
        <w:rPr>
          <w:rFonts w:hint="eastAsia"/>
          <w:color w:val="auto"/>
        </w:rPr>
        <w:t>3、拟建场地所在区域场地抗震设防烈度为7度，须进行抗震设防。</w:t>
      </w:r>
    </w:p>
    <w:p w14:paraId="291C3B12">
      <w:pPr>
        <w:bidi w:val="0"/>
        <w:rPr>
          <w:rFonts w:hint="eastAsia"/>
          <w:color w:val="auto"/>
        </w:rPr>
      </w:pPr>
      <w:r>
        <w:rPr>
          <w:rFonts w:hint="eastAsia"/>
          <w:color w:val="auto"/>
        </w:rPr>
        <w:t>4、大型建筑物、构筑物，重型设备和生产装置等，应布置在土质均匀、地基承载力较大的地段；对较大、较深的地下建筑物、构筑物，宜布置在地下水位较低的填方地段。建议按照《选矿安全规程》（</w:t>
      </w:r>
      <w:r>
        <w:rPr>
          <w:rFonts w:hint="eastAsia"/>
          <w:color w:val="auto"/>
          <w:lang w:eastAsia="zh-CN"/>
        </w:rPr>
        <w:t>GB/T 18152-2000</w:t>
      </w:r>
      <w:r>
        <w:rPr>
          <w:rFonts w:hint="eastAsia"/>
          <w:color w:val="auto"/>
        </w:rPr>
        <w:t>）中5.1.7的规定：</w:t>
      </w:r>
      <w:r>
        <w:rPr>
          <w:rFonts w:hint="eastAsia"/>
          <w:color w:val="auto"/>
          <w:lang w:eastAsia="zh-CN"/>
        </w:rPr>
        <w:t>“</w:t>
      </w:r>
      <w:r>
        <w:rPr>
          <w:rFonts w:hint="eastAsia"/>
          <w:color w:val="auto"/>
        </w:rPr>
        <w:t>选厂一般建构筑物地基土的承载力标准值，应大于150kPa；主要建构筑物地基土的承载力标准值，应大于50kPa。如地基土承载力不满足要求，应对地基进行妥善处理</w:t>
      </w:r>
      <w:r>
        <w:rPr>
          <w:rFonts w:hint="eastAsia"/>
          <w:color w:val="auto"/>
          <w:lang w:eastAsia="zh-CN"/>
        </w:rPr>
        <w:t>”</w:t>
      </w:r>
      <w:r>
        <w:rPr>
          <w:rFonts w:hint="eastAsia"/>
          <w:color w:val="auto"/>
        </w:rPr>
        <w:t>执行。</w:t>
      </w:r>
    </w:p>
    <w:p w14:paraId="757FD2B1">
      <w:pPr>
        <w:bidi w:val="0"/>
        <w:rPr>
          <w:rFonts w:hint="eastAsia"/>
          <w:color w:val="auto"/>
        </w:rPr>
      </w:pPr>
      <w:r>
        <w:rPr>
          <w:rFonts w:hint="eastAsia"/>
          <w:color w:val="auto"/>
        </w:rPr>
        <w:t>5、按工艺流程合理布置厂房，做到功能分区明确、道路通畅、物流高效，厂区建筑物之间符合《建筑设计防火规范》（GB50016-2014，2018年版）的表3.4.1规定。</w:t>
      </w:r>
    </w:p>
    <w:p w14:paraId="35CC103A">
      <w:pPr>
        <w:bidi w:val="0"/>
        <w:rPr>
          <w:rFonts w:hint="eastAsia"/>
          <w:color w:val="auto"/>
        </w:rPr>
      </w:pPr>
      <w:r>
        <w:rPr>
          <w:rFonts w:hint="eastAsia"/>
          <w:color w:val="auto"/>
        </w:rPr>
        <w:t>6、在进行厂房设计时，应重视对钢结构的防护设计。在生产企业，钢结构的防护应符合《工业建筑防腐蚀设计</w:t>
      </w:r>
      <w:r>
        <w:rPr>
          <w:rFonts w:hint="eastAsia"/>
          <w:color w:val="auto"/>
          <w:lang w:val="en-US" w:eastAsia="zh-CN"/>
        </w:rPr>
        <w:t>标准</w:t>
      </w:r>
      <w:r>
        <w:rPr>
          <w:rFonts w:hint="eastAsia"/>
          <w:color w:val="auto"/>
        </w:rPr>
        <w:t>》和《钢结构设计</w:t>
      </w:r>
      <w:r>
        <w:rPr>
          <w:rFonts w:hint="eastAsia"/>
          <w:color w:val="auto"/>
          <w:lang w:val="en-US" w:eastAsia="zh-CN"/>
        </w:rPr>
        <w:t>标准</w:t>
      </w:r>
      <w:r>
        <w:rPr>
          <w:rFonts w:hint="eastAsia"/>
          <w:color w:val="auto"/>
        </w:rPr>
        <w:t>》的有关规定。</w:t>
      </w:r>
    </w:p>
    <w:p w14:paraId="55249C34">
      <w:pPr>
        <w:bidi w:val="0"/>
        <w:rPr>
          <w:rFonts w:hint="eastAsia"/>
          <w:color w:val="auto"/>
        </w:rPr>
      </w:pPr>
      <w:r>
        <w:rPr>
          <w:rFonts w:hint="eastAsia"/>
          <w:color w:val="auto"/>
        </w:rPr>
        <w:t>7、厂房、库房等应按国家有关规定设置相应数量的安全出口，楼梯、走道及门的宽度应符合防火规范，安全疏散门应向外开启。</w:t>
      </w:r>
    </w:p>
    <w:p w14:paraId="40397962">
      <w:pPr>
        <w:bidi w:val="0"/>
        <w:rPr>
          <w:rFonts w:hint="eastAsia"/>
          <w:color w:val="auto"/>
        </w:rPr>
      </w:pPr>
      <w:r>
        <w:rPr>
          <w:rFonts w:hint="eastAsia"/>
          <w:color w:val="auto"/>
        </w:rPr>
        <w:t>8、厂房内主要操作通道宽度应不小于1.5m，一般设备维护通道宽度应不小于1.0m，通道净空高度应小于2.0m；走梯、通道的出入口，不应设于铁路和车辆通行频繁的地段；否则，应设置防护装置，并悬挂醒目的警告标志。</w:t>
      </w:r>
    </w:p>
    <w:p w14:paraId="2DDE9EBA">
      <w:pPr>
        <w:bidi w:val="0"/>
        <w:rPr>
          <w:rFonts w:hint="eastAsia"/>
          <w:color w:val="auto"/>
        </w:rPr>
      </w:pPr>
      <w:r>
        <w:rPr>
          <w:rFonts w:hint="eastAsia"/>
          <w:color w:val="auto"/>
        </w:rPr>
        <w:t>9、荷载较重和振动较大的设备，其基础不应坐落在平台上，而应坐落在地基上。操作平台有集中荷载时，应采取特殊加固措施。</w:t>
      </w:r>
    </w:p>
    <w:p w14:paraId="4E93D72A">
      <w:pPr>
        <w:bidi w:val="0"/>
        <w:rPr>
          <w:rFonts w:hint="eastAsia"/>
          <w:color w:val="auto"/>
        </w:rPr>
      </w:pPr>
      <w:r>
        <w:rPr>
          <w:rFonts w:hint="eastAsia"/>
          <w:color w:val="auto"/>
        </w:rPr>
        <w:t>10、以操作人员所站立的平面为基准，凡高度在2m以上，有物料传输装置、皮带传动装置以及施工机械施工处的下方，应设置防护。凡在基准面2m以上的作业位置，应设置防护栏杆。</w:t>
      </w:r>
    </w:p>
    <w:p w14:paraId="6A12350C">
      <w:pPr>
        <w:bidi w:val="0"/>
        <w:rPr>
          <w:rFonts w:hint="eastAsia"/>
          <w:color w:val="auto"/>
        </w:rPr>
      </w:pPr>
      <w:r>
        <w:rPr>
          <w:rFonts w:hint="eastAsia"/>
          <w:color w:val="auto"/>
        </w:rPr>
        <w:t>11、原矿堆场应根据运输车辆的要求设置足够的回车坪。采用自卸汽车卸矿时，应设坚固的挡墙，挡墙高度不应小于轮胎直径的五分之二。</w:t>
      </w:r>
    </w:p>
    <w:p w14:paraId="2A668734">
      <w:pPr>
        <w:bidi w:val="0"/>
        <w:rPr>
          <w:rFonts w:hint="eastAsia"/>
          <w:color w:val="auto"/>
        </w:rPr>
      </w:pPr>
      <w:r>
        <w:rPr>
          <w:rFonts w:hint="eastAsia"/>
          <w:color w:val="auto"/>
        </w:rPr>
        <w:t>12、选矿厂施工建设及运行中，应根据相关规定编制相应事故应急预案，并保障演练制度得到有效执行。</w:t>
      </w:r>
    </w:p>
    <w:p w14:paraId="061FA6F2">
      <w:pPr>
        <w:bidi w:val="0"/>
        <w:rPr>
          <w:rFonts w:hint="eastAsia"/>
          <w:color w:val="auto"/>
        </w:rPr>
      </w:pPr>
      <w:r>
        <w:rPr>
          <w:rFonts w:hint="eastAsia"/>
          <w:color w:val="auto"/>
        </w:rPr>
        <w:t>13、建议主要负责人及安全生产管理人员在应急管理局重新培训取证。</w:t>
      </w:r>
    </w:p>
    <w:p w14:paraId="3EEFAA5E">
      <w:pPr>
        <w:pStyle w:val="3"/>
        <w:bidi w:val="0"/>
        <w:rPr>
          <w:rFonts w:hint="eastAsia"/>
          <w:color w:val="auto"/>
        </w:rPr>
      </w:pPr>
      <w:bookmarkStart w:id="233" w:name="_Toc7103"/>
      <w:r>
        <w:rPr>
          <w:rFonts w:hint="eastAsia"/>
          <w:color w:val="auto"/>
        </w:rPr>
        <w:t>7.3 评价结论</w:t>
      </w:r>
      <w:bookmarkEnd w:id="233"/>
    </w:p>
    <w:p w14:paraId="0FEE04C8">
      <w:pPr>
        <w:bidi w:val="0"/>
        <w:rPr>
          <w:rFonts w:hint="eastAsia"/>
          <w:color w:val="auto"/>
        </w:rPr>
      </w:pPr>
      <w:r>
        <w:rPr>
          <w:rFonts w:hint="eastAsia"/>
          <w:color w:val="auto"/>
        </w:rPr>
        <w:t>根据对评价项目的现场调查和相关资料的分析，完成了该项目主要危险有害因素的辨识和分析，对评价系统进行了科学合理的单元划分。通过划分把评价对象更细节化，更具统一性，并运用各种安全系统工程的分析方法，对这些个子系统进行了危险有害因素的辨识和分析，并在此基础上提出了合理可行的对策措施，形成以下预评价结论：</w:t>
      </w:r>
    </w:p>
    <w:p w14:paraId="3DC5DA71">
      <w:pPr>
        <w:bidi w:val="0"/>
        <w:rPr>
          <w:rFonts w:hint="eastAsia"/>
          <w:color w:val="auto"/>
        </w:rPr>
      </w:pPr>
      <w:r>
        <w:rPr>
          <w:rFonts w:hint="eastAsia"/>
          <w:color w:val="auto"/>
        </w:rPr>
        <w:t>1、企业证照齐全、有效、合法。立项批复、建设程序合法，项目初步设计代可研、工程地质勘察单位资质有效、合法。</w:t>
      </w:r>
    </w:p>
    <w:p w14:paraId="75A2FE4E">
      <w:pPr>
        <w:bidi w:val="0"/>
        <w:rPr>
          <w:rFonts w:hint="eastAsia"/>
          <w:color w:val="auto"/>
        </w:rPr>
      </w:pPr>
      <w:r>
        <w:rPr>
          <w:rFonts w:hint="eastAsia"/>
          <w:color w:val="auto"/>
        </w:rPr>
        <w:t>2、该选矿厂拟建场地位于区域地壳稳定性属次稳定区，地土对混凝土结构具微腐蚀性，地势平缓，无高边坡，采取合理的地基处理方式，选择适当的基础型式，基本能满足安全生产的需要。</w:t>
      </w:r>
    </w:p>
    <w:p w14:paraId="7C830739">
      <w:pPr>
        <w:bidi w:val="0"/>
        <w:rPr>
          <w:rFonts w:hint="eastAsia"/>
          <w:color w:val="auto"/>
        </w:rPr>
      </w:pPr>
      <w:r>
        <w:rPr>
          <w:rFonts w:hint="eastAsia"/>
          <w:color w:val="auto"/>
        </w:rPr>
        <w:t>3、项目工艺方案、主要和辅助生产设施安全技术措施的设置，符合国家安全生产法规、标准和规范的要求。</w:t>
      </w:r>
    </w:p>
    <w:p w14:paraId="1297FCC8">
      <w:pPr>
        <w:bidi w:val="0"/>
        <w:rPr>
          <w:rFonts w:hint="eastAsia"/>
          <w:color w:val="auto"/>
        </w:rPr>
      </w:pPr>
      <w:r>
        <w:rPr>
          <w:rFonts w:hint="eastAsia"/>
          <w:color w:val="auto"/>
        </w:rPr>
        <w:t>4、建设项目在建设和生产过程中存在的主要危险因素有：坍塌、物体打击、机械伤害、触电、高处坠落、车辆伤害、火灾、爆炸、中毒与窒息</w:t>
      </w:r>
      <w:r>
        <w:rPr>
          <w:rFonts w:hint="eastAsia"/>
          <w:color w:val="auto"/>
          <w:lang w:eastAsia="zh-CN"/>
        </w:rPr>
        <w:t>、</w:t>
      </w:r>
      <w:r>
        <w:rPr>
          <w:rFonts w:hint="eastAsia"/>
          <w:color w:val="auto"/>
          <w:lang w:val="en-US" w:eastAsia="zh-CN"/>
        </w:rPr>
        <w:t>灼烫、容器爆炸</w:t>
      </w:r>
      <w:r>
        <w:rPr>
          <w:rFonts w:hint="eastAsia"/>
          <w:color w:val="auto"/>
        </w:rPr>
        <w:t>及淹溺等危险因素；主要有害因素有：粉尘、噪声、振动等。在项目建设施工和生产过程中，通过落实初步设计方案和本次安全预评价报告安全对策措施，进一步优化和完善设计和生产设施，消除、减少项目中危险、有害因素，认真落实国家相关安全生产的法规、标准、规程、规范，加强事故预防和安全管理工作，为该项目安全生产的要求奠定基础，该项目潜在的危险、有害因素能得到控制，在可接受的范围内。</w:t>
      </w:r>
    </w:p>
    <w:p w14:paraId="0057898C">
      <w:pPr>
        <w:bidi w:val="0"/>
        <w:rPr>
          <w:rFonts w:hint="eastAsia"/>
          <w:b/>
          <w:bCs/>
          <w:color w:val="auto"/>
        </w:rPr>
      </w:pPr>
      <w:r>
        <w:rPr>
          <w:rFonts w:hint="eastAsia"/>
          <w:b/>
          <w:bCs/>
          <w:color w:val="auto"/>
        </w:rPr>
        <w:t>安全预评价结论：</w:t>
      </w:r>
      <w:r>
        <w:rPr>
          <w:rFonts w:hint="eastAsia"/>
          <w:b/>
          <w:bCs/>
          <w:color w:val="auto"/>
          <w:lang w:eastAsia="zh-CN"/>
        </w:rPr>
        <w:t>武定县花果箐钛矿采选厂技改扩建项目</w:t>
      </w:r>
      <w:r>
        <w:rPr>
          <w:rFonts w:hint="eastAsia"/>
          <w:b/>
          <w:bCs/>
          <w:color w:val="auto"/>
        </w:rPr>
        <w:t>从安全生产角度符合国家有关法律、法规、标准和规范的要求。</w:t>
      </w:r>
    </w:p>
    <w:p w14:paraId="4450E8DC">
      <w:pPr>
        <w:bidi w:val="0"/>
        <w:rPr>
          <w:rFonts w:hint="eastAsia"/>
          <w:color w:val="auto"/>
        </w:rPr>
      </w:pPr>
      <w:r>
        <w:rPr>
          <w:rFonts w:hint="eastAsia"/>
          <w:color w:val="auto"/>
        </w:rPr>
        <w:t>在今后的设计、施工、监理及生产过程中，建设单位应按上述提出的安全对策措施及有关法规和标准的要求，认真落实各项安全对策措施建议和预防手段，确保该建设项目的安全设施与主体工程同时设计、同时施工、同时投入生产和使用。根据本安全预评价报告中提出的安全对策措施，该建设项目应在安全设施设计中进行完善与补充，以确保该建设项目建成后能安全运行。</w:t>
      </w:r>
    </w:p>
    <w:p w14:paraId="31FA43F9">
      <w:pPr>
        <w:rPr>
          <w:rFonts w:hint="eastAsia"/>
          <w:color w:val="auto"/>
        </w:rPr>
      </w:pPr>
      <w:r>
        <w:rPr>
          <w:rFonts w:hint="eastAsia"/>
          <w:color w:val="auto"/>
        </w:rPr>
        <w:br w:type="page"/>
      </w:r>
    </w:p>
    <w:p w14:paraId="6C1E36EF">
      <w:pPr>
        <w:pStyle w:val="2"/>
        <w:bidi w:val="0"/>
        <w:rPr>
          <w:rFonts w:hint="eastAsia"/>
          <w:color w:val="auto"/>
        </w:rPr>
      </w:pPr>
      <w:bookmarkStart w:id="234" w:name="_Toc2350"/>
      <w:r>
        <w:rPr>
          <w:rFonts w:hint="eastAsia"/>
          <w:color w:val="auto"/>
        </w:rPr>
        <w:t>8 附件和附图</w:t>
      </w:r>
      <w:bookmarkEnd w:id="234"/>
    </w:p>
    <w:p w14:paraId="75E8C487">
      <w:pPr>
        <w:pStyle w:val="3"/>
        <w:bidi w:val="0"/>
        <w:rPr>
          <w:rFonts w:hint="eastAsia"/>
          <w:color w:val="auto"/>
        </w:rPr>
      </w:pPr>
      <w:bookmarkStart w:id="235" w:name="_Toc18304"/>
      <w:r>
        <w:rPr>
          <w:rFonts w:hint="eastAsia"/>
          <w:color w:val="auto"/>
        </w:rPr>
        <w:t>8.1 附件</w:t>
      </w:r>
      <w:bookmarkEnd w:id="235"/>
    </w:p>
    <w:p w14:paraId="608F5A48">
      <w:pPr>
        <w:bidi w:val="0"/>
        <w:rPr>
          <w:rFonts w:hint="eastAsia"/>
          <w:color w:val="auto"/>
        </w:rPr>
      </w:pPr>
      <w:r>
        <w:rPr>
          <w:rFonts w:hint="eastAsia"/>
          <w:color w:val="auto"/>
        </w:rPr>
        <w:t>1、安全预评价委托书；</w:t>
      </w:r>
    </w:p>
    <w:p w14:paraId="44700562">
      <w:pPr>
        <w:bidi w:val="0"/>
        <w:rPr>
          <w:rFonts w:hint="eastAsia"/>
          <w:color w:val="auto"/>
        </w:rPr>
      </w:pPr>
      <w:r>
        <w:rPr>
          <w:rFonts w:hint="eastAsia"/>
          <w:color w:val="auto"/>
        </w:rPr>
        <w:t>2、材料真实性承诺书；</w:t>
      </w:r>
    </w:p>
    <w:p w14:paraId="119DA7C6">
      <w:pPr>
        <w:bidi w:val="0"/>
        <w:rPr>
          <w:rFonts w:hint="eastAsia"/>
          <w:color w:val="auto"/>
        </w:rPr>
      </w:pPr>
      <w:r>
        <w:rPr>
          <w:rFonts w:hint="eastAsia"/>
          <w:color w:val="auto"/>
        </w:rPr>
        <w:t>3、营业执照；</w:t>
      </w:r>
    </w:p>
    <w:p w14:paraId="5DA19F79">
      <w:pPr>
        <w:bidi w:val="0"/>
        <w:rPr>
          <w:rFonts w:hint="eastAsia"/>
          <w:color w:val="auto"/>
        </w:rPr>
      </w:pPr>
      <w:r>
        <w:rPr>
          <w:rFonts w:hint="eastAsia"/>
          <w:color w:val="auto"/>
        </w:rPr>
        <w:t>4、项目投资备案证；</w:t>
      </w:r>
    </w:p>
    <w:p w14:paraId="745E9BDB">
      <w:pPr>
        <w:bidi w:val="0"/>
        <w:rPr>
          <w:rFonts w:hint="default"/>
          <w:color w:val="auto"/>
          <w:lang w:val="en-US" w:eastAsia="zh-CN"/>
        </w:rPr>
      </w:pPr>
      <w:r>
        <w:rPr>
          <w:rFonts w:hint="eastAsia"/>
          <w:color w:val="auto"/>
          <w:lang w:val="en-US" w:eastAsia="zh-CN"/>
        </w:rPr>
        <w:t>5、租地协议及公证书；</w:t>
      </w:r>
    </w:p>
    <w:p w14:paraId="1B37EDFD">
      <w:pPr>
        <w:bidi w:val="0"/>
        <w:rPr>
          <w:rFonts w:hint="eastAsia" w:eastAsia="宋体"/>
          <w:color w:val="auto"/>
          <w:lang w:val="en-US" w:eastAsia="zh-CN"/>
        </w:rPr>
      </w:pPr>
      <w:r>
        <w:rPr>
          <w:rFonts w:hint="eastAsia"/>
          <w:color w:val="auto"/>
          <w:lang w:val="en-US" w:eastAsia="zh-CN"/>
        </w:rPr>
        <w:t>6、武定县狮山镇白邑花果箐钛选厂岩土工程勘察报告封面、资质、扉页；</w:t>
      </w:r>
    </w:p>
    <w:p w14:paraId="482E9014">
      <w:pPr>
        <w:bidi w:val="0"/>
        <w:rPr>
          <w:rFonts w:hint="eastAsia"/>
          <w:color w:val="auto"/>
          <w:lang w:eastAsia="zh-CN"/>
        </w:rPr>
      </w:pPr>
      <w:r>
        <w:rPr>
          <w:rFonts w:hint="eastAsia"/>
          <w:color w:val="auto"/>
          <w:lang w:val="en-US" w:eastAsia="zh-CN"/>
        </w:rPr>
        <w:t>7</w:t>
      </w:r>
      <w:r>
        <w:rPr>
          <w:rFonts w:hint="eastAsia"/>
          <w:color w:val="auto"/>
        </w:rPr>
        <w:t>、</w:t>
      </w:r>
      <w:r>
        <w:rPr>
          <w:rFonts w:hint="eastAsia"/>
          <w:color w:val="auto"/>
          <w:lang w:eastAsia="zh-CN"/>
        </w:rPr>
        <w:t>武定县花果箐钛矿采选厂技改扩建项目</w:t>
      </w:r>
      <w:r>
        <w:rPr>
          <w:rFonts w:hint="eastAsia"/>
          <w:color w:val="auto"/>
        </w:rPr>
        <w:t>初步设计</w:t>
      </w:r>
      <w:r>
        <w:rPr>
          <w:rFonts w:hint="eastAsia"/>
          <w:color w:val="auto"/>
          <w:lang w:val="en-US" w:eastAsia="zh-CN"/>
        </w:rPr>
        <w:t>封面、资质、扉页；</w:t>
      </w:r>
    </w:p>
    <w:p w14:paraId="6962F582">
      <w:pPr>
        <w:bidi w:val="0"/>
        <w:rPr>
          <w:rFonts w:hint="eastAsia"/>
          <w:color w:val="auto"/>
          <w:lang w:val="en-US" w:eastAsia="zh-CN"/>
        </w:rPr>
      </w:pPr>
      <w:r>
        <w:rPr>
          <w:rFonts w:hint="eastAsia"/>
          <w:color w:val="auto"/>
          <w:lang w:val="en-US" w:eastAsia="zh-CN"/>
        </w:rPr>
        <w:t>8、尾矿处理合作协议（与小箐久泰新型页岩建材厂签订）；</w:t>
      </w:r>
    </w:p>
    <w:p w14:paraId="7CE98DA4">
      <w:pPr>
        <w:bidi w:val="0"/>
        <w:rPr>
          <w:rFonts w:hint="eastAsia"/>
          <w:color w:val="auto"/>
          <w:lang w:val="en-US" w:eastAsia="zh-CN"/>
        </w:rPr>
      </w:pPr>
      <w:r>
        <w:rPr>
          <w:rFonts w:hint="eastAsia"/>
          <w:color w:val="auto"/>
          <w:lang w:val="en-US" w:eastAsia="zh-CN"/>
        </w:rPr>
        <w:t>9、尾矿处理合作协议（与纬鸿环保科技有限公司签订）；</w:t>
      </w:r>
    </w:p>
    <w:p w14:paraId="5EEF9EEB">
      <w:pPr>
        <w:bidi w:val="0"/>
        <w:rPr>
          <w:rFonts w:hint="default"/>
          <w:color w:val="auto"/>
          <w:lang w:val="en-US" w:eastAsia="zh-CN"/>
        </w:rPr>
      </w:pPr>
      <w:r>
        <w:rPr>
          <w:rFonts w:hint="eastAsia"/>
          <w:color w:val="auto"/>
          <w:lang w:val="en-US" w:eastAsia="zh-CN"/>
        </w:rPr>
        <w:t>10、矿产品代加工合同。</w:t>
      </w:r>
    </w:p>
    <w:p w14:paraId="237EB63D">
      <w:pPr>
        <w:pStyle w:val="3"/>
        <w:bidi w:val="0"/>
        <w:rPr>
          <w:rFonts w:hint="default"/>
          <w:color w:val="auto"/>
          <w:lang w:val="en-US" w:eastAsia="zh-CN"/>
        </w:rPr>
      </w:pPr>
      <w:bookmarkStart w:id="236" w:name="_Toc32219"/>
      <w:r>
        <w:rPr>
          <w:rFonts w:hint="eastAsia"/>
          <w:color w:val="auto"/>
          <w:lang w:val="en-US" w:eastAsia="zh-CN"/>
        </w:rPr>
        <w:t>8.2 附图</w:t>
      </w:r>
      <w:bookmarkEnd w:id="236"/>
    </w:p>
    <w:p w14:paraId="20C13047">
      <w:pPr>
        <w:bidi w:val="0"/>
        <w:rPr>
          <w:rFonts w:hint="default" w:eastAsia="宋体"/>
          <w:color w:val="auto"/>
          <w:lang w:val="en-US" w:eastAsia="zh-CN"/>
        </w:rPr>
      </w:pPr>
      <w:r>
        <w:rPr>
          <w:rFonts w:hint="eastAsia"/>
          <w:color w:val="auto"/>
          <w:lang w:val="en-US" w:eastAsia="zh-CN"/>
        </w:rPr>
        <w:t>1、总平面布置图；</w:t>
      </w:r>
    </w:p>
    <w:p w14:paraId="6974219E">
      <w:pPr>
        <w:bidi w:val="0"/>
        <w:rPr>
          <w:rFonts w:hint="default" w:eastAsia="宋体"/>
          <w:color w:val="auto"/>
          <w:lang w:val="en-US" w:eastAsia="zh-CN"/>
        </w:rPr>
      </w:pPr>
      <w:r>
        <w:rPr>
          <w:rFonts w:hint="eastAsia"/>
          <w:color w:val="auto"/>
          <w:lang w:val="en-US" w:eastAsia="zh-CN"/>
        </w:rPr>
        <w:t>2、工艺流程图；</w:t>
      </w:r>
    </w:p>
    <w:p w14:paraId="710D4D84">
      <w:pPr>
        <w:bidi w:val="0"/>
        <w:rPr>
          <w:rFonts w:hint="default" w:eastAsia="宋体"/>
          <w:color w:val="auto"/>
          <w:lang w:val="en-US" w:eastAsia="zh-CN"/>
        </w:rPr>
      </w:pPr>
      <w:r>
        <w:rPr>
          <w:rFonts w:hint="eastAsia"/>
          <w:color w:val="auto"/>
          <w:lang w:val="en-US" w:eastAsia="zh-CN"/>
        </w:rPr>
        <w:t>3、设备联系图；</w:t>
      </w:r>
    </w:p>
    <w:p w14:paraId="0774A6EC">
      <w:pPr>
        <w:bidi w:val="0"/>
        <w:rPr>
          <w:rFonts w:hint="default" w:eastAsia="宋体"/>
          <w:color w:val="auto"/>
          <w:lang w:val="en-US" w:eastAsia="zh-CN"/>
        </w:rPr>
      </w:pPr>
      <w:r>
        <w:rPr>
          <w:rFonts w:hint="eastAsia"/>
          <w:color w:val="auto"/>
          <w:lang w:val="en-US" w:eastAsia="zh-CN"/>
        </w:rPr>
        <w:t>4、磨矿筛分厂房设备平面配置图；</w:t>
      </w:r>
    </w:p>
    <w:p w14:paraId="19621CBB">
      <w:pPr>
        <w:bidi w:val="0"/>
        <w:rPr>
          <w:rFonts w:hint="default" w:eastAsia="宋体"/>
          <w:color w:val="auto"/>
          <w:lang w:val="en-US" w:eastAsia="zh-CN"/>
        </w:rPr>
      </w:pPr>
      <w:r>
        <w:rPr>
          <w:rFonts w:hint="eastAsia"/>
          <w:color w:val="auto"/>
          <w:lang w:val="en-US" w:eastAsia="zh-CN"/>
        </w:rPr>
        <w:t>5、磁选厂房设备平面配置图；</w:t>
      </w:r>
    </w:p>
    <w:p w14:paraId="611710F5">
      <w:pPr>
        <w:bidi w:val="0"/>
        <w:rPr>
          <w:rFonts w:hint="eastAsia"/>
          <w:color w:val="auto"/>
          <w:lang w:val="en-US" w:eastAsia="zh-CN"/>
        </w:rPr>
      </w:pPr>
      <w:r>
        <w:rPr>
          <w:rFonts w:hint="eastAsia"/>
          <w:color w:val="auto"/>
          <w:lang w:val="en-US" w:eastAsia="zh-CN"/>
        </w:rPr>
        <w:t>6、重选厂房平面配置图；</w:t>
      </w:r>
    </w:p>
    <w:p w14:paraId="160B168C">
      <w:pPr>
        <w:bidi w:val="0"/>
        <w:rPr>
          <w:rFonts w:hint="default" w:eastAsia="宋体"/>
          <w:color w:val="auto"/>
          <w:lang w:val="en-US" w:eastAsia="zh-CN"/>
        </w:rPr>
      </w:pPr>
      <w:r>
        <w:rPr>
          <w:rFonts w:hint="eastAsia"/>
          <w:color w:val="auto"/>
          <w:lang w:val="en-US" w:eastAsia="zh-CN"/>
        </w:rPr>
        <w:t>7、尾矿脱水厂房板框压滤机平面配置图。</w:t>
      </w:r>
    </w:p>
    <w:p w14:paraId="75A91654">
      <w:pPr>
        <w:bidi w:val="0"/>
        <w:ind w:left="0" w:leftChars="0" w:firstLine="0" w:firstLineChars="0"/>
        <w:jc w:val="center"/>
        <w:rPr>
          <w:rFonts w:hint="default"/>
          <w:color w:val="auto"/>
          <w:lang w:val="en-US" w:eastAsia="zh-CN"/>
        </w:rPr>
      </w:pPr>
      <w:bookmarkStart w:id="237" w:name="_GoBack"/>
      <w:bookmarkEnd w:id="237"/>
    </w:p>
    <w:sectPr>
      <w:footerReference r:id="rId10" w:type="default"/>
      <w:pgSz w:w="11906" w:h="16838"/>
      <w:pgMar w:top="1417" w:right="1134" w:bottom="1134" w:left="1587" w:header="851" w:footer="992" w:gutter="0"/>
      <w:pgBorders>
        <w:top w:val="thinThickSmallGap" w:color="auto" w:sz="12" w:space="1"/>
        <w:left w:val="none" w:sz="0" w:space="0"/>
        <w:bottom w:val="thickThinSmallGap" w:color="auto" w:sz="12" w:space="1"/>
        <w:right w:val="none" w:sz="0" w:space="0"/>
      </w:pgBorders>
      <w:pgNumType w:fmt="numberInDash" w:start="1"/>
      <w:cols w:space="0" w:num="1"/>
      <w:rtlGutter w:val="0"/>
      <w:docGrid w:type="lines" w:linePitch="38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78375">
    <w:pPr>
      <w:pBdr>
        <w:top w:val="none" w:color="auto" w:sz="0" w:space="1"/>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6B93C">
    <w:pPr>
      <w:pBdr>
        <w:top w:val="none" w:color="auto" w:sz="0" w:space="1"/>
      </w:pBdr>
      <w:tabs>
        <w:tab w:val="center" w:pos="4153"/>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02D5C">
    <w:pPr>
      <w:keepNext w:val="0"/>
      <w:keepLines w:val="0"/>
      <w:pageBreakBefore w:val="0"/>
      <w:widowControl w:val="0"/>
      <w:pBdr>
        <w:top w:val="none" w:color="auto" w:sz="0" w:space="1"/>
      </w:pBdr>
      <w:tabs>
        <w:tab w:val="center" w:pos="4153"/>
      </w:tabs>
      <w:kinsoku/>
      <w:wordWrap/>
      <w:overflowPunct/>
      <w:topLinePunct w:val="0"/>
      <w:bidi w:val="0"/>
      <w:adjustRightInd/>
      <w:snapToGrid/>
      <w:spacing w:line="500" w:lineRule="exact"/>
      <w:ind w:firstLine="0" w:firstLineChars="0"/>
      <w:textAlignment w:val="auto"/>
      <w:rPr>
        <w:rFonts w:eastAsia="楷体"/>
      </w:rPr>
    </w:pPr>
    <w:r>
      <w:rPr>
        <w:rFonts w:hint="eastAsia" w:ascii="Times New Roman" w:hAnsi="Times New Roman" w:eastAsia="楷体" w:cs="Times New Roman"/>
        <w:sz w:val="21"/>
        <w:lang w:eastAsia="zh-CN"/>
      </w:rPr>
      <w:drawing>
        <wp:inline distT="0" distB="0" distL="114300" distR="114300">
          <wp:extent cx="337820" cy="127635"/>
          <wp:effectExtent l="0" t="0" r="5080" b="5715"/>
          <wp:docPr id="42" name="图片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8" descr="2"/>
                  <pic:cNvPicPr>
                    <a:picLocks noChangeAspect="1"/>
                  </pic:cNvPicPr>
                </pic:nvPicPr>
                <pic:blipFill>
                  <a:blip r:embed="rId1"/>
                  <a:srcRect t="9578" b="16475"/>
                  <a:stretch>
                    <a:fillRect/>
                  </a:stretch>
                </pic:blipFill>
                <pic:spPr>
                  <a:xfrm>
                    <a:off x="0" y="0"/>
                    <a:ext cx="337820" cy="127635"/>
                  </a:xfrm>
                  <a:prstGeom prst="rect">
                    <a:avLst/>
                  </a:prstGeom>
                  <a:noFill/>
                  <a:ln w="12700">
                    <a:noFill/>
                  </a:ln>
                </pic:spPr>
              </pic:pic>
            </a:graphicData>
          </a:graphic>
        </wp:inline>
      </w:drawing>
    </w:r>
    <w:r>
      <w:rPr>
        <w:rFonts w:hint="eastAsia" w:ascii="Times New Roman" w:hAnsi="Times New Roman" w:eastAsia="楷体" w:cs="Times New Roman"/>
        <w:sz w:val="21"/>
        <w:szCs w:val="21"/>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3"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5E688F8D">
                          <w:pPr>
                            <w:pStyle w:val="10"/>
                            <w:keepNext w:val="0"/>
                            <w:keepLines w:val="0"/>
                            <w:pageBreakBefore w:val="0"/>
                            <w:widowControl w:val="0"/>
                            <w:kinsoku/>
                            <w:wordWrap/>
                            <w:overflowPunct/>
                            <w:topLinePunct w:val="0"/>
                            <w:bidi w:val="0"/>
                            <w:adjustRightInd/>
                            <w:snapToGrid w:val="0"/>
                            <w:spacing w:line="500" w:lineRule="exact"/>
                            <w:ind w:firstLine="0" w:firstLineChars="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III</w:t>
                          </w:r>
                          <w:r>
                            <w:rPr>
                              <w:sz w:val="21"/>
                              <w:szCs w:val="21"/>
                            </w:rPr>
                            <w:fldChar w:fldCharType="end"/>
                          </w:r>
                        </w:p>
                      </w:txbxContent>
                    </wps:txbx>
                    <wps:bodyPr rot="0" vert="horz" wrap="none" lIns="0" tIns="0" rIns="0" bIns="0" anchor="t" anchorCtr="0">
                      <a:spAutoFit/>
                    </wps:bodyPr>
                  </wps:wsp>
                </a:graphicData>
              </a:graphic>
            </wp:anchor>
          </w:drawing>
        </mc:Choice>
        <mc:Fallback>
          <w:pict>
            <v:shape id="文本框 9"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HIn3a/TAAAABQEAAA8A&#10;AAAAAAAAAQAgAAAAIgAAAGRycy9kb3ducmV2LnhtbFBLAQIUABQAAAAIAIdO4kA4IEjs4wEAAMUD&#10;AAAOAAAAAAAAAAEAIAAAACIBAABkcnMvZTJvRG9jLnhtbFBLBQYAAAAABgAGAFkBAAB3BQAAAAA=&#10;">
              <v:fill on="f" focussize="0,0"/>
              <v:stroke on="f" weight="1pt"/>
              <v:imagedata o:title=""/>
              <o:lock v:ext="edit" aspectratio="f"/>
              <v:textbox inset="0mm,0mm,0mm,0mm" style="mso-fit-shape-to-text:t;">
                <w:txbxContent>
                  <w:p w14:paraId="5E688F8D">
                    <w:pPr>
                      <w:pStyle w:val="10"/>
                      <w:keepNext w:val="0"/>
                      <w:keepLines w:val="0"/>
                      <w:pageBreakBefore w:val="0"/>
                      <w:widowControl w:val="0"/>
                      <w:kinsoku/>
                      <w:wordWrap/>
                      <w:overflowPunct/>
                      <w:topLinePunct w:val="0"/>
                      <w:bidi w:val="0"/>
                      <w:adjustRightInd/>
                      <w:snapToGrid w:val="0"/>
                      <w:spacing w:line="500" w:lineRule="exact"/>
                      <w:ind w:firstLine="0" w:firstLineChars="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III</w:t>
                    </w:r>
                    <w:r>
                      <w:rPr>
                        <w:sz w:val="21"/>
                        <w:szCs w:val="21"/>
                      </w:rPr>
                      <w:fldChar w:fldCharType="end"/>
                    </w:r>
                  </w:p>
                </w:txbxContent>
              </v:textbox>
            </v:shape>
          </w:pict>
        </mc:Fallback>
      </mc:AlternateContent>
    </w:r>
    <w:r>
      <w:rPr>
        <w:rFonts w:hint="eastAsia" w:ascii="Times New Roman" w:hAnsi="Times New Roman" w:eastAsia="楷体" w:cs="Times New Roman"/>
        <w:sz w:val="21"/>
        <w:szCs w:val="21"/>
        <w:lang w:eastAsia="zh-CN"/>
      </w:rPr>
      <w:t>辽宁诺诚安全科技有限公司</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2D26F">
    <w:pPr>
      <w:keepNext w:val="0"/>
      <w:keepLines w:val="0"/>
      <w:pageBreakBefore w:val="0"/>
      <w:widowControl w:val="0"/>
      <w:pBdr>
        <w:top w:val="none" w:color="auto" w:sz="0" w:space="1"/>
      </w:pBdr>
      <w:tabs>
        <w:tab w:val="center" w:pos="4153"/>
      </w:tabs>
      <w:kinsoku/>
      <w:wordWrap/>
      <w:overflowPunct/>
      <w:topLinePunct w:val="0"/>
      <w:bidi w:val="0"/>
      <w:adjustRightInd/>
      <w:snapToGrid/>
      <w:spacing w:line="500" w:lineRule="exact"/>
      <w:ind w:firstLine="0" w:firstLineChars="0"/>
      <w:textAlignment w:val="auto"/>
      <w:rPr>
        <w:rFonts w:eastAsia="楷体"/>
      </w:rPr>
    </w:pPr>
    <w:r>
      <w:rPr>
        <w:rFonts w:hint="eastAsia" w:ascii="Times New Roman" w:hAnsi="Times New Roman" w:eastAsia="楷体" w:cs="Times New Roman"/>
        <w:sz w:val="21"/>
        <w:lang w:eastAsia="zh-CN"/>
      </w:rPr>
      <w:drawing>
        <wp:inline distT="0" distB="0" distL="114300" distR="114300">
          <wp:extent cx="337820" cy="127635"/>
          <wp:effectExtent l="0" t="0" r="5080" b="5715"/>
          <wp:docPr id="28" name="图片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8" descr="2"/>
                  <pic:cNvPicPr>
                    <a:picLocks noChangeAspect="1"/>
                  </pic:cNvPicPr>
                </pic:nvPicPr>
                <pic:blipFill>
                  <a:blip r:embed="rId1"/>
                  <a:srcRect t="9578" b="16475"/>
                  <a:stretch>
                    <a:fillRect/>
                  </a:stretch>
                </pic:blipFill>
                <pic:spPr>
                  <a:xfrm>
                    <a:off x="0" y="0"/>
                    <a:ext cx="337820" cy="127635"/>
                  </a:xfrm>
                  <a:prstGeom prst="rect">
                    <a:avLst/>
                  </a:prstGeom>
                  <a:noFill/>
                  <a:ln w="12700">
                    <a:noFill/>
                  </a:ln>
                </pic:spPr>
              </pic:pic>
            </a:graphicData>
          </a:graphic>
        </wp:inline>
      </w:drawing>
    </w:r>
    <w:r>
      <w:rPr>
        <w:rFonts w:hint="eastAsia" w:ascii="Times New Roman" w:hAnsi="Times New Roman" w:eastAsia="楷体" w:cs="Times New Roman"/>
        <w:sz w:val="21"/>
        <w:szCs w:val="21"/>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10125B76">
                          <w:pPr>
                            <w:pStyle w:val="10"/>
                            <w:keepNext w:val="0"/>
                            <w:keepLines w:val="0"/>
                            <w:pageBreakBefore w:val="0"/>
                            <w:widowControl w:val="0"/>
                            <w:kinsoku/>
                            <w:wordWrap/>
                            <w:overflowPunct/>
                            <w:topLinePunct w:val="0"/>
                            <w:bidi w:val="0"/>
                            <w:adjustRightInd/>
                            <w:snapToGrid w:val="0"/>
                            <w:spacing w:line="500" w:lineRule="exact"/>
                            <w:ind w:firstLine="0" w:firstLineChars="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I</w:t>
                          </w:r>
                          <w:r>
                            <w:rPr>
                              <w:sz w:val="21"/>
                              <w:szCs w:val="21"/>
                            </w:rPr>
                            <w:fldChar w:fldCharType="end"/>
                          </w:r>
                        </w:p>
                      </w:txbxContent>
                    </wps:txbx>
                    <wps:bodyPr rot="0" vert="horz" wrap="none" lIns="0" tIns="0" rIns="0" bIns="0" anchor="t" anchorCtr="0">
                      <a:spAutoFit/>
                    </wps:bodyPr>
                  </wps:wsp>
                </a:graphicData>
              </a:graphic>
            </wp:anchor>
          </w:drawing>
        </mc:Choice>
        <mc:Fallback>
          <w:pict>
            <v:shape id="文本框 9"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yJ92v0wAAAAUBAAAPAAAA&#10;AAAAAAEAIAAAACIAAABkcnMvZG93bnJldi54bWxQSwECFAAUAAAACACHTuJA+C2CQOEBAADFAwAA&#10;DgAAAAAAAAABACAAAAAiAQAAZHJzL2Uyb0RvYy54bWxQSwUGAAAAAAYABgBZAQAAdQUAAAAA&#10;">
              <v:fill on="f" focussize="0,0"/>
              <v:stroke on="f" weight="1pt"/>
              <v:imagedata o:title=""/>
              <o:lock v:ext="edit" aspectratio="f"/>
              <v:textbox inset="0mm,0mm,0mm,0mm" style="mso-fit-shape-to-text:t;">
                <w:txbxContent>
                  <w:p w14:paraId="10125B76">
                    <w:pPr>
                      <w:pStyle w:val="10"/>
                      <w:keepNext w:val="0"/>
                      <w:keepLines w:val="0"/>
                      <w:pageBreakBefore w:val="0"/>
                      <w:widowControl w:val="0"/>
                      <w:kinsoku/>
                      <w:wordWrap/>
                      <w:overflowPunct/>
                      <w:topLinePunct w:val="0"/>
                      <w:bidi w:val="0"/>
                      <w:adjustRightInd/>
                      <w:snapToGrid w:val="0"/>
                      <w:spacing w:line="500" w:lineRule="exact"/>
                      <w:ind w:firstLine="0" w:firstLineChars="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I</w:t>
                    </w:r>
                    <w:r>
                      <w:rPr>
                        <w:sz w:val="21"/>
                        <w:szCs w:val="21"/>
                      </w:rPr>
                      <w:fldChar w:fldCharType="end"/>
                    </w:r>
                  </w:p>
                </w:txbxContent>
              </v:textbox>
            </v:shape>
          </w:pict>
        </mc:Fallback>
      </mc:AlternateContent>
    </w:r>
    <w:r>
      <w:rPr>
        <w:rFonts w:hint="eastAsia" w:ascii="Times New Roman" w:hAnsi="Times New Roman" w:eastAsia="楷体" w:cs="Times New Roman"/>
        <w:sz w:val="21"/>
        <w:szCs w:val="21"/>
        <w:lang w:eastAsia="zh-CN"/>
      </w:rPr>
      <w:t>辽宁诺诚安全科技有限公司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FC75F">
    <w:pPr>
      <w:pStyle w:val="1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EF25D">
    <w:pPr>
      <w:pStyle w:val="11"/>
      <w:keepNext w:val="0"/>
      <w:keepLines w:val="0"/>
      <w:pageBreakBefore w:val="0"/>
      <w:widowControl w:val="0"/>
      <w:pBdr>
        <w:bottom w:val="none" w:color="auto" w:sz="0" w:space="1"/>
      </w:pBdr>
      <w:kinsoku/>
      <w:wordWrap/>
      <w:overflowPunct/>
      <w:topLinePunct w:val="0"/>
      <w:bidi w:val="0"/>
      <w:adjustRightInd/>
      <w:snapToGrid w:val="0"/>
      <w:spacing w:line="500" w:lineRule="exact"/>
      <w:ind w:firstLine="0" w:firstLineChars="0"/>
      <w:textAlignment w:val="auto"/>
      <w:rPr>
        <w:rFonts w:hint="eastAsia" w:eastAsia="楷体"/>
        <w:sz w:val="21"/>
        <w:lang w:val="en-US" w:eastAsia="zh-CN"/>
      </w:rPr>
    </w:pPr>
    <w:r>
      <w:rPr>
        <w:rFonts w:hint="eastAsia" w:eastAsia="楷体"/>
        <w:sz w:val="21"/>
      </w:rPr>
      <w:t>武定县花果箐钛矿采选厂技改扩建项目安全预评价</w:t>
    </w:r>
    <w:r>
      <w:rPr>
        <w:rFonts w:hint="eastAsia" w:eastAsia="楷体"/>
        <w:sz w:val="21"/>
        <w:lang w:val="en-US" w:eastAsia="zh-CN"/>
      </w:rPr>
      <w:t>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79B9CE"/>
    <w:multiLevelType w:val="singleLevel"/>
    <w:tmpl w:val="DE79B9C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2"/>
  <w:embedSystemFonts/>
  <w:bordersDoNotSurroundHeader w:val="1"/>
  <w:bordersDoNotSurroundFooter w:val="1"/>
  <w:documentProtection w:enforcement="0"/>
  <w:defaultTabStop w:val="420"/>
  <w:drawingGridVerticalSpacing w:val="19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F8185B"/>
    <w:rsid w:val="0BAE4773"/>
    <w:rsid w:val="0E950173"/>
    <w:rsid w:val="0ECC4B2E"/>
    <w:rsid w:val="11252DDE"/>
    <w:rsid w:val="1243489B"/>
    <w:rsid w:val="13834E1E"/>
    <w:rsid w:val="17BB2A3D"/>
    <w:rsid w:val="18A4461F"/>
    <w:rsid w:val="1E7C61C7"/>
    <w:rsid w:val="21A70001"/>
    <w:rsid w:val="21BD113A"/>
    <w:rsid w:val="24B959FC"/>
    <w:rsid w:val="322F554F"/>
    <w:rsid w:val="35330ECB"/>
    <w:rsid w:val="37630998"/>
    <w:rsid w:val="37E93189"/>
    <w:rsid w:val="38C90007"/>
    <w:rsid w:val="3A137113"/>
    <w:rsid w:val="429F2437"/>
    <w:rsid w:val="439800D0"/>
    <w:rsid w:val="47C37706"/>
    <w:rsid w:val="4E895975"/>
    <w:rsid w:val="519D7133"/>
    <w:rsid w:val="556A3215"/>
    <w:rsid w:val="565A2606"/>
    <w:rsid w:val="57285A21"/>
    <w:rsid w:val="5B0073F7"/>
    <w:rsid w:val="5C2A0B8F"/>
    <w:rsid w:val="64D32DD2"/>
    <w:rsid w:val="64ED737F"/>
    <w:rsid w:val="68AF078A"/>
    <w:rsid w:val="69F60125"/>
    <w:rsid w:val="6D374CCD"/>
    <w:rsid w:val="717A5B3D"/>
    <w:rsid w:val="7C1D1542"/>
    <w:rsid w:val="7EF37C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jc w:val="both"/>
    </w:pPr>
    <w:rPr>
      <w:rFonts w:ascii="Times New Roman" w:hAnsi="Times New Roman" w:eastAsia="宋体" w:cstheme="minorBidi"/>
      <w:kern w:val="2"/>
      <w:sz w:val="28"/>
      <w:szCs w:val="28"/>
      <w:lang w:val="en-US" w:eastAsia="zh-CN" w:bidi="ar-SA"/>
    </w:rPr>
  </w:style>
  <w:style w:type="paragraph" w:styleId="2">
    <w:name w:val="heading 1"/>
    <w:basedOn w:val="1"/>
    <w:next w:val="1"/>
    <w:qFormat/>
    <w:uiPriority w:val="0"/>
    <w:pPr>
      <w:keepNext/>
      <w:keepLines/>
      <w:spacing w:beforeLines="0" w:beforeAutospacing="0" w:afterLines="0" w:afterAutospacing="0" w:line="360" w:lineRule="auto"/>
      <w:ind w:firstLine="0" w:firstLineChars="0"/>
      <w:jc w:val="center"/>
      <w:outlineLvl w:val="0"/>
    </w:pPr>
    <w:rPr>
      <w:rFonts w:ascii="Times New Roman" w:hAnsi="Times New Roman" w:eastAsia="黑体"/>
      <w:kern w:val="44"/>
      <w:sz w:val="32"/>
    </w:rPr>
  </w:style>
  <w:style w:type="paragraph" w:styleId="3">
    <w:name w:val="heading 2"/>
    <w:basedOn w:val="1"/>
    <w:unhideWhenUsed/>
    <w:qFormat/>
    <w:uiPriority w:val="0"/>
    <w:pPr>
      <w:keepNext/>
      <w:keepLines/>
      <w:spacing w:beforeLines="0" w:beforeAutospacing="0" w:afterLines="0" w:afterAutospacing="0" w:line="360" w:lineRule="auto"/>
      <w:ind w:firstLine="0" w:firstLineChars="0"/>
      <w:jc w:val="center"/>
      <w:outlineLvl w:val="1"/>
    </w:pPr>
    <w:rPr>
      <w:rFonts w:ascii="Times New Roman" w:hAnsi="Times New Roman" w:eastAsia="黑体"/>
      <w:sz w:val="30"/>
    </w:rPr>
  </w:style>
  <w:style w:type="paragraph" w:styleId="4">
    <w:name w:val="heading 3"/>
    <w:basedOn w:val="1"/>
    <w:unhideWhenUsed/>
    <w:qFormat/>
    <w:uiPriority w:val="0"/>
    <w:pPr>
      <w:keepNext/>
      <w:keepLines/>
      <w:spacing w:beforeLines="0" w:beforeAutospacing="0" w:afterLines="0" w:afterAutospacing="0" w:line="360" w:lineRule="auto"/>
      <w:ind w:firstLine="0" w:firstLineChars="0"/>
      <w:outlineLvl w:val="2"/>
    </w:pPr>
    <w:rPr>
      <w:rFonts w:ascii="Times New Roman" w:hAnsi="Times New Roman" w:eastAsia="宋体"/>
      <w:b/>
      <w:sz w:val="28"/>
    </w:rPr>
  </w:style>
  <w:style w:type="paragraph" w:styleId="5">
    <w:name w:val="heading 4"/>
    <w:basedOn w:val="1"/>
    <w:next w:val="1"/>
    <w:unhideWhenUsed/>
    <w:qFormat/>
    <w:uiPriority w:val="0"/>
    <w:pPr>
      <w:keepNext/>
      <w:keepLines/>
      <w:spacing w:beforeLines="0" w:beforeAutospacing="0" w:afterLines="0" w:afterAutospacing="0" w:line="360" w:lineRule="auto"/>
      <w:ind w:firstLine="0" w:firstLineChars="0"/>
      <w:outlineLvl w:val="3"/>
    </w:pPr>
    <w:rPr>
      <w:rFonts w:ascii="Times New Roman" w:hAnsi="Times New Roman" w:eastAsia="宋体"/>
      <w:b/>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rPr>
      <w:rFonts w:ascii="Times New Roman" w:hAnsi="Times New Roman" w:cs="Times New Roman"/>
      <w:kern w:val="0"/>
      <w:sz w:val="28"/>
      <w:szCs w:val="24"/>
    </w:rPr>
  </w:style>
  <w:style w:type="paragraph" w:styleId="7">
    <w:name w:val="Body Text"/>
    <w:basedOn w:val="1"/>
    <w:next w:val="1"/>
    <w:unhideWhenUsed/>
    <w:qFormat/>
    <w:uiPriority w:val="99"/>
  </w:style>
  <w:style w:type="paragraph" w:styleId="8">
    <w:name w:val="toc 3"/>
    <w:basedOn w:val="1"/>
    <w:next w:val="1"/>
    <w:qFormat/>
    <w:uiPriority w:val="0"/>
    <w:pPr>
      <w:ind w:left="840" w:leftChars="400"/>
    </w:pPr>
  </w:style>
  <w:style w:type="paragraph" w:styleId="9">
    <w:name w:val="Plain Text"/>
    <w:basedOn w:val="1"/>
    <w:qFormat/>
    <w:uiPriority w:val="0"/>
    <w:rPr>
      <w:rFonts w:ascii="宋体" w:hAnsi="Courier New" w:eastAsia="宋体" w:cs="Times New Roman"/>
      <w:kern w:val="0"/>
      <w:sz w:val="20"/>
      <w:szCs w:val="21"/>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paragraph" w:customStyle="1" w:styleId="18">
    <w:name w:val="图、表名称"/>
    <w:basedOn w:val="1"/>
    <w:qFormat/>
    <w:uiPriority w:val="0"/>
    <w:pPr>
      <w:ind w:firstLine="0" w:firstLineChars="0"/>
      <w:jc w:val="center"/>
    </w:pPr>
    <w:rPr>
      <w:rFonts w:ascii="Times New Roman" w:hAnsi="Times New Roman"/>
      <w:sz w:val="24"/>
    </w:rPr>
  </w:style>
  <w:style w:type="paragraph" w:customStyle="1" w:styleId="19">
    <w:name w:val="表格内容"/>
    <w:basedOn w:val="1"/>
    <w:qFormat/>
    <w:uiPriority w:val="0"/>
    <w:pPr>
      <w:spacing w:line="240" w:lineRule="auto"/>
      <w:ind w:firstLine="0" w:firstLineChars="0"/>
      <w:jc w:val="center"/>
    </w:pPr>
    <w:rPr>
      <w:rFonts w:ascii="Times New Roman" w:hAnsi="Times New Roman"/>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6.emf"/><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156</Pages>
  <Words>12784</Words>
  <Characters>15701</Characters>
  <Lines>0</Lines>
  <Paragraphs>0</Paragraphs>
  <TotalTime>1</TotalTime>
  <ScaleCrop>false</ScaleCrop>
  <LinksUpToDate>false</LinksUpToDate>
  <CharactersWithSpaces>16198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2025-03-25T05:43:00Z</dcterms:created>
  <dc:creator>Administrator</dc:creator>
  <cp:lastModifiedBy>Lemon</cp:lastModifiedBy>
  <dcterms:modified xsi:type="dcterms:W3CDTF">2026-08-03T09:07:02Z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eyJoZGlkIjoiYWM2ODNjYTQ2NjZmNzFhMjU5MjAzN2EzZjFmMjE3YWMiLCJ1c2VySWQiOiIzOTk0MDY5NTMifQ==</vt:lpwstr>
  </property>
  <property fmtid="{D5CDD505-2E9C-101B-9397-08002B2CF9AE}" pid="4" name="ICV">
    <vt:lpwstr>4879CFAB2B204564AC314558C3573513_12</vt:lpwstr>
  </property>
</Properties>
</file>