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071DC">
      <w:pPr>
        <w:widowControl/>
        <w:spacing w:after="5" w:line="360" w:lineRule="auto"/>
        <w:ind w:left="40"/>
        <w:jc w:val="center"/>
        <w:rPr>
          <w:rFonts w:cs="宋体"/>
          <w:b/>
          <w:bCs/>
          <w:kern w:val="0"/>
          <w:sz w:val="44"/>
          <w:szCs w:val="44"/>
        </w:rPr>
      </w:pPr>
      <w:r>
        <w:rPr>
          <w:rFonts w:hint="eastAsia" w:cs="宋体"/>
          <w:b/>
          <w:bCs/>
          <w:kern w:val="0"/>
          <w:sz w:val="44"/>
          <w:szCs w:val="44"/>
        </w:rPr>
        <w:t>玉龙县鼎康建材有限责任公司</w:t>
      </w:r>
    </w:p>
    <w:p w14:paraId="4852A51B">
      <w:pPr>
        <w:widowControl/>
        <w:spacing w:after="5" w:line="360" w:lineRule="auto"/>
        <w:ind w:left="40"/>
        <w:jc w:val="center"/>
        <w:rPr>
          <w:rFonts w:cs="宋体"/>
          <w:b/>
          <w:bCs/>
          <w:kern w:val="0"/>
          <w:sz w:val="44"/>
          <w:szCs w:val="44"/>
        </w:rPr>
      </w:pPr>
      <w:r>
        <w:rPr>
          <w:rFonts w:hint="eastAsia" w:cs="宋体"/>
          <w:b/>
          <w:bCs/>
          <w:kern w:val="0"/>
          <w:sz w:val="44"/>
          <w:szCs w:val="44"/>
        </w:rPr>
        <w:t>玉龙县吉余砂石料厂建筑石料用灰岩矿</w:t>
      </w:r>
    </w:p>
    <w:p w14:paraId="0155F170">
      <w:pPr>
        <w:widowControl/>
        <w:spacing w:after="5" w:line="360" w:lineRule="auto"/>
        <w:ind w:left="40"/>
        <w:jc w:val="center"/>
        <w:rPr>
          <w:rFonts w:ascii="Times New Roman" w:eastAsia="宋体"/>
        </w:rPr>
      </w:pPr>
      <w:r>
        <w:rPr>
          <w:rFonts w:hint="eastAsia" w:cs="黑体"/>
          <w:b/>
          <w:bCs/>
          <w:kern w:val="0"/>
          <w:sz w:val="44"/>
          <w:szCs w:val="44"/>
        </w:rPr>
        <w:t>30万t/a露天采矿工程</w:t>
      </w:r>
    </w:p>
    <w:p w14:paraId="16A703F5">
      <w:pPr>
        <w:snapToGrid w:val="0"/>
        <w:spacing w:line="360" w:lineRule="auto"/>
        <w:jc w:val="center"/>
        <w:rPr>
          <w:rFonts w:cs="宋体"/>
          <w:b/>
          <w:sz w:val="52"/>
          <w:szCs w:val="52"/>
          <w:lang w:val="en-GB"/>
        </w:rPr>
      </w:pPr>
      <w:r>
        <w:rPr>
          <w:rFonts w:hint="eastAsia" w:cs="宋体"/>
          <w:b/>
          <w:sz w:val="52"/>
          <w:szCs w:val="52"/>
          <w:lang w:val="en-GB"/>
        </w:rPr>
        <w:t>安全预评价报告</w:t>
      </w:r>
    </w:p>
    <w:p w14:paraId="106F1EB8">
      <w:pPr>
        <w:snapToGrid w:val="0"/>
        <w:spacing w:line="360" w:lineRule="auto"/>
        <w:jc w:val="center"/>
        <w:rPr>
          <w:rFonts w:cs="Times New Roman"/>
          <w:lang w:val="en-GB"/>
        </w:rPr>
      </w:pPr>
    </w:p>
    <w:p w14:paraId="54F8808F">
      <w:pPr>
        <w:snapToGrid w:val="0"/>
        <w:spacing w:line="360" w:lineRule="auto"/>
        <w:jc w:val="center"/>
        <w:rPr>
          <w:rFonts w:cs="Times New Roman"/>
          <w:lang w:val="en-GB"/>
        </w:rPr>
      </w:pPr>
    </w:p>
    <w:p w14:paraId="7E76514E">
      <w:pPr>
        <w:snapToGrid w:val="0"/>
        <w:spacing w:line="360" w:lineRule="auto"/>
        <w:jc w:val="center"/>
        <w:rPr>
          <w:rFonts w:cs="Times New Roman"/>
          <w:lang w:val="en-GB"/>
        </w:rPr>
      </w:pPr>
      <w:r>
        <w:rPr>
          <w:rFonts w:hint="eastAsia" w:cs="Times New Roman"/>
          <w:sz w:val="24"/>
          <w:szCs w:val="24"/>
        </w:rPr>
        <w:drawing>
          <wp:anchor distT="0" distB="0" distL="114300" distR="114300" simplePos="0" relativeHeight="251661312" behindDoc="0" locked="0" layoutInCell="1" allowOverlap="1">
            <wp:simplePos x="0" y="0"/>
            <wp:positionH relativeFrom="column">
              <wp:posOffset>1599565</wp:posOffset>
            </wp:positionH>
            <wp:positionV relativeFrom="paragraph">
              <wp:posOffset>456565</wp:posOffset>
            </wp:positionV>
            <wp:extent cx="2658110" cy="1631315"/>
            <wp:effectExtent l="0" t="0" r="8890" b="6985"/>
            <wp:wrapTopAndBottom/>
            <wp:docPr id="1" name="图片 2"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aa21e77fe407a0da11c082e736ee588"/>
                    <pic:cNvPicPr>
                      <a:picLocks noChangeAspect="1"/>
                    </pic:cNvPicPr>
                  </pic:nvPicPr>
                  <pic:blipFill>
                    <a:blip r:embed="rId9"/>
                    <a:stretch>
                      <a:fillRect/>
                    </a:stretch>
                  </pic:blipFill>
                  <pic:spPr>
                    <a:xfrm>
                      <a:off x="0" y="0"/>
                      <a:ext cx="2658110" cy="1631315"/>
                    </a:xfrm>
                    <a:prstGeom prst="rect">
                      <a:avLst/>
                    </a:prstGeom>
                    <a:noFill/>
                    <a:ln>
                      <a:noFill/>
                    </a:ln>
                  </pic:spPr>
                </pic:pic>
              </a:graphicData>
            </a:graphic>
          </wp:anchor>
        </w:drawing>
      </w:r>
    </w:p>
    <w:p w14:paraId="02A5ABEF">
      <w:pPr>
        <w:pStyle w:val="20"/>
        <w:snapToGrid w:val="0"/>
        <w:spacing w:line="360" w:lineRule="auto"/>
        <w:jc w:val="center"/>
        <w:rPr>
          <w:rFonts w:cs="Times New Roman"/>
          <w:lang w:val="en-GB"/>
        </w:rPr>
      </w:pPr>
    </w:p>
    <w:p w14:paraId="5AECB988">
      <w:pPr>
        <w:pStyle w:val="20"/>
        <w:snapToGrid w:val="0"/>
        <w:spacing w:line="360" w:lineRule="auto"/>
        <w:jc w:val="both"/>
        <w:rPr>
          <w:rFonts w:cs="Times New Roman"/>
          <w:lang w:val="en-GB"/>
        </w:rPr>
      </w:pPr>
    </w:p>
    <w:p w14:paraId="161F2E18">
      <w:pPr>
        <w:pStyle w:val="20"/>
        <w:snapToGrid w:val="0"/>
        <w:spacing w:line="360" w:lineRule="auto"/>
        <w:jc w:val="center"/>
        <w:rPr>
          <w:rFonts w:cs="Times New Roman"/>
          <w:lang w:val="en-GB"/>
        </w:rPr>
      </w:pPr>
    </w:p>
    <w:p w14:paraId="5CE6BED5">
      <w:pPr>
        <w:snapToGrid w:val="0"/>
        <w:spacing w:line="360" w:lineRule="auto"/>
        <w:jc w:val="center"/>
        <w:rPr>
          <w:rFonts w:cs="Times New Roman"/>
          <w:lang w:val="en-GB"/>
        </w:rPr>
      </w:pPr>
    </w:p>
    <w:p w14:paraId="1C5295E2">
      <w:pPr>
        <w:snapToGrid w:val="0"/>
        <w:spacing w:line="360" w:lineRule="auto"/>
        <w:jc w:val="center"/>
        <w:rPr>
          <w:rFonts w:cs="Times New Roman"/>
          <w:b/>
          <w:sz w:val="44"/>
          <w:szCs w:val="44"/>
          <w:lang w:val="en-GB"/>
        </w:rPr>
      </w:pPr>
      <w:r>
        <w:rPr>
          <w:rFonts w:cs="Times New Roman"/>
          <w:b/>
          <w:sz w:val="44"/>
          <w:szCs w:val="44"/>
          <w:lang w:val="en-GB"/>
        </w:rPr>
        <w:t>辽宁诺诚安全科技有限公司</w:t>
      </w:r>
    </w:p>
    <w:p w14:paraId="0514BDFC">
      <w:pPr>
        <w:snapToGrid w:val="0"/>
        <w:spacing w:line="360" w:lineRule="auto"/>
        <w:jc w:val="center"/>
        <w:rPr>
          <w:rFonts w:cs="Times New Roman"/>
          <w:b/>
          <w:sz w:val="30"/>
          <w:szCs w:val="30"/>
          <w:lang w:val="en-GB"/>
        </w:rPr>
      </w:pPr>
      <w:r>
        <w:rPr>
          <w:rFonts w:cs="Times New Roman"/>
          <w:b/>
          <w:sz w:val="30"/>
          <w:szCs w:val="30"/>
          <w:lang w:val="en-GB"/>
        </w:rPr>
        <w:t>资质证书编号：</w:t>
      </w:r>
      <w:r>
        <w:rPr>
          <w:rFonts w:cs="Times New Roman"/>
          <w:b/>
          <w:sz w:val="32"/>
          <w:szCs w:val="32"/>
        </w:rPr>
        <w:t>APJ-（辽）-021</w:t>
      </w:r>
    </w:p>
    <w:p w14:paraId="5524F02E">
      <w:pPr>
        <w:widowControl/>
        <w:adjustRightInd/>
        <w:spacing w:line="360" w:lineRule="auto"/>
        <w:jc w:val="center"/>
        <w:rPr>
          <w:rFonts w:cs="宋体"/>
          <w:b/>
          <w:bCs/>
          <w:kern w:val="0"/>
          <w:sz w:val="32"/>
          <w:szCs w:val="32"/>
        </w:rPr>
      </w:pPr>
      <w:r>
        <w:rPr>
          <w:b/>
          <w:sz w:val="32"/>
          <w:szCs w:val="32"/>
        </w:rPr>
        <w:t>完成日期：</w:t>
      </w:r>
      <w:r>
        <w:rPr>
          <w:rFonts w:hint="eastAsia" w:cs="Times New Roman"/>
          <w:b/>
          <w:sz w:val="32"/>
          <w:szCs w:val="32"/>
        </w:rPr>
        <w:t>2024</w:t>
      </w:r>
      <w:r>
        <w:rPr>
          <w:rFonts w:cs="Times New Roman"/>
          <w:b/>
          <w:sz w:val="32"/>
          <w:szCs w:val="32"/>
          <w:lang w:val="en-GB"/>
        </w:rPr>
        <w:t>年</w:t>
      </w:r>
      <w:r>
        <w:rPr>
          <w:rFonts w:hint="eastAsia" w:cs="Times New Roman"/>
          <w:b/>
          <w:sz w:val="32"/>
          <w:szCs w:val="32"/>
        </w:rPr>
        <w:t>4月</w:t>
      </w:r>
    </w:p>
    <w:p w14:paraId="3810274F">
      <w:pPr>
        <w:widowControl/>
        <w:adjustRightInd/>
        <w:spacing w:line="360" w:lineRule="auto"/>
        <w:jc w:val="center"/>
        <w:rPr>
          <w:rFonts w:cs="宋体"/>
          <w:kern w:val="0"/>
          <w:sz w:val="28"/>
          <w:szCs w:val="28"/>
        </w:rPr>
      </w:pPr>
    </w:p>
    <w:p w14:paraId="6B61C7D2">
      <w:pPr>
        <w:pStyle w:val="76"/>
        <w:spacing w:before="0" w:after="0"/>
        <w:rPr>
          <w:rFonts w:hint="eastAsia" w:cs="黑体"/>
          <w:b w:val="0"/>
          <w:bCs/>
          <w:color w:val="auto"/>
          <w:sz w:val="32"/>
          <w:szCs w:val="32"/>
        </w:rPr>
        <w:sectPr>
          <w:headerReference r:id="rId3" w:type="default"/>
          <w:footerReference r:id="rId4" w:type="default"/>
          <w:pgSz w:w="11906" w:h="16838"/>
          <w:pgMar w:top="1417" w:right="1134" w:bottom="1134" w:left="1587" w:header="851" w:footer="992" w:gutter="0"/>
          <w:pgNumType w:start="1"/>
          <w:cols w:space="0" w:num="1"/>
          <w:docGrid w:linePitch="312" w:charSpace="0"/>
        </w:sectPr>
      </w:pPr>
    </w:p>
    <w:p w14:paraId="2C35F1F0">
      <w:pPr>
        <w:pStyle w:val="76"/>
        <w:spacing w:before="0" w:after="0"/>
        <w:rPr>
          <w:rFonts w:cs="黑体"/>
          <w:b w:val="0"/>
          <w:bCs/>
          <w:color w:val="auto"/>
          <w:sz w:val="32"/>
          <w:szCs w:val="32"/>
        </w:rPr>
      </w:pPr>
      <w:r>
        <w:rPr>
          <w:rFonts w:hint="eastAsia" w:cs="黑体"/>
          <w:b w:val="0"/>
          <w:bCs/>
          <w:color w:val="auto"/>
          <w:sz w:val="32"/>
          <w:szCs w:val="32"/>
        </w:rPr>
        <w:t>前  言</w:t>
      </w:r>
    </w:p>
    <w:p w14:paraId="5E5E4019">
      <w:pPr>
        <w:pStyle w:val="66"/>
        <w:ind w:firstLine="560"/>
        <w:rPr>
          <w:color w:val="auto"/>
        </w:rPr>
      </w:pPr>
      <w:r>
        <w:rPr>
          <w:color w:val="auto"/>
        </w:rPr>
        <w:t>随着我国法制化的日趋健全和完善，安全生产监督管理体系也逐步向科学化、规范化、制度化发展，安全评价作为现代先进安全生产管理模式的主要内容之一越来越受到重视。“安全第一、预防为主、综合治理”是我们党和国家始终坚持不渝的安全生产方针，开展安全评价正是突出“安全第一”，体现“预防为主、综合治理”的一项重要工作，是安全生产方针在企业安全生产中的具体体现。安全评价不仅能有效地提高企业和生产设备的本质安全程度，而且可以为各级</w:t>
      </w:r>
      <w:r>
        <w:rPr>
          <w:rFonts w:hint="eastAsia"/>
          <w:color w:val="auto"/>
        </w:rPr>
        <w:t>应急</w:t>
      </w:r>
      <w:r>
        <w:rPr>
          <w:color w:val="auto"/>
        </w:rPr>
        <w:t>管理部门的监督检查和决策提供有力的技术支撑。</w:t>
      </w:r>
    </w:p>
    <w:p w14:paraId="5C65CC35">
      <w:pPr>
        <w:snapToGrid w:val="0"/>
        <w:spacing w:line="360" w:lineRule="auto"/>
        <w:ind w:firstLine="560" w:firstLineChars="200"/>
        <w:rPr>
          <w:rFonts w:cs="Times New Roman"/>
          <w:color w:val="auto"/>
          <w:sz w:val="28"/>
          <w:szCs w:val="28"/>
        </w:rPr>
      </w:pPr>
      <w:r>
        <w:rPr>
          <w:rFonts w:hint="eastAsia" w:cs="Times New Roman"/>
          <w:color w:val="auto"/>
          <w:sz w:val="28"/>
          <w:szCs w:val="28"/>
        </w:rPr>
        <w:t>玉龙县吉余砂石料厂于2020年5月22日取得转型升级后的采矿许可证，</w:t>
      </w:r>
      <w:r>
        <w:rPr>
          <w:rFonts w:cs="Times New Roman"/>
          <w:color w:val="auto"/>
          <w:sz w:val="28"/>
          <w:szCs w:val="28"/>
        </w:rPr>
        <w:t>采矿许可证证号</w:t>
      </w:r>
      <w:r>
        <w:rPr>
          <w:rFonts w:hint="eastAsia" w:cs="Times New Roman"/>
          <w:color w:val="auto"/>
          <w:sz w:val="28"/>
          <w:szCs w:val="28"/>
        </w:rPr>
        <w:t>：C5307212011087130117197，</w:t>
      </w:r>
      <w:r>
        <w:rPr>
          <w:rFonts w:hint="eastAsia"/>
          <w:color w:val="auto"/>
          <w:sz w:val="28"/>
          <w:szCs w:val="28"/>
          <w:lang w:bidi="en-US"/>
        </w:rPr>
        <w:t>采矿权人：</w:t>
      </w:r>
      <w:r>
        <w:rPr>
          <w:rFonts w:hint="eastAsia" w:cs="Times New Roman"/>
          <w:color w:val="auto"/>
          <w:sz w:val="28"/>
          <w:szCs w:val="28"/>
        </w:rPr>
        <w:t>玉龙县吉余砂石料厂</w:t>
      </w:r>
      <w:r>
        <w:rPr>
          <w:rFonts w:hint="eastAsia"/>
          <w:color w:val="auto"/>
          <w:sz w:val="28"/>
          <w:szCs w:val="28"/>
        </w:rPr>
        <w:t>，</w:t>
      </w:r>
      <w:r>
        <w:rPr>
          <w:rFonts w:hint="eastAsia" w:cs="Times New Roman"/>
          <w:snapToGrid w:val="0"/>
          <w:color w:val="auto"/>
          <w:kern w:val="0"/>
          <w:sz w:val="28"/>
          <w:szCs w:val="28"/>
        </w:rPr>
        <w:t>矿山名称：</w:t>
      </w:r>
      <w:r>
        <w:rPr>
          <w:rFonts w:hint="eastAsia" w:cs="Times New Roman"/>
          <w:color w:val="auto"/>
          <w:sz w:val="28"/>
          <w:szCs w:val="28"/>
        </w:rPr>
        <w:t>玉龙县吉余砂石料厂建筑石料用灰岩矿</w:t>
      </w:r>
      <w:r>
        <w:rPr>
          <w:rFonts w:hint="eastAsia"/>
          <w:color w:val="auto"/>
          <w:sz w:val="28"/>
          <w:szCs w:val="28"/>
        </w:rPr>
        <w:t>，</w:t>
      </w:r>
      <w:r>
        <w:rPr>
          <w:rFonts w:hint="eastAsia" w:cs="Times New Roman"/>
          <w:color w:val="auto"/>
          <w:sz w:val="28"/>
          <w:szCs w:val="28"/>
        </w:rPr>
        <w:t>生产规模：30万t/a；矿区面积为0.074km</w:t>
      </w:r>
      <w:r>
        <w:rPr>
          <w:rFonts w:hint="eastAsia" w:cs="Times New Roman"/>
          <w:color w:val="auto"/>
          <w:sz w:val="28"/>
          <w:szCs w:val="28"/>
          <w:vertAlign w:val="superscript"/>
        </w:rPr>
        <w:t>2</w:t>
      </w:r>
      <w:r>
        <w:rPr>
          <w:rFonts w:hint="eastAsia" w:cs="Times New Roman"/>
          <w:color w:val="auto"/>
          <w:sz w:val="28"/>
          <w:szCs w:val="28"/>
        </w:rPr>
        <w:t>；开采深度2770m～2710m，有效期限为壹拾年，2020年5月22日－2030年5月22日。</w:t>
      </w:r>
    </w:p>
    <w:p w14:paraId="178E6D7A">
      <w:pPr>
        <w:snapToGrid w:val="0"/>
        <w:spacing w:line="360" w:lineRule="auto"/>
        <w:ind w:firstLine="560" w:firstLineChars="200"/>
        <w:rPr>
          <w:color w:val="auto"/>
          <w:sz w:val="28"/>
          <w:szCs w:val="28"/>
        </w:rPr>
      </w:pPr>
      <w:r>
        <w:rPr>
          <w:color w:val="auto"/>
          <w:sz w:val="28"/>
          <w:szCs w:val="28"/>
        </w:rPr>
        <w:t>根据《中华人民共和国安全生</w:t>
      </w:r>
      <w:r>
        <w:rPr>
          <w:rFonts w:hint="eastAsia"/>
          <w:color w:val="auto"/>
          <w:sz w:val="28"/>
          <w:szCs w:val="28"/>
        </w:rPr>
        <w:t>产法》、《建设项目安全设施“三同时”监督管理办法》（</w:t>
      </w:r>
      <w:r>
        <w:rPr>
          <w:rFonts w:hint="eastAsia"/>
          <w:color w:val="auto"/>
          <w:sz w:val="28"/>
          <w:szCs w:val="28"/>
          <w:lang w:eastAsia="zh-Hans"/>
        </w:rPr>
        <w:t>原</w:t>
      </w:r>
      <w:r>
        <w:rPr>
          <w:rFonts w:hint="eastAsia"/>
          <w:color w:val="auto"/>
          <w:sz w:val="28"/>
          <w:szCs w:val="28"/>
        </w:rPr>
        <w:t>安监总局令</w:t>
      </w:r>
      <w:r>
        <w:rPr>
          <w:color w:val="auto"/>
          <w:sz w:val="28"/>
          <w:szCs w:val="28"/>
        </w:rPr>
        <w:t>[2011]</w:t>
      </w:r>
      <w:r>
        <w:rPr>
          <w:rFonts w:hint="eastAsia"/>
          <w:color w:val="auto"/>
          <w:sz w:val="28"/>
          <w:szCs w:val="28"/>
          <w:lang w:eastAsia="zh-Hans"/>
        </w:rPr>
        <w:t>第</w:t>
      </w:r>
      <w:r>
        <w:rPr>
          <w:rFonts w:hint="eastAsia"/>
          <w:color w:val="auto"/>
          <w:sz w:val="28"/>
          <w:szCs w:val="28"/>
        </w:rPr>
        <w:t>36号公布，</w:t>
      </w:r>
      <w:r>
        <w:rPr>
          <w:color w:val="auto"/>
          <w:sz w:val="28"/>
          <w:szCs w:val="28"/>
        </w:rPr>
        <w:t>2015</w:t>
      </w:r>
      <w:r>
        <w:rPr>
          <w:rFonts w:hint="eastAsia"/>
          <w:color w:val="auto"/>
          <w:sz w:val="28"/>
          <w:szCs w:val="28"/>
          <w:lang w:eastAsia="zh-Hans"/>
        </w:rPr>
        <w:t>年第</w:t>
      </w:r>
      <w:r>
        <w:rPr>
          <w:rFonts w:hint="eastAsia"/>
          <w:color w:val="auto"/>
          <w:sz w:val="28"/>
          <w:szCs w:val="28"/>
        </w:rPr>
        <w:t>77号令修正）的有关规定，该建设项目需履行安全设施“三同时”，受玉龙县鼎康建材有限责任公司委托，辽宁诺诚安全科技有限公司对玉龙县吉余砂石料厂建筑石料用灰岩矿30</w:t>
      </w:r>
      <w:r>
        <w:rPr>
          <w:rFonts w:hint="eastAsia"/>
          <w:color w:val="auto"/>
          <w:sz w:val="28"/>
          <w:szCs w:val="28"/>
          <w:lang w:val="zh-TW"/>
        </w:rPr>
        <w:t>万t/a</w:t>
      </w:r>
      <w:r>
        <w:rPr>
          <w:color w:val="auto"/>
          <w:sz w:val="28"/>
          <w:szCs w:val="28"/>
          <w:lang w:val="zh-TW"/>
        </w:rPr>
        <w:t>露天采矿工程</w:t>
      </w:r>
      <w:r>
        <w:rPr>
          <w:rFonts w:hint="eastAsia"/>
          <w:color w:val="auto"/>
          <w:sz w:val="28"/>
          <w:szCs w:val="28"/>
        </w:rPr>
        <w:t>建设项目进行安全预评价。</w:t>
      </w:r>
    </w:p>
    <w:p w14:paraId="6CC64184">
      <w:pPr>
        <w:pStyle w:val="66"/>
        <w:ind w:firstLine="560"/>
        <w:rPr>
          <w:color w:val="auto"/>
        </w:rPr>
      </w:pPr>
      <w:r>
        <w:rPr>
          <w:rFonts w:hint="eastAsia"/>
          <w:color w:val="auto"/>
        </w:rPr>
        <w:t>在接受玉龙县鼎康建材有限责任公司安全预评价委托后，辽宁诺诚安全科技有限公司遵照相关规定和公司作业指导书，组建了安全评价组。在认真分析项目风险，收集国家法律法规、部门规章、地方性法规及规范性文件、国家标准、行业标准、规程、规范，企业提供的相关资料的基础上，对矿山进行了现场实地勘测调查，经对现场收集的调查资料分析、整理，对建设项目潜在危险、有害因素辨识分析和定性、定量评价，按照评价导则和《金属非金属露天矿山建设项目安全预评价报告编写提纲》（</w:t>
      </w:r>
      <w:r>
        <w:rPr>
          <w:rFonts w:hint="eastAsia"/>
          <w:color w:val="auto"/>
          <w:lang w:eastAsia="zh-Hans"/>
        </w:rPr>
        <w:t>原</w:t>
      </w:r>
      <w:r>
        <w:rPr>
          <w:rFonts w:hint="eastAsia"/>
          <w:color w:val="auto"/>
        </w:rPr>
        <w:t>安监总管一〔</w:t>
      </w:r>
      <w:r>
        <w:rPr>
          <w:color w:val="auto"/>
        </w:rPr>
        <w:t>2016〕49号</w:t>
      </w:r>
      <w:r>
        <w:rPr>
          <w:rFonts w:hint="eastAsia"/>
          <w:color w:val="auto"/>
        </w:rPr>
        <w:t>）要求，编制完成了安全预评价报告，最终形成的安全预评价报告将作为政府应急管理部门对该项目安全条件实施安全监督管理的技术依据</w:t>
      </w:r>
      <w:r>
        <w:rPr>
          <w:color w:val="auto"/>
        </w:rPr>
        <w:t>。</w:t>
      </w:r>
    </w:p>
    <w:p w14:paraId="6BBBC6BB">
      <w:pPr>
        <w:pStyle w:val="66"/>
        <w:ind w:firstLine="560"/>
        <w:rPr>
          <w:color w:val="auto"/>
        </w:rPr>
      </w:pPr>
      <w:r>
        <w:rPr>
          <w:color w:val="auto"/>
        </w:rPr>
        <w:t>在本项目的安全预评价过程中得到了</w:t>
      </w:r>
      <w:r>
        <w:rPr>
          <w:rFonts w:hint="eastAsia"/>
          <w:color w:val="auto"/>
        </w:rPr>
        <w:t>玉龙县鼎康建材有限责任公司</w:t>
      </w:r>
      <w:r>
        <w:rPr>
          <w:color w:val="auto"/>
        </w:rPr>
        <w:t>等有关领导和技术人员的大力支持，同时在报告中引用了一些专家学者的研究成果和技术资料，在此一并表示感谢</w:t>
      </w:r>
      <w:r>
        <w:rPr>
          <w:rFonts w:hint="eastAsia"/>
          <w:color w:val="auto"/>
        </w:rPr>
        <w:t>。</w:t>
      </w:r>
    </w:p>
    <w:p w14:paraId="39A7DFFA">
      <w:pPr>
        <w:pStyle w:val="66"/>
        <w:ind w:firstLine="480"/>
        <w:rPr>
          <w:color w:val="auto"/>
          <w:sz w:val="24"/>
          <w:szCs w:val="24"/>
        </w:rPr>
      </w:pPr>
    </w:p>
    <w:p w14:paraId="20CE7F51">
      <w:pPr>
        <w:pStyle w:val="66"/>
        <w:ind w:firstLine="2400" w:firstLineChars="1000"/>
        <w:jc w:val="center"/>
        <w:rPr>
          <w:color w:val="auto"/>
          <w:sz w:val="24"/>
          <w:szCs w:val="24"/>
        </w:rPr>
      </w:pPr>
    </w:p>
    <w:p w14:paraId="68D266FB">
      <w:pPr>
        <w:pStyle w:val="66"/>
        <w:ind w:firstLine="560"/>
        <w:rPr>
          <w:color w:val="auto"/>
        </w:rPr>
      </w:pPr>
    </w:p>
    <w:p w14:paraId="014F5642">
      <w:pPr>
        <w:pStyle w:val="66"/>
        <w:ind w:firstLine="560"/>
        <w:rPr>
          <w:color w:val="auto"/>
        </w:rPr>
        <w:sectPr>
          <w:footerReference r:id="rId5" w:type="default"/>
          <w:pgSz w:w="11906" w:h="16838"/>
          <w:pgMar w:top="1417" w:right="1134" w:bottom="1134" w:left="1587" w:header="851" w:footer="992" w:gutter="0"/>
          <w:pgNumType w:start="1"/>
          <w:cols w:space="0" w:num="1"/>
          <w:docGrid w:linePitch="312" w:charSpace="0"/>
        </w:sectPr>
      </w:pPr>
    </w:p>
    <w:p w14:paraId="7517C506">
      <w:pPr>
        <w:pStyle w:val="76"/>
        <w:spacing w:before="0" w:after="0"/>
        <w:rPr>
          <w:rFonts w:cs="黑体"/>
          <w:b w:val="0"/>
          <w:bCs/>
          <w:color w:val="auto"/>
          <w:sz w:val="32"/>
          <w:szCs w:val="16"/>
        </w:rPr>
      </w:pPr>
      <w:r>
        <w:rPr>
          <w:rFonts w:hint="eastAsia" w:cs="黑体"/>
          <w:b w:val="0"/>
          <w:bCs/>
          <w:color w:val="auto"/>
          <w:sz w:val="32"/>
          <w:szCs w:val="16"/>
        </w:rPr>
        <w:t>目  录</w:t>
      </w:r>
    </w:p>
    <w:p w14:paraId="0894675F">
      <w:pPr>
        <w:pStyle w:val="34"/>
        <w:tabs>
          <w:tab w:val="right" w:leader="dot" w:pos="9185"/>
        </w:tabs>
        <w:spacing w:before="120" w:after="120" w:line="360" w:lineRule="auto"/>
        <w:rPr>
          <w:b/>
          <w:caps w:val="0"/>
          <w:color w:val="auto"/>
          <w:szCs w:val="24"/>
        </w:rPr>
      </w:pPr>
      <w:bookmarkStart w:id="0" w:name="_Toc501078340"/>
      <w:bookmarkEnd w:id="0"/>
      <w:bookmarkStart w:id="1" w:name="_Toc501078274"/>
      <w:bookmarkEnd w:id="1"/>
      <w:r>
        <w:rPr>
          <w:caps w:val="0"/>
          <w:color w:val="auto"/>
          <w:szCs w:val="24"/>
        </w:rPr>
        <w:fldChar w:fldCharType="begin"/>
      </w:r>
      <w:r>
        <w:rPr>
          <w:caps w:val="0"/>
          <w:color w:val="auto"/>
          <w:szCs w:val="24"/>
        </w:rPr>
        <w:instrText xml:space="preserve">TOC \o "1-2" \h \u </w:instrText>
      </w:r>
      <w:r>
        <w:rPr>
          <w:caps w:val="0"/>
          <w:color w:val="auto"/>
          <w:szCs w:val="24"/>
        </w:rPr>
        <w:fldChar w:fldCharType="separate"/>
      </w:r>
      <w:r>
        <w:rPr>
          <w:color w:val="auto"/>
        </w:rPr>
        <w:fldChar w:fldCharType="begin"/>
      </w:r>
      <w:r>
        <w:rPr>
          <w:color w:val="auto"/>
        </w:rPr>
        <w:instrText xml:space="preserve"> HYPERLINK \l "_Toc16363" </w:instrText>
      </w:r>
      <w:r>
        <w:rPr>
          <w:color w:val="auto"/>
        </w:rPr>
        <w:fldChar w:fldCharType="separate"/>
      </w:r>
      <w:r>
        <w:rPr>
          <w:rFonts w:hint="eastAsia" w:cs="黑体"/>
          <w:b/>
          <w:caps w:val="0"/>
          <w:color w:val="auto"/>
          <w:szCs w:val="24"/>
        </w:rPr>
        <w:t>1.评价目的与依据</w:t>
      </w:r>
      <w:r>
        <w:rPr>
          <w:b/>
          <w:caps w:val="0"/>
          <w:color w:val="auto"/>
          <w:szCs w:val="24"/>
        </w:rPr>
        <w:tab/>
      </w:r>
      <w:r>
        <w:rPr>
          <w:b/>
          <w:caps w:val="0"/>
          <w:color w:val="auto"/>
          <w:szCs w:val="24"/>
        </w:rPr>
        <w:fldChar w:fldCharType="begin"/>
      </w:r>
      <w:r>
        <w:rPr>
          <w:b/>
          <w:caps w:val="0"/>
          <w:color w:val="auto"/>
          <w:szCs w:val="24"/>
        </w:rPr>
        <w:instrText xml:space="preserve"> PAGEREF _Toc16363 \h </w:instrText>
      </w:r>
      <w:r>
        <w:rPr>
          <w:b/>
          <w:caps w:val="0"/>
          <w:color w:val="auto"/>
          <w:szCs w:val="24"/>
        </w:rPr>
        <w:fldChar w:fldCharType="separate"/>
      </w:r>
      <w:r>
        <w:rPr>
          <w:b/>
          <w:caps w:val="0"/>
          <w:color w:val="auto"/>
          <w:szCs w:val="24"/>
        </w:rPr>
        <w:t>1</w:t>
      </w:r>
      <w:r>
        <w:rPr>
          <w:b/>
          <w:caps w:val="0"/>
          <w:color w:val="auto"/>
          <w:szCs w:val="24"/>
        </w:rPr>
        <w:fldChar w:fldCharType="end"/>
      </w:r>
      <w:r>
        <w:rPr>
          <w:b/>
          <w:caps w:val="0"/>
          <w:color w:val="auto"/>
          <w:szCs w:val="24"/>
        </w:rPr>
        <w:fldChar w:fldCharType="end"/>
      </w:r>
    </w:p>
    <w:p w14:paraId="7B02DB89">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"_Toc10940" </w:instrText>
      </w:r>
      <w:r>
        <w:rPr>
          <w:color w:val="auto"/>
        </w:rPr>
        <w:fldChar w:fldCharType="separate"/>
      </w:r>
      <w:r>
        <w:rPr>
          <w:rFonts w:hint="eastAsia" w:cs="黑体"/>
          <w:smallCaps w:val="0"/>
          <w:color w:val="auto"/>
          <w:szCs w:val="24"/>
        </w:rPr>
        <w:t>1.1评价对象和范围</w:t>
      </w:r>
      <w:r>
        <w:rPr>
          <w:smallCaps w:val="0"/>
          <w:color w:val="auto"/>
          <w:szCs w:val="24"/>
        </w:rPr>
        <w:tab/>
      </w:r>
      <w:r>
        <w:rPr>
          <w:smallCaps w:val="0"/>
          <w:color w:val="auto"/>
          <w:szCs w:val="24"/>
        </w:rPr>
        <w:fldChar w:fldCharType="begin"/>
      </w:r>
      <w:r>
        <w:rPr>
          <w:smallCaps w:val="0"/>
          <w:color w:val="auto"/>
          <w:szCs w:val="24"/>
        </w:rPr>
        <w:instrText xml:space="preserve"> PAGEREF _Toc10940 \h </w:instrText>
      </w:r>
      <w:r>
        <w:rPr>
          <w:smallCaps w:val="0"/>
          <w:color w:val="auto"/>
          <w:szCs w:val="24"/>
        </w:rPr>
        <w:fldChar w:fldCharType="separate"/>
      </w:r>
      <w:r>
        <w:rPr>
          <w:smallCaps w:val="0"/>
          <w:color w:val="auto"/>
          <w:szCs w:val="24"/>
        </w:rPr>
        <w:t>1</w:t>
      </w:r>
      <w:r>
        <w:rPr>
          <w:smallCaps w:val="0"/>
          <w:color w:val="auto"/>
          <w:szCs w:val="24"/>
        </w:rPr>
        <w:fldChar w:fldCharType="end"/>
      </w:r>
      <w:r>
        <w:rPr>
          <w:smallCaps w:val="0"/>
          <w:color w:val="auto"/>
          <w:szCs w:val="24"/>
        </w:rPr>
        <w:fldChar w:fldCharType="end"/>
      </w:r>
    </w:p>
    <w:p w14:paraId="101BF0A3">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"_Toc8875" </w:instrText>
      </w:r>
      <w:r>
        <w:rPr>
          <w:color w:val="auto"/>
        </w:rPr>
        <w:fldChar w:fldCharType="separate"/>
      </w:r>
      <w:r>
        <w:rPr>
          <w:rFonts w:hint="eastAsia" w:cs="黑体"/>
          <w:smallCaps w:val="0"/>
          <w:color w:val="auto"/>
          <w:szCs w:val="24"/>
        </w:rPr>
        <w:t>1.2评价依据</w:t>
      </w:r>
      <w:r>
        <w:rPr>
          <w:smallCaps w:val="0"/>
          <w:color w:val="auto"/>
          <w:szCs w:val="24"/>
        </w:rPr>
        <w:tab/>
      </w:r>
      <w:r>
        <w:rPr>
          <w:smallCaps w:val="0"/>
          <w:color w:val="auto"/>
          <w:szCs w:val="24"/>
        </w:rPr>
        <w:fldChar w:fldCharType="begin"/>
      </w:r>
      <w:r>
        <w:rPr>
          <w:smallCaps w:val="0"/>
          <w:color w:val="auto"/>
          <w:szCs w:val="24"/>
        </w:rPr>
        <w:instrText xml:space="preserve"> PAGEREF _Toc8875 \h </w:instrText>
      </w:r>
      <w:r>
        <w:rPr>
          <w:smallCaps w:val="0"/>
          <w:color w:val="auto"/>
          <w:szCs w:val="24"/>
        </w:rPr>
        <w:fldChar w:fldCharType="separate"/>
      </w:r>
      <w:r>
        <w:rPr>
          <w:smallCaps w:val="0"/>
          <w:color w:val="auto"/>
          <w:szCs w:val="24"/>
        </w:rPr>
        <w:t>3</w:t>
      </w:r>
      <w:r>
        <w:rPr>
          <w:smallCaps w:val="0"/>
          <w:color w:val="auto"/>
          <w:szCs w:val="24"/>
        </w:rPr>
        <w:fldChar w:fldCharType="end"/>
      </w:r>
      <w:r>
        <w:rPr>
          <w:smallCaps w:val="0"/>
          <w:color w:val="auto"/>
          <w:szCs w:val="24"/>
        </w:rPr>
        <w:fldChar w:fldCharType="end"/>
      </w:r>
    </w:p>
    <w:p w14:paraId="06A350F8">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"_Toc11944" </w:instrText>
      </w:r>
      <w:r>
        <w:rPr>
          <w:color w:val="auto"/>
        </w:rPr>
        <w:fldChar w:fldCharType="separate"/>
      </w:r>
      <w:r>
        <w:rPr>
          <w:rFonts w:hint="eastAsia" w:cs="黑体"/>
          <w:smallCaps w:val="0"/>
          <w:color w:val="auto"/>
          <w:szCs w:val="24"/>
          <w:lang w:val="en-GB"/>
        </w:rPr>
        <w:t>1.3 安全预评价原则</w:t>
      </w:r>
      <w:r>
        <w:rPr>
          <w:smallCaps w:val="0"/>
          <w:color w:val="auto"/>
          <w:szCs w:val="24"/>
        </w:rPr>
        <w:tab/>
      </w:r>
      <w:r>
        <w:rPr>
          <w:smallCaps w:val="0"/>
          <w:color w:val="auto"/>
          <w:szCs w:val="24"/>
        </w:rPr>
        <w:fldChar w:fldCharType="begin"/>
      </w:r>
      <w:r>
        <w:rPr>
          <w:smallCaps w:val="0"/>
          <w:color w:val="auto"/>
          <w:szCs w:val="24"/>
        </w:rPr>
        <w:instrText xml:space="preserve"> PAGEREF _Toc11944 \h </w:instrText>
      </w:r>
      <w:r>
        <w:rPr>
          <w:smallCaps w:val="0"/>
          <w:color w:val="auto"/>
          <w:szCs w:val="24"/>
        </w:rPr>
        <w:fldChar w:fldCharType="separate"/>
      </w:r>
      <w:r>
        <w:rPr>
          <w:smallCaps w:val="0"/>
          <w:color w:val="auto"/>
          <w:szCs w:val="24"/>
        </w:rPr>
        <w:t>14</w:t>
      </w:r>
      <w:r>
        <w:rPr>
          <w:smallCaps w:val="0"/>
          <w:color w:val="auto"/>
          <w:szCs w:val="24"/>
        </w:rPr>
        <w:fldChar w:fldCharType="end"/>
      </w:r>
      <w:r>
        <w:rPr>
          <w:smallCaps w:val="0"/>
          <w:color w:val="auto"/>
          <w:szCs w:val="24"/>
        </w:rPr>
        <w:fldChar w:fldCharType="end"/>
      </w:r>
    </w:p>
    <w:p w14:paraId="168E5D6C">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"_Toc6278" </w:instrText>
      </w:r>
      <w:r>
        <w:rPr>
          <w:color w:val="auto"/>
        </w:rPr>
        <w:fldChar w:fldCharType="separate"/>
      </w:r>
      <w:r>
        <w:rPr>
          <w:rFonts w:hint="eastAsia" w:cs="黑体"/>
          <w:smallCaps w:val="0"/>
          <w:color w:val="auto"/>
          <w:szCs w:val="24"/>
          <w:lang w:val="en-GB"/>
        </w:rPr>
        <w:t>1.4 评价内容</w:t>
      </w:r>
      <w:r>
        <w:rPr>
          <w:smallCaps w:val="0"/>
          <w:color w:val="auto"/>
          <w:szCs w:val="24"/>
        </w:rPr>
        <w:tab/>
      </w:r>
      <w:r>
        <w:rPr>
          <w:smallCaps w:val="0"/>
          <w:color w:val="auto"/>
          <w:szCs w:val="24"/>
        </w:rPr>
        <w:fldChar w:fldCharType="begin"/>
      </w:r>
      <w:r>
        <w:rPr>
          <w:smallCaps w:val="0"/>
          <w:color w:val="auto"/>
          <w:szCs w:val="24"/>
        </w:rPr>
        <w:instrText xml:space="preserve"> PAGEREF _Toc6278 \h </w:instrText>
      </w:r>
      <w:r>
        <w:rPr>
          <w:smallCaps w:val="0"/>
          <w:color w:val="auto"/>
          <w:szCs w:val="24"/>
        </w:rPr>
        <w:fldChar w:fldCharType="separate"/>
      </w:r>
      <w:r>
        <w:rPr>
          <w:smallCaps w:val="0"/>
          <w:color w:val="auto"/>
          <w:szCs w:val="24"/>
        </w:rPr>
        <w:t>15</w:t>
      </w:r>
      <w:r>
        <w:rPr>
          <w:smallCaps w:val="0"/>
          <w:color w:val="auto"/>
          <w:szCs w:val="24"/>
        </w:rPr>
        <w:fldChar w:fldCharType="end"/>
      </w:r>
      <w:r>
        <w:rPr>
          <w:smallCaps w:val="0"/>
          <w:color w:val="auto"/>
          <w:szCs w:val="24"/>
        </w:rPr>
        <w:fldChar w:fldCharType="end"/>
      </w:r>
    </w:p>
    <w:p w14:paraId="1D5D56A2">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"_Toc32714" </w:instrText>
      </w:r>
      <w:r>
        <w:rPr>
          <w:color w:val="auto"/>
        </w:rPr>
        <w:fldChar w:fldCharType="separate"/>
      </w:r>
      <w:r>
        <w:rPr>
          <w:rFonts w:hint="eastAsia" w:cs="黑体"/>
          <w:smallCaps w:val="0"/>
          <w:color w:val="auto"/>
          <w:szCs w:val="24"/>
          <w:lang w:val="en-GB"/>
        </w:rPr>
        <w:t>1.5 评价程序</w:t>
      </w:r>
      <w:r>
        <w:rPr>
          <w:smallCaps w:val="0"/>
          <w:color w:val="auto"/>
          <w:szCs w:val="24"/>
        </w:rPr>
        <w:tab/>
      </w:r>
      <w:r>
        <w:rPr>
          <w:smallCaps w:val="0"/>
          <w:color w:val="auto"/>
          <w:szCs w:val="24"/>
        </w:rPr>
        <w:fldChar w:fldCharType="begin"/>
      </w:r>
      <w:r>
        <w:rPr>
          <w:smallCaps w:val="0"/>
          <w:color w:val="auto"/>
          <w:szCs w:val="24"/>
        </w:rPr>
        <w:instrText xml:space="preserve"> PAGEREF _Toc32714 \h </w:instrText>
      </w:r>
      <w:r>
        <w:rPr>
          <w:smallCaps w:val="0"/>
          <w:color w:val="auto"/>
          <w:szCs w:val="24"/>
        </w:rPr>
        <w:fldChar w:fldCharType="separate"/>
      </w:r>
      <w:r>
        <w:rPr>
          <w:smallCaps w:val="0"/>
          <w:color w:val="auto"/>
          <w:szCs w:val="24"/>
        </w:rPr>
        <w:t>15</w:t>
      </w:r>
      <w:r>
        <w:rPr>
          <w:smallCaps w:val="0"/>
          <w:color w:val="auto"/>
          <w:szCs w:val="24"/>
        </w:rPr>
        <w:fldChar w:fldCharType="end"/>
      </w:r>
      <w:r>
        <w:rPr>
          <w:smallCaps w:val="0"/>
          <w:color w:val="auto"/>
          <w:szCs w:val="24"/>
        </w:rPr>
        <w:fldChar w:fldCharType="end"/>
      </w:r>
    </w:p>
    <w:p w14:paraId="190CDFF5">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"_Toc25642" </w:instrText>
      </w:r>
      <w:r>
        <w:rPr>
          <w:color w:val="auto"/>
        </w:rPr>
        <w:fldChar w:fldCharType="separate"/>
      </w:r>
      <w:r>
        <w:rPr>
          <w:rFonts w:hint="eastAsia" w:cs="黑体"/>
          <w:smallCaps w:val="0"/>
          <w:color w:val="auto"/>
          <w:szCs w:val="24"/>
          <w:lang w:val="en-GB"/>
        </w:rPr>
        <w:t>1.6 评价报告声明</w:t>
      </w:r>
      <w:r>
        <w:rPr>
          <w:smallCaps w:val="0"/>
          <w:color w:val="auto"/>
          <w:szCs w:val="24"/>
        </w:rPr>
        <w:tab/>
      </w:r>
      <w:r>
        <w:rPr>
          <w:smallCaps w:val="0"/>
          <w:color w:val="auto"/>
          <w:szCs w:val="24"/>
        </w:rPr>
        <w:fldChar w:fldCharType="begin"/>
      </w:r>
      <w:r>
        <w:rPr>
          <w:smallCaps w:val="0"/>
          <w:color w:val="auto"/>
          <w:szCs w:val="24"/>
        </w:rPr>
        <w:instrText xml:space="preserve"> PAGEREF _Toc25642 \h </w:instrText>
      </w:r>
      <w:r>
        <w:rPr>
          <w:smallCaps w:val="0"/>
          <w:color w:val="auto"/>
          <w:szCs w:val="24"/>
        </w:rPr>
        <w:fldChar w:fldCharType="separate"/>
      </w:r>
      <w:r>
        <w:rPr>
          <w:smallCaps w:val="0"/>
          <w:color w:val="auto"/>
          <w:szCs w:val="24"/>
        </w:rPr>
        <w:t>16</w:t>
      </w:r>
      <w:r>
        <w:rPr>
          <w:smallCaps w:val="0"/>
          <w:color w:val="auto"/>
          <w:szCs w:val="24"/>
        </w:rPr>
        <w:fldChar w:fldCharType="end"/>
      </w:r>
      <w:r>
        <w:rPr>
          <w:smallCaps w:val="0"/>
          <w:color w:val="auto"/>
          <w:szCs w:val="24"/>
        </w:rPr>
        <w:fldChar w:fldCharType="end"/>
      </w:r>
    </w:p>
    <w:p w14:paraId="779695AA">
      <w:pPr>
        <w:pStyle w:val="34"/>
        <w:tabs>
          <w:tab w:val="right" w:leader="dot" w:pos="9185"/>
        </w:tabs>
        <w:spacing w:before="120" w:after="120" w:line="360" w:lineRule="auto"/>
        <w:rPr>
          <w:b/>
          <w:caps w:val="0"/>
          <w:color w:val="auto"/>
          <w:szCs w:val="24"/>
        </w:rPr>
      </w:pPr>
      <w:r>
        <w:rPr>
          <w:color w:val="auto"/>
        </w:rPr>
        <w:fldChar w:fldCharType="begin"/>
      </w:r>
      <w:r>
        <w:rPr>
          <w:color w:val="auto"/>
        </w:rPr>
        <w:instrText xml:space="preserve"> HYPERLINK \l "_Toc14494" </w:instrText>
      </w:r>
      <w:r>
        <w:rPr>
          <w:color w:val="auto"/>
        </w:rPr>
        <w:fldChar w:fldCharType="separate"/>
      </w:r>
      <w:r>
        <w:rPr>
          <w:rFonts w:hint="eastAsia"/>
          <w:b/>
          <w:caps w:val="0"/>
          <w:color w:val="auto"/>
          <w:szCs w:val="24"/>
        </w:rPr>
        <w:t>2.建设项目概述</w:t>
      </w:r>
      <w:r>
        <w:rPr>
          <w:b/>
          <w:caps w:val="0"/>
          <w:color w:val="auto"/>
          <w:szCs w:val="24"/>
        </w:rPr>
        <w:tab/>
      </w:r>
      <w:r>
        <w:rPr>
          <w:b/>
          <w:caps w:val="0"/>
          <w:color w:val="auto"/>
          <w:szCs w:val="24"/>
        </w:rPr>
        <w:fldChar w:fldCharType="begin"/>
      </w:r>
      <w:r>
        <w:rPr>
          <w:b/>
          <w:caps w:val="0"/>
          <w:color w:val="auto"/>
          <w:szCs w:val="24"/>
        </w:rPr>
        <w:instrText xml:space="preserve"> PAGEREF _Toc14494 \h </w:instrText>
      </w:r>
      <w:r>
        <w:rPr>
          <w:b/>
          <w:caps w:val="0"/>
          <w:color w:val="auto"/>
          <w:szCs w:val="24"/>
        </w:rPr>
        <w:fldChar w:fldCharType="separate"/>
      </w:r>
      <w:r>
        <w:rPr>
          <w:b/>
          <w:caps w:val="0"/>
          <w:color w:val="auto"/>
          <w:szCs w:val="24"/>
        </w:rPr>
        <w:t>17</w:t>
      </w:r>
      <w:r>
        <w:rPr>
          <w:b/>
          <w:caps w:val="0"/>
          <w:color w:val="auto"/>
          <w:szCs w:val="24"/>
        </w:rPr>
        <w:fldChar w:fldCharType="end"/>
      </w:r>
      <w:r>
        <w:rPr>
          <w:b/>
          <w:caps w:val="0"/>
          <w:color w:val="auto"/>
          <w:szCs w:val="24"/>
        </w:rPr>
        <w:fldChar w:fldCharType="end"/>
      </w:r>
    </w:p>
    <w:p w14:paraId="687A9C4A">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"_Toc7673" </w:instrText>
      </w:r>
      <w:r>
        <w:rPr>
          <w:color w:val="auto"/>
        </w:rPr>
        <w:fldChar w:fldCharType="separate"/>
      </w:r>
      <w:r>
        <w:rPr>
          <w:rFonts w:hint="eastAsia" w:cs="黑体"/>
          <w:smallCaps w:val="0"/>
          <w:color w:val="auto"/>
          <w:szCs w:val="24"/>
        </w:rPr>
        <w:t>2.1建设单位概况</w:t>
      </w:r>
      <w:r>
        <w:rPr>
          <w:smallCaps w:val="0"/>
          <w:color w:val="auto"/>
          <w:szCs w:val="24"/>
        </w:rPr>
        <w:tab/>
      </w:r>
      <w:r>
        <w:rPr>
          <w:smallCaps w:val="0"/>
          <w:color w:val="auto"/>
          <w:szCs w:val="24"/>
        </w:rPr>
        <w:fldChar w:fldCharType="begin"/>
      </w:r>
      <w:r>
        <w:rPr>
          <w:smallCaps w:val="0"/>
          <w:color w:val="auto"/>
          <w:szCs w:val="24"/>
        </w:rPr>
        <w:instrText xml:space="preserve"> PAGEREF _Toc7673 \h </w:instrText>
      </w:r>
      <w:r>
        <w:rPr>
          <w:smallCaps w:val="0"/>
          <w:color w:val="auto"/>
          <w:szCs w:val="24"/>
        </w:rPr>
        <w:fldChar w:fldCharType="separate"/>
      </w:r>
      <w:r>
        <w:rPr>
          <w:smallCaps w:val="0"/>
          <w:color w:val="auto"/>
          <w:szCs w:val="24"/>
        </w:rPr>
        <w:t>17</w:t>
      </w:r>
      <w:r>
        <w:rPr>
          <w:smallCaps w:val="0"/>
          <w:color w:val="auto"/>
          <w:szCs w:val="24"/>
        </w:rPr>
        <w:fldChar w:fldCharType="end"/>
      </w:r>
      <w:r>
        <w:rPr>
          <w:smallCaps w:val="0"/>
          <w:color w:val="auto"/>
          <w:szCs w:val="24"/>
        </w:rPr>
        <w:fldChar w:fldCharType="end"/>
      </w:r>
    </w:p>
    <w:p w14:paraId="3E88D442">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"_Toc20341" </w:instrText>
      </w:r>
      <w:r>
        <w:rPr>
          <w:color w:val="auto"/>
        </w:rPr>
        <w:fldChar w:fldCharType="separate"/>
      </w:r>
      <w:r>
        <w:rPr>
          <w:rFonts w:hint="eastAsia" w:cs="黑体"/>
          <w:smallCaps w:val="0"/>
          <w:color w:val="auto"/>
          <w:szCs w:val="24"/>
        </w:rPr>
        <w:t>2.2自然环境概况</w:t>
      </w:r>
      <w:r>
        <w:rPr>
          <w:smallCaps w:val="0"/>
          <w:color w:val="auto"/>
          <w:szCs w:val="24"/>
        </w:rPr>
        <w:tab/>
      </w:r>
      <w:r>
        <w:rPr>
          <w:smallCaps w:val="0"/>
          <w:color w:val="auto"/>
          <w:szCs w:val="24"/>
        </w:rPr>
        <w:fldChar w:fldCharType="begin"/>
      </w:r>
      <w:r>
        <w:rPr>
          <w:smallCaps w:val="0"/>
          <w:color w:val="auto"/>
          <w:szCs w:val="24"/>
        </w:rPr>
        <w:instrText xml:space="preserve"> PAGEREF _Toc20341 \h </w:instrText>
      </w:r>
      <w:r>
        <w:rPr>
          <w:smallCaps w:val="0"/>
          <w:color w:val="auto"/>
          <w:szCs w:val="24"/>
        </w:rPr>
        <w:fldChar w:fldCharType="separate"/>
      </w:r>
      <w:r>
        <w:rPr>
          <w:smallCaps w:val="0"/>
          <w:color w:val="auto"/>
          <w:szCs w:val="24"/>
        </w:rPr>
        <w:t>26</w:t>
      </w:r>
      <w:r>
        <w:rPr>
          <w:smallCaps w:val="0"/>
          <w:color w:val="auto"/>
          <w:szCs w:val="24"/>
        </w:rPr>
        <w:fldChar w:fldCharType="end"/>
      </w:r>
      <w:r>
        <w:rPr>
          <w:smallCaps w:val="0"/>
          <w:color w:val="auto"/>
          <w:szCs w:val="24"/>
        </w:rPr>
        <w:fldChar w:fldCharType="end"/>
      </w:r>
    </w:p>
    <w:p w14:paraId="41596446">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"_Toc22546" </w:instrText>
      </w:r>
      <w:r>
        <w:rPr>
          <w:color w:val="auto"/>
        </w:rPr>
        <w:fldChar w:fldCharType="separate"/>
      </w:r>
      <w:r>
        <w:rPr>
          <w:rFonts w:hint="eastAsia" w:cs="黑体"/>
          <w:smallCaps w:val="0"/>
          <w:color w:val="auto"/>
          <w:szCs w:val="24"/>
        </w:rPr>
        <w:t>2.3地质概况</w:t>
      </w:r>
      <w:r>
        <w:rPr>
          <w:smallCaps w:val="0"/>
          <w:color w:val="auto"/>
          <w:szCs w:val="24"/>
        </w:rPr>
        <w:tab/>
      </w:r>
      <w:r>
        <w:rPr>
          <w:smallCaps w:val="0"/>
          <w:color w:val="auto"/>
          <w:szCs w:val="24"/>
        </w:rPr>
        <w:fldChar w:fldCharType="begin"/>
      </w:r>
      <w:r>
        <w:rPr>
          <w:smallCaps w:val="0"/>
          <w:color w:val="auto"/>
          <w:szCs w:val="24"/>
        </w:rPr>
        <w:instrText xml:space="preserve"> PAGEREF _Toc22546 \h </w:instrText>
      </w:r>
      <w:r>
        <w:rPr>
          <w:smallCaps w:val="0"/>
          <w:color w:val="auto"/>
          <w:szCs w:val="24"/>
        </w:rPr>
        <w:fldChar w:fldCharType="separate"/>
      </w:r>
      <w:r>
        <w:rPr>
          <w:smallCaps w:val="0"/>
          <w:color w:val="auto"/>
          <w:szCs w:val="24"/>
        </w:rPr>
        <w:t>26</w:t>
      </w:r>
      <w:r>
        <w:rPr>
          <w:smallCaps w:val="0"/>
          <w:color w:val="auto"/>
          <w:szCs w:val="24"/>
        </w:rPr>
        <w:fldChar w:fldCharType="end"/>
      </w:r>
      <w:r>
        <w:rPr>
          <w:smallCaps w:val="0"/>
          <w:color w:val="auto"/>
          <w:szCs w:val="24"/>
        </w:rPr>
        <w:fldChar w:fldCharType="end"/>
      </w:r>
    </w:p>
    <w:p w14:paraId="55B59F8E">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"_Toc8526" </w:instrText>
      </w:r>
      <w:r>
        <w:rPr>
          <w:color w:val="auto"/>
        </w:rPr>
        <w:fldChar w:fldCharType="separate"/>
      </w:r>
      <w:r>
        <w:rPr>
          <w:rFonts w:hint="eastAsia" w:cs="黑体"/>
          <w:smallCaps w:val="0"/>
          <w:color w:val="auto"/>
          <w:szCs w:val="24"/>
        </w:rPr>
        <w:t>2.4建设方案概况</w:t>
      </w:r>
      <w:r>
        <w:rPr>
          <w:smallCaps w:val="0"/>
          <w:color w:val="auto"/>
          <w:szCs w:val="24"/>
        </w:rPr>
        <w:tab/>
      </w:r>
      <w:r>
        <w:rPr>
          <w:smallCaps w:val="0"/>
          <w:color w:val="auto"/>
          <w:szCs w:val="24"/>
        </w:rPr>
        <w:fldChar w:fldCharType="begin"/>
      </w:r>
      <w:r>
        <w:rPr>
          <w:smallCaps w:val="0"/>
          <w:color w:val="auto"/>
          <w:szCs w:val="24"/>
        </w:rPr>
        <w:instrText xml:space="preserve"> PAGEREF _Toc8526 \h </w:instrText>
      </w:r>
      <w:r>
        <w:rPr>
          <w:smallCaps w:val="0"/>
          <w:color w:val="auto"/>
          <w:szCs w:val="24"/>
        </w:rPr>
        <w:fldChar w:fldCharType="separate"/>
      </w:r>
      <w:r>
        <w:rPr>
          <w:smallCaps w:val="0"/>
          <w:color w:val="auto"/>
          <w:szCs w:val="24"/>
        </w:rPr>
        <w:t>40</w:t>
      </w:r>
      <w:r>
        <w:rPr>
          <w:smallCaps w:val="0"/>
          <w:color w:val="auto"/>
          <w:szCs w:val="24"/>
        </w:rPr>
        <w:fldChar w:fldCharType="end"/>
      </w:r>
      <w:r>
        <w:rPr>
          <w:smallCaps w:val="0"/>
          <w:color w:val="auto"/>
          <w:szCs w:val="24"/>
        </w:rPr>
        <w:fldChar w:fldCharType="end"/>
      </w:r>
    </w:p>
    <w:p w14:paraId="7938E21D">
      <w:pPr>
        <w:pStyle w:val="34"/>
        <w:tabs>
          <w:tab w:val="right" w:leader="dot" w:pos="9185"/>
        </w:tabs>
        <w:spacing w:before="120" w:after="120" w:line="360" w:lineRule="auto"/>
        <w:rPr>
          <w:b/>
          <w:caps w:val="0"/>
          <w:color w:val="auto"/>
          <w:szCs w:val="24"/>
        </w:rPr>
      </w:pPr>
      <w:r>
        <w:rPr>
          <w:color w:val="auto"/>
        </w:rPr>
        <w:fldChar w:fldCharType="begin"/>
      </w:r>
      <w:r>
        <w:rPr>
          <w:color w:val="auto"/>
        </w:rPr>
        <w:instrText xml:space="preserve"> HYPERLINK \l "_Toc26019" </w:instrText>
      </w:r>
      <w:r>
        <w:rPr>
          <w:color w:val="auto"/>
        </w:rPr>
        <w:fldChar w:fldCharType="separate"/>
      </w:r>
      <w:r>
        <w:rPr>
          <w:rFonts w:hint="eastAsia"/>
          <w:b/>
          <w:caps w:val="0"/>
          <w:color w:val="auto"/>
          <w:szCs w:val="24"/>
        </w:rPr>
        <w:t>3.定性定量评价</w:t>
      </w:r>
      <w:r>
        <w:rPr>
          <w:b/>
          <w:caps w:val="0"/>
          <w:color w:val="auto"/>
          <w:szCs w:val="24"/>
        </w:rPr>
        <w:tab/>
      </w:r>
      <w:r>
        <w:rPr>
          <w:b/>
          <w:caps w:val="0"/>
          <w:color w:val="auto"/>
          <w:szCs w:val="24"/>
        </w:rPr>
        <w:fldChar w:fldCharType="begin"/>
      </w:r>
      <w:r>
        <w:rPr>
          <w:b/>
          <w:caps w:val="0"/>
          <w:color w:val="auto"/>
          <w:szCs w:val="24"/>
        </w:rPr>
        <w:instrText xml:space="preserve"> PAGEREF _Toc26019 \h </w:instrText>
      </w:r>
      <w:r>
        <w:rPr>
          <w:b/>
          <w:caps w:val="0"/>
          <w:color w:val="auto"/>
          <w:szCs w:val="24"/>
        </w:rPr>
        <w:fldChar w:fldCharType="separate"/>
      </w:r>
      <w:r>
        <w:rPr>
          <w:b/>
          <w:caps w:val="0"/>
          <w:color w:val="auto"/>
          <w:szCs w:val="24"/>
        </w:rPr>
        <w:t>67</w:t>
      </w:r>
      <w:r>
        <w:rPr>
          <w:b/>
          <w:caps w:val="0"/>
          <w:color w:val="auto"/>
          <w:szCs w:val="24"/>
        </w:rPr>
        <w:fldChar w:fldCharType="end"/>
      </w:r>
      <w:r>
        <w:rPr>
          <w:b/>
          <w:caps w:val="0"/>
          <w:color w:val="auto"/>
          <w:szCs w:val="24"/>
        </w:rPr>
        <w:fldChar w:fldCharType="end"/>
      </w:r>
    </w:p>
    <w:p w14:paraId="6E248541">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"_Toc18037" </w:instrText>
      </w:r>
      <w:r>
        <w:rPr>
          <w:color w:val="auto"/>
        </w:rPr>
        <w:fldChar w:fldCharType="separate"/>
      </w:r>
      <w:r>
        <w:rPr>
          <w:rFonts w:hint="eastAsia" w:cs="黑体"/>
          <w:smallCaps w:val="0"/>
          <w:color w:val="auto"/>
          <w:szCs w:val="24"/>
        </w:rPr>
        <w:t>3.1评价单元划分及评价方法选择</w:t>
      </w:r>
      <w:r>
        <w:rPr>
          <w:smallCaps w:val="0"/>
          <w:color w:val="auto"/>
          <w:szCs w:val="24"/>
        </w:rPr>
        <w:tab/>
      </w:r>
      <w:r>
        <w:rPr>
          <w:smallCaps w:val="0"/>
          <w:color w:val="auto"/>
          <w:szCs w:val="24"/>
        </w:rPr>
        <w:fldChar w:fldCharType="begin"/>
      </w:r>
      <w:r>
        <w:rPr>
          <w:smallCaps w:val="0"/>
          <w:color w:val="auto"/>
          <w:szCs w:val="24"/>
        </w:rPr>
        <w:instrText xml:space="preserve"> PAGEREF _Toc18037 \h </w:instrText>
      </w:r>
      <w:r>
        <w:rPr>
          <w:smallCaps w:val="0"/>
          <w:color w:val="auto"/>
          <w:szCs w:val="24"/>
        </w:rPr>
        <w:fldChar w:fldCharType="separate"/>
      </w:r>
      <w:r>
        <w:rPr>
          <w:smallCaps w:val="0"/>
          <w:color w:val="auto"/>
          <w:szCs w:val="24"/>
        </w:rPr>
        <w:t>67</w:t>
      </w:r>
      <w:r>
        <w:rPr>
          <w:smallCaps w:val="0"/>
          <w:color w:val="auto"/>
          <w:szCs w:val="24"/>
        </w:rPr>
        <w:fldChar w:fldCharType="end"/>
      </w:r>
      <w:r>
        <w:rPr>
          <w:smallCaps w:val="0"/>
          <w:color w:val="auto"/>
          <w:szCs w:val="24"/>
        </w:rPr>
        <w:fldChar w:fldCharType="end"/>
      </w:r>
    </w:p>
    <w:p w14:paraId="53DBFE23">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"_Toc12480" </w:instrText>
      </w:r>
      <w:r>
        <w:rPr>
          <w:color w:val="auto"/>
        </w:rPr>
        <w:fldChar w:fldCharType="separate"/>
      </w:r>
      <w:r>
        <w:rPr>
          <w:rFonts w:hint="eastAsia" w:cs="黑体"/>
          <w:smallCaps w:val="0"/>
          <w:color w:val="auto"/>
          <w:szCs w:val="24"/>
        </w:rPr>
        <w:t>3.2总平面布置单元</w:t>
      </w:r>
      <w:r>
        <w:rPr>
          <w:smallCaps w:val="0"/>
          <w:color w:val="auto"/>
          <w:szCs w:val="24"/>
        </w:rPr>
        <w:tab/>
      </w:r>
      <w:r>
        <w:rPr>
          <w:smallCaps w:val="0"/>
          <w:color w:val="auto"/>
          <w:szCs w:val="24"/>
        </w:rPr>
        <w:fldChar w:fldCharType="begin"/>
      </w:r>
      <w:r>
        <w:rPr>
          <w:smallCaps w:val="0"/>
          <w:color w:val="auto"/>
          <w:szCs w:val="24"/>
        </w:rPr>
        <w:instrText xml:space="preserve"> PAGEREF _Toc12480 \h </w:instrText>
      </w:r>
      <w:r>
        <w:rPr>
          <w:smallCaps w:val="0"/>
          <w:color w:val="auto"/>
          <w:szCs w:val="24"/>
        </w:rPr>
        <w:fldChar w:fldCharType="separate"/>
      </w:r>
      <w:r>
        <w:rPr>
          <w:smallCaps w:val="0"/>
          <w:color w:val="auto"/>
          <w:szCs w:val="24"/>
        </w:rPr>
        <w:t>72</w:t>
      </w:r>
      <w:r>
        <w:rPr>
          <w:smallCaps w:val="0"/>
          <w:color w:val="auto"/>
          <w:szCs w:val="24"/>
        </w:rPr>
        <w:fldChar w:fldCharType="end"/>
      </w:r>
      <w:r>
        <w:rPr>
          <w:smallCaps w:val="0"/>
          <w:color w:val="auto"/>
          <w:szCs w:val="24"/>
        </w:rPr>
        <w:fldChar w:fldCharType="end"/>
      </w:r>
    </w:p>
    <w:p w14:paraId="39E91C12">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"_Toc18699" </w:instrText>
      </w:r>
      <w:r>
        <w:rPr>
          <w:color w:val="auto"/>
        </w:rPr>
        <w:fldChar w:fldCharType="separate"/>
      </w:r>
      <w:r>
        <w:rPr>
          <w:rFonts w:hint="eastAsia" w:cs="黑体"/>
          <w:smallCaps w:val="0"/>
          <w:color w:val="auto"/>
          <w:szCs w:val="24"/>
        </w:rPr>
        <w:t>3.3开拓运输单元</w:t>
      </w:r>
      <w:r>
        <w:rPr>
          <w:smallCaps w:val="0"/>
          <w:color w:val="auto"/>
          <w:szCs w:val="24"/>
        </w:rPr>
        <w:tab/>
      </w:r>
      <w:r>
        <w:rPr>
          <w:smallCaps w:val="0"/>
          <w:color w:val="auto"/>
          <w:szCs w:val="24"/>
        </w:rPr>
        <w:fldChar w:fldCharType="begin"/>
      </w:r>
      <w:r>
        <w:rPr>
          <w:smallCaps w:val="0"/>
          <w:color w:val="auto"/>
          <w:szCs w:val="24"/>
        </w:rPr>
        <w:instrText xml:space="preserve"> PAGEREF _Toc18699 \h </w:instrText>
      </w:r>
      <w:r>
        <w:rPr>
          <w:smallCaps w:val="0"/>
          <w:color w:val="auto"/>
          <w:szCs w:val="24"/>
        </w:rPr>
        <w:fldChar w:fldCharType="separate"/>
      </w:r>
      <w:r>
        <w:rPr>
          <w:smallCaps w:val="0"/>
          <w:color w:val="auto"/>
          <w:szCs w:val="24"/>
        </w:rPr>
        <w:t>80</w:t>
      </w:r>
      <w:r>
        <w:rPr>
          <w:smallCaps w:val="0"/>
          <w:color w:val="auto"/>
          <w:szCs w:val="24"/>
        </w:rPr>
        <w:fldChar w:fldCharType="end"/>
      </w:r>
      <w:r>
        <w:rPr>
          <w:smallCaps w:val="0"/>
          <w:color w:val="auto"/>
          <w:szCs w:val="24"/>
        </w:rPr>
        <w:fldChar w:fldCharType="end"/>
      </w:r>
    </w:p>
    <w:p w14:paraId="745A26DD">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"_Toc16976" </w:instrText>
      </w:r>
      <w:r>
        <w:rPr>
          <w:color w:val="auto"/>
        </w:rPr>
        <w:fldChar w:fldCharType="separate"/>
      </w:r>
      <w:r>
        <w:rPr>
          <w:rFonts w:hint="eastAsia" w:cs="黑体"/>
          <w:smallCaps w:val="0"/>
          <w:color w:val="auto"/>
          <w:szCs w:val="24"/>
        </w:rPr>
        <w:t>3.4采剥单元</w:t>
      </w:r>
      <w:r>
        <w:rPr>
          <w:smallCaps w:val="0"/>
          <w:color w:val="auto"/>
          <w:szCs w:val="24"/>
        </w:rPr>
        <w:tab/>
      </w:r>
      <w:r>
        <w:rPr>
          <w:smallCaps w:val="0"/>
          <w:color w:val="auto"/>
          <w:szCs w:val="24"/>
        </w:rPr>
        <w:fldChar w:fldCharType="begin"/>
      </w:r>
      <w:r>
        <w:rPr>
          <w:smallCaps w:val="0"/>
          <w:color w:val="auto"/>
          <w:szCs w:val="24"/>
        </w:rPr>
        <w:instrText xml:space="preserve"> PAGEREF _Toc16976 \h </w:instrText>
      </w:r>
      <w:r>
        <w:rPr>
          <w:smallCaps w:val="0"/>
          <w:color w:val="auto"/>
          <w:szCs w:val="24"/>
        </w:rPr>
        <w:fldChar w:fldCharType="separate"/>
      </w:r>
      <w:r>
        <w:rPr>
          <w:smallCaps w:val="0"/>
          <w:color w:val="auto"/>
          <w:szCs w:val="24"/>
        </w:rPr>
        <w:t>88</w:t>
      </w:r>
      <w:r>
        <w:rPr>
          <w:smallCaps w:val="0"/>
          <w:color w:val="auto"/>
          <w:szCs w:val="24"/>
        </w:rPr>
        <w:fldChar w:fldCharType="end"/>
      </w:r>
      <w:r>
        <w:rPr>
          <w:smallCaps w:val="0"/>
          <w:color w:val="auto"/>
          <w:szCs w:val="24"/>
        </w:rPr>
        <w:fldChar w:fldCharType="end"/>
      </w:r>
    </w:p>
    <w:p w14:paraId="7391EB36">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"_Toc30978" </w:instrText>
      </w:r>
      <w:r>
        <w:rPr>
          <w:color w:val="auto"/>
        </w:rPr>
        <w:fldChar w:fldCharType="separate"/>
      </w:r>
      <w:r>
        <w:rPr>
          <w:rFonts w:hint="eastAsia" w:cs="黑体"/>
          <w:smallCaps w:val="0"/>
          <w:color w:val="auto"/>
          <w:szCs w:val="24"/>
        </w:rPr>
        <w:t>3.5矿山供配电设施单元</w:t>
      </w:r>
      <w:r>
        <w:rPr>
          <w:smallCaps w:val="0"/>
          <w:color w:val="auto"/>
          <w:szCs w:val="24"/>
        </w:rPr>
        <w:tab/>
      </w:r>
      <w:r>
        <w:rPr>
          <w:smallCaps w:val="0"/>
          <w:color w:val="auto"/>
          <w:szCs w:val="24"/>
        </w:rPr>
        <w:fldChar w:fldCharType="begin"/>
      </w:r>
      <w:r>
        <w:rPr>
          <w:smallCaps w:val="0"/>
          <w:color w:val="auto"/>
          <w:szCs w:val="24"/>
        </w:rPr>
        <w:instrText xml:space="preserve"> PAGEREF _Toc30978 \h </w:instrText>
      </w:r>
      <w:r>
        <w:rPr>
          <w:smallCaps w:val="0"/>
          <w:color w:val="auto"/>
          <w:szCs w:val="24"/>
        </w:rPr>
        <w:fldChar w:fldCharType="separate"/>
      </w:r>
      <w:r>
        <w:rPr>
          <w:smallCaps w:val="0"/>
          <w:color w:val="auto"/>
          <w:szCs w:val="24"/>
        </w:rPr>
        <w:t>132</w:t>
      </w:r>
      <w:r>
        <w:rPr>
          <w:smallCaps w:val="0"/>
          <w:color w:val="auto"/>
          <w:szCs w:val="24"/>
        </w:rPr>
        <w:fldChar w:fldCharType="end"/>
      </w:r>
      <w:r>
        <w:rPr>
          <w:smallCaps w:val="0"/>
          <w:color w:val="auto"/>
          <w:szCs w:val="24"/>
        </w:rPr>
        <w:fldChar w:fldCharType="end"/>
      </w:r>
    </w:p>
    <w:p w14:paraId="7331D649">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"_Toc29342" </w:instrText>
      </w:r>
      <w:r>
        <w:rPr>
          <w:color w:val="auto"/>
        </w:rPr>
        <w:fldChar w:fldCharType="separate"/>
      </w:r>
      <w:r>
        <w:rPr>
          <w:rFonts w:hint="eastAsia" w:cs="黑体"/>
          <w:smallCaps w:val="0"/>
          <w:color w:val="auto"/>
          <w:szCs w:val="24"/>
        </w:rPr>
        <w:t>3.6防排水单元</w:t>
      </w:r>
      <w:r>
        <w:rPr>
          <w:smallCaps w:val="0"/>
          <w:color w:val="auto"/>
          <w:szCs w:val="24"/>
        </w:rPr>
        <w:tab/>
      </w:r>
      <w:r>
        <w:rPr>
          <w:smallCaps w:val="0"/>
          <w:color w:val="auto"/>
          <w:szCs w:val="24"/>
        </w:rPr>
        <w:fldChar w:fldCharType="begin"/>
      </w:r>
      <w:r>
        <w:rPr>
          <w:smallCaps w:val="0"/>
          <w:color w:val="auto"/>
          <w:szCs w:val="24"/>
        </w:rPr>
        <w:instrText xml:space="preserve"> PAGEREF _Toc29342 \h </w:instrText>
      </w:r>
      <w:r>
        <w:rPr>
          <w:smallCaps w:val="0"/>
          <w:color w:val="auto"/>
          <w:szCs w:val="24"/>
        </w:rPr>
        <w:fldChar w:fldCharType="separate"/>
      </w:r>
      <w:r>
        <w:rPr>
          <w:smallCaps w:val="0"/>
          <w:color w:val="auto"/>
          <w:szCs w:val="24"/>
        </w:rPr>
        <w:t>136</w:t>
      </w:r>
      <w:r>
        <w:rPr>
          <w:smallCaps w:val="0"/>
          <w:color w:val="auto"/>
          <w:szCs w:val="24"/>
        </w:rPr>
        <w:fldChar w:fldCharType="end"/>
      </w:r>
      <w:r>
        <w:rPr>
          <w:smallCaps w:val="0"/>
          <w:color w:val="auto"/>
          <w:szCs w:val="24"/>
        </w:rPr>
        <w:fldChar w:fldCharType="end"/>
      </w:r>
    </w:p>
    <w:p w14:paraId="16512B0D">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"_Toc23845" </w:instrText>
      </w:r>
      <w:r>
        <w:rPr>
          <w:color w:val="auto"/>
        </w:rPr>
        <w:fldChar w:fldCharType="separate"/>
      </w:r>
      <w:r>
        <w:rPr>
          <w:rFonts w:hint="eastAsia" w:cs="黑体"/>
          <w:smallCaps w:val="0"/>
          <w:color w:val="auto"/>
          <w:szCs w:val="24"/>
        </w:rPr>
        <w:t>3.7破碎系统单元</w:t>
      </w:r>
      <w:r>
        <w:rPr>
          <w:smallCaps w:val="0"/>
          <w:color w:val="auto"/>
          <w:szCs w:val="24"/>
        </w:rPr>
        <w:tab/>
      </w:r>
      <w:r>
        <w:rPr>
          <w:smallCaps w:val="0"/>
          <w:color w:val="auto"/>
          <w:szCs w:val="24"/>
        </w:rPr>
        <w:fldChar w:fldCharType="begin"/>
      </w:r>
      <w:r>
        <w:rPr>
          <w:smallCaps w:val="0"/>
          <w:color w:val="auto"/>
          <w:szCs w:val="24"/>
        </w:rPr>
        <w:instrText xml:space="preserve"> PAGEREF _Toc23845 \h </w:instrText>
      </w:r>
      <w:r>
        <w:rPr>
          <w:smallCaps w:val="0"/>
          <w:color w:val="auto"/>
          <w:szCs w:val="24"/>
        </w:rPr>
        <w:fldChar w:fldCharType="separate"/>
      </w:r>
      <w:r>
        <w:rPr>
          <w:smallCaps w:val="0"/>
          <w:color w:val="auto"/>
          <w:szCs w:val="24"/>
        </w:rPr>
        <w:t>139</w:t>
      </w:r>
      <w:r>
        <w:rPr>
          <w:smallCaps w:val="0"/>
          <w:color w:val="auto"/>
          <w:szCs w:val="24"/>
        </w:rPr>
        <w:fldChar w:fldCharType="end"/>
      </w:r>
      <w:r>
        <w:rPr>
          <w:smallCaps w:val="0"/>
          <w:color w:val="auto"/>
          <w:szCs w:val="24"/>
        </w:rPr>
        <w:fldChar w:fldCharType="end"/>
      </w:r>
    </w:p>
    <w:p w14:paraId="2FC4AF5C">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"_Toc17965" </w:instrText>
      </w:r>
      <w:r>
        <w:rPr>
          <w:color w:val="auto"/>
        </w:rPr>
        <w:fldChar w:fldCharType="separate"/>
      </w:r>
      <w:r>
        <w:rPr>
          <w:rFonts w:hint="eastAsia" w:cs="黑体"/>
          <w:smallCaps w:val="0"/>
          <w:color w:val="auto"/>
          <w:szCs w:val="24"/>
        </w:rPr>
        <w:t>3.8排土场单元</w:t>
      </w:r>
      <w:r>
        <w:rPr>
          <w:smallCaps w:val="0"/>
          <w:color w:val="auto"/>
          <w:szCs w:val="24"/>
        </w:rPr>
        <w:tab/>
      </w:r>
      <w:r>
        <w:rPr>
          <w:smallCaps w:val="0"/>
          <w:color w:val="auto"/>
          <w:szCs w:val="24"/>
        </w:rPr>
        <w:fldChar w:fldCharType="begin"/>
      </w:r>
      <w:r>
        <w:rPr>
          <w:smallCaps w:val="0"/>
          <w:color w:val="auto"/>
          <w:szCs w:val="24"/>
        </w:rPr>
        <w:instrText xml:space="preserve"> PAGEREF _Toc17965 \h </w:instrText>
      </w:r>
      <w:r>
        <w:rPr>
          <w:smallCaps w:val="0"/>
          <w:color w:val="auto"/>
          <w:szCs w:val="24"/>
        </w:rPr>
        <w:fldChar w:fldCharType="separate"/>
      </w:r>
      <w:r>
        <w:rPr>
          <w:smallCaps w:val="0"/>
          <w:color w:val="auto"/>
          <w:szCs w:val="24"/>
        </w:rPr>
        <w:t>145</w:t>
      </w:r>
      <w:r>
        <w:rPr>
          <w:smallCaps w:val="0"/>
          <w:color w:val="auto"/>
          <w:szCs w:val="24"/>
        </w:rPr>
        <w:fldChar w:fldCharType="end"/>
      </w:r>
      <w:r>
        <w:rPr>
          <w:smallCaps w:val="0"/>
          <w:color w:val="auto"/>
          <w:szCs w:val="24"/>
        </w:rPr>
        <w:fldChar w:fldCharType="end"/>
      </w:r>
    </w:p>
    <w:p w14:paraId="03643C7F">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"_Toc17711" </w:instrText>
      </w:r>
      <w:r>
        <w:rPr>
          <w:color w:val="auto"/>
        </w:rPr>
        <w:fldChar w:fldCharType="separate"/>
      </w:r>
      <w:r>
        <w:rPr>
          <w:rFonts w:cs="黑体"/>
          <w:smallCaps w:val="0"/>
          <w:color w:val="auto"/>
          <w:szCs w:val="24"/>
        </w:rPr>
        <w:t>3.</w:t>
      </w:r>
      <w:r>
        <w:rPr>
          <w:rFonts w:hint="eastAsia" w:cs="黑体"/>
          <w:smallCaps w:val="0"/>
          <w:color w:val="auto"/>
          <w:szCs w:val="24"/>
        </w:rPr>
        <w:t>9</w:t>
      </w:r>
      <w:r>
        <w:rPr>
          <w:rFonts w:cs="黑体"/>
          <w:smallCaps w:val="0"/>
          <w:color w:val="auto"/>
          <w:szCs w:val="24"/>
        </w:rPr>
        <w:t>安全管理单元</w:t>
      </w:r>
      <w:r>
        <w:rPr>
          <w:smallCaps w:val="0"/>
          <w:color w:val="auto"/>
          <w:szCs w:val="24"/>
        </w:rPr>
        <w:tab/>
      </w:r>
      <w:r>
        <w:rPr>
          <w:smallCaps w:val="0"/>
          <w:color w:val="auto"/>
          <w:szCs w:val="24"/>
        </w:rPr>
        <w:fldChar w:fldCharType="begin"/>
      </w:r>
      <w:r>
        <w:rPr>
          <w:smallCaps w:val="0"/>
          <w:color w:val="auto"/>
          <w:szCs w:val="24"/>
        </w:rPr>
        <w:instrText xml:space="preserve"> PAGEREF _Toc17711 \h </w:instrText>
      </w:r>
      <w:r>
        <w:rPr>
          <w:smallCaps w:val="0"/>
          <w:color w:val="auto"/>
          <w:szCs w:val="24"/>
        </w:rPr>
        <w:fldChar w:fldCharType="separate"/>
      </w:r>
      <w:r>
        <w:rPr>
          <w:smallCaps w:val="0"/>
          <w:color w:val="auto"/>
          <w:szCs w:val="24"/>
        </w:rPr>
        <w:t>152</w:t>
      </w:r>
      <w:r>
        <w:rPr>
          <w:smallCaps w:val="0"/>
          <w:color w:val="auto"/>
          <w:szCs w:val="24"/>
        </w:rPr>
        <w:fldChar w:fldCharType="end"/>
      </w:r>
      <w:r>
        <w:rPr>
          <w:smallCaps w:val="0"/>
          <w:color w:val="auto"/>
          <w:szCs w:val="24"/>
        </w:rPr>
        <w:fldChar w:fldCharType="end"/>
      </w:r>
    </w:p>
    <w:p w14:paraId="466B7080">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"_Toc15879" </w:instrText>
      </w:r>
      <w:r>
        <w:rPr>
          <w:color w:val="auto"/>
        </w:rPr>
        <w:fldChar w:fldCharType="separate"/>
      </w:r>
      <w:r>
        <w:rPr>
          <w:rFonts w:hint="eastAsia" w:cs="黑体"/>
          <w:smallCaps w:val="0"/>
          <w:color w:val="auto"/>
          <w:szCs w:val="24"/>
        </w:rPr>
        <w:t>3.10重大危险源辨识单元</w:t>
      </w:r>
      <w:r>
        <w:rPr>
          <w:smallCaps w:val="0"/>
          <w:color w:val="auto"/>
          <w:szCs w:val="24"/>
        </w:rPr>
        <w:tab/>
      </w:r>
      <w:r>
        <w:rPr>
          <w:smallCaps w:val="0"/>
          <w:color w:val="auto"/>
          <w:szCs w:val="24"/>
        </w:rPr>
        <w:fldChar w:fldCharType="begin"/>
      </w:r>
      <w:r>
        <w:rPr>
          <w:smallCaps w:val="0"/>
          <w:color w:val="auto"/>
          <w:szCs w:val="24"/>
        </w:rPr>
        <w:instrText xml:space="preserve"> PAGEREF _Toc15879 \h </w:instrText>
      </w:r>
      <w:r>
        <w:rPr>
          <w:smallCaps w:val="0"/>
          <w:color w:val="auto"/>
          <w:szCs w:val="24"/>
        </w:rPr>
        <w:fldChar w:fldCharType="separate"/>
      </w:r>
      <w:r>
        <w:rPr>
          <w:smallCaps w:val="0"/>
          <w:color w:val="auto"/>
          <w:szCs w:val="24"/>
        </w:rPr>
        <w:t>156</w:t>
      </w:r>
      <w:r>
        <w:rPr>
          <w:smallCaps w:val="0"/>
          <w:color w:val="auto"/>
          <w:szCs w:val="24"/>
        </w:rPr>
        <w:fldChar w:fldCharType="end"/>
      </w:r>
      <w:r>
        <w:rPr>
          <w:smallCaps w:val="0"/>
          <w:color w:val="auto"/>
          <w:szCs w:val="24"/>
        </w:rPr>
        <w:fldChar w:fldCharType="end"/>
      </w:r>
    </w:p>
    <w:p w14:paraId="76FC4FEF">
      <w:pPr>
        <w:pStyle w:val="34"/>
        <w:tabs>
          <w:tab w:val="right" w:leader="dot" w:pos="9185"/>
        </w:tabs>
        <w:spacing w:before="120" w:after="120" w:line="360" w:lineRule="auto"/>
        <w:rPr>
          <w:b/>
          <w:caps w:val="0"/>
          <w:color w:val="auto"/>
          <w:szCs w:val="24"/>
        </w:rPr>
      </w:pPr>
      <w:r>
        <w:rPr>
          <w:color w:val="auto"/>
        </w:rPr>
        <w:fldChar w:fldCharType="begin"/>
      </w:r>
      <w:r>
        <w:rPr>
          <w:color w:val="auto"/>
        </w:rPr>
        <w:instrText xml:space="preserve"> HYPERLINK \l "_Toc17750" </w:instrText>
      </w:r>
      <w:r>
        <w:rPr>
          <w:color w:val="auto"/>
        </w:rPr>
        <w:fldChar w:fldCharType="separate"/>
      </w:r>
      <w:r>
        <w:rPr>
          <w:rFonts w:hint="eastAsia"/>
          <w:b/>
          <w:caps w:val="0"/>
          <w:color w:val="auto"/>
          <w:szCs w:val="24"/>
        </w:rPr>
        <w:t>4.安全对策措施及建议</w:t>
      </w:r>
      <w:r>
        <w:rPr>
          <w:b/>
          <w:caps w:val="0"/>
          <w:color w:val="auto"/>
          <w:szCs w:val="24"/>
        </w:rPr>
        <w:tab/>
      </w:r>
      <w:r>
        <w:rPr>
          <w:b/>
          <w:caps w:val="0"/>
          <w:color w:val="auto"/>
          <w:szCs w:val="24"/>
        </w:rPr>
        <w:fldChar w:fldCharType="begin"/>
      </w:r>
      <w:r>
        <w:rPr>
          <w:b/>
          <w:caps w:val="0"/>
          <w:color w:val="auto"/>
          <w:szCs w:val="24"/>
        </w:rPr>
        <w:instrText xml:space="preserve"> PAGEREF _Toc17750 \h </w:instrText>
      </w:r>
      <w:r>
        <w:rPr>
          <w:b/>
          <w:caps w:val="0"/>
          <w:color w:val="auto"/>
          <w:szCs w:val="24"/>
        </w:rPr>
        <w:fldChar w:fldCharType="separate"/>
      </w:r>
      <w:r>
        <w:rPr>
          <w:b/>
          <w:caps w:val="0"/>
          <w:color w:val="auto"/>
          <w:szCs w:val="24"/>
        </w:rPr>
        <w:t>157</w:t>
      </w:r>
      <w:r>
        <w:rPr>
          <w:b/>
          <w:caps w:val="0"/>
          <w:color w:val="auto"/>
          <w:szCs w:val="24"/>
        </w:rPr>
        <w:fldChar w:fldCharType="end"/>
      </w:r>
      <w:r>
        <w:rPr>
          <w:b/>
          <w:caps w:val="0"/>
          <w:color w:val="auto"/>
          <w:szCs w:val="24"/>
        </w:rPr>
        <w:fldChar w:fldCharType="end"/>
      </w:r>
    </w:p>
    <w:p w14:paraId="5B69521B">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"_Toc8086" </w:instrText>
      </w:r>
      <w:r>
        <w:rPr>
          <w:color w:val="auto"/>
        </w:rPr>
        <w:fldChar w:fldCharType="separate"/>
      </w:r>
      <w:r>
        <w:rPr>
          <w:rFonts w:hint="eastAsia" w:cs="黑体"/>
          <w:smallCaps w:val="0"/>
          <w:color w:val="auto"/>
          <w:szCs w:val="24"/>
        </w:rPr>
        <w:t>4.1安全对策措施建议的依据</w:t>
      </w:r>
      <w:r>
        <w:rPr>
          <w:smallCaps w:val="0"/>
          <w:color w:val="auto"/>
          <w:szCs w:val="24"/>
        </w:rPr>
        <w:tab/>
      </w:r>
      <w:r>
        <w:rPr>
          <w:smallCaps w:val="0"/>
          <w:color w:val="auto"/>
          <w:szCs w:val="24"/>
        </w:rPr>
        <w:fldChar w:fldCharType="begin"/>
      </w:r>
      <w:r>
        <w:rPr>
          <w:smallCaps w:val="0"/>
          <w:color w:val="auto"/>
          <w:szCs w:val="24"/>
        </w:rPr>
        <w:instrText xml:space="preserve"> PAGEREF _Toc8086 \h </w:instrText>
      </w:r>
      <w:r>
        <w:rPr>
          <w:smallCaps w:val="0"/>
          <w:color w:val="auto"/>
          <w:szCs w:val="24"/>
        </w:rPr>
        <w:fldChar w:fldCharType="separate"/>
      </w:r>
      <w:r>
        <w:rPr>
          <w:smallCaps w:val="0"/>
          <w:color w:val="auto"/>
          <w:szCs w:val="24"/>
        </w:rPr>
        <w:t>157</w:t>
      </w:r>
      <w:r>
        <w:rPr>
          <w:smallCaps w:val="0"/>
          <w:color w:val="auto"/>
          <w:szCs w:val="24"/>
        </w:rPr>
        <w:fldChar w:fldCharType="end"/>
      </w:r>
      <w:r>
        <w:rPr>
          <w:smallCaps w:val="0"/>
          <w:color w:val="auto"/>
          <w:szCs w:val="24"/>
        </w:rPr>
        <w:fldChar w:fldCharType="end"/>
      </w:r>
    </w:p>
    <w:p w14:paraId="39FDF605">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"_Toc12091" </w:instrText>
      </w:r>
      <w:r>
        <w:rPr>
          <w:color w:val="auto"/>
        </w:rPr>
        <w:fldChar w:fldCharType="separate"/>
      </w:r>
      <w:r>
        <w:rPr>
          <w:rFonts w:hint="eastAsia" w:cs="黑体"/>
          <w:smallCaps w:val="0"/>
          <w:color w:val="auto"/>
          <w:szCs w:val="24"/>
        </w:rPr>
        <w:t>4.2安全对策措施建议的主要原则</w:t>
      </w:r>
      <w:r>
        <w:rPr>
          <w:smallCaps w:val="0"/>
          <w:color w:val="auto"/>
          <w:szCs w:val="24"/>
        </w:rPr>
        <w:tab/>
      </w:r>
      <w:r>
        <w:rPr>
          <w:smallCaps w:val="0"/>
          <w:color w:val="auto"/>
          <w:szCs w:val="24"/>
        </w:rPr>
        <w:fldChar w:fldCharType="begin"/>
      </w:r>
      <w:r>
        <w:rPr>
          <w:smallCaps w:val="0"/>
          <w:color w:val="auto"/>
          <w:szCs w:val="24"/>
        </w:rPr>
        <w:instrText xml:space="preserve"> PAGEREF _Toc12091 \h </w:instrText>
      </w:r>
      <w:r>
        <w:rPr>
          <w:smallCaps w:val="0"/>
          <w:color w:val="auto"/>
          <w:szCs w:val="24"/>
        </w:rPr>
        <w:fldChar w:fldCharType="separate"/>
      </w:r>
      <w:r>
        <w:rPr>
          <w:smallCaps w:val="0"/>
          <w:color w:val="auto"/>
          <w:szCs w:val="24"/>
        </w:rPr>
        <w:t>157</w:t>
      </w:r>
      <w:r>
        <w:rPr>
          <w:smallCaps w:val="0"/>
          <w:color w:val="auto"/>
          <w:szCs w:val="24"/>
        </w:rPr>
        <w:fldChar w:fldCharType="end"/>
      </w:r>
      <w:r>
        <w:rPr>
          <w:smallCaps w:val="0"/>
          <w:color w:val="auto"/>
          <w:szCs w:val="24"/>
        </w:rPr>
        <w:fldChar w:fldCharType="end"/>
      </w:r>
    </w:p>
    <w:p w14:paraId="0EE4060D">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"_Toc6226" </w:instrText>
      </w:r>
      <w:r>
        <w:rPr>
          <w:color w:val="auto"/>
        </w:rPr>
        <w:fldChar w:fldCharType="separate"/>
      </w:r>
      <w:r>
        <w:rPr>
          <w:rFonts w:hint="eastAsia" w:cs="黑体"/>
          <w:smallCaps w:val="0"/>
          <w:color w:val="auto"/>
          <w:szCs w:val="24"/>
        </w:rPr>
        <w:t>4.3各单元安全对策措施建议</w:t>
      </w:r>
      <w:r>
        <w:rPr>
          <w:smallCaps w:val="0"/>
          <w:color w:val="auto"/>
          <w:szCs w:val="24"/>
        </w:rPr>
        <w:tab/>
      </w:r>
      <w:r>
        <w:rPr>
          <w:smallCaps w:val="0"/>
          <w:color w:val="auto"/>
          <w:szCs w:val="24"/>
        </w:rPr>
        <w:fldChar w:fldCharType="begin"/>
      </w:r>
      <w:r>
        <w:rPr>
          <w:smallCaps w:val="0"/>
          <w:color w:val="auto"/>
          <w:szCs w:val="24"/>
        </w:rPr>
        <w:instrText xml:space="preserve"> PAGEREF _Toc6226 \h </w:instrText>
      </w:r>
      <w:r>
        <w:rPr>
          <w:smallCaps w:val="0"/>
          <w:color w:val="auto"/>
          <w:szCs w:val="24"/>
        </w:rPr>
        <w:fldChar w:fldCharType="separate"/>
      </w:r>
      <w:r>
        <w:rPr>
          <w:smallCaps w:val="0"/>
          <w:color w:val="auto"/>
          <w:szCs w:val="24"/>
        </w:rPr>
        <w:t>157</w:t>
      </w:r>
      <w:r>
        <w:rPr>
          <w:smallCaps w:val="0"/>
          <w:color w:val="auto"/>
          <w:szCs w:val="24"/>
        </w:rPr>
        <w:fldChar w:fldCharType="end"/>
      </w:r>
      <w:r>
        <w:rPr>
          <w:smallCaps w:val="0"/>
          <w:color w:val="auto"/>
          <w:szCs w:val="24"/>
        </w:rPr>
        <w:fldChar w:fldCharType="end"/>
      </w:r>
    </w:p>
    <w:p w14:paraId="422A91D3">
      <w:pPr>
        <w:pStyle w:val="34"/>
        <w:tabs>
          <w:tab w:val="right" w:leader="dot" w:pos="9185"/>
        </w:tabs>
        <w:spacing w:before="120" w:after="120" w:line="360" w:lineRule="auto"/>
        <w:rPr>
          <w:b/>
          <w:caps w:val="0"/>
          <w:color w:val="auto"/>
          <w:szCs w:val="24"/>
        </w:rPr>
      </w:pPr>
      <w:r>
        <w:rPr>
          <w:color w:val="auto"/>
        </w:rPr>
        <w:fldChar w:fldCharType="begin"/>
      </w:r>
      <w:r>
        <w:rPr>
          <w:color w:val="auto"/>
        </w:rPr>
        <w:instrText xml:space="preserve"> HYPERLINK \l "_Toc31592" </w:instrText>
      </w:r>
      <w:r>
        <w:rPr>
          <w:color w:val="auto"/>
        </w:rPr>
        <w:fldChar w:fldCharType="separate"/>
      </w:r>
      <w:r>
        <w:rPr>
          <w:rFonts w:hint="eastAsia"/>
          <w:b/>
          <w:caps w:val="0"/>
          <w:color w:val="auto"/>
          <w:szCs w:val="24"/>
        </w:rPr>
        <w:t>5.评价结论</w:t>
      </w:r>
      <w:r>
        <w:rPr>
          <w:b/>
          <w:caps w:val="0"/>
          <w:color w:val="auto"/>
          <w:szCs w:val="24"/>
        </w:rPr>
        <w:tab/>
      </w:r>
      <w:r>
        <w:rPr>
          <w:b/>
          <w:caps w:val="0"/>
          <w:color w:val="auto"/>
          <w:szCs w:val="24"/>
        </w:rPr>
        <w:fldChar w:fldCharType="begin"/>
      </w:r>
      <w:r>
        <w:rPr>
          <w:b/>
          <w:caps w:val="0"/>
          <w:color w:val="auto"/>
          <w:szCs w:val="24"/>
        </w:rPr>
        <w:instrText xml:space="preserve"> PAGEREF _Toc31592 \h </w:instrText>
      </w:r>
      <w:r>
        <w:rPr>
          <w:b/>
          <w:caps w:val="0"/>
          <w:color w:val="auto"/>
          <w:szCs w:val="24"/>
        </w:rPr>
        <w:fldChar w:fldCharType="separate"/>
      </w:r>
      <w:r>
        <w:rPr>
          <w:b/>
          <w:caps w:val="0"/>
          <w:color w:val="auto"/>
          <w:szCs w:val="24"/>
        </w:rPr>
        <w:t>166</w:t>
      </w:r>
      <w:r>
        <w:rPr>
          <w:b/>
          <w:caps w:val="0"/>
          <w:color w:val="auto"/>
          <w:szCs w:val="24"/>
        </w:rPr>
        <w:fldChar w:fldCharType="end"/>
      </w:r>
      <w:r>
        <w:rPr>
          <w:b/>
          <w:caps w:val="0"/>
          <w:color w:val="auto"/>
          <w:szCs w:val="24"/>
        </w:rPr>
        <w:fldChar w:fldCharType="end"/>
      </w:r>
    </w:p>
    <w:p w14:paraId="61619F83">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"_Toc964" </w:instrText>
      </w:r>
      <w:r>
        <w:rPr>
          <w:color w:val="auto"/>
        </w:rPr>
        <w:fldChar w:fldCharType="separate"/>
      </w:r>
      <w:r>
        <w:rPr>
          <w:rFonts w:hint="eastAsia" w:cs="黑体"/>
          <w:smallCaps w:val="0"/>
          <w:color w:val="auto"/>
          <w:szCs w:val="24"/>
        </w:rPr>
        <w:t>5.1主要危险、有害因素评价结果</w:t>
      </w:r>
      <w:r>
        <w:rPr>
          <w:smallCaps w:val="0"/>
          <w:color w:val="auto"/>
          <w:szCs w:val="24"/>
        </w:rPr>
        <w:tab/>
      </w:r>
      <w:r>
        <w:rPr>
          <w:smallCaps w:val="0"/>
          <w:color w:val="auto"/>
          <w:szCs w:val="24"/>
        </w:rPr>
        <w:fldChar w:fldCharType="begin"/>
      </w:r>
      <w:r>
        <w:rPr>
          <w:smallCaps w:val="0"/>
          <w:color w:val="auto"/>
          <w:szCs w:val="24"/>
        </w:rPr>
        <w:instrText xml:space="preserve"> PAGEREF _Toc964 \h </w:instrText>
      </w:r>
      <w:r>
        <w:rPr>
          <w:smallCaps w:val="0"/>
          <w:color w:val="auto"/>
          <w:szCs w:val="24"/>
        </w:rPr>
        <w:fldChar w:fldCharType="separate"/>
      </w:r>
      <w:r>
        <w:rPr>
          <w:smallCaps w:val="0"/>
          <w:color w:val="auto"/>
          <w:szCs w:val="24"/>
        </w:rPr>
        <w:t>166</w:t>
      </w:r>
      <w:r>
        <w:rPr>
          <w:smallCaps w:val="0"/>
          <w:color w:val="auto"/>
          <w:szCs w:val="24"/>
        </w:rPr>
        <w:fldChar w:fldCharType="end"/>
      </w:r>
      <w:r>
        <w:rPr>
          <w:smallCaps w:val="0"/>
          <w:color w:val="auto"/>
          <w:szCs w:val="24"/>
        </w:rPr>
        <w:fldChar w:fldCharType="end"/>
      </w:r>
    </w:p>
    <w:p w14:paraId="3B258EFE">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"_Toc28615" </w:instrText>
      </w:r>
      <w:r>
        <w:rPr>
          <w:color w:val="auto"/>
        </w:rPr>
        <w:fldChar w:fldCharType="separate"/>
      </w:r>
      <w:r>
        <w:rPr>
          <w:rFonts w:hint="eastAsia" w:cs="黑体"/>
          <w:smallCaps w:val="0"/>
          <w:color w:val="auto"/>
          <w:szCs w:val="24"/>
        </w:rPr>
        <w:t>5.2本项目应重点防范的危险、有害因素</w:t>
      </w:r>
      <w:r>
        <w:rPr>
          <w:smallCaps w:val="0"/>
          <w:color w:val="auto"/>
          <w:szCs w:val="24"/>
        </w:rPr>
        <w:tab/>
      </w:r>
      <w:r>
        <w:rPr>
          <w:smallCaps w:val="0"/>
          <w:color w:val="auto"/>
          <w:szCs w:val="24"/>
        </w:rPr>
        <w:fldChar w:fldCharType="begin"/>
      </w:r>
      <w:r>
        <w:rPr>
          <w:smallCaps w:val="0"/>
          <w:color w:val="auto"/>
          <w:szCs w:val="24"/>
        </w:rPr>
        <w:instrText xml:space="preserve"> PAGEREF _Toc28615 \h </w:instrText>
      </w:r>
      <w:r>
        <w:rPr>
          <w:smallCaps w:val="0"/>
          <w:color w:val="auto"/>
          <w:szCs w:val="24"/>
        </w:rPr>
        <w:fldChar w:fldCharType="separate"/>
      </w:r>
      <w:r>
        <w:rPr>
          <w:smallCaps w:val="0"/>
          <w:color w:val="auto"/>
          <w:szCs w:val="24"/>
        </w:rPr>
        <w:t>166</w:t>
      </w:r>
      <w:r>
        <w:rPr>
          <w:smallCaps w:val="0"/>
          <w:color w:val="auto"/>
          <w:szCs w:val="24"/>
        </w:rPr>
        <w:fldChar w:fldCharType="end"/>
      </w:r>
      <w:r>
        <w:rPr>
          <w:smallCaps w:val="0"/>
          <w:color w:val="auto"/>
          <w:szCs w:val="24"/>
        </w:rPr>
        <w:fldChar w:fldCharType="end"/>
      </w:r>
    </w:p>
    <w:p w14:paraId="41F140EF">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"_Toc3753" </w:instrText>
      </w:r>
      <w:r>
        <w:rPr>
          <w:color w:val="auto"/>
        </w:rPr>
        <w:fldChar w:fldCharType="separate"/>
      </w:r>
      <w:r>
        <w:rPr>
          <w:rFonts w:hint="eastAsia" w:cs="黑体"/>
          <w:smallCaps w:val="0"/>
          <w:color w:val="auto"/>
          <w:szCs w:val="24"/>
        </w:rPr>
        <w:t>5.3本项目应重视的安全对策措施建议</w:t>
      </w:r>
      <w:r>
        <w:rPr>
          <w:smallCaps w:val="0"/>
          <w:color w:val="auto"/>
          <w:szCs w:val="24"/>
        </w:rPr>
        <w:tab/>
      </w:r>
      <w:r>
        <w:rPr>
          <w:smallCaps w:val="0"/>
          <w:color w:val="auto"/>
          <w:szCs w:val="24"/>
        </w:rPr>
        <w:fldChar w:fldCharType="begin"/>
      </w:r>
      <w:r>
        <w:rPr>
          <w:smallCaps w:val="0"/>
          <w:color w:val="auto"/>
          <w:szCs w:val="24"/>
        </w:rPr>
        <w:instrText xml:space="preserve"> PAGEREF _Toc3753 \h </w:instrText>
      </w:r>
      <w:r>
        <w:rPr>
          <w:smallCaps w:val="0"/>
          <w:color w:val="auto"/>
          <w:szCs w:val="24"/>
        </w:rPr>
        <w:fldChar w:fldCharType="separate"/>
      </w:r>
      <w:r>
        <w:rPr>
          <w:smallCaps w:val="0"/>
          <w:color w:val="auto"/>
          <w:szCs w:val="24"/>
        </w:rPr>
        <w:t>167</w:t>
      </w:r>
      <w:r>
        <w:rPr>
          <w:smallCaps w:val="0"/>
          <w:color w:val="auto"/>
          <w:szCs w:val="24"/>
        </w:rPr>
        <w:fldChar w:fldCharType="end"/>
      </w:r>
      <w:r>
        <w:rPr>
          <w:smallCaps w:val="0"/>
          <w:color w:val="auto"/>
          <w:szCs w:val="24"/>
        </w:rPr>
        <w:fldChar w:fldCharType="end"/>
      </w:r>
    </w:p>
    <w:p w14:paraId="7652E308">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"_Toc29360" </w:instrText>
      </w:r>
      <w:r>
        <w:rPr>
          <w:color w:val="auto"/>
        </w:rPr>
        <w:fldChar w:fldCharType="separate"/>
      </w:r>
      <w:r>
        <w:rPr>
          <w:rFonts w:hint="eastAsia" w:cs="黑体"/>
          <w:smallCaps w:val="0"/>
          <w:color w:val="auto"/>
          <w:szCs w:val="24"/>
        </w:rPr>
        <w:t>5.4安全预评价结论</w:t>
      </w:r>
      <w:r>
        <w:rPr>
          <w:smallCaps w:val="0"/>
          <w:color w:val="auto"/>
          <w:szCs w:val="24"/>
        </w:rPr>
        <w:tab/>
      </w:r>
      <w:r>
        <w:rPr>
          <w:smallCaps w:val="0"/>
          <w:color w:val="auto"/>
          <w:szCs w:val="24"/>
        </w:rPr>
        <w:fldChar w:fldCharType="begin"/>
      </w:r>
      <w:r>
        <w:rPr>
          <w:smallCaps w:val="0"/>
          <w:color w:val="auto"/>
          <w:szCs w:val="24"/>
        </w:rPr>
        <w:instrText xml:space="preserve"> PAGEREF _Toc29360 \h </w:instrText>
      </w:r>
      <w:r>
        <w:rPr>
          <w:smallCaps w:val="0"/>
          <w:color w:val="auto"/>
          <w:szCs w:val="24"/>
        </w:rPr>
        <w:fldChar w:fldCharType="separate"/>
      </w:r>
      <w:r>
        <w:rPr>
          <w:smallCaps w:val="0"/>
          <w:color w:val="auto"/>
          <w:szCs w:val="24"/>
        </w:rPr>
        <w:t>168</w:t>
      </w:r>
      <w:r>
        <w:rPr>
          <w:smallCaps w:val="0"/>
          <w:color w:val="auto"/>
          <w:szCs w:val="24"/>
        </w:rPr>
        <w:fldChar w:fldCharType="end"/>
      </w:r>
      <w:r>
        <w:rPr>
          <w:smallCaps w:val="0"/>
          <w:color w:val="auto"/>
          <w:szCs w:val="24"/>
        </w:rPr>
        <w:fldChar w:fldCharType="end"/>
      </w:r>
    </w:p>
    <w:p w14:paraId="6AB37B25">
      <w:pPr>
        <w:pStyle w:val="34"/>
        <w:tabs>
          <w:tab w:val="right" w:leader="dot" w:pos="9185"/>
        </w:tabs>
        <w:spacing w:before="120" w:after="120" w:line="360" w:lineRule="auto"/>
        <w:rPr>
          <w:b/>
          <w:caps w:val="0"/>
          <w:color w:val="auto"/>
          <w:szCs w:val="24"/>
        </w:rPr>
      </w:pPr>
      <w:r>
        <w:rPr>
          <w:color w:val="auto"/>
        </w:rPr>
        <w:fldChar w:fldCharType="begin"/>
      </w:r>
      <w:r>
        <w:rPr>
          <w:color w:val="auto"/>
        </w:rPr>
        <w:instrText xml:space="preserve"> HYPERLINK \l "_Toc2116" </w:instrText>
      </w:r>
      <w:r>
        <w:rPr>
          <w:color w:val="auto"/>
        </w:rPr>
        <w:fldChar w:fldCharType="separate"/>
      </w:r>
      <w:r>
        <w:rPr>
          <w:rFonts w:hint="eastAsia"/>
          <w:b/>
          <w:caps w:val="0"/>
          <w:color w:val="auto"/>
          <w:szCs w:val="24"/>
        </w:rPr>
        <w:t>6.附件及附图</w:t>
      </w:r>
      <w:r>
        <w:rPr>
          <w:b/>
          <w:caps w:val="0"/>
          <w:color w:val="auto"/>
          <w:szCs w:val="24"/>
        </w:rPr>
        <w:tab/>
      </w:r>
      <w:r>
        <w:rPr>
          <w:b/>
          <w:caps w:val="0"/>
          <w:color w:val="auto"/>
          <w:szCs w:val="24"/>
        </w:rPr>
        <w:fldChar w:fldCharType="begin"/>
      </w:r>
      <w:r>
        <w:rPr>
          <w:b/>
          <w:caps w:val="0"/>
          <w:color w:val="auto"/>
          <w:szCs w:val="24"/>
        </w:rPr>
        <w:instrText xml:space="preserve"> PAGEREF _Toc2116 \h </w:instrText>
      </w:r>
      <w:r>
        <w:rPr>
          <w:b/>
          <w:caps w:val="0"/>
          <w:color w:val="auto"/>
          <w:szCs w:val="24"/>
        </w:rPr>
        <w:fldChar w:fldCharType="separate"/>
      </w:r>
      <w:r>
        <w:rPr>
          <w:b/>
          <w:caps w:val="0"/>
          <w:color w:val="auto"/>
          <w:szCs w:val="24"/>
        </w:rPr>
        <w:t>171</w:t>
      </w:r>
      <w:r>
        <w:rPr>
          <w:b/>
          <w:caps w:val="0"/>
          <w:color w:val="auto"/>
          <w:szCs w:val="24"/>
        </w:rPr>
        <w:fldChar w:fldCharType="end"/>
      </w:r>
      <w:r>
        <w:rPr>
          <w:b/>
          <w:caps w:val="0"/>
          <w:color w:val="auto"/>
          <w:szCs w:val="24"/>
        </w:rPr>
        <w:fldChar w:fldCharType="end"/>
      </w:r>
    </w:p>
    <w:p w14:paraId="35759100">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"_Toc14208" </w:instrText>
      </w:r>
      <w:r>
        <w:rPr>
          <w:color w:val="auto"/>
        </w:rPr>
        <w:fldChar w:fldCharType="separate"/>
      </w:r>
      <w:r>
        <w:rPr>
          <w:rFonts w:hint="eastAsia" w:cs="黑体"/>
          <w:smallCaps w:val="0"/>
          <w:color w:val="auto"/>
          <w:szCs w:val="24"/>
        </w:rPr>
        <w:t>6.1附件</w:t>
      </w:r>
      <w:r>
        <w:rPr>
          <w:smallCaps w:val="0"/>
          <w:color w:val="auto"/>
          <w:szCs w:val="24"/>
        </w:rPr>
        <w:tab/>
      </w:r>
      <w:r>
        <w:rPr>
          <w:smallCaps w:val="0"/>
          <w:color w:val="auto"/>
          <w:szCs w:val="24"/>
        </w:rPr>
        <w:fldChar w:fldCharType="begin"/>
      </w:r>
      <w:r>
        <w:rPr>
          <w:smallCaps w:val="0"/>
          <w:color w:val="auto"/>
          <w:szCs w:val="24"/>
        </w:rPr>
        <w:instrText xml:space="preserve"> PAGEREF _Toc14208 \h </w:instrText>
      </w:r>
      <w:r>
        <w:rPr>
          <w:smallCaps w:val="0"/>
          <w:color w:val="auto"/>
          <w:szCs w:val="24"/>
        </w:rPr>
        <w:fldChar w:fldCharType="separate"/>
      </w:r>
      <w:r>
        <w:rPr>
          <w:smallCaps w:val="0"/>
          <w:color w:val="auto"/>
          <w:szCs w:val="24"/>
        </w:rPr>
        <w:t>171</w:t>
      </w:r>
      <w:r>
        <w:rPr>
          <w:smallCaps w:val="0"/>
          <w:color w:val="auto"/>
          <w:szCs w:val="24"/>
        </w:rPr>
        <w:fldChar w:fldCharType="end"/>
      </w:r>
      <w:r>
        <w:rPr>
          <w:smallCaps w:val="0"/>
          <w:color w:val="auto"/>
          <w:szCs w:val="24"/>
        </w:rPr>
        <w:fldChar w:fldCharType="end"/>
      </w:r>
    </w:p>
    <w:p w14:paraId="2AD2B013">
      <w:pPr>
        <w:pStyle w:val="40"/>
        <w:tabs>
          <w:tab w:val="right" w:leader="dot" w:pos="9185"/>
        </w:tabs>
        <w:spacing w:before="120" w:after="120" w:line="360" w:lineRule="auto"/>
        <w:rPr>
          <w:smallCaps w:val="0"/>
          <w:color w:val="auto"/>
          <w:szCs w:val="24"/>
        </w:rPr>
      </w:pPr>
      <w:r>
        <w:rPr>
          <w:color w:val="auto"/>
        </w:rPr>
        <w:fldChar w:fldCharType="begin"/>
      </w:r>
      <w:r>
        <w:rPr>
          <w:color w:val="auto"/>
        </w:rPr>
        <w:instrText xml:space="preserve"> HYPERLINK \l "_Toc31512" </w:instrText>
      </w:r>
      <w:r>
        <w:rPr>
          <w:color w:val="auto"/>
        </w:rPr>
        <w:fldChar w:fldCharType="separate"/>
      </w:r>
      <w:r>
        <w:rPr>
          <w:rFonts w:hint="eastAsia" w:cs="黑体"/>
          <w:smallCaps w:val="0"/>
          <w:color w:val="auto"/>
          <w:szCs w:val="24"/>
        </w:rPr>
        <w:t>6.2附图</w:t>
      </w:r>
      <w:r>
        <w:rPr>
          <w:smallCaps w:val="0"/>
          <w:color w:val="auto"/>
          <w:szCs w:val="24"/>
        </w:rPr>
        <w:tab/>
      </w:r>
      <w:r>
        <w:rPr>
          <w:smallCaps w:val="0"/>
          <w:color w:val="auto"/>
          <w:szCs w:val="24"/>
        </w:rPr>
        <w:fldChar w:fldCharType="begin"/>
      </w:r>
      <w:r>
        <w:rPr>
          <w:smallCaps w:val="0"/>
          <w:color w:val="auto"/>
          <w:szCs w:val="24"/>
        </w:rPr>
        <w:instrText xml:space="preserve"> PAGEREF _Toc31512 \h </w:instrText>
      </w:r>
      <w:r>
        <w:rPr>
          <w:smallCaps w:val="0"/>
          <w:color w:val="auto"/>
          <w:szCs w:val="24"/>
        </w:rPr>
        <w:fldChar w:fldCharType="separate"/>
      </w:r>
      <w:r>
        <w:rPr>
          <w:smallCaps w:val="0"/>
          <w:color w:val="auto"/>
          <w:szCs w:val="24"/>
        </w:rPr>
        <w:t>172</w:t>
      </w:r>
      <w:r>
        <w:rPr>
          <w:smallCaps w:val="0"/>
          <w:color w:val="auto"/>
          <w:szCs w:val="24"/>
        </w:rPr>
        <w:fldChar w:fldCharType="end"/>
      </w:r>
      <w:r>
        <w:rPr>
          <w:smallCaps w:val="0"/>
          <w:color w:val="auto"/>
          <w:szCs w:val="24"/>
        </w:rPr>
        <w:fldChar w:fldCharType="end"/>
      </w:r>
    </w:p>
    <w:p w14:paraId="189B1BE1">
      <w:pPr>
        <w:spacing w:before="120" w:after="120" w:line="360" w:lineRule="auto"/>
        <w:rPr>
          <w:color w:val="auto"/>
          <w:sz w:val="28"/>
          <w:szCs w:val="28"/>
        </w:rPr>
        <w:sectPr>
          <w:footerReference r:id="rId6" w:type="default"/>
          <w:pgSz w:w="11906" w:h="16838"/>
          <w:pgMar w:top="1417" w:right="1134" w:bottom="1134" w:left="1587" w:header="851" w:footer="992" w:gutter="0"/>
          <w:pgNumType w:fmt="upperRoman" w:start="1"/>
          <w:cols w:space="0" w:num="1"/>
          <w:docGrid w:linePitch="312" w:charSpace="0"/>
        </w:sectPr>
      </w:pPr>
      <w:r>
        <w:rPr>
          <w:color w:val="auto"/>
          <w:sz w:val="24"/>
          <w:szCs w:val="24"/>
        </w:rPr>
        <w:fldChar w:fldCharType="end"/>
      </w:r>
    </w:p>
    <w:p w14:paraId="24AB2FBA">
      <w:pPr>
        <w:pStyle w:val="77"/>
        <w:numPr>
          <w:ilvl w:val="0"/>
          <w:numId w:val="0"/>
        </w:numPr>
        <w:spacing w:before="0" w:after="0"/>
        <w:rPr>
          <w:rFonts w:cs="黑体"/>
          <w:color w:val="auto"/>
          <w:sz w:val="32"/>
          <w:szCs w:val="16"/>
        </w:rPr>
      </w:pPr>
      <w:bookmarkStart w:id="2" w:name="_Toc16363"/>
      <w:bookmarkStart w:id="3" w:name="_Toc28374"/>
      <w:r>
        <w:rPr>
          <w:rFonts w:hint="eastAsia" w:cs="黑体"/>
          <w:color w:val="auto"/>
          <w:sz w:val="32"/>
          <w:szCs w:val="16"/>
        </w:rPr>
        <w:t>1</w:t>
      </w:r>
      <w:bookmarkStart w:id="4" w:name="_Toc501120256"/>
      <w:r>
        <w:rPr>
          <w:rFonts w:hint="eastAsia" w:cs="黑体"/>
          <w:color w:val="auto"/>
          <w:sz w:val="32"/>
          <w:szCs w:val="16"/>
        </w:rPr>
        <w:t>.评价目的与依据</w:t>
      </w:r>
      <w:bookmarkEnd w:id="2"/>
      <w:bookmarkEnd w:id="3"/>
      <w:bookmarkEnd w:id="4"/>
    </w:p>
    <w:p w14:paraId="525E8699">
      <w:pPr>
        <w:pStyle w:val="81"/>
        <w:numPr>
          <w:ilvl w:val="1"/>
          <w:numId w:val="0"/>
        </w:numPr>
        <w:spacing w:before="0" w:after="0"/>
        <w:jc w:val="center"/>
        <w:rPr>
          <w:rFonts w:cs="黑体"/>
          <w:color w:val="auto"/>
          <w:sz w:val="30"/>
          <w:szCs w:val="30"/>
        </w:rPr>
      </w:pPr>
      <w:bookmarkStart w:id="5" w:name="_Toc501078341"/>
      <w:bookmarkEnd w:id="5"/>
      <w:bookmarkStart w:id="6" w:name="_Toc501078275"/>
      <w:bookmarkEnd w:id="6"/>
      <w:bookmarkStart w:id="7" w:name="_Toc10940"/>
      <w:bookmarkStart w:id="8" w:name="_Toc501120257"/>
      <w:bookmarkStart w:id="9" w:name="_Toc8640"/>
      <w:r>
        <w:rPr>
          <w:rFonts w:hint="eastAsia" w:cs="黑体"/>
          <w:color w:val="auto"/>
          <w:sz w:val="30"/>
          <w:szCs w:val="30"/>
        </w:rPr>
        <w:t>1.1评价对象和范围</w:t>
      </w:r>
      <w:bookmarkEnd w:id="7"/>
      <w:bookmarkEnd w:id="8"/>
      <w:bookmarkEnd w:id="9"/>
    </w:p>
    <w:p w14:paraId="6D05813D">
      <w:pPr>
        <w:pStyle w:val="5"/>
        <w:keepNext/>
        <w:keepLines/>
        <w:snapToGrid w:val="0"/>
        <w:spacing w:line="360" w:lineRule="auto"/>
        <w:ind w:firstLine="562" w:firstLineChars="200"/>
        <w:jc w:val="left"/>
        <w:rPr>
          <w:rFonts w:cs="Times New Roman"/>
          <w:b/>
          <w:color w:val="auto"/>
          <w:sz w:val="28"/>
          <w:szCs w:val="32"/>
          <w:lang w:val="en-GB"/>
        </w:rPr>
      </w:pPr>
      <w:bookmarkStart w:id="10" w:name="_Toc17838"/>
      <w:bookmarkStart w:id="11" w:name="_Toc17679"/>
      <w:bookmarkStart w:id="12" w:name="_Toc24593"/>
      <w:bookmarkStart w:id="13" w:name="_Toc22355"/>
      <w:bookmarkStart w:id="14" w:name="_Toc501120258"/>
      <w:bookmarkStart w:id="15" w:name="_Toc12771"/>
      <w:bookmarkStart w:id="16" w:name="_Toc25554"/>
      <w:bookmarkStart w:id="17" w:name="_Toc28813"/>
      <w:bookmarkStart w:id="18" w:name="_Toc501120259"/>
      <w:r>
        <w:rPr>
          <w:rFonts w:hint="eastAsia" w:cs="Times New Roman"/>
          <w:b/>
          <w:color w:val="auto"/>
          <w:sz w:val="28"/>
          <w:szCs w:val="32"/>
          <w:lang w:val="en-GB"/>
        </w:rPr>
        <w:t>1.1.1评价对象</w:t>
      </w:r>
      <w:bookmarkEnd w:id="10"/>
      <w:bookmarkEnd w:id="11"/>
      <w:bookmarkEnd w:id="12"/>
      <w:bookmarkEnd w:id="13"/>
      <w:bookmarkEnd w:id="14"/>
      <w:bookmarkEnd w:id="15"/>
      <w:bookmarkEnd w:id="16"/>
      <w:bookmarkEnd w:id="17"/>
    </w:p>
    <w:p w14:paraId="32AAD735">
      <w:pPr>
        <w:pStyle w:val="66"/>
        <w:ind w:firstLine="560"/>
        <w:rPr>
          <w:color w:val="auto"/>
        </w:rPr>
      </w:pPr>
      <w:bookmarkStart w:id="19" w:name="_Hlk501312713"/>
      <w:r>
        <w:rPr>
          <w:rFonts w:cs="Times New Roman"/>
          <w:color w:val="auto"/>
          <w:lang w:val="en-GB"/>
        </w:rPr>
        <w:t>根据《中华人民共和国安全生产法》（中华人民共和国主席令第88号，2021年6月10日第十三届全国人民代表大会常务委员会第二十九次会议《关于修改</w:t>
      </w:r>
      <w:r>
        <w:rPr>
          <w:rFonts w:hint="eastAsia" w:cs="Times New Roman"/>
          <w:color w:val="auto"/>
          <w:lang w:val="en-GB"/>
        </w:rPr>
        <w:t>〈</w:t>
      </w:r>
      <w:r>
        <w:rPr>
          <w:rFonts w:cs="Times New Roman"/>
          <w:color w:val="auto"/>
          <w:lang w:val="en-GB"/>
        </w:rPr>
        <w:t>中华人民共和国安全生产法</w:t>
      </w:r>
      <w:r>
        <w:rPr>
          <w:rFonts w:hint="eastAsia" w:cs="Times New Roman"/>
          <w:color w:val="auto"/>
          <w:lang w:val="en-GB"/>
        </w:rPr>
        <w:t>〉</w:t>
      </w:r>
      <w:r>
        <w:rPr>
          <w:rFonts w:cs="Times New Roman"/>
          <w:color w:val="auto"/>
          <w:lang w:val="en-GB"/>
        </w:rPr>
        <w:t>的决定》第三次修正，自2021年9月1日起施行）、《金属非金属矿山建设项目安全设施目录（试行）》（国家安全监管总局令第75号）和其他有关法律法规的规定</w:t>
      </w:r>
      <w:r>
        <w:rPr>
          <w:rFonts w:hint="eastAsia" w:cs="Times New Roman"/>
          <w:color w:val="auto"/>
          <w:lang w:val="en-GB"/>
        </w:rPr>
        <w:t>，</w:t>
      </w:r>
      <w:r>
        <w:rPr>
          <w:rFonts w:cs="Times New Roman"/>
          <w:color w:val="auto"/>
          <w:lang w:val="en-GB"/>
        </w:rPr>
        <w:t>本次评价对象为</w:t>
      </w:r>
      <w:r>
        <w:rPr>
          <w:rFonts w:hint="eastAsia" w:cs="Times New Roman"/>
          <w:color w:val="auto"/>
        </w:rPr>
        <w:t>玉龙县鼎康建材有限责任公司玉龙县吉余砂石料厂建筑石料用灰岩矿3</w:t>
      </w:r>
      <w:r>
        <w:rPr>
          <w:rFonts w:cs="Times New Roman"/>
          <w:color w:val="auto"/>
          <w:lang w:val="en-GB"/>
        </w:rPr>
        <w:t>0万t/a露天采矿工程。</w:t>
      </w:r>
      <w:bookmarkEnd w:id="19"/>
    </w:p>
    <w:p w14:paraId="4DB7192C">
      <w:pPr>
        <w:pStyle w:val="5"/>
        <w:keepNext/>
        <w:keepLines/>
        <w:snapToGrid w:val="0"/>
        <w:spacing w:line="360" w:lineRule="auto"/>
        <w:ind w:firstLine="562" w:firstLineChars="200"/>
        <w:jc w:val="left"/>
        <w:rPr>
          <w:rFonts w:cs="Times New Roman"/>
          <w:b/>
          <w:color w:val="auto"/>
          <w:sz w:val="28"/>
          <w:szCs w:val="32"/>
          <w:lang w:val="en-GB"/>
        </w:rPr>
      </w:pPr>
      <w:bookmarkStart w:id="20" w:name="_Toc15246"/>
      <w:bookmarkStart w:id="21" w:name="_Toc15351"/>
      <w:bookmarkStart w:id="22" w:name="_Toc31162"/>
      <w:bookmarkStart w:id="23" w:name="_Toc10342"/>
      <w:bookmarkStart w:id="24" w:name="_Toc30960"/>
      <w:bookmarkStart w:id="25" w:name="_Toc25507"/>
      <w:bookmarkStart w:id="26" w:name="_Toc26039"/>
      <w:r>
        <w:rPr>
          <w:rFonts w:hint="eastAsia" w:cs="Times New Roman"/>
          <w:b/>
          <w:color w:val="auto"/>
          <w:sz w:val="28"/>
          <w:szCs w:val="32"/>
          <w:lang w:val="en-GB"/>
        </w:rPr>
        <w:t>1.1.2</w:t>
      </w:r>
      <w:bookmarkEnd w:id="18"/>
      <w:bookmarkEnd w:id="20"/>
      <w:bookmarkEnd w:id="21"/>
      <w:bookmarkEnd w:id="22"/>
      <w:r>
        <w:rPr>
          <w:rFonts w:hint="eastAsia" w:cs="Times New Roman"/>
          <w:b/>
          <w:color w:val="auto"/>
          <w:sz w:val="28"/>
          <w:szCs w:val="32"/>
          <w:lang w:val="en-GB"/>
        </w:rPr>
        <w:t>评价范围</w:t>
      </w:r>
      <w:bookmarkEnd w:id="23"/>
      <w:bookmarkEnd w:id="24"/>
      <w:bookmarkEnd w:id="25"/>
      <w:bookmarkEnd w:id="26"/>
    </w:p>
    <w:p w14:paraId="665EE2FD">
      <w:pPr>
        <w:spacing w:line="360" w:lineRule="auto"/>
        <w:ind w:firstLine="560" w:firstLineChars="200"/>
        <w:rPr>
          <w:snapToGrid w:val="0"/>
          <w:color w:val="auto"/>
          <w:kern w:val="0"/>
          <w:sz w:val="28"/>
          <w:lang w:val="sq-AL"/>
        </w:rPr>
      </w:pPr>
      <w:bookmarkStart w:id="27" w:name="_Hlk501312751"/>
      <w:r>
        <w:rPr>
          <w:snapToGrid w:val="0"/>
          <w:color w:val="auto"/>
          <w:kern w:val="0"/>
          <w:sz w:val="28"/>
          <w:lang w:val="sq-AL"/>
        </w:rPr>
        <w:t>本次安全</w:t>
      </w:r>
      <w:r>
        <w:rPr>
          <w:snapToGrid w:val="0"/>
          <w:color w:val="auto"/>
          <w:kern w:val="0"/>
          <w:sz w:val="28"/>
        </w:rPr>
        <w:t>预</w:t>
      </w:r>
      <w:r>
        <w:rPr>
          <w:snapToGrid w:val="0"/>
          <w:color w:val="auto"/>
          <w:kern w:val="0"/>
          <w:sz w:val="28"/>
          <w:lang w:val="sq-AL"/>
        </w:rPr>
        <w:t>评价的</w:t>
      </w:r>
      <w:r>
        <w:rPr>
          <w:snapToGrid w:val="0"/>
          <w:color w:val="auto"/>
          <w:kern w:val="0"/>
          <w:sz w:val="28"/>
        </w:rPr>
        <w:t>空间</w:t>
      </w:r>
      <w:r>
        <w:rPr>
          <w:snapToGrid w:val="0"/>
          <w:color w:val="auto"/>
          <w:kern w:val="0"/>
          <w:sz w:val="28"/>
          <w:lang w:val="sq-AL"/>
        </w:rPr>
        <w:t>范围与</w:t>
      </w:r>
      <w:r>
        <w:rPr>
          <w:snapToGrid w:val="0"/>
          <w:color w:val="auto"/>
          <w:kern w:val="0"/>
          <w:sz w:val="28"/>
        </w:rPr>
        <w:t>初步</w:t>
      </w:r>
      <w:r>
        <w:rPr>
          <w:snapToGrid w:val="0"/>
          <w:color w:val="auto"/>
          <w:kern w:val="0"/>
          <w:sz w:val="28"/>
          <w:lang w:val="sq-AL"/>
        </w:rPr>
        <w:t>设计（</w:t>
      </w:r>
      <w:r>
        <w:rPr>
          <w:snapToGrid w:val="0"/>
          <w:color w:val="auto"/>
          <w:kern w:val="0"/>
          <w:sz w:val="28"/>
        </w:rPr>
        <w:t>代可研</w:t>
      </w:r>
      <w:r>
        <w:rPr>
          <w:snapToGrid w:val="0"/>
          <w:color w:val="auto"/>
          <w:kern w:val="0"/>
          <w:sz w:val="28"/>
          <w:lang w:val="sq-AL"/>
        </w:rPr>
        <w:t>）</w:t>
      </w:r>
      <w:r>
        <w:rPr>
          <w:snapToGrid w:val="0"/>
          <w:color w:val="auto"/>
          <w:kern w:val="0"/>
          <w:sz w:val="28"/>
        </w:rPr>
        <w:t>的设计</w:t>
      </w:r>
      <w:r>
        <w:rPr>
          <w:snapToGrid w:val="0"/>
          <w:color w:val="auto"/>
          <w:kern w:val="0"/>
          <w:sz w:val="28"/>
          <w:lang w:val="sq-AL"/>
        </w:rPr>
        <w:t>范围一致。</w:t>
      </w:r>
    </w:p>
    <w:p w14:paraId="13EA6348">
      <w:pPr>
        <w:pStyle w:val="6"/>
        <w:keepNext w:val="0"/>
        <w:keepLines w:val="0"/>
        <w:spacing w:before="0" w:after="0" w:line="360" w:lineRule="auto"/>
        <w:ind w:firstLine="560" w:firstLineChars="200"/>
        <w:rPr>
          <w:rFonts w:ascii="Times New Roman" w:hAnsi="Times New Roman" w:eastAsia="宋体" w:cs="Times New Roman"/>
          <w:color w:val="auto"/>
        </w:rPr>
      </w:pPr>
      <w:r>
        <w:rPr>
          <w:rFonts w:ascii="Times New Roman" w:hAnsi="Times New Roman" w:eastAsia="宋体"/>
          <w:b w:val="0"/>
          <w:bCs w:val="0"/>
          <w:color w:val="auto"/>
        </w:rPr>
        <w:t>1.1.2.</w:t>
      </w:r>
      <w:r>
        <w:rPr>
          <w:rFonts w:hint="eastAsia" w:ascii="Times New Roman" w:hAnsi="Times New Roman" w:eastAsia="宋体"/>
          <w:b w:val="0"/>
          <w:bCs w:val="0"/>
          <w:color w:val="auto"/>
        </w:rPr>
        <w:t>2</w:t>
      </w:r>
      <w:r>
        <w:rPr>
          <w:rFonts w:ascii="Times New Roman" w:hAnsi="Times New Roman" w:eastAsia="宋体"/>
          <w:b w:val="0"/>
          <w:bCs w:val="0"/>
          <w:color w:val="auto"/>
        </w:rPr>
        <w:t xml:space="preserve"> </w:t>
      </w:r>
      <w:r>
        <w:rPr>
          <w:rFonts w:hint="eastAsia" w:ascii="Times New Roman" w:hAnsi="Times New Roman" w:eastAsia="宋体" w:cs="Times New Roman"/>
          <w:color w:val="auto"/>
        </w:rPr>
        <w:t>项目系统范围</w:t>
      </w:r>
    </w:p>
    <w:p w14:paraId="38453784">
      <w:pPr>
        <w:spacing w:line="360" w:lineRule="auto"/>
        <w:ind w:firstLine="560" w:firstLineChars="200"/>
        <w:rPr>
          <w:snapToGrid w:val="0"/>
          <w:color w:val="auto"/>
          <w:kern w:val="0"/>
          <w:sz w:val="28"/>
          <w:lang w:val="sq-AL"/>
        </w:rPr>
      </w:pPr>
      <w:r>
        <w:rPr>
          <w:snapToGrid w:val="0"/>
          <w:color w:val="auto"/>
          <w:kern w:val="0"/>
          <w:sz w:val="28"/>
          <w:lang w:val="sq-AL"/>
        </w:rPr>
        <w:t>本次安全预评价根据</w:t>
      </w:r>
      <w:r>
        <w:rPr>
          <w:rFonts w:cs="Times New Roman"/>
          <w:bCs/>
          <w:color w:val="auto"/>
          <w:sz w:val="28"/>
          <w:szCs w:val="28"/>
        </w:rPr>
        <w:t>《</w:t>
      </w:r>
      <w:r>
        <w:rPr>
          <w:rFonts w:hint="eastAsia" w:cs="Times New Roman"/>
          <w:color w:val="auto"/>
          <w:sz w:val="28"/>
          <w:szCs w:val="28"/>
        </w:rPr>
        <w:t>玉龙县鼎康建材有限责任公司玉龙县吉余砂石料厂建筑石料用灰岩矿3</w:t>
      </w:r>
      <w:r>
        <w:rPr>
          <w:rFonts w:cs="Times New Roman"/>
          <w:bCs/>
          <w:color w:val="auto"/>
          <w:sz w:val="28"/>
          <w:szCs w:val="28"/>
        </w:rPr>
        <w:t>0万t/a露天采矿工程初步设计</w:t>
      </w:r>
      <w:r>
        <w:rPr>
          <w:rFonts w:hint="eastAsia" w:cs="Times New Roman"/>
          <w:color w:val="auto"/>
          <w:sz w:val="28"/>
          <w:szCs w:val="28"/>
        </w:rPr>
        <w:t>（代可研）》</w:t>
      </w:r>
      <w:r>
        <w:rPr>
          <w:snapToGrid w:val="0"/>
          <w:color w:val="auto"/>
          <w:kern w:val="0"/>
          <w:sz w:val="28"/>
          <w:lang w:val="sq-AL"/>
        </w:rPr>
        <w:t>确定的露天开采系统开展评价工作。评价工作以露天开采生产工艺为主线，以安全设施（包括基本安全设施和专用安全设施）为重点的安全评价。本次安全预评价范围包括</w:t>
      </w:r>
      <w:r>
        <w:rPr>
          <w:rFonts w:hint="eastAsia" w:cs="Times New Roman"/>
          <w:color w:val="auto"/>
          <w:sz w:val="28"/>
          <w:szCs w:val="28"/>
        </w:rPr>
        <w:t>玉龙县鼎康建材有限责任公司玉龙县吉余砂石料厂建筑石料用灰岩矿3</w:t>
      </w:r>
      <w:r>
        <w:rPr>
          <w:rFonts w:cs="Times New Roman"/>
          <w:bCs/>
          <w:color w:val="auto"/>
          <w:sz w:val="28"/>
          <w:szCs w:val="28"/>
        </w:rPr>
        <w:t>0万t/a露天采矿工程</w:t>
      </w:r>
      <w:r>
        <w:rPr>
          <w:snapToGrid w:val="0"/>
          <w:color w:val="auto"/>
          <w:kern w:val="0"/>
          <w:sz w:val="28"/>
          <w:lang w:val="sq-AL"/>
        </w:rPr>
        <w:t>总平面布置、开拓运输、</w:t>
      </w:r>
      <w:r>
        <w:rPr>
          <w:snapToGrid w:val="0"/>
          <w:color w:val="auto"/>
          <w:kern w:val="0"/>
          <w:sz w:val="28"/>
        </w:rPr>
        <w:t>采剥工艺、</w:t>
      </w:r>
      <w:r>
        <w:rPr>
          <w:snapToGrid w:val="0"/>
          <w:color w:val="auto"/>
          <w:kern w:val="0"/>
          <w:sz w:val="28"/>
          <w:lang w:val="sq-AL"/>
        </w:rPr>
        <w:t>供配电、防排水及安全管理等方面的基本安全设施和专用安全设施。</w:t>
      </w:r>
    </w:p>
    <w:p w14:paraId="296C21F4">
      <w:pPr>
        <w:snapToGrid w:val="0"/>
        <w:spacing w:line="360" w:lineRule="auto"/>
        <w:ind w:firstLine="560" w:firstLineChars="200"/>
        <w:rPr>
          <w:rFonts w:cs="Times New Roman"/>
          <w:color w:val="auto"/>
          <w:sz w:val="28"/>
          <w:szCs w:val="28"/>
          <w:lang w:val="en-GB"/>
        </w:rPr>
      </w:pPr>
      <w:r>
        <w:rPr>
          <w:snapToGrid w:val="0"/>
          <w:color w:val="auto"/>
          <w:kern w:val="0"/>
          <w:sz w:val="28"/>
          <w:lang w:val="sq-AL"/>
        </w:rPr>
        <w:t>凡涉及本工程的</w:t>
      </w:r>
      <w:r>
        <w:rPr>
          <w:rFonts w:hint="eastAsia"/>
          <w:snapToGrid w:val="0"/>
          <w:color w:val="auto"/>
          <w:kern w:val="0"/>
          <w:sz w:val="28"/>
          <w:lang w:val="sq-AL"/>
        </w:rPr>
        <w:t>界外边坡治理工程</w:t>
      </w:r>
      <w:r>
        <w:rPr>
          <w:rFonts w:hint="eastAsia"/>
          <w:snapToGrid w:val="0"/>
          <w:color w:val="auto"/>
          <w:kern w:val="0"/>
          <w:sz w:val="28"/>
          <w:lang w:val="sq-AL" w:eastAsia="zh-CN"/>
        </w:rPr>
        <w:t>、</w:t>
      </w:r>
      <w:r>
        <w:rPr>
          <w:snapToGrid w:val="0"/>
          <w:color w:val="auto"/>
          <w:kern w:val="0"/>
          <w:sz w:val="28"/>
          <w:lang w:val="sq-AL"/>
        </w:rPr>
        <w:t>油类存储、消防、加工系统、职业病及防治、环保、地质灾害评估问题，不在本次评价范围之内，但评价报告中会涉及到相关内容，企业应执行国家相关法律、法规、标准和规范要求</w:t>
      </w:r>
      <w:r>
        <w:rPr>
          <w:rFonts w:cs="Times New Roman"/>
          <w:color w:val="auto"/>
          <w:sz w:val="28"/>
          <w:szCs w:val="28"/>
          <w:lang w:val="en-GB"/>
        </w:rPr>
        <w:t>。</w:t>
      </w:r>
    </w:p>
    <w:bookmarkEnd w:id="27"/>
    <w:p w14:paraId="5251FDB9">
      <w:pPr>
        <w:pStyle w:val="81"/>
        <w:numPr>
          <w:ilvl w:val="1"/>
          <w:numId w:val="0"/>
        </w:numPr>
        <w:spacing w:before="0" w:after="0"/>
        <w:jc w:val="center"/>
        <w:rPr>
          <w:rFonts w:hint="eastAsia" w:cs="黑体"/>
          <w:color w:val="auto"/>
          <w:sz w:val="30"/>
          <w:szCs w:val="30"/>
        </w:rPr>
      </w:pPr>
      <w:bookmarkStart w:id="28" w:name="_Toc31434362"/>
      <w:bookmarkStart w:id="29" w:name="_Toc20114061"/>
      <w:bookmarkStart w:id="30" w:name="_Toc91061467"/>
      <w:bookmarkStart w:id="31" w:name="_Toc91061384"/>
      <w:bookmarkStart w:id="32" w:name="_Toc15189157"/>
      <w:bookmarkStart w:id="33" w:name="_Toc43199261"/>
      <w:bookmarkStart w:id="34" w:name="_Toc501120260"/>
      <w:bookmarkStart w:id="35" w:name="_Toc40432550"/>
      <w:bookmarkStart w:id="36" w:name="_Toc8875"/>
      <w:bookmarkStart w:id="37" w:name="_Toc33409087"/>
      <w:bookmarkStart w:id="38" w:name="_Toc33343438"/>
      <w:bookmarkStart w:id="39" w:name="_Toc62397040"/>
      <w:bookmarkStart w:id="40" w:name="_Toc374352217"/>
      <w:bookmarkStart w:id="41" w:name="_Toc20114382"/>
      <w:bookmarkStart w:id="42" w:name="_Toc19990"/>
      <w:bookmarkStart w:id="43" w:name="_Toc71798308"/>
      <w:bookmarkStart w:id="44" w:name="_Toc91061087"/>
      <w:bookmarkStart w:id="45" w:name="_Toc43191078"/>
      <w:bookmarkStart w:id="46" w:name="_Toc92173036"/>
      <w:bookmarkStart w:id="47" w:name="_Toc91061524"/>
      <w:bookmarkStart w:id="48" w:name="_Toc91061312"/>
      <w:bookmarkStart w:id="49" w:name="_Toc20114861"/>
      <w:bookmarkStart w:id="50" w:name="_Toc23944573"/>
      <w:bookmarkStart w:id="51" w:name="_Toc29991"/>
      <w:bookmarkStart w:id="52" w:name="_Toc91758840"/>
      <w:bookmarkStart w:id="53" w:name="_Toc19930500"/>
      <w:bookmarkStart w:id="54" w:name="_Toc20043491"/>
      <w:bookmarkStart w:id="55" w:name="_Toc105675954"/>
      <w:bookmarkStart w:id="56" w:name="_Toc226963117"/>
      <w:bookmarkStart w:id="57" w:name="_Toc105730319"/>
      <w:bookmarkStart w:id="58" w:name="_Toc115120208"/>
      <w:bookmarkStart w:id="59" w:name="_Toc184701521"/>
      <w:bookmarkStart w:id="60" w:name="_Toc105675474"/>
      <w:bookmarkStart w:id="61" w:name="_Toc115120602"/>
      <w:bookmarkStart w:id="62" w:name="_Toc105674756"/>
      <w:bookmarkStart w:id="63" w:name="_Toc167693751"/>
    </w:p>
    <w:p w14:paraId="0CC61277">
      <w:pPr>
        <w:pStyle w:val="81"/>
        <w:numPr>
          <w:ilvl w:val="1"/>
          <w:numId w:val="0"/>
        </w:numPr>
        <w:spacing w:before="0" w:after="0"/>
        <w:jc w:val="center"/>
        <w:rPr>
          <w:rFonts w:hint="eastAsia" w:cs="黑体"/>
          <w:color w:val="auto"/>
          <w:sz w:val="30"/>
          <w:szCs w:val="30"/>
        </w:rPr>
      </w:pPr>
    </w:p>
    <w:p w14:paraId="0726B268">
      <w:pPr>
        <w:pStyle w:val="81"/>
        <w:numPr>
          <w:ilvl w:val="1"/>
          <w:numId w:val="0"/>
        </w:numPr>
        <w:spacing w:before="0" w:after="0"/>
        <w:jc w:val="center"/>
        <w:rPr>
          <w:rFonts w:cs="黑体"/>
          <w:color w:val="auto"/>
          <w:sz w:val="30"/>
          <w:szCs w:val="30"/>
        </w:rPr>
      </w:pPr>
      <w:r>
        <w:rPr>
          <w:rFonts w:hint="eastAsia" w:cs="黑体"/>
          <w:color w:val="auto"/>
          <w:sz w:val="30"/>
          <w:szCs w:val="30"/>
        </w:rPr>
        <w:t>1.2评价依据</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46F5F258">
      <w:pPr>
        <w:pStyle w:val="5"/>
        <w:keepNext/>
        <w:keepLines/>
        <w:snapToGrid w:val="0"/>
        <w:spacing w:line="360" w:lineRule="auto"/>
        <w:ind w:firstLine="562" w:firstLineChars="200"/>
        <w:jc w:val="left"/>
        <w:rPr>
          <w:rFonts w:cs="Times New Roman"/>
          <w:b/>
          <w:color w:val="auto"/>
          <w:sz w:val="28"/>
          <w:szCs w:val="32"/>
          <w:lang w:val="en-GB"/>
        </w:rPr>
      </w:pPr>
      <w:bookmarkStart w:id="64" w:name="_Toc16619"/>
      <w:bookmarkStart w:id="65" w:name="_Toc9338"/>
      <w:bookmarkStart w:id="66" w:name="_Toc23990"/>
      <w:bookmarkStart w:id="67" w:name="_Toc1255"/>
      <w:bookmarkStart w:id="68" w:name="_Toc30188"/>
      <w:bookmarkStart w:id="69" w:name="_Toc1840"/>
      <w:bookmarkStart w:id="70" w:name="_Toc16492"/>
      <w:r>
        <w:rPr>
          <w:rFonts w:hint="eastAsia" w:cs="Times New Roman"/>
          <w:b/>
          <w:color w:val="auto"/>
          <w:sz w:val="28"/>
          <w:szCs w:val="32"/>
          <w:lang w:val="en-GB"/>
        </w:rPr>
        <w:t>1.2.1法律法规</w:t>
      </w:r>
      <w:bookmarkEnd w:id="64"/>
      <w:bookmarkEnd w:id="65"/>
      <w:bookmarkEnd w:id="66"/>
      <w:bookmarkEnd w:id="67"/>
      <w:bookmarkEnd w:id="68"/>
      <w:bookmarkEnd w:id="69"/>
      <w:bookmarkEnd w:id="70"/>
    </w:p>
    <w:p w14:paraId="7EC6BD42">
      <w:pPr>
        <w:pStyle w:val="85"/>
        <w:numPr>
          <w:ilvl w:val="3"/>
          <w:numId w:val="0"/>
        </w:numPr>
        <w:ind w:firstLine="560" w:firstLineChars="200"/>
        <w:rPr>
          <w:rFonts w:cs="黑体"/>
          <w:b w:val="0"/>
          <w:bCs/>
          <w:color w:val="auto"/>
        </w:rPr>
      </w:pPr>
      <w:bookmarkStart w:id="71" w:name="_Toc501120261"/>
      <w:bookmarkStart w:id="72" w:name="_Toc79"/>
      <w:bookmarkStart w:id="73" w:name="_Toc167693749"/>
      <w:bookmarkStart w:id="74" w:name="_Toc326668528"/>
      <w:bookmarkStart w:id="75" w:name="_Toc374352218"/>
      <w:bookmarkStart w:id="76" w:name="_Toc18875"/>
      <w:r>
        <w:rPr>
          <w:rFonts w:hint="eastAsia" w:cs="黑体"/>
          <w:b w:val="0"/>
          <w:bCs/>
          <w:color w:val="auto"/>
        </w:rPr>
        <w:t>1.2.1.1法律</w:t>
      </w:r>
      <w:bookmarkEnd w:id="71"/>
      <w:bookmarkEnd w:id="72"/>
    </w:p>
    <w:p w14:paraId="63111678">
      <w:pPr>
        <w:pStyle w:val="73"/>
        <w:numPr>
          <w:ilvl w:val="0"/>
          <w:numId w:val="10"/>
        </w:numPr>
        <w:ind w:left="0" w:firstLine="560"/>
        <w:rPr>
          <w:rFonts w:cs="Times New Roman"/>
          <w:color w:val="auto"/>
        </w:rPr>
      </w:pPr>
      <w:r>
        <w:rPr>
          <w:rFonts w:cs="Times New Roman"/>
          <w:color w:val="auto"/>
        </w:rPr>
        <w:t>《中华人民共和国突发事件应对法》（</w:t>
      </w:r>
      <w:r>
        <w:rPr>
          <w:rFonts w:hint="eastAsia" w:cs="Times New Roman"/>
          <w:color w:val="auto"/>
        </w:rPr>
        <w:t>2007年8月30日</w:t>
      </w:r>
      <w:r>
        <w:rPr>
          <w:rFonts w:cs="Times New Roman"/>
          <w:color w:val="auto"/>
        </w:rPr>
        <w:t>中华人民共和国主席令</w:t>
      </w:r>
      <w:r>
        <w:rPr>
          <w:rFonts w:hint="eastAsia" w:cs="Times New Roman"/>
          <w:color w:val="auto"/>
        </w:rPr>
        <w:t>六十九</w:t>
      </w:r>
      <w:r>
        <w:rPr>
          <w:rFonts w:cs="Times New Roman"/>
          <w:color w:val="auto"/>
        </w:rPr>
        <w:t>号</w:t>
      </w:r>
      <w:r>
        <w:rPr>
          <w:rFonts w:hint="eastAsia" w:cs="Times New Roman"/>
          <w:color w:val="auto"/>
        </w:rPr>
        <w:t>公布</w:t>
      </w:r>
      <w:r>
        <w:rPr>
          <w:rFonts w:cs="Times New Roman"/>
          <w:color w:val="auto"/>
        </w:rPr>
        <w:t>，自2007年11月1日起施行）</w:t>
      </w:r>
      <w:r>
        <w:rPr>
          <w:rFonts w:hint="eastAsia" w:cs="Times New Roman"/>
          <w:color w:val="auto"/>
        </w:rPr>
        <w:t>。</w:t>
      </w:r>
    </w:p>
    <w:p w14:paraId="567A47A9">
      <w:pPr>
        <w:pStyle w:val="73"/>
        <w:numPr>
          <w:ilvl w:val="0"/>
          <w:numId w:val="10"/>
        </w:numPr>
        <w:ind w:left="0" w:firstLine="560"/>
        <w:rPr>
          <w:rFonts w:cs="Times New Roman"/>
          <w:color w:val="auto"/>
        </w:rPr>
      </w:pPr>
      <w:r>
        <w:rPr>
          <w:rFonts w:hint="eastAsia" w:cs="Times New Roman"/>
          <w:color w:val="auto"/>
        </w:rPr>
        <w:t>《中华人民共和国矿产资源法》（1986年3月19日中华人民共和国主席令第三十六号公布，1996年8月29日中华人民共和国主席令第七十四号修订，1996年8月29日起施行；</w:t>
      </w:r>
      <w:r>
        <w:rPr>
          <w:rFonts w:cs="Times New Roman"/>
          <w:color w:val="auto"/>
        </w:rPr>
        <w:t>2009年8月27日</w:t>
      </w:r>
      <w:r>
        <w:rPr>
          <w:rFonts w:hint="eastAsia" w:cs="Times New Roman"/>
          <w:color w:val="auto"/>
        </w:rPr>
        <w:t>中华人民共和国主席令第十八号修订，自公布之日起施行）。</w:t>
      </w:r>
    </w:p>
    <w:p w14:paraId="672EE989">
      <w:pPr>
        <w:pStyle w:val="73"/>
        <w:numPr>
          <w:ilvl w:val="0"/>
          <w:numId w:val="10"/>
        </w:numPr>
        <w:ind w:left="0" w:firstLine="560"/>
        <w:rPr>
          <w:rFonts w:cs="Times New Roman"/>
          <w:color w:val="auto"/>
        </w:rPr>
      </w:pPr>
      <w:r>
        <w:rPr>
          <w:rFonts w:cs="Times New Roman"/>
          <w:color w:val="auto"/>
        </w:rPr>
        <w:t>《中华人民共和国矿山安全法》（1992年11月7日中华人民共和国主席令第</w:t>
      </w:r>
      <w:r>
        <w:rPr>
          <w:rFonts w:hint="eastAsia" w:cs="Times New Roman"/>
          <w:color w:val="auto"/>
        </w:rPr>
        <w:t>六十五</w:t>
      </w:r>
      <w:r>
        <w:rPr>
          <w:rFonts w:cs="Times New Roman"/>
          <w:color w:val="auto"/>
        </w:rPr>
        <w:t>号</w:t>
      </w:r>
      <w:r>
        <w:rPr>
          <w:rFonts w:hint="eastAsia" w:cs="Times New Roman"/>
          <w:color w:val="auto"/>
        </w:rPr>
        <w:t>公布</w:t>
      </w:r>
      <w:r>
        <w:rPr>
          <w:rFonts w:cs="Times New Roman"/>
          <w:color w:val="auto"/>
        </w:rPr>
        <w:t>，自1993年5月1日起施行</w:t>
      </w:r>
      <w:r>
        <w:rPr>
          <w:rFonts w:hint="eastAsia" w:cs="Times New Roman"/>
          <w:color w:val="auto"/>
        </w:rPr>
        <w:t>；</w:t>
      </w:r>
      <w:r>
        <w:rPr>
          <w:rFonts w:cs="Times New Roman"/>
          <w:color w:val="auto"/>
        </w:rPr>
        <w:t>2009年8月27日中华人民共和国主席令第</w:t>
      </w:r>
      <w:r>
        <w:rPr>
          <w:rFonts w:hint="eastAsia" w:cs="Times New Roman"/>
          <w:color w:val="auto"/>
        </w:rPr>
        <w:t>十八</w:t>
      </w:r>
      <w:r>
        <w:rPr>
          <w:rFonts w:cs="Times New Roman"/>
          <w:color w:val="auto"/>
        </w:rPr>
        <w:t>号修订</w:t>
      </w:r>
      <w:r>
        <w:rPr>
          <w:rFonts w:hint="eastAsia" w:cs="Times New Roman"/>
          <w:color w:val="auto"/>
        </w:rPr>
        <w:t>，自公布之日起施行</w:t>
      </w:r>
      <w:r>
        <w:rPr>
          <w:rFonts w:cs="Times New Roman"/>
          <w:color w:val="auto"/>
        </w:rPr>
        <w:t>）</w:t>
      </w:r>
      <w:r>
        <w:rPr>
          <w:rFonts w:hint="eastAsia" w:cs="Times New Roman"/>
          <w:color w:val="auto"/>
        </w:rPr>
        <w:t>。</w:t>
      </w:r>
    </w:p>
    <w:p w14:paraId="035061AA">
      <w:pPr>
        <w:pStyle w:val="73"/>
        <w:numPr>
          <w:ilvl w:val="0"/>
          <w:numId w:val="10"/>
        </w:numPr>
        <w:ind w:left="0" w:firstLine="560"/>
        <w:rPr>
          <w:rFonts w:cs="Times New Roman"/>
          <w:color w:val="auto"/>
        </w:rPr>
      </w:pPr>
      <w:r>
        <w:rPr>
          <w:rFonts w:cs="Times New Roman"/>
          <w:color w:val="auto"/>
        </w:rPr>
        <w:t>《中华人民共和国劳动合同法》（ 2007年06月29</w:t>
      </w:r>
      <w:r>
        <w:rPr>
          <w:rFonts w:hint="eastAsia" w:cs="Times New Roman"/>
          <w:color w:val="auto"/>
        </w:rPr>
        <w:t>日</w:t>
      </w:r>
      <w:r>
        <w:rPr>
          <w:rFonts w:cs="Times New Roman"/>
          <w:color w:val="auto"/>
        </w:rPr>
        <w:t>中华人民共和国主席令第六十五号</w:t>
      </w:r>
      <w:r>
        <w:rPr>
          <w:rFonts w:hint="eastAsia" w:cs="Times New Roman"/>
          <w:color w:val="auto"/>
        </w:rPr>
        <w:t>公布，自2008年1月1日起施行；</w:t>
      </w:r>
      <w:r>
        <w:rPr>
          <w:rFonts w:cs="Times New Roman"/>
          <w:color w:val="auto"/>
        </w:rPr>
        <w:t>2012年12月28日中华人民共和国主席令第</w:t>
      </w:r>
      <w:r>
        <w:rPr>
          <w:rFonts w:hint="eastAsia" w:cs="Times New Roman"/>
          <w:color w:val="auto"/>
        </w:rPr>
        <w:t>七十三</w:t>
      </w:r>
      <w:r>
        <w:rPr>
          <w:rFonts w:cs="Times New Roman"/>
          <w:color w:val="auto"/>
        </w:rPr>
        <w:t>号</w:t>
      </w:r>
      <w:r>
        <w:rPr>
          <w:rFonts w:hint="eastAsia" w:cs="Times New Roman"/>
          <w:color w:val="auto"/>
        </w:rPr>
        <w:t>修订</w:t>
      </w:r>
      <w:r>
        <w:rPr>
          <w:rFonts w:cs="Times New Roman"/>
          <w:color w:val="auto"/>
        </w:rPr>
        <w:t>，自2013年7月1日起施行）</w:t>
      </w:r>
      <w:r>
        <w:rPr>
          <w:rFonts w:hint="eastAsia" w:cs="Times New Roman"/>
          <w:color w:val="auto"/>
        </w:rPr>
        <w:t>。</w:t>
      </w:r>
    </w:p>
    <w:p w14:paraId="629295D6">
      <w:pPr>
        <w:pStyle w:val="73"/>
        <w:numPr>
          <w:ilvl w:val="0"/>
          <w:numId w:val="10"/>
        </w:numPr>
        <w:ind w:left="0" w:firstLine="560"/>
        <w:rPr>
          <w:rFonts w:cs="Times New Roman"/>
          <w:color w:val="auto"/>
        </w:rPr>
      </w:pPr>
      <w:r>
        <w:rPr>
          <w:rFonts w:cs="Times New Roman"/>
          <w:color w:val="auto"/>
        </w:rPr>
        <w:t>《中华人民共和国特种设备安全法》（2013年6月29日中华人民共和国主席令第</w:t>
      </w:r>
      <w:r>
        <w:rPr>
          <w:rFonts w:hint="eastAsia" w:cs="Times New Roman"/>
          <w:color w:val="auto"/>
        </w:rPr>
        <w:t>四</w:t>
      </w:r>
      <w:r>
        <w:rPr>
          <w:rFonts w:cs="Times New Roman"/>
          <w:color w:val="auto"/>
        </w:rPr>
        <w:t>号</w:t>
      </w:r>
      <w:r>
        <w:rPr>
          <w:rFonts w:hint="eastAsia" w:cs="Times New Roman"/>
          <w:color w:val="auto"/>
        </w:rPr>
        <w:t>公布</w:t>
      </w:r>
      <w:r>
        <w:rPr>
          <w:rFonts w:cs="Times New Roman"/>
          <w:color w:val="auto"/>
        </w:rPr>
        <w:t>，自2014年1月1日起施行）</w:t>
      </w:r>
      <w:r>
        <w:rPr>
          <w:rFonts w:hint="eastAsia" w:cs="Times New Roman"/>
          <w:color w:val="auto"/>
        </w:rPr>
        <w:t>。</w:t>
      </w:r>
    </w:p>
    <w:p w14:paraId="16D8671A">
      <w:pPr>
        <w:pStyle w:val="73"/>
        <w:numPr>
          <w:ilvl w:val="0"/>
          <w:numId w:val="10"/>
        </w:numPr>
        <w:ind w:left="0" w:firstLine="560"/>
        <w:rPr>
          <w:rFonts w:cs="Times New Roman"/>
          <w:color w:val="auto"/>
        </w:rPr>
      </w:pPr>
      <w:r>
        <w:rPr>
          <w:rFonts w:cs="Times New Roman"/>
          <w:color w:val="auto"/>
        </w:rPr>
        <w:t>《中华人民共和国环境保护法》（1989年12月26日中华人民共和国主席令第</w:t>
      </w:r>
      <w:r>
        <w:rPr>
          <w:rFonts w:hint="eastAsia" w:cs="Times New Roman"/>
          <w:color w:val="auto"/>
        </w:rPr>
        <w:t>二十二</w:t>
      </w:r>
      <w:r>
        <w:rPr>
          <w:rFonts w:cs="Times New Roman"/>
          <w:color w:val="auto"/>
        </w:rPr>
        <w:t>号公布，自公布之日起施行</w:t>
      </w:r>
      <w:r>
        <w:rPr>
          <w:rFonts w:hint="eastAsia" w:cs="Times New Roman"/>
          <w:color w:val="auto"/>
        </w:rPr>
        <w:t>；</w:t>
      </w:r>
      <w:r>
        <w:rPr>
          <w:rFonts w:cs="Times New Roman"/>
          <w:color w:val="auto"/>
        </w:rPr>
        <w:t>2014年4月24日</w:t>
      </w:r>
      <w:r>
        <w:rPr>
          <w:rFonts w:hint="eastAsia" w:cs="Times New Roman"/>
          <w:color w:val="auto"/>
        </w:rPr>
        <w:t>中华人民共和国主席令第九号修订，自2015年1月1日起施行）。</w:t>
      </w:r>
    </w:p>
    <w:p w14:paraId="7F23AD93">
      <w:pPr>
        <w:pStyle w:val="73"/>
        <w:numPr>
          <w:ilvl w:val="0"/>
          <w:numId w:val="10"/>
        </w:numPr>
        <w:ind w:left="0" w:firstLine="560"/>
        <w:rPr>
          <w:rFonts w:cs="Times New Roman"/>
          <w:color w:val="auto"/>
          <w:lang w:val="zh-TW"/>
        </w:rPr>
      </w:pPr>
      <w:r>
        <w:rPr>
          <w:rFonts w:cs="Times New Roman"/>
          <w:color w:val="auto"/>
          <w:lang w:val="zh-TW" w:eastAsia="zh-TW"/>
        </w:rPr>
        <w:t>《中华人民共和国节约能源法》（</w:t>
      </w:r>
      <w:r>
        <w:rPr>
          <w:rFonts w:hint="eastAsia" w:cs="Times New Roman"/>
          <w:color w:val="auto"/>
        </w:rPr>
        <w:t>1997年11月1日中华人民共和国主席</w:t>
      </w:r>
      <w:r>
        <w:rPr>
          <w:rFonts w:hint="eastAsia" w:cs="Times New Roman"/>
          <w:color w:val="auto"/>
          <w:lang w:val="zh-TW" w:eastAsia="zh-TW"/>
        </w:rPr>
        <w:t>令第</w:t>
      </w:r>
      <w:r>
        <w:rPr>
          <w:rFonts w:hint="eastAsia" w:cs="Times New Roman"/>
          <w:color w:val="auto"/>
        </w:rPr>
        <w:t>九十</w:t>
      </w:r>
      <w:r>
        <w:rPr>
          <w:rFonts w:hint="eastAsia" w:cs="Times New Roman"/>
          <w:color w:val="auto"/>
          <w:lang w:val="zh-TW" w:eastAsia="zh-TW"/>
        </w:rPr>
        <w:t>号公布</w:t>
      </w:r>
      <w:r>
        <w:rPr>
          <w:rFonts w:hint="eastAsia" w:cs="Times New Roman"/>
          <w:color w:val="auto"/>
          <w:lang w:val="zh-TW"/>
        </w:rPr>
        <w:t>，</w:t>
      </w:r>
      <w:r>
        <w:rPr>
          <w:rFonts w:cs="Times New Roman"/>
          <w:color w:val="auto"/>
          <w:lang w:val="zh-TW" w:eastAsia="zh-TW"/>
        </w:rPr>
        <w:t>自1998年1月1日起施行</w:t>
      </w:r>
      <w:r>
        <w:rPr>
          <w:rFonts w:hint="eastAsia" w:cs="Times New Roman"/>
          <w:color w:val="auto"/>
          <w:lang w:val="zh-TW"/>
        </w:rPr>
        <w:t>；</w:t>
      </w:r>
      <w:r>
        <w:rPr>
          <w:rFonts w:hint="eastAsia" w:cs="Times New Roman"/>
          <w:color w:val="auto"/>
        </w:rPr>
        <w:t> </w:t>
      </w:r>
      <w:r>
        <w:rPr>
          <w:rFonts w:cs="Times New Roman"/>
          <w:color w:val="auto"/>
        </w:rPr>
        <w:t>2007</w:t>
      </w:r>
      <w:r>
        <w:rPr>
          <w:rFonts w:hint="eastAsia" w:cs="Times New Roman"/>
          <w:color w:val="auto"/>
        </w:rPr>
        <w:t>年10月28日中华人民共和国主席令第七十四号修订，自2008年1月1日起施行；2016年7月2日中华人民共和国主席令第四十八号第一次修正，自公布之日起施行；2018年10月26日中华人民共和国主席令第</w:t>
      </w:r>
      <w:r>
        <w:rPr>
          <w:rFonts w:hint="eastAsia" w:cs="Times New Roman"/>
          <w:color w:val="auto"/>
          <w:lang w:val="zh-TW"/>
        </w:rPr>
        <w:t>十</w:t>
      </w:r>
      <w:r>
        <w:rPr>
          <w:rFonts w:hint="eastAsia" w:cs="Times New Roman"/>
          <w:color w:val="auto"/>
        </w:rPr>
        <w:t>六号第二次修正，自公布之日起施行</w:t>
      </w:r>
      <w:r>
        <w:rPr>
          <w:rFonts w:cs="Times New Roman"/>
          <w:color w:val="auto"/>
          <w:lang w:val="zh-TW" w:eastAsia="zh-TW"/>
        </w:rPr>
        <w:t>）</w:t>
      </w:r>
      <w:r>
        <w:rPr>
          <w:rFonts w:hint="eastAsia" w:cs="Times New Roman"/>
          <w:color w:val="auto"/>
          <w:lang w:val="zh-TW"/>
        </w:rPr>
        <w:t>。</w:t>
      </w:r>
    </w:p>
    <w:p w14:paraId="1CA56FA4">
      <w:pPr>
        <w:pStyle w:val="73"/>
        <w:numPr>
          <w:ilvl w:val="0"/>
          <w:numId w:val="10"/>
        </w:numPr>
        <w:ind w:left="0" w:firstLine="560"/>
        <w:rPr>
          <w:rFonts w:cs="Times New Roman"/>
          <w:color w:val="auto"/>
        </w:rPr>
      </w:pPr>
      <w:r>
        <w:rPr>
          <w:rFonts w:hint="eastAsia" w:cs="Times New Roman"/>
          <w:color w:val="auto"/>
        </w:rPr>
        <w:t>《中华人民共和国劳动法》（1994年7月5日中华人民共和国主席令第二十八号公布，自1995年1月1日起施行；2018年12月29日中华人民共和国主席令第二十四号</w:t>
      </w:r>
      <w:r>
        <w:rPr>
          <w:rFonts w:cs="Times New Roman"/>
          <w:color w:val="auto"/>
        </w:rPr>
        <w:t>修订</w:t>
      </w:r>
      <w:r>
        <w:rPr>
          <w:rFonts w:hint="eastAsia" w:cs="Times New Roman"/>
          <w:color w:val="auto"/>
        </w:rPr>
        <w:t>，自公布之日起施行）。</w:t>
      </w:r>
    </w:p>
    <w:p w14:paraId="7AF854E7">
      <w:pPr>
        <w:pStyle w:val="73"/>
        <w:numPr>
          <w:ilvl w:val="0"/>
          <w:numId w:val="10"/>
        </w:numPr>
        <w:ind w:left="0" w:firstLine="560"/>
        <w:rPr>
          <w:rFonts w:cs="Times New Roman"/>
          <w:color w:val="auto"/>
        </w:rPr>
      </w:pPr>
      <w:r>
        <w:rPr>
          <w:rFonts w:cs="Times New Roman"/>
          <w:color w:val="auto"/>
        </w:rPr>
        <w:t>《中华人民共和国职业病防治法》（</w:t>
      </w:r>
      <w:r>
        <w:rPr>
          <w:rFonts w:hint="eastAsia" w:cs="Times New Roman"/>
          <w:color w:val="auto"/>
        </w:rPr>
        <w:t>2001年10月27日中华人民共和国主席令第六十号公布，自2002年5月1日起施行；</w:t>
      </w:r>
      <w:r>
        <w:rPr>
          <w:rFonts w:cs="Times New Roman"/>
          <w:color w:val="auto"/>
        </w:rPr>
        <w:t>2018年12月29日</w:t>
      </w:r>
      <w:r>
        <w:rPr>
          <w:rFonts w:hint="eastAsia" w:cs="Times New Roman"/>
          <w:color w:val="auto"/>
        </w:rPr>
        <w:t>中华人民共和国主席令第二十四号修订，自公布之日起施行</w:t>
      </w:r>
      <w:r>
        <w:rPr>
          <w:rFonts w:cs="Times New Roman"/>
          <w:color w:val="auto"/>
        </w:rPr>
        <w:t>）</w:t>
      </w:r>
      <w:r>
        <w:rPr>
          <w:rFonts w:hint="eastAsia" w:cs="Times New Roman"/>
          <w:color w:val="auto"/>
        </w:rPr>
        <w:t>。</w:t>
      </w:r>
    </w:p>
    <w:p w14:paraId="7FEB9B6B">
      <w:pPr>
        <w:pStyle w:val="73"/>
        <w:numPr>
          <w:ilvl w:val="0"/>
          <w:numId w:val="10"/>
        </w:numPr>
        <w:ind w:left="0" w:firstLine="560"/>
        <w:rPr>
          <w:rFonts w:cs="Times New Roman"/>
          <w:color w:val="auto"/>
        </w:rPr>
      </w:pPr>
      <w:r>
        <w:rPr>
          <w:rFonts w:hint="eastAsia" w:cs="Times New Roman"/>
          <w:color w:val="auto"/>
        </w:rPr>
        <w:t>《中华人民共和国民法典》（2020年5月28日中华人民共和国主席令第四十五号公布，自2021年1月1日起施行）。</w:t>
      </w:r>
    </w:p>
    <w:p w14:paraId="02460D3A">
      <w:pPr>
        <w:pStyle w:val="73"/>
        <w:numPr>
          <w:ilvl w:val="0"/>
          <w:numId w:val="10"/>
        </w:numPr>
        <w:ind w:left="0" w:firstLine="560"/>
        <w:rPr>
          <w:rFonts w:cs="Times New Roman"/>
          <w:color w:val="auto"/>
        </w:rPr>
      </w:pPr>
      <w:r>
        <w:rPr>
          <w:rFonts w:cs="Times New Roman"/>
          <w:color w:val="auto"/>
        </w:rPr>
        <w:t>《中华人民共和国消防法》（1998年4月29日中华人民共和国主席令第</w:t>
      </w:r>
      <w:r>
        <w:rPr>
          <w:rFonts w:hint="eastAsia" w:cs="Times New Roman"/>
          <w:color w:val="auto"/>
        </w:rPr>
        <w:t>四</w:t>
      </w:r>
      <w:r>
        <w:rPr>
          <w:rFonts w:cs="Times New Roman"/>
          <w:color w:val="auto"/>
        </w:rPr>
        <w:t>号</w:t>
      </w:r>
      <w:r>
        <w:rPr>
          <w:rFonts w:hint="eastAsia" w:cs="Times New Roman"/>
          <w:color w:val="auto"/>
        </w:rPr>
        <w:t>公布</w:t>
      </w:r>
      <w:r>
        <w:rPr>
          <w:rFonts w:cs="Times New Roman"/>
          <w:color w:val="auto"/>
        </w:rPr>
        <w:t>，自</w:t>
      </w:r>
      <w:r>
        <w:rPr>
          <w:rFonts w:hint="eastAsia" w:cs="Times New Roman"/>
          <w:color w:val="auto"/>
        </w:rPr>
        <w:t>1998</w:t>
      </w:r>
      <w:r>
        <w:rPr>
          <w:rFonts w:cs="Times New Roman"/>
          <w:color w:val="auto"/>
        </w:rPr>
        <w:t>年</w:t>
      </w:r>
      <w:r>
        <w:rPr>
          <w:rFonts w:hint="eastAsia" w:cs="Times New Roman"/>
          <w:color w:val="auto"/>
        </w:rPr>
        <w:t>9</w:t>
      </w:r>
      <w:r>
        <w:rPr>
          <w:rFonts w:cs="Times New Roman"/>
          <w:color w:val="auto"/>
        </w:rPr>
        <w:t>月1日起施行</w:t>
      </w:r>
      <w:r>
        <w:rPr>
          <w:rFonts w:hint="eastAsia" w:cs="Times New Roman"/>
          <w:color w:val="auto"/>
        </w:rPr>
        <w:t>；</w:t>
      </w:r>
      <w:r>
        <w:rPr>
          <w:rFonts w:cs="Times New Roman"/>
          <w:color w:val="auto"/>
        </w:rPr>
        <w:t>2021年4月29日</w:t>
      </w:r>
      <w:r>
        <w:rPr>
          <w:rFonts w:hint="eastAsia" w:cs="Times New Roman"/>
          <w:color w:val="auto"/>
        </w:rPr>
        <w:t>中华人民共和国主席令第八十一号</w:t>
      </w:r>
      <w:r>
        <w:rPr>
          <w:rFonts w:cs="Times New Roman"/>
          <w:color w:val="auto"/>
        </w:rPr>
        <w:t>修订</w:t>
      </w:r>
      <w:r>
        <w:rPr>
          <w:rFonts w:hint="eastAsia" w:cs="Times New Roman"/>
          <w:color w:val="auto"/>
        </w:rPr>
        <w:t>，自公布之日起施行</w:t>
      </w:r>
      <w:r>
        <w:rPr>
          <w:rFonts w:cs="Times New Roman"/>
          <w:color w:val="auto"/>
        </w:rPr>
        <w:t>）</w:t>
      </w:r>
      <w:r>
        <w:rPr>
          <w:rFonts w:hint="eastAsia" w:cs="Times New Roman"/>
          <w:color w:val="auto"/>
        </w:rPr>
        <w:t>。</w:t>
      </w:r>
    </w:p>
    <w:p w14:paraId="22C9308F">
      <w:pPr>
        <w:pStyle w:val="73"/>
        <w:numPr>
          <w:ilvl w:val="0"/>
          <w:numId w:val="10"/>
        </w:numPr>
        <w:ind w:left="0" w:firstLine="560"/>
        <w:rPr>
          <w:rFonts w:cs="Times New Roman"/>
          <w:color w:val="auto"/>
        </w:rPr>
      </w:pPr>
      <w:r>
        <w:rPr>
          <w:rFonts w:cs="Times New Roman"/>
          <w:color w:val="auto"/>
        </w:rPr>
        <w:t>《中华人民共和国道路交通安全法》（</w:t>
      </w:r>
      <w:r>
        <w:rPr>
          <w:rFonts w:hint="eastAsia" w:cs="Times New Roman"/>
          <w:color w:val="auto"/>
        </w:rPr>
        <w:t>2003年10月28日中华人民共和国主席令第八号公布，自2004年5月1日起施行；2007年12月29日</w:t>
      </w:r>
      <w:r>
        <w:rPr>
          <w:rFonts w:cs="Times New Roman"/>
          <w:color w:val="auto"/>
        </w:rPr>
        <w:t>中华人民共和国主席令第</w:t>
      </w:r>
      <w:r>
        <w:rPr>
          <w:rFonts w:hint="eastAsia" w:cs="Times New Roman"/>
          <w:color w:val="auto"/>
        </w:rPr>
        <w:t>八十一</w:t>
      </w:r>
      <w:r>
        <w:rPr>
          <w:rFonts w:cs="Times New Roman"/>
          <w:color w:val="auto"/>
        </w:rPr>
        <w:t>号</w:t>
      </w:r>
      <w:r>
        <w:rPr>
          <w:rFonts w:hint="eastAsia" w:cs="Times New Roman"/>
          <w:color w:val="auto"/>
        </w:rPr>
        <w:t>修订，自2008年5月1日起施行；2011年4月22日</w:t>
      </w:r>
      <w:r>
        <w:rPr>
          <w:rFonts w:cs="Times New Roman"/>
          <w:color w:val="auto"/>
        </w:rPr>
        <w:t>中华人民共和国主席令第</w:t>
      </w:r>
      <w:r>
        <w:rPr>
          <w:rFonts w:hint="eastAsia" w:cs="Times New Roman"/>
          <w:color w:val="auto"/>
        </w:rPr>
        <w:t>四十七</w:t>
      </w:r>
      <w:r>
        <w:rPr>
          <w:rFonts w:cs="Times New Roman"/>
          <w:color w:val="auto"/>
        </w:rPr>
        <w:t>号</w:t>
      </w:r>
      <w:r>
        <w:rPr>
          <w:rFonts w:hint="eastAsia" w:cs="Times New Roman"/>
          <w:color w:val="auto"/>
        </w:rPr>
        <w:t>修订，</w:t>
      </w:r>
      <w:r>
        <w:rPr>
          <w:rFonts w:cs="Times New Roman"/>
          <w:color w:val="auto"/>
        </w:rPr>
        <w:t>2011年5月1日施行</w:t>
      </w:r>
      <w:r>
        <w:rPr>
          <w:rFonts w:hint="eastAsia" w:cs="Times New Roman"/>
          <w:color w:val="auto"/>
        </w:rPr>
        <w:t>；2021年4月29日</w:t>
      </w:r>
      <w:r>
        <w:rPr>
          <w:rFonts w:cs="Times New Roman"/>
          <w:color w:val="auto"/>
        </w:rPr>
        <w:t>中华人民共和国主席令第</w:t>
      </w:r>
      <w:r>
        <w:rPr>
          <w:rFonts w:hint="eastAsia" w:cs="Times New Roman"/>
          <w:color w:val="auto"/>
        </w:rPr>
        <w:t>八十一</w:t>
      </w:r>
      <w:r>
        <w:rPr>
          <w:rFonts w:cs="Times New Roman"/>
          <w:color w:val="auto"/>
        </w:rPr>
        <w:t>号</w:t>
      </w:r>
      <w:r>
        <w:rPr>
          <w:rFonts w:hint="eastAsia" w:cs="Times New Roman"/>
          <w:color w:val="auto"/>
        </w:rPr>
        <w:t>修订，自公布之日起施行</w:t>
      </w:r>
      <w:r>
        <w:rPr>
          <w:rFonts w:cs="Times New Roman"/>
          <w:color w:val="auto"/>
        </w:rPr>
        <w:t>）</w:t>
      </w:r>
      <w:r>
        <w:rPr>
          <w:rFonts w:hint="eastAsia" w:cs="Times New Roman"/>
          <w:color w:val="auto"/>
        </w:rPr>
        <w:t>。</w:t>
      </w:r>
    </w:p>
    <w:p w14:paraId="037DEC85">
      <w:pPr>
        <w:pStyle w:val="73"/>
        <w:numPr>
          <w:ilvl w:val="0"/>
          <w:numId w:val="10"/>
        </w:numPr>
        <w:ind w:left="0" w:firstLine="560"/>
        <w:rPr>
          <w:rFonts w:cs="Times New Roman"/>
          <w:color w:val="auto"/>
        </w:rPr>
      </w:pPr>
      <w:r>
        <w:rPr>
          <w:rFonts w:hint="eastAsia" w:cs="Times New Roman"/>
          <w:color w:val="auto"/>
        </w:rPr>
        <w:t>《中华人民共和国安全生产法》（2002年6月29日中华人民共和国主席令第七十号公布，自2002年11月1日起施行；</w:t>
      </w:r>
      <w:r>
        <w:rPr>
          <w:rFonts w:cs="Times New Roman"/>
          <w:color w:val="auto"/>
        </w:rPr>
        <w:t>2009年8月27日</w:t>
      </w:r>
      <w:r>
        <w:rPr>
          <w:rFonts w:hint="eastAsia" w:cs="Times New Roman"/>
          <w:color w:val="auto"/>
        </w:rPr>
        <w:t>中华人民共和国主席令第十八号第一次修正，自公布之日起施行；2014年8月31日中华人民共和国主席令第十三号第二次修正，自2014年12月1日起施行；2021年6月10日中华人民共和国主席令第八十八号第三次修正，自2021年9月1日起施行）。</w:t>
      </w:r>
    </w:p>
    <w:p w14:paraId="0B831691">
      <w:pPr>
        <w:pStyle w:val="85"/>
        <w:numPr>
          <w:ilvl w:val="3"/>
          <w:numId w:val="0"/>
        </w:numPr>
        <w:ind w:firstLine="560" w:firstLineChars="200"/>
        <w:rPr>
          <w:rFonts w:cs="黑体"/>
          <w:b w:val="0"/>
          <w:bCs/>
          <w:color w:val="auto"/>
        </w:rPr>
      </w:pPr>
      <w:r>
        <w:rPr>
          <w:rFonts w:hint="eastAsia" w:cs="黑体"/>
          <w:b w:val="0"/>
          <w:bCs/>
          <w:color w:val="auto"/>
        </w:rPr>
        <w:t>1.2.1.2法规</w:t>
      </w:r>
    </w:p>
    <w:p w14:paraId="7E386428">
      <w:pPr>
        <w:pStyle w:val="73"/>
        <w:numPr>
          <w:ilvl w:val="0"/>
          <w:numId w:val="11"/>
        </w:numPr>
        <w:ind w:left="0" w:firstLine="560"/>
        <w:rPr>
          <w:color w:val="auto"/>
        </w:rPr>
      </w:pPr>
      <w:bookmarkStart w:id="77" w:name="_Hlk501312820"/>
      <w:r>
        <w:rPr>
          <w:color w:val="auto"/>
        </w:rPr>
        <w:t>《中华人民共和国矿产资源法实施细则》（</w:t>
      </w:r>
      <w:r>
        <w:rPr>
          <w:rFonts w:hint="eastAsia"/>
          <w:color w:val="auto"/>
        </w:rPr>
        <w:t>1994年3月26日</w:t>
      </w:r>
      <w:r>
        <w:rPr>
          <w:color w:val="auto"/>
        </w:rPr>
        <w:t>中华人民共和国国务院令152号</w:t>
      </w:r>
      <w:r>
        <w:rPr>
          <w:rFonts w:hint="eastAsia"/>
          <w:color w:val="auto"/>
        </w:rPr>
        <w:t>发布实施</w:t>
      </w:r>
      <w:r>
        <w:rPr>
          <w:color w:val="auto"/>
        </w:rPr>
        <w:t>）；</w:t>
      </w:r>
    </w:p>
    <w:p w14:paraId="31EBF409">
      <w:pPr>
        <w:pStyle w:val="73"/>
        <w:numPr>
          <w:ilvl w:val="0"/>
          <w:numId w:val="11"/>
        </w:numPr>
        <w:ind w:left="0" w:firstLine="560"/>
        <w:rPr>
          <w:color w:val="auto"/>
        </w:rPr>
      </w:pPr>
      <w:r>
        <w:rPr>
          <w:rFonts w:hint="eastAsia"/>
          <w:color w:val="auto"/>
        </w:rPr>
        <w:t>《建设工程安全生产管理条例》（2003年11月24日中华人民共和国国务院令第393号发布，2004年2月1日实施）；</w:t>
      </w:r>
    </w:p>
    <w:p w14:paraId="6DE61ECA">
      <w:pPr>
        <w:pStyle w:val="73"/>
        <w:numPr>
          <w:ilvl w:val="0"/>
          <w:numId w:val="11"/>
        </w:numPr>
        <w:ind w:left="0" w:firstLine="560"/>
        <w:rPr>
          <w:color w:val="auto"/>
        </w:rPr>
      </w:pPr>
      <w:r>
        <w:rPr>
          <w:rFonts w:hint="eastAsia"/>
          <w:color w:val="auto"/>
        </w:rPr>
        <w:t>《地质灾害防治条例》（2003年11月24日中华人民共和国国务院令第394号发布，2004年3月1日实施）；</w:t>
      </w:r>
    </w:p>
    <w:p w14:paraId="744CB9B7">
      <w:pPr>
        <w:pStyle w:val="73"/>
        <w:numPr>
          <w:ilvl w:val="0"/>
          <w:numId w:val="11"/>
        </w:numPr>
        <w:ind w:left="0" w:firstLine="560"/>
        <w:rPr>
          <w:color w:val="auto"/>
        </w:rPr>
      </w:pPr>
      <w:r>
        <w:rPr>
          <w:rFonts w:hint="eastAsia"/>
          <w:color w:val="auto"/>
        </w:rPr>
        <w:t>《生产安全事故报告和调查处理条例》（2007年4月9日中华人民共和国国务院令第493号发布，2007年6月1日实施）；</w:t>
      </w:r>
    </w:p>
    <w:p w14:paraId="196A2C6A">
      <w:pPr>
        <w:pStyle w:val="73"/>
        <w:numPr>
          <w:ilvl w:val="0"/>
          <w:numId w:val="11"/>
        </w:numPr>
        <w:ind w:left="0" w:firstLine="560"/>
        <w:rPr>
          <w:color w:val="auto"/>
        </w:rPr>
      </w:pPr>
      <w:r>
        <w:rPr>
          <w:rFonts w:hint="eastAsia"/>
          <w:color w:val="auto"/>
        </w:rPr>
        <w:t>《特种设备安全监察条例》（2009年1月24日中华人民共和国国务院令第549号修订，2009年5月1日实施）；</w:t>
      </w:r>
    </w:p>
    <w:p w14:paraId="32F062ED">
      <w:pPr>
        <w:pStyle w:val="73"/>
        <w:numPr>
          <w:ilvl w:val="0"/>
          <w:numId w:val="11"/>
        </w:numPr>
        <w:ind w:left="0" w:firstLine="560"/>
        <w:rPr>
          <w:color w:val="auto"/>
        </w:rPr>
      </w:pPr>
      <w:r>
        <w:rPr>
          <w:rFonts w:hint="eastAsia"/>
          <w:color w:val="auto"/>
        </w:rPr>
        <w:t>《工伤保险条例》（2010年12月20日中华人民共和国国务院令第586号修订，2011年1月1日实施）；</w:t>
      </w:r>
    </w:p>
    <w:p w14:paraId="65BA7BA2">
      <w:pPr>
        <w:pStyle w:val="73"/>
        <w:numPr>
          <w:ilvl w:val="0"/>
          <w:numId w:val="11"/>
        </w:numPr>
        <w:ind w:left="0" w:firstLine="560"/>
        <w:rPr>
          <w:color w:val="auto"/>
        </w:rPr>
      </w:pPr>
      <w:r>
        <w:rPr>
          <w:color w:val="auto"/>
        </w:rPr>
        <w:t>《中华人民共和国水土保持法实施条例》（</w:t>
      </w:r>
      <w:r>
        <w:rPr>
          <w:rFonts w:hint="eastAsia"/>
          <w:color w:val="auto"/>
        </w:rPr>
        <w:t>2011年1月8日国务院令第588号令修订，2011年1月8日</w:t>
      </w:r>
      <w:r>
        <w:rPr>
          <w:color w:val="auto"/>
        </w:rPr>
        <w:t>实施）；</w:t>
      </w:r>
    </w:p>
    <w:p w14:paraId="7EC24F51">
      <w:pPr>
        <w:pStyle w:val="73"/>
        <w:numPr>
          <w:ilvl w:val="0"/>
          <w:numId w:val="11"/>
        </w:numPr>
        <w:ind w:left="0" w:firstLine="560"/>
        <w:rPr>
          <w:color w:val="auto"/>
        </w:rPr>
      </w:pPr>
      <w:r>
        <w:rPr>
          <w:rFonts w:hint="eastAsia"/>
          <w:color w:val="auto"/>
        </w:rPr>
        <w:t>《公路安全保护条例》（2011年3月7日中华人民共和国国务院令第593号发布，2011年7月1日实施）；</w:t>
      </w:r>
    </w:p>
    <w:p w14:paraId="7A77B57C">
      <w:pPr>
        <w:pStyle w:val="73"/>
        <w:numPr>
          <w:ilvl w:val="0"/>
          <w:numId w:val="11"/>
        </w:numPr>
        <w:ind w:left="0" w:firstLine="560"/>
        <w:rPr>
          <w:color w:val="auto"/>
        </w:rPr>
      </w:pPr>
      <w:r>
        <w:rPr>
          <w:rFonts w:hint="eastAsia"/>
          <w:color w:val="auto"/>
        </w:rPr>
        <w:t>《安全生产许可证条例》（2014年7月29日中华人民共和国国务院令第653号第二次修订，2014年7月29日实施）；</w:t>
      </w:r>
    </w:p>
    <w:p w14:paraId="2B201511">
      <w:pPr>
        <w:pStyle w:val="73"/>
        <w:numPr>
          <w:ilvl w:val="0"/>
          <w:numId w:val="11"/>
        </w:numPr>
        <w:ind w:left="0" w:firstLine="560"/>
        <w:rPr>
          <w:color w:val="auto"/>
        </w:rPr>
      </w:pPr>
      <w:r>
        <w:rPr>
          <w:color w:val="auto"/>
        </w:rPr>
        <w:t>《民用爆炸物品安全管理条例》</w:t>
      </w:r>
      <w:r>
        <w:rPr>
          <w:rFonts w:hint="eastAsia"/>
          <w:color w:val="auto"/>
        </w:rPr>
        <w:t>（2014年7月29日中华人民共和国国务院令第653号修订，2014年7月29日实施）；</w:t>
      </w:r>
    </w:p>
    <w:p w14:paraId="5DC7CF0D">
      <w:pPr>
        <w:pStyle w:val="73"/>
        <w:numPr>
          <w:ilvl w:val="0"/>
          <w:numId w:val="11"/>
        </w:numPr>
        <w:ind w:left="0" w:firstLine="560"/>
        <w:rPr>
          <w:color w:val="auto"/>
        </w:rPr>
      </w:pPr>
      <w:r>
        <w:rPr>
          <w:rFonts w:hint="eastAsia" w:cs="Times New Roman"/>
          <w:color w:val="auto"/>
        </w:rPr>
        <w:t>《生产安全事故应急条例》（中华人民共和国国务院令 第708号，自2019年4月1日起施行）</w:t>
      </w:r>
      <w:r>
        <w:rPr>
          <w:rFonts w:hint="eastAsia"/>
          <w:color w:val="auto"/>
        </w:rPr>
        <w:t>。</w:t>
      </w:r>
      <w:bookmarkEnd w:id="77"/>
    </w:p>
    <w:p w14:paraId="21CA9C94">
      <w:pPr>
        <w:pStyle w:val="85"/>
        <w:numPr>
          <w:ilvl w:val="3"/>
          <w:numId w:val="0"/>
        </w:numPr>
        <w:ind w:firstLine="560" w:firstLineChars="200"/>
        <w:rPr>
          <w:rFonts w:cs="黑体"/>
          <w:b w:val="0"/>
          <w:bCs/>
          <w:color w:val="auto"/>
        </w:rPr>
      </w:pPr>
      <w:bookmarkStart w:id="78" w:name="_Toc501120262"/>
      <w:bookmarkStart w:id="79" w:name="_Toc20399"/>
      <w:r>
        <w:rPr>
          <w:rFonts w:hint="eastAsia" w:cs="黑体"/>
          <w:b w:val="0"/>
          <w:bCs/>
          <w:color w:val="auto"/>
        </w:rPr>
        <w:t>1.2.1.3部门规章</w:t>
      </w:r>
      <w:bookmarkEnd w:id="78"/>
      <w:bookmarkEnd w:id="79"/>
    </w:p>
    <w:p w14:paraId="741A43E2">
      <w:pPr>
        <w:pStyle w:val="73"/>
        <w:numPr>
          <w:ilvl w:val="0"/>
          <w:numId w:val="12"/>
        </w:numPr>
        <w:ind w:left="0" w:firstLine="560"/>
        <w:rPr>
          <w:color w:val="auto"/>
        </w:rPr>
      </w:pPr>
      <w:bookmarkStart w:id="80" w:name="_Hlk501312957"/>
      <w:r>
        <w:rPr>
          <w:rFonts w:hint="eastAsia"/>
          <w:color w:val="auto"/>
        </w:rPr>
        <w:t>《中华人民共和国矿山安全法实施条例》（1996年10月30日国家劳动部令第4号发布实施）；</w:t>
      </w:r>
    </w:p>
    <w:p w14:paraId="4015B151">
      <w:pPr>
        <w:pStyle w:val="73"/>
        <w:numPr>
          <w:ilvl w:val="0"/>
          <w:numId w:val="12"/>
        </w:numPr>
        <w:ind w:left="0" w:firstLine="560"/>
        <w:rPr>
          <w:color w:val="auto"/>
        </w:rPr>
      </w:pPr>
      <w:r>
        <w:rPr>
          <w:rFonts w:hint="eastAsia"/>
          <w:color w:val="auto"/>
        </w:rPr>
        <w:t>《生产安全事故信息报告和处置办法》（2009年6月16日原国家安全监管总局令第21号发布，2009年7月1日实施）；</w:t>
      </w:r>
    </w:p>
    <w:p w14:paraId="4AD8AB59">
      <w:pPr>
        <w:pStyle w:val="73"/>
        <w:numPr>
          <w:ilvl w:val="0"/>
          <w:numId w:val="12"/>
        </w:numPr>
        <w:ind w:left="0" w:firstLine="560"/>
        <w:rPr>
          <w:color w:val="auto"/>
        </w:rPr>
      </w:pPr>
      <w:r>
        <w:rPr>
          <w:rFonts w:hint="eastAsia"/>
          <w:color w:val="auto"/>
        </w:rPr>
        <w:t>《国务院关于进一步加强企业安全生产工作的通知》（2010年7月19日国发〔2010〕23号发布实施）；</w:t>
      </w:r>
    </w:p>
    <w:p w14:paraId="1C4379B5">
      <w:pPr>
        <w:pStyle w:val="73"/>
        <w:numPr>
          <w:ilvl w:val="0"/>
          <w:numId w:val="12"/>
        </w:numPr>
        <w:ind w:left="0" w:firstLine="560"/>
        <w:rPr>
          <w:color w:val="auto"/>
        </w:rPr>
      </w:pPr>
      <w:r>
        <w:rPr>
          <w:rFonts w:hint="eastAsia"/>
          <w:color w:val="auto"/>
        </w:rPr>
        <w:t>《国务院安委会办公室关于贯彻落实〈国务院关于进一步加强企业安全生产工作的通知〉精神进一步加强非煤矿山安全生产工作的实施意见》（2010年8月27日安委办〔2010〕17号发布实施）；</w:t>
      </w:r>
    </w:p>
    <w:p w14:paraId="0E33C795">
      <w:pPr>
        <w:pStyle w:val="73"/>
        <w:numPr>
          <w:ilvl w:val="0"/>
          <w:numId w:val="12"/>
        </w:numPr>
        <w:ind w:left="0" w:firstLine="560"/>
        <w:rPr>
          <w:color w:val="auto"/>
        </w:rPr>
      </w:pPr>
      <w:r>
        <w:rPr>
          <w:color w:val="auto"/>
        </w:rPr>
        <w:t>《国家安全监管总局办公厅关于实施</w:t>
      </w:r>
      <w:r>
        <w:rPr>
          <w:rFonts w:hint="eastAsia"/>
          <w:color w:val="auto"/>
        </w:rPr>
        <w:t>〈特种作业人员安全技术培训考核管理规定〉</w:t>
      </w:r>
      <w:r>
        <w:rPr>
          <w:color w:val="auto"/>
        </w:rPr>
        <w:t>有关问题的通知》</w:t>
      </w:r>
      <w:r>
        <w:rPr>
          <w:rFonts w:hint="eastAsia"/>
          <w:color w:val="auto"/>
        </w:rPr>
        <w:t>（2010年9月25日</w:t>
      </w:r>
      <w:r>
        <w:rPr>
          <w:rFonts w:hint="eastAsia"/>
          <w:color w:val="auto"/>
          <w:lang w:eastAsia="zh-Hans"/>
        </w:rPr>
        <w:t>原</w:t>
      </w:r>
      <w:r>
        <w:rPr>
          <w:color w:val="auto"/>
        </w:rPr>
        <w:t>安监总厅培训〔2010〕179号</w:t>
      </w:r>
      <w:r>
        <w:rPr>
          <w:rFonts w:hint="eastAsia"/>
          <w:color w:val="auto"/>
        </w:rPr>
        <w:t>发布实施）</w:t>
      </w:r>
      <w:r>
        <w:rPr>
          <w:color w:val="auto"/>
        </w:rPr>
        <w:t>；</w:t>
      </w:r>
    </w:p>
    <w:p w14:paraId="751F8150">
      <w:pPr>
        <w:pStyle w:val="73"/>
        <w:numPr>
          <w:ilvl w:val="0"/>
          <w:numId w:val="12"/>
        </w:numPr>
        <w:ind w:left="0" w:firstLine="560"/>
        <w:rPr>
          <w:color w:val="auto"/>
        </w:rPr>
      </w:pPr>
      <w:r>
        <w:rPr>
          <w:color w:val="auto"/>
        </w:rPr>
        <w:t>《国家安全监管总局关于发布金属非金属矿山新型适用安全技术及装备推广目录（第一批）的通知》（2015年2月13日</w:t>
      </w:r>
      <w:r>
        <w:rPr>
          <w:rFonts w:hint="eastAsia"/>
          <w:color w:val="auto"/>
          <w:lang w:eastAsia="zh-Hans"/>
        </w:rPr>
        <w:t>原</w:t>
      </w:r>
      <w:r>
        <w:rPr>
          <w:color w:val="auto"/>
        </w:rPr>
        <w:t>安监总管一〔2015〕12号</w:t>
      </w:r>
      <w:r>
        <w:rPr>
          <w:rFonts w:hint="eastAsia"/>
          <w:color w:val="auto"/>
        </w:rPr>
        <w:t>发布实施</w:t>
      </w:r>
      <w:r>
        <w:rPr>
          <w:color w:val="auto"/>
        </w:rPr>
        <w:t>）；</w:t>
      </w:r>
    </w:p>
    <w:p w14:paraId="4A9C49ED">
      <w:pPr>
        <w:pStyle w:val="73"/>
        <w:numPr>
          <w:ilvl w:val="0"/>
          <w:numId w:val="12"/>
        </w:numPr>
        <w:ind w:left="0" w:firstLine="560"/>
        <w:rPr>
          <w:color w:val="auto"/>
        </w:rPr>
      </w:pPr>
      <w:r>
        <w:rPr>
          <w:rFonts w:hint="eastAsia"/>
          <w:color w:val="auto"/>
        </w:rPr>
        <w:t>《国家安全监管总局关于发布金属非金属矿山禁止使用的设备及工艺目录（第二批）的通知》（2015年2月13日</w:t>
      </w:r>
      <w:r>
        <w:rPr>
          <w:rFonts w:hint="eastAsia"/>
          <w:color w:val="auto"/>
          <w:lang w:eastAsia="zh-Hans"/>
        </w:rPr>
        <w:t>原</w:t>
      </w:r>
      <w:r>
        <w:rPr>
          <w:rFonts w:hint="eastAsia"/>
          <w:color w:val="auto"/>
        </w:rPr>
        <w:t>安监总管一〔2015〕13号发布实施）；</w:t>
      </w:r>
    </w:p>
    <w:p w14:paraId="40ABFC46">
      <w:pPr>
        <w:pStyle w:val="73"/>
        <w:numPr>
          <w:ilvl w:val="0"/>
          <w:numId w:val="12"/>
        </w:numPr>
        <w:ind w:left="0" w:firstLine="560"/>
        <w:rPr>
          <w:color w:val="auto"/>
        </w:rPr>
      </w:pPr>
      <w:r>
        <w:rPr>
          <w:rFonts w:hint="eastAsia"/>
          <w:color w:val="auto"/>
        </w:rPr>
        <w:t>《金属非金属矿山建设项目安全设施目录（试行）》（2015年3月16日</w:t>
      </w:r>
      <w:r>
        <w:rPr>
          <w:rFonts w:hint="eastAsia"/>
          <w:color w:val="auto"/>
          <w:lang w:eastAsia="zh-Hans"/>
        </w:rPr>
        <w:t>原</w:t>
      </w:r>
      <w:r>
        <w:rPr>
          <w:rFonts w:hint="eastAsia"/>
          <w:color w:val="auto"/>
        </w:rPr>
        <w:t>国家安全监管总局令第75号，2015年7月1日实施）；</w:t>
      </w:r>
    </w:p>
    <w:p w14:paraId="0A0A3FA5">
      <w:pPr>
        <w:pStyle w:val="73"/>
        <w:numPr>
          <w:ilvl w:val="0"/>
          <w:numId w:val="12"/>
        </w:numPr>
        <w:ind w:left="0" w:firstLine="560"/>
        <w:rPr>
          <w:color w:val="auto"/>
        </w:rPr>
      </w:pPr>
      <w:r>
        <w:rPr>
          <w:rFonts w:hint="eastAsia"/>
          <w:color w:val="auto"/>
        </w:rPr>
        <w:t>《建设项目安全设施“三同时”监督管理办法》（2015年4月2日</w:t>
      </w:r>
      <w:r>
        <w:rPr>
          <w:rFonts w:hint="eastAsia"/>
          <w:color w:val="auto"/>
          <w:lang w:eastAsia="zh-Hans"/>
        </w:rPr>
        <w:t>原</w:t>
      </w:r>
      <w:r>
        <w:rPr>
          <w:rFonts w:hint="eastAsia"/>
          <w:color w:val="auto"/>
        </w:rPr>
        <w:t>国家安全监管总局令第77号修正，2015年5月1日实施）；</w:t>
      </w:r>
    </w:p>
    <w:p w14:paraId="7A0CA553">
      <w:pPr>
        <w:pStyle w:val="73"/>
        <w:numPr>
          <w:ilvl w:val="0"/>
          <w:numId w:val="12"/>
        </w:numPr>
        <w:ind w:left="0" w:firstLine="560"/>
        <w:rPr>
          <w:color w:val="auto"/>
        </w:rPr>
      </w:pPr>
      <w:r>
        <w:rPr>
          <w:rFonts w:hint="eastAsia"/>
          <w:color w:val="auto"/>
        </w:rPr>
        <w:t>《非煤矿矿山企业安全生产许可证实施办法》（2015年5月26日</w:t>
      </w:r>
      <w:r>
        <w:rPr>
          <w:rFonts w:hint="eastAsia"/>
          <w:color w:val="auto"/>
          <w:lang w:eastAsia="zh-Hans"/>
        </w:rPr>
        <w:t>原</w:t>
      </w:r>
      <w:r>
        <w:rPr>
          <w:rFonts w:hint="eastAsia"/>
          <w:color w:val="auto"/>
        </w:rPr>
        <w:t>国家安全监管总局令第78号修正，2015年7月1日实施）；</w:t>
      </w:r>
    </w:p>
    <w:p w14:paraId="238A1ACF">
      <w:pPr>
        <w:pStyle w:val="73"/>
        <w:numPr>
          <w:ilvl w:val="0"/>
          <w:numId w:val="12"/>
        </w:numPr>
        <w:ind w:left="0" w:firstLine="560"/>
        <w:rPr>
          <w:color w:val="auto"/>
        </w:rPr>
      </w:pPr>
      <w:r>
        <w:rPr>
          <w:rFonts w:hint="eastAsia"/>
          <w:color w:val="auto"/>
        </w:rPr>
        <w:t>《小型露天采石场安全管理与监督检查规定》（2015年5月26日</w:t>
      </w:r>
      <w:r>
        <w:rPr>
          <w:rFonts w:hint="eastAsia"/>
          <w:color w:val="auto"/>
          <w:lang w:eastAsia="zh-Hans"/>
        </w:rPr>
        <w:t>原</w:t>
      </w:r>
      <w:r>
        <w:rPr>
          <w:rFonts w:hint="eastAsia"/>
          <w:color w:val="auto"/>
        </w:rPr>
        <w:t>国家安全监管总局令第78号修正，2015年7月1日实施）；</w:t>
      </w:r>
    </w:p>
    <w:p w14:paraId="5E145733">
      <w:pPr>
        <w:pStyle w:val="73"/>
        <w:numPr>
          <w:ilvl w:val="0"/>
          <w:numId w:val="12"/>
        </w:numPr>
        <w:ind w:left="0" w:firstLine="560"/>
        <w:rPr>
          <w:color w:val="auto"/>
        </w:rPr>
      </w:pPr>
      <w:r>
        <w:rPr>
          <w:color w:val="auto"/>
        </w:rPr>
        <w:t>《生产经营单位安全培训规定》</w:t>
      </w:r>
      <w:r>
        <w:rPr>
          <w:rFonts w:hint="eastAsia"/>
          <w:color w:val="auto"/>
        </w:rPr>
        <w:t>（2015年5月29日</w:t>
      </w:r>
      <w:r>
        <w:rPr>
          <w:rFonts w:hint="eastAsia"/>
          <w:color w:val="auto"/>
          <w:lang w:eastAsia="zh-Hans"/>
        </w:rPr>
        <w:t>原</w:t>
      </w:r>
      <w:r>
        <w:rPr>
          <w:rFonts w:hint="eastAsia"/>
          <w:color w:val="auto"/>
        </w:rPr>
        <w:t>国家安全监管总局令第80号修正，2015年7月1日实施）；</w:t>
      </w:r>
    </w:p>
    <w:p w14:paraId="42E62263">
      <w:pPr>
        <w:pStyle w:val="73"/>
        <w:numPr>
          <w:ilvl w:val="0"/>
          <w:numId w:val="12"/>
        </w:numPr>
        <w:ind w:left="0" w:firstLine="560"/>
        <w:rPr>
          <w:color w:val="auto"/>
        </w:rPr>
      </w:pPr>
      <w:r>
        <w:rPr>
          <w:color w:val="auto"/>
        </w:rPr>
        <w:t>《特种作业人员安全技术培训考核管理规定》</w:t>
      </w:r>
      <w:r>
        <w:rPr>
          <w:rFonts w:hint="eastAsia"/>
          <w:color w:val="auto"/>
        </w:rPr>
        <w:t>（2015年5月29日</w:t>
      </w:r>
      <w:r>
        <w:rPr>
          <w:rFonts w:hint="eastAsia"/>
          <w:color w:val="auto"/>
          <w:lang w:eastAsia="zh-Hans"/>
        </w:rPr>
        <w:t>原</w:t>
      </w:r>
      <w:r>
        <w:rPr>
          <w:rFonts w:hint="eastAsia"/>
          <w:color w:val="auto"/>
        </w:rPr>
        <w:t>国家安全监管总局令第80号修正，2015年7月1日实施）；</w:t>
      </w:r>
    </w:p>
    <w:p w14:paraId="4253A19C">
      <w:pPr>
        <w:pStyle w:val="73"/>
        <w:numPr>
          <w:ilvl w:val="0"/>
          <w:numId w:val="12"/>
        </w:numPr>
        <w:ind w:left="0" w:firstLine="560"/>
        <w:rPr>
          <w:color w:val="auto"/>
        </w:rPr>
      </w:pPr>
      <w:r>
        <w:rPr>
          <w:rFonts w:hint="eastAsia"/>
          <w:color w:val="auto"/>
        </w:rPr>
        <w:t>《</w:t>
      </w:r>
      <w:r>
        <w:rPr>
          <w:color w:val="auto"/>
        </w:rPr>
        <w:t>安全生产培训管理办法</w:t>
      </w:r>
      <w:r>
        <w:rPr>
          <w:rFonts w:hint="eastAsia"/>
          <w:color w:val="auto"/>
        </w:rPr>
        <w:t>》（2015年5月29日</w:t>
      </w:r>
      <w:r>
        <w:rPr>
          <w:rFonts w:hint="eastAsia"/>
          <w:color w:val="auto"/>
          <w:lang w:eastAsia="zh-Hans"/>
        </w:rPr>
        <w:t>原</w:t>
      </w:r>
      <w:r>
        <w:rPr>
          <w:rFonts w:hint="eastAsia"/>
          <w:color w:val="auto"/>
        </w:rPr>
        <w:t>国家安全监管总局令第80号修正，2015年7月1日实施）；</w:t>
      </w:r>
    </w:p>
    <w:p w14:paraId="53C17C63">
      <w:pPr>
        <w:pStyle w:val="73"/>
        <w:numPr>
          <w:ilvl w:val="0"/>
          <w:numId w:val="12"/>
        </w:numPr>
        <w:ind w:left="0" w:firstLine="560"/>
        <w:rPr>
          <w:color w:val="auto"/>
        </w:rPr>
      </w:pPr>
      <w:r>
        <w:rPr>
          <w:rFonts w:hint="eastAsia"/>
          <w:color w:val="auto"/>
        </w:rPr>
        <w:t>《用人单位劳动防护用品管理规范》（原安监总厅安健〔2015〕124号，根据原安监总厅安健〔2018〕3号修改）；</w:t>
      </w:r>
    </w:p>
    <w:p w14:paraId="33D83391">
      <w:pPr>
        <w:pStyle w:val="73"/>
        <w:numPr>
          <w:ilvl w:val="0"/>
          <w:numId w:val="12"/>
        </w:numPr>
        <w:ind w:left="0" w:firstLine="560"/>
        <w:rPr>
          <w:color w:val="auto"/>
        </w:rPr>
      </w:pPr>
      <w:r>
        <w:rPr>
          <w:color w:val="auto"/>
        </w:rPr>
        <w:t>《国家安全监管总局办公厅关于进一步加强非煤矿山安全生产工作的紧急通知》（2016年1月5日</w:t>
      </w:r>
      <w:r>
        <w:rPr>
          <w:rFonts w:hint="eastAsia"/>
          <w:color w:val="auto"/>
          <w:lang w:eastAsia="zh-Hans"/>
        </w:rPr>
        <w:t>原</w:t>
      </w:r>
      <w:r>
        <w:rPr>
          <w:color w:val="auto"/>
        </w:rPr>
        <w:t>安监总厅管一〔2016〕1号</w:t>
      </w:r>
      <w:r>
        <w:rPr>
          <w:rFonts w:hint="eastAsia"/>
          <w:color w:val="auto"/>
        </w:rPr>
        <w:t>发布实施</w:t>
      </w:r>
      <w:r>
        <w:rPr>
          <w:color w:val="auto"/>
        </w:rPr>
        <w:t>）；</w:t>
      </w:r>
    </w:p>
    <w:p w14:paraId="047BF7A6">
      <w:pPr>
        <w:pStyle w:val="73"/>
        <w:numPr>
          <w:ilvl w:val="0"/>
          <w:numId w:val="12"/>
        </w:numPr>
        <w:ind w:left="0" w:firstLine="560"/>
        <w:rPr>
          <w:color w:val="auto"/>
        </w:rPr>
      </w:pPr>
      <w:r>
        <w:rPr>
          <w:rFonts w:hint="eastAsia"/>
          <w:color w:val="auto"/>
        </w:rPr>
        <w:t>《国家安全监管总局关于印发非煤矿山领域遏制重特大事故工作方案的通知》（2016年5月27日</w:t>
      </w:r>
      <w:r>
        <w:rPr>
          <w:rFonts w:hint="eastAsia"/>
          <w:color w:val="auto"/>
          <w:lang w:eastAsia="zh-Hans"/>
        </w:rPr>
        <w:t>原</w:t>
      </w:r>
      <w:r>
        <w:rPr>
          <w:rFonts w:hint="eastAsia"/>
          <w:color w:val="auto"/>
        </w:rPr>
        <w:t>安监总管一〔2016〕60号发布实施）；</w:t>
      </w:r>
    </w:p>
    <w:p w14:paraId="628C28D0">
      <w:pPr>
        <w:pStyle w:val="73"/>
        <w:numPr>
          <w:ilvl w:val="0"/>
          <w:numId w:val="12"/>
        </w:numPr>
        <w:ind w:left="0" w:firstLine="560"/>
        <w:rPr>
          <w:color w:val="auto"/>
        </w:rPr>
      </w:pPr>
      <w:r>
        <w:rPr>
          <w:rFonts w:hint="eastAsia"/>
          <w:color w:val="auto"/>
        </w:rPr>
        <w:t>《国家安全监管总局关于印发金属非金属矿山建设项目安全评价报告编写提纲的通知》（2016年5月30日</w:t>
      </w:r>
      <w:r>
        <w:rPr>
          <w:rFonts w:hint="eastAsia"/>
          <w:color w:val="auto"/>
          <w:lang w:eastAsia="zh-Hans"/>
        </w:rPr>
        <w:t>原</w:t>
      </w:r>
      <w:r>
        <w:rPr>
          <w:rFonts w:hint="eastAsia"/>
          <w:color w:val="auto"/>
        </w:rPr>
        <w:t>安监总管一〔2016〕49号发布实施）；</w:t>
      </w:r>
    </w:p>
    <w:p w14:paraId="63E448D4">
      <w:pPr>
        <w:pStyle w:val="73"/>
        <w:numPr>
          <w:ilvl w:val="0"/>
          <w:numId w:val="12"/>
        </w:numPr>
        <w:ind w:left="0" w:firstLine="560"/>
        <w:rPr>
          <w:color w:val="auto"/>
        </w:rPr>
      </w:pPr>
      <w:r>
        <w:rPr>
          <w:rFonts w:hint="eastAsia"/>
          <w:color w:val="auto"/>
        </w:rPr>
        <w:t>《生产安全事故应急预案管理办法》（原国家安全生产监督管理总局令第88号，2019年6月24日应急管理部第20次部务会议审议通过，2019年7月11日应急部令第2号修订公布，2019年9月1日起施行）</w:t>
      </w:r>
      <w:bookmarkEnd w:id="80"/>
      <w:r>
        <w:rPr>
          <w:rFonts w:hint="eastAsia"/>
          <w:color w:val="auto"/>
        </w:rPr>
        <w:t>；</w:t>
      </w:r>
    </w:p>
    <w:p w14:paraId="4470F449">
      <w:pPr>
        <w:pStyle w:val="73"/>
        <w:numPr>
          <w:ilvl w:val="0"/>
          <w:numId w:val="12"/>
        </w:numPr>
        <w:ind w:left="0" w:firstLine="560"/>
        <w:rPr>
          <w:color w:val="auto"/>
          <w:lang w:val="sq-AL"/>
        </w:rPr>
      </w:pPr>
      <w:r>
        <w:rPr>
          <w:color w:val="auto"/>
          <w:lang w:val="sq-AL"/>
        </w:rPr>
        <w:t>《国家矿山安全监察局关于印发〈关于加强非煤矿山安全生产工作的指导意见〉的通知》（矿安〔2022〕4号，2022年2月8日）</w:t>
      </w:r>
      <w:r>
        <w:rPr>
          <w:rFonts w:hint="eastAsia"/>
          <w:color w:val="auto"/>
          <w:lang w:val="sq-AL"/>
        </w:rPr>
        <w:t>；</w:t>
      </w:r>
    </w:p>
    <w:p w14:paraId="50ED2527">
      <w:pPr>
        <w:pStyle w:val="73"/>
        <w:numPr>
          <w:ilvl w:val="0"/>
          <w:numId w:val="12"/>
        </w:numPr>
        <w:ind w:left="0" w:firstLine="560"/>
        <w:rPr>
          <w:color w:val="auto"/>
          <w:lang w:val="sq-AL"/>
        </w:rPr>
      </w:pPr>
      <w:r>
        <w:rPr>
          <w:color w:val="auto"/>
          <w:lang w:val="sq-AL"/>
        </w:rPr>
        <w:t>《金属非金属矿山重大事故隐患判定标准》（矿安〔2022〕88号，</w:t>
      </w:r>
      <w:r>
        <w:rPr>
          <w:color w:val="auto"/>
        </w:rPr>
        <w:t>自2022年9月1日起施行</w:t>
      </w:r>
      <w:r>
        <w:rPr>
          <w:color w:val="auto"/>
          <w:lang w:val="sq-AL"/>
        </w:rPr>
        <w:t>）</w:t>
      </w:r>
      <w:r>
        <w:rPr>
          <w:rFonts w:hint="eastAsia"/>
          <w:color w:val="auto"/>
          <w:lang w:val="sq-AL"/>
        </w:rPr>
        <w:t>；</w:t>
      </w:r>
    </w:p>
    <w:p w14:paraId="10B2AE1E">
      <w:pPr>
        <w:pStyle w:val="73"/>
        <w:numPr>
          <w:ilvl w:val="0"/>
          <w:numId w:val="12"/>
        </w:numPr>
        <w:ind w:left="0" w:firstLine="560"/>
        <w:rPr>
          <w:color w:val="auto"/>
        </w:rPr>
      </w:pPr>
      <w:r>
        <w:rPr>
          <w:rFonts w:hint="eastAsia"/>
          <w:color w:val="auto"/>
          <w:lang w:val="sq-AL"/>
        </w:rPr>
        <w:t>《国家矿山安全监察局关于印发执行安全标志管理的矿用产品目录的通知</w:t>
      </w:r>
      <w:r>
        <w:rPr>
          <w:color w:val="auto"/>
          <w:lang w:val="sq-AL"/>
        </w:rPr>
        <w:t>》</w:t>
      </w:r>
      <w:r>
        <w:rPr>
          <w:rFonts w:hint="eastAsia"/>
          <w:color w:val="auto"/>
          <w:lang w:val="sq-AL"/>
        </w:rPr>
        <w:t>（矿安[2022]123号，2022年</w:t>
      </w:r>
      <w:r>
        <w:rPr>
          <w:rFonts w:hint="eastAsia"/>
          <w:color w:val="auto"/>
        </w:rPr>
        <w:t>9</w:t>
      </w:r>
      <w:r>
        <w:rPr>
          <w:rFonts w:hint="eastAsia"/>
          <w:color w:val="auto"/>
          <w:lang w:val="sq-AL"/>
        </w:rPr>
        <w:t>月</w:t>
      </w:r>
      <w:r>
        <w:rPr>
          <w:rFonts w:hint="eastAsia"/>
          <w:color w:val="auto"/>
        </w:rPr>
        <w:t>15</w:t>
      </w:r>
      <w:r>
        <w:rPr>
          <w:rFonts w:hint="eastAsia"/>
          <w:color w:val="auto"/>
          <w:lang w:val="sq-AL"/>
        </w:rPr>
        <w:t>日</w:t>
      </w:r>
      <w:r>
        <w:rPr>
          <w:rFonts w:hint="eastAsia"/>
          <w:color w:val="auto"/>
        </w:rPr>
        <w:t>发布，</w:t>
      </w:r>
      <w:r>
        <w:rPr>
          <w:color w:val="auto"/>
        </w:rPr>
        <w:t>自2022年</w:t>
      </w:r>
      <w:r>
        <w:rPr>
          <w:rFonts w:hint="eastAsia"/>
          <w:color w:val="auto"/>
        </w:rPr>
        <w:t>12</w:t>
      </w:r>
      <w:r>
        <w:rPr>
          <w:color w:val="auto"/>
        </w:rPr>
        <w:t>月1</w:t>
      </w:r>
      <w:r>
        <w:rPr>
          <w:rFonts w:hint="eastAsia"/>
          <w:color w:val="auto"/>
        </w:rPr>
        <w:t>0</w:t>
      </w:r>
      <w:r>
        <w:rPr>
          <w:color w:val="auto"/>
        </w:rPr>
        <w:t>日起施行</w:t>
      </w:r>
      <w:r>
        <w:rPr>
          <w:rFonts w:hint="eastAsia"/>
          <w:color w:val="auto"/>
          <w:lang w:val="sq-AL"/>
        </w:rPr>
        <w:t>）</w:t>
      </w:r>
      <w:r>
        <w:rPr>
          <w:rFonts w:hint="eastAsia"/>
          <w:color w:val="auto"/>
        </w:rPr>
        <w:t>；</w:t>
      </w:r>
    </w:p>
    <w:p w14:paraId="5B2F490F">
      <w:pPr>
        <w:pStyle w:val="73"/>
        <w:numPr>
          <w:ilvl w:val="0"/>
          <w:numId w:val="12"/>
        </w:numPr>
        <w:ind w:left="0" w:firstLine="560"/>
        <w:rPr>
          <w:color w:val="auto"/>
        </w:rPr>
      </w:pPr>
      <w:r>
        <w:rPr>
          <w:rFonts w:hint="eastAsia"/>
          <w:color w:val="auto"/>
        </w:rPr>
        <w:t>《国家矿山安全监察局关于印发〈防范非煤矿山典型多发事故六十条措施〉的通知》（矿安[2023]124号，2023年9月12日发布</w:t>
      </w:r>
      <w:r>
        <w:rPr>
          <w:rFonts w:hint="eastAsia"/>
          <w:color w:val="auto"/>
          <w:lang w:val="sq-AL"/>
        </w:rPr>
        <w:t>实施</w:t>
      </w:r>
      <w:r>
        <w:rPr>
          <w:rFonts w:hint="eastAsia"/>
          <w:color w:val="auto"/>
        </w:rPr>
        <w:t>）；</w:t>
      </w:r>
    </w:p>
    <w:p w14:paraId="1C455AAB">
      <w:pPr>
        <w:pStyle w:val="73"/>
        <w:numPr>
          <w:ilvl w:val="0"/>
          <w:numId w:val="12"/>
        </w:numPr>
        <w:ind w:left="0" w:firstLine="560"/>
        <w:rPr>
          <w:color w:val="auto"/>
        </w:rPr>
      </w:pPr>
      <w:r>
        <w:rPr>
          <w:rFonts w:hint="eastAsia"/>
          <w:color w:val="auto"/>
        </w:rPr>
        <w:t>《企业安全生产费用提取和使用管理办法》（财资〔2022〕136号，2022年11月21日）；</w:t>
      </w:r>
    </w:p>
    <w:p w14:paraId="2FAEFE17">
      <w:pPr>
        <w:pStyle w:val="73"/>
        <w:numPr>
          <w:ilvl w:val="0"/>
          <w:numId w:val="12"/>
        </w:numPr>
        <w:ind w:left="0" w:firstLine="560"/>
        <w:rPr>
          <w:color w:val="auto"/>
        </w:rPr>
      </w:pPr>
      <w:r>
        <w:rPr>
          <w:rFonts w:hint="eastAsia"/>
          <w:color w:val="auto"/>
        </w:rPr>
        <w:t>《国家矿山安全监察局关于印发〈非煤矿山建设项目安全设施重大变更范围〉的通知》（矿安〔2023〕147号，2023年11月14日发布</w:t>
      </w:r>
      <w:r>
        <w:rPr>
          <w:rFonts w:hint="eastAsia"/>
          <w:color w:val="auto"/>
          <w:lang w:val="sq-AL"/>
        </w:rPr>
        <w:t>实施</w:t>
      </w:r>
      <w:r>
        <w:rPr>
          <w:rFonts w:hint="eastAsia"/>
          <w:color w:val="auto"/>
        </w:rPr>
        <w:t>）。</w:t>
      </w:r>
    </w:p>
    <w:p w14:paraId="69A4AF4E">
      <w:pPr>
        <w:pStyle w:val="85"/>
        <w:numPr>
          <w:ilvl w:val="3"/>
          <w:numId w:val="0"/>
        </w:numPr>
        <w:ind w:firstLine="560" w:firstLineChars="200"/>
        <w:rPr>
          <w:rFonts w:cs="黑体"/>
          <w:b w:val="0"/>
          <w:bCs/>
          <w:color w:val="auto"/>
        </w:rPr>
      </w:pPr>
      <w:bookmarkStart w:id="81" w:name="_Toc501120263"/>
      <w:r>
        <w:rPr>
          <w:rFonts w:hint="eastAsia" w:cs="黑体"/>
          <w:b w:val="0"/>
          <w:bCs/>
          <w:color w:val="auto"/>
        </w:rPr>
        <w:t>1.2.1.4地方性法规</w:t>
      </w:r>
      <w:bookmarkEnd w:id="81"/>
      <w:r>
        <w:rPr>
          <w:rFonts w:hint="eastAsia" w:cs="黑体"/>
          <w:b w:val="0"/>
          <w:bCs/>
          <w:color w:val="auto"/>
        </w:rPr>
        <w:t>和规范性文件</w:t>
      </w:r>
    </w:p>
    <w:bookmarkEnd w:id="73"/>
    <w:bookmarkEnd w:id="74"/>
    <w:bookmarkEnd w:id="75"/>
    <w:bookmarkEnd w:id="76"/>
    <w:p w14:paraId="7BC276E7">
      <w:pPr>
        <w:pStyle w:val="73"/>
        <w:numPr>
          <w:ilvl w:val="0"/>
          <w:numId w:val="13"/>
        </w:numPr>
        <w:ind w:left="0" w:firstLine="560"/>
        <w:rPr>
          <w:color w:val="auto"/>
          <w:lang w:val="sq-AL"/>
        </w:rPr>
      </w:pPr>
      <w:bookmarkStart w:id="82" w:name="_Hlk501313100"/>
      <w:r>
        <w:rPr>
          <w:rFonts w:hint="eastAsia"/>
          <w:color w:val="auto"/>
          <w:lang w:val="sq-AL"/>
        </w:rPr>
        <w:t>《云南省实施&lt;中华人民共和国矿山安全法&gt;办法》（1994年6月2日云南省第八届人民代表大会常务委员会第七次会议通过，根据1997年12月3日发布的《云南省人民代表大会常务委员会关于修订15件地方性法规的决定》进行修正）；</w:t>
      </w:r>
    </w:p>
    <w:p w14:paraId="0861E0C2">
      <w:pPr>
        <w:pStyle w:val="73"/>
        <w:numPr>
          <w:ilvl w:val="0"/>
          <w:numId w:val="13"/>
        </w:numPr>
        <w:ind w:left="0" w:firstLine="560"/>
        <w:rPr>
          <w:color w:val="auto"/>
          <w:lang w:val="sq-AL"/>
        </w:rPr>
      </w:pPr>
      <w:r>
        <w:rPr>
          <w:rFonts w:hint="eastAsia"/>
          <w:color w:val="auto"/>
          <w:lang w:val="sq-AL"/>
        </w:rPr>
        <w:t>《云南省电力设施保护条例》（2007年9月29日云南省人民代表大会常务委员会公告第61号；根据2012年3月31日云南省第十一届人民代表大会常务委员会第三十次会议（公告第58号）《云南省人民代表大会常务委员会关于修改25件涉及行政强制的地方性法规的决定》修正）；</w:t>
      </w:r>
    </w:p>
    <w:p w14:paraId="0187A406">
      <w:pPr>
        <w:pStyle w:val="73"/>
        <w:numPr>
          <w:ilvl w:val="0"/>
          <w:numId w:val="13"/>
        </w:numPr>
        <w:ind w:left="0" w:firstLine="560"/>
        <w:rPr>
          <w:color w:val="auto"/>
          <w:lang w:val="sq-AL"/>
        </w:rPr>
      </w:pPr>
      <w:r>
        <w:rPr>
          <w:rFonts w:hint="eastAsia"/>
          <w:color w:val="auto"/>
          <w:lang w:val="sq-AL"/>
        </w:rPr>
        <w:t>《云南省人民政府关于进一步加强安全生产工作的决定》（云政发[2011]229号，自2011年11月14日起施行）；</w:t>
      </w:r>
    </w:p>
    <w:p w14:paraId="745A0B8E">
      <w:pPr>
        <w:pStyle w:val="73"/>
        <w:numPr>
          <w:ilvl w:val="0"/>
          <w:numId w:val="13"/>
        </w:numPr>
        <w:ind w:left="0" w:firstLine="560"/>
        <w:rPr>
          <w:color w:val="auto"/>
          <w:lang w:val="sq-AL"/>
        </w:rPr>
      </w:pPr>
      <w:r>
        <w:rPr>
          <w:rFonts w:hint="eastAsia"/>
          <w:color w:val="auto"/>
          <w:lang w:val="sq-AL"/>
        </w:rPr>
        <w:t>《云南省安全生产委员会关于贯彻落实云南省人民政府进一步加强安全生产工作决定的通知》（云安发电[2011]12号，自2011年11月15日起施行）；</w:t>
      </w:r>
    </w:p>
    <w:p w14:paraId="33400F5C">
      <w:pPr>
        <w:pStyle w:val="73"/>
        <w:numPr>
          <w:ilvl w:val="0"/>
          <w:numId w:val="13"/>
        </w:numPr>
        <w:ind w:left="0" w:firstLine="560"/>
        <w:rPr>
          <w:color w:val="auto"/>
          <w:lang w:val="sq-AL"/>
        </w:rPr>
      </w:pPr>
      <w:r>
        <w:rPr>
          <w:rFonts w:hint="eastAsia"/>
          <w:color w:val="auto"/>
          <w:lang w:val="sq-AL"/>
        </w:rPr>
        <w:t>《云南省安全生产监督管理局&lt;关于进一步夯实非煤矿山安全生产基础的意见&gt;》（原云南省安全生产监督管理局，自2013年3月19日起施行）；</w:t>
      </w:r>
    </w:p>
    <w:p w14:paraId="00FF7D4E">
      <w:pPr>
        <w:pStyle w:val="73"/>
        <w:numPr>
          <w:ilvl w:val="0"/>
          <w:numId w:val="13"/>
        </w:numPr>
        <w:ind w:left="0" w:firstLine="560"/>
        <w:rPr>
          <w:color w:val="auto"/>
          <w:lang w:val="sq-AL"/>
        </w:rPr>
      </w:pPr>
      <w:r>
        <w:rPr>
          <w:rFonts w:hint="eastAsia"/>
          <w:color w:val="auto"/>
          <w:lang w:val="sq-AL"/>
        </w:rPr>
        <w:t>《云南省人民政府关于促进非煤矿山转型升级的实施意见》（云政发[2015]38号，自2015年5月29日起施行）；</w:t>
      </w:r>
    </w:p>
    <w:p w14:paraId="47C62983">
      <w:pPr>
        <w:pStyle w:val="73"/>
        <w:numPr>
          <w:ilvl w:val="0"/>
          <w:numId w:val="13"/>
        </w:numPr>
        <w:ind w:left="0" w:firstLine="560"/>
        <w:rPr>
          <w:color w:val="auto"/>
          <w:lang w:val="sq-AL"/>
        </w:rPr>
      </w:pPr>
      <w:r>
        <w:rPr>
          <w:rFonts w:hint="eastAsia"/>
          <w:color w:val="auto"/>
          <w:lang w:val="sq-AL"/>
        </w:rPr>
        <w:t>《云南省安全生产监督管理局&lt;关于进一步规范金属非金属矿山建设项目安全“三同时”工作的通知&gt;》（原云南省安全生产监督管理局，自2016年3月21日起施行）；</w:t>
      </w:r>
    </w:p>
    <w:p w14:paraId="04478BD6">
      <w:pPr>
        <w:pStyle w:val="73"/>
        <w:numPr>
          <w:ilvl w:val="0"/>
          <w:numId w:val="13"/>
        </w:numPr>
        <w:ind w:left="0" w:firstLine="560"/>
        <w:rPr>
          <w:color w:val="auto"/>
          <w:lang w:val="sq-AL"/>
        </w:rPr>
      </w:pPr>
      <w:r>
        <w:rPr>
          <w:rFonts w:hint="eastAsia"/>
          <w:color w:val="auto"/>
          <w:lang w:val="sq-AL"/>
        </w:rPr>
        <w:t>《云南省安全生产监督管理局、云南省财政厅&lt;关于取消企业安全生产风险抵押金的通知&gt;》（原云安监管〔2017〕18号，自2017年4月1日起施行）；</w:t>
      </w:r>
    </w:p>
    <w:p w14:paraId="6985888C">
      <w:pPr>
        <w:pStyle w:val="73"/>
        <w:numPr>
          <w:ilvl w:val="0"/>
          <w:numId w:val="13"/>
        </w:numPr>
        <w:ind w:left="0" w:firstLine="560"/>
        <w:rPr>
          <w:color w:val="auto"/>
          <w:lang w:val="sq-AL"/>
        </w:rPr>
      </w:pPr>
      <w:r>
        <w:rPr>
          <w:rFonts w:hint="eastAsia"/>
          <w:color w:val="auto"/>
          <w:lang w:val="sq-AL"/>
        </w:rPr>
        <w:t>《云南省安全生产条例》（云南省第十二届人民代表大会常务委员会第三十八次会议于2017年11月30日修订，云南省十二届人民代表大会常务委员会公告第63号，自2018年1月1日施行）；</w:t>
      </w:r>
    </w:p>
    <w:p w14:paraId="48841DB9">
      <w:pPr>
        <w:pStyle w:val="73"/>
        <w:numPr>
          <w:ilvl w:val="0"/>
          <w:numId w:val="13"/>
        </w:numPr>
        <w:ind w:left="0" w:firstLine="560"/>
        <w:rPr>
          <w:color w:val="auto"/>
          <w:lang w:val="sq-AL"/>
        </w:rPr>
      </w:pPr>
      <w:r>
        <w:rPr>
          <w:rFonts w:hint="eastAsia"/>
          <w:color w:val="auto"/>
          <w:lang w:val="sq-AL"/>
        </w:rPr>
        <w:t>《云南省安委会办公室&lt;关于进一步夯实安全基础坚决防范遏制非煤矿山重特大事故的通知&gt;》（云安办〔2019〕7号，自2019年3月1日起施行）；</w:t>
      </w:r>
    </w:p>
    <w:p w14:paraId="3F668952">
      <w:pPr>
        <w:pStyle w:val="73"/>
        <w:numPr>
          <w:ilvl w:val="0"/>
          <w:numId w:val="13"/>
        </w:numPr>
        <w:ind w:left="0" w:firstLine="560"/>
        <w:rPr>
          <w:color w:val="auto"/>
          <w:lang w:val="sq-AL"/>
        </w:rPr>
      </w:pPr>
      <w:r>
        <w:rPr>
          <w:rFonts w:hint="eastAsia"/>
          <w:snapToGrid w:val="0"/>
          <w:color w:val="auto"/>
          <w:kern w:val="0"/>
        </w:rPr>
        <w:t>《云南省安全生产委员会关于建立完善安全风险分级管控和隐患排查治理双重预防机制的指导意见》（云安[2021]3号，2</w:t>
      </w:r>
      <w:r>
        <w:rPr>
          <w:snapToGrid w:val="0"/>
          <w:color w:val="auto"/>
          <w:kern w:val="0"/>
        </w:rPr>
        <w:t>021</w:t>
      </w:r>
      <w:r>
        <w:rPr>
          <w:rFonts w:hint="eastAsia"/>
          <w:snapToGrid w:val="0"/>
          <w:color w:val="auto"/>
          <w:kern w:val="0"/>
        </w:rPr>
        <w:t>年3月1</w:t>
      </w:r>
      <w:r>
        <w:rPr>
          <w:snapToGrid w:val="0"/>
          <w:color w:val="auto"/>
          <w:kern w:val="0"/>
        </w:rPr>
        <w:t>8</w:t>
      </w:r>
      <w:r>
        <w:rPr>
          <w:rFonts w:hint="eastAsia"/>
          <w:snapToGrid w:val="0"/>
          <w:color w:val="auto"/>
          <w:kern w:val="0"/>
        </w:rPr>
        <w:t>日）；</w:t>
      </w:r>
    </w:p>
    <w:p w14:paraId="02612DF6">
      <w:pPr>
        <w:pStyle w:val="73"/>
        <w:numPr>
          <w:ilvl w:val="0"/>
          <w:numId w:val="13"/>
        </w:numPr>
        <w:ind w:left="0" w:firstLine="560"/>
        <w:rPr>
          <w:color w:val="auto"/>
          <w:lang w:val="sq-AL"/>
        </w:rPr>
      </w:pPr>
      <w:r>
        <w:rPr>
          <w:rFonts w:hint="eastAsia"/>
          <w:color w:val="auto"/>
          <w:lang w:val="sq-AL"/>
        </w:rPr>
        <w:t>《云南省应急管理厅云南银保监局关于规范推进安全生产责任保险工作的通知》（云应急〔2022〕48号，2022年4月26日）；</w:t>
      </w:r>
    </w:p>
    <w:p w14:paraId="4D761F91">
      <w:pPr>
        <w:pStyle w:val="73"/>
        <w:numPr>
          <w:ilvl w:val="0"/>
          <w:numId w:val="13"/>
        </w:numPr>
        <w:ind w:left="0" w:firstLine="560"/>
        <w:rPr>
          <w:color w:val="auto"/>
          <w:lang w:val="sq-AL"/>
        </w:rPr>
      </w:pPr>
      <w:r>
        <w:rPr>
          <w:rFonts w:hint="eastAsia"/>
          <w:color w:val="auto"/>
          <w:lang w:val="sq-AL"/>
        </w:rPr>
        <w:t>《云南省安全生产委员会办公室关于切实做好当前矿山安全生产工作的紧急通知》（云安办函〔2023〕16号，2023年2月23日）；</w:t>
      </w:r>
    </w:p>
    <w:p w14:paraId="3D08EF3E">
      <w:pPr>
        <w:pStyle w:val="73"/>
        <w:numPr>
          <w:ilvl w:val="0"/>
          <w:numId w:val="13"/>
        </w:numPr>
        <w:ind w:left="0" w:firstLine="560"/>
        <w:rPr>
          <w:color w:val="auto"/>
        </w:rPr>
      </w:pPr>
      <w:r>
        <w:rPr>
          <w:rFonts w:hint="eastAsia"/>
          <w:color w:val="auto"/>
          <w:lang w:val="sq-AL"/>
        </w:rPr>
        <w:t>《云南省应急管理厅 国家矿山安全监察局云南局&lt;关于开展非煤露天矿山安全生产专项整治的通知&gt;》（云应急[2023]31号，2023年3月9日）</w:t>
      </w:r>
      <w:r>
        <w:rPr>
          <w:rFonts w:hint="eastAsia"/>
          <w:color w:val="auto"/>
        </w:rPr>
        <w:t>；</w:t>
      </w:r>
    </w:p>
    <w:p w14:paraId="64B787F5">
      <w:pPr>
        <w:pStyle w:val="73"/>
        <w:numPr>
          <w:ilvl w:val="0"/>
          <w:numId w:val="13"/>
        </w:numPr>
        <w:ind w:left="0" w:firstLine="560"/>
        <w:rPr>
          <w:color w:val="auto"/>
        </w:rPr>
      </w:pPr>
      <w:r>
        <w:rPr>
          <w:rFonts w:hint="eastAsia"/>
          <w:color w:val="auto"/>
        </w:rPr>
        <w:t>其他地方性法规及规范性文件。</w:t>
      </w:r>
    </w:p>
    <w:p w14:paraId="11AA7FA1">
      <w:pPr>
        <w:pStyle w:val="5"/>
        <w:keepNext/>
        <w:keepLines/>
        <w:snapToGrid w:val="0"/>
        <w:spacing w:line="360" w:lineRule="auto"/>
        <w:ind w:firstLine="562" w:firstLineChars="200"/>
        <w:jc w:val="left"/>
        <w:rPr>
          <w:rFonts w:cs="Times New Roman"/>
          <w:b/>
          <w:color w:val="auto"/>
          <w:sz w:val="28"/>
          <w:szCs w:val="32"/>
          <w:lang w:val="en-GB"/>
        </w:rPr>
      </w:pPr>
      <w:bookmarkStart w:id="83" w:name="_Toc326668529"/>
      <w:bookmarkStart w:id="84" w:name="_Toc12419"/>
      <w:bookmarkStart w:id="85" w:name="_Toc2248"/>
      <w:bookmarkStart w:id="86" w:name="_Toc21299"/>
      <w:bookmarkStart w:id="87" w:name="_Toc7501"/>
      <w:bookmarkStart w:id="88" w:name="_Toc374352221"/>
      <w:bookmarkStart w:id="89" w:name="_Toc24545"/>
      <w:bookmarkStart w:id="90" w:name="_Toc19130"/>
      <w:bookmarkStart w:id="91" w:name="_Toc20342"/>
      <w:bookmarkStart w:id="92" w:name="_Toc501120265"/>
      <w:bookmarkStart w:id="93" w:name="_Toc22760"/>
      <w:bookmarkStart w:id="94" w:name="_Toc30718"/>
      <w:r>
        <w:rPr>
          <w:rFonts w:hint="eastAsia" w:cs="Times New Roman"/>
          <w:b/>
          <w:color w:val="auto"/>
          <w:sz w:val="28"/>
          <w:szCs w:val="32"/>
          <w:lang w:val="en-GB"/>
        </w:rPr>
        <w:t>1.2.2标准规范</w:t>
      </w:r>
      <w:bookmarkEnd w:id="83"/>
      <w:bookmarkEnd w:id="84"/>
      <w:bookmarkEnd w:id="85"/>
      <w:bookmarkEnd w:id="86"/>
      <w:bookmarkEnd w:id="87"/>
      <w:bookmarkEnd w:id="88"/>
      <w:bookmarkEnd w:id="89"/>
      <w:bookmarkEnd w:id="90"/>
      <w:bookmarkEnd w:id="91"/>
      <w:bookmarkEnd w:id="92"/>
      <w:bookmarkEnd w:id="93"/>
      <w:bookmarkEnd w:id="94"/>
    </w:p>
    <w:p w14:paraId="68419335">
      <w:pPr>
        <w:pStyle w:val="85"/>
        <w:numPr>
          <w:ilvl w:val="3"/>
          <w:numId w:val="0"/>
        </w:numPr>
        <w:ind w:firstLine="560" w:firstLineChars="200"/>
        <w:rPr>
          <w:rFonts w:cs="黑体"/>
          <w:b w:val="0"/>
          <w:bCs/>
          <w:color w:val="auto"/>
        </w:rPr>
      </w:pPr>
      <w:r>
        <w:rPr>
          <w:rFonts w:hint="eastAsia" w:cs="黑体"/>
          <w:b w:val="0"/>
          <w:bCs/>
          <w:color w:val="auto"/>
        </w:rPr>
        <w:t>1.2.2.1国家标准</w:t>
      </w:r>
    </w:p>
    <w:p w14:paraId="62514C12">
      <w:pPr>
        <w:pStyle w:val="73"/>
        <w:numPr>
          <w:ilvl w:val="0"/>
          <w:numId w:val="14"/>
        </w:numPr>
        <w:ind w:left="0" w:firstLine="560"/>
        <w:rPr>
          <w:rFonts w:cs="Times New Roman"/>
          <w:color w:val="auto"/>
        </w:rPr>
      </w:pPr>
      <w:r>
        <w:rPr>
          <w:rFonts w:hint="eastAsia" w:cs="Times New Roman"/>
          <w:color w:val="auto"/>
        </w:rPr>
        <w:t>《企业职工伤亡事故分类标准》（GB6441-1986），1986年05月31日发布，1987年02月01日起实施；</w:t>
      </w:r>
    </w:p>
    <w:p w14:paraId="7E5E2B40">
      <w:pPr>
        <w:pStyle w:val="73"/>
        <w:numPr>
          <w:ilvl w:val="0"/>
          <w:numId w:val="14"/>
        </w:numPr>
        <w:ind w:left="0" w:firstLine="560"/>
        <w:rPr>
          <w:rFonts w:cs="Times New Roman"/>
          <w:color w:val="auto"/>
        </w:rPr>
      </w:pPr>
      <w:r>
        <w:rPr>
          <w:rFonts w:hint="eastAsia" w:cs="Times New Roman"/>
          <w:color w:val="auto"/>
        </w:rPr>
        <w:t>《厂矿道路设计规范》（GBJ22-1987），1987年12月15日发布，1988年08月01日起实施；</w:t>
      </w:r>
    </w:p>
    <w:p w14:paraId="0FD66027">
      <w:pPr>
        <w:pStyle w:val="73"/>
        <w:numPr>
          <w:ilvl w:val="0"/>
          <w:numId w:val="14"/>
        </w:numPr>
        <w:ind w:left="0" w:firstLine="560"/>
        <w:rPr>
          <w:rFonts w:cs="Times New Roman"/>
          <w:color w:val="auto"/>
        </w:rPr>
      </w:pPr>
      <w:r>
        <w:rPr>
          <w:rFonts w:hint="eastAsia" w:cs="Times New Roman"/>
          <w:color w:val="auto"/>
        </w:rPr>
        <w:t>《生产设备安全卫生设计总则》（GB5083-1999），1999年05月14日发布，1999年12月01日起实施；</w:t>
      </w:r>
    </w:p>
    <w:p w14:paraId="0656DE08">
      <w:pPr>
        <w:pStyle w:val="73"/>
        <w:numPr>
          <w:ilvl w:val="0"/>
          <w:numId w:val="14"/>
        </w:numPr>
        <w:ind w:left="0" w:firstLine="560"/>
        <w:rPr>
          <w:rFonts w:cs="Times New Roman"/>
          <w:color w:val="auto"/>
        </w:rPr>
      </w:pPr>
      <w:r>
        <w:rPr>
          <w:color w:val="auto"/>
          <w:lang w:eastAsia="zh-Hans"/>
        </w:rPr>
        <w:t>《</w:t>
      </w:r>
      <w:r>
        <w:rPr>
          <w:rFonts w:hint="eastAsia"/>
          <w:color w:val="auto"/>
          <w:lang w:eastAsia="zh-Hans"/>
        </w:rPr>
        <w:t>破碎设备</w:t>
      </w:r>
      <w:r>
        <w:rPr>
          <w:color w:val="auto"/>
          <w:lang w:eastAsia="zh-Hans"/>
        </w:rPr>
        <w:t xml:space="preserve"> </w:t>
      </w:r>
      <w:r>
        <w:rPr>
          <w:rFonts w:hint="eastAsia"/>
          <w:color w:val="auto"/>
          <w:lang w:eastAsia="zh-Hans"/>
        </w:rPr>
        <w:t>安全要求</w:t>
      </w:r>
      <w:r>
        <w:rPr>
          <w:color w:val="auto"/>
          <w:lang w:eastAsia="zh-Hans"/>
        </w:rPr>
        <w:t>》（GB18452-2001）</w:t>
      </w:r>
      <w:r>
        <w:rPr>
          <w:rFonts w:hint="eastAsia" w:cs="Times New Roman"/>
          <w:color w:val="auto"/>
        </w:rPr>
        <w:t>，2001年09月15日发布，2002年04月01日起实施；</w:t>
      </w:r>
    </w:p>
    <w:p w14:paraId="1D61CD50">
      <w:pPr>
        <w:pStyle w:val="73"/>
        <w:numPr>
          <w:ilvl w:val="0"/>
          <w:numId w:val="14"/>
        </w:numPr>
        <w:ind w:left="0" w:firstLine="560"/>
        <w:rPr>
          <w:rFonts w:cs="Times New Roman"/>
          <w:color w:val="auto"/>
        </w:rPr>
      </w:pPr>
      <w:r>
        <w:rPr>
          <w:rFonts w:hint="eastAsia" w:cs="Times New Roman"/>
          <w:color w:val="auto"/>
        </w:rPr>
        <w:t>《建筑灭火器配置设计规范》（GB50140-2005），2005年07月15日发布，2005年10月01日起实施；</w:t>
      </w:r>
    </w:p>
    <w:p w14:paraId="1CF88DBA">
      <w:pPr>
        <w:pStyle w:val="73"/>
        <w:numPr>
          <w:ilvl w:val="0"/>
          <w:numId w:val="14"/>
        </w:numPr>
        <w:ind w:left="0" w:firstLine="560"/>
        <w:rPr>
          <w:rFonts w:cs="Times New Roman"/>
          <w:color w:val="auto"/>
        </w:rPr>
      </w:pPr>
      <w:r>
        <w:rPr>
          <w:rFonts w:hint="eastAsia" w:cs="Times New Roman"/>
          <w:color w:val="auto"/>
        </w:rPr>
        <w:t>《工作场所有害因素职业接触限值 第2部分：物理因素》（GBZ2.2-2007），2007年04月12日发布，2007年11月01日起实施；</w:t>
      </w:r>
    </w:p>
    <w:p w14:paraId="5857777B">
      <w:pPr>
        <w:pStyle w:val="73"/>
        <w:numPr>
          <w:ilvl w:val="0"/>
          <w:numId w:val="14"/>
        </w:numPr>
        <w:ind w:left="0" w:firstLine="560"/>
        <w:rPr>
          <w:rFonts w:cs="Times New Roman"/>
          <w:color w:val="auto"/>
        </w:rPr>
      </w:pPr>
      <w:r>
        <w:rPr>
          <w:rFonts w:hint="eastAsia" w:cs="Times New Roman"/>
          <w:color w:val="auto"/>
        </w:rPr>
        <w:t>《矿用一般型电气设备》（GB12173-2008），2008年06月30日发布，2009年04月01日起实施；</w:t>
      </w:r>
    </w:p>
    <w:p w14:paraId="7E7339EC">
      <w:pPr>
        <w:pStyle w:val="73"/>
        <w:numPr>
          <w:ilvl w:val="0"/>
          <w:numId w:val="14"/>
        </w:numPr>
        <w:ind w:left="0" w:firstLine="560"/>
        <w:rPr>
          <w:rFonts w:cs="Times New Roman"/>
          <w:color w:val="auto"/>
        </w:rPr>
      </w:pPr>
      <w:r>
        <w:rPr>
          <w:rFonts w:hint="eastAsia" w:cs="Times New Roman"/>
          <w:color w:val="auto"/>
        </w:rPr>
        <w:t>《高处作业分级》（GB/T 3608-2008），2008年10月30日发布，2009年06月01日起实施；</w:t>
      </w:r>
    </w:p>
    <w:p w14:paraId="00C55863">
      <w:pPr>
        <w:pStyle w:val="73"/>
        <w:numPr>
          <w:ilvl w:val="0"/>
          <w:numId w:val="14"/>
        </w:numPr>
        <w:ind w:left="0" w:firstLine="560"/>
        <w:rPr>
          <w:rFonts w:cs="Times New Roman"/>
          <w:color w:val="auto"/>
        </w:rPr>
      </w:pPr>
      <w:r>
        <w:rPr>
          <w:rFonts w:hint="eastAsia" w:cs="Times New Roman"/>
          <w:color w:val="auto"/>
        </w:rPr>
        <w:t>《工业企业厂内铁路、道路运输安全规程》（GB4387-2008），2008年12月11日发布，2009年10月01日起实施；</w:t>
      </w:r>
    </w:p>
    <w:p w14:paraId="4E8C861B">
      <w:pPr>
        <w:pStyle w:val="73"/>
        <w:numPr>
          <w:ilvl w:val="0"/>
          <w:numId w:val="14"/>
        </w:numPr>
        <w:ind w:left="0" w:firstLine="560"/>
        <w:rPr>
          <w:rFonts w:cs="Times New Roman"/>
          <w:color w:val="auto"/>
        </w:rPr>
      </w:pPr>
      <w:r>
        <w:rPr>
          <w:rFonts w:hint="eastAsia" w:cs="Times New Roman"/>
          <w:color w:val="auto"/>
        </w:rPr>
        <w:t>《安全色》（GB2893-2008），2008年12月11日发布，2009年10月01日起实施；</w:t>
      </w:r>
    </w:p>
    <w:p w14:paraId="24D76352">
      <w:pPr>
        <w:pStyle w:val="73"/>
        <w:numPr>
          <w:ilvl w:val="0"/>
          <w:numId w:val="14"/>
        </w:numPr>
        <w:ind w:left="0" w:firstLine="560"/>
        <w:rPr>
          <w:rFonts w:cs="Times New Roman"/>
          <w:color w:val="auto"/>
        </w:rPr>
      </w:pPr>
      <w:r>
        <w:rPr>
          <w:rFonts w:hint="eastAsia" w:cs="Times New Roman"/>
          <w:color w:val="auto"/>
        </w:rPr>
        <w:t>《安全标志及其使用导则》（GB2894-2008），2008年12月11日发布，2009年10月01日起实施；</w:t>
      </w:r>
    </w:p>
    <w:p w14:paraId="78FF1AA2">
      <w:pPr>
        <w:pStyle w:val="73"/>
        <w:numPr>
          <w:ilvl w:val="0"/>
          <w:numId w:val="14"/>
        </w:numPr>
        <w:ind w:left="0" w:firstLine="560"/>
        <w:rPr>
          <w:rFonts w:cs="Times New Roman"/>
          <w:color w:val="auto"/>
        </w:rPr>
      </w:pPr>
      <w:r>
        <w:rPr>
          <w:rFonts w:hint="eastAsia" w:cs="Times New Roman"/>
          <w:color w:val="auto"/>
        </w:rPr>
        <w:t>《矿山安全标志》（GB14161-2008），2008年12月11日发布，2009年10月01日起实施；</w:t>
      </w:r>
    </w:p>
    <w:p w14:paraId="779477CA">
      <w:pPr>
        <w:pStyle w:val="73"/>
        <w:numPr>
          <w:ilvl w:val="0"/>
          <w:numId w:val="14"/>
        </w:numPr>
        <w:ind w:left="0" w:firstLine="560"/>
        <w:rPr>
          <w:rFonts w:cs="Times New Roman"/>
          <w:color w:val="auto"/>
        </w:rPr>
      </w:pPr>
      <w:r>
        <w:rPr>
          <w:rFonts w:hint="eastAsia" w:cs="Times New Roman"/>
          <w:color w:val="auto"/>
        </w:rPr>
        <w:t>《生产过程安全卫生要求总则》（GB/T12801-2008），2008年12月15日发布，2009年10月01日起实施；</w:t>
      </w:r>
    </w:p>
    <w:p w14:paraId="524EFBFD">
      <w:pPr>
        <w:pStyle w:val="73"/>
        <w:numPr>
          <w:ilvl w:val="0"/>
          <w:numId w:val="14"/>
        </w:numPr>
        <w:ind w:left="0" w:firstLine="560"/>
        <w:rPr>
          <w:rFonts w:cs="Times New Roman"/>
          <w:color w:val="auto"/>
        </w:rPr>
      </w:pPr>
      <w:r>
        <w:rPr>
          <w:rFonts w:hint="eastAsia" w:cs="Times New Roman"/>
          <w:color w:val="auto"/>
        </w:rPr>
        <w:t>《固定式钢梯及平台安全要求 第1部分：钢直梯》（GB4053.1-2009）， 2009年03月31日发布，2009年12月01日起实施；</w:t>
      </w:r>
    </w:p>
    <w:p w14:paraId="5429407B">
      <w:pPr>
        <w:pStyle w:val="73"/>
        <w:numPr>
          <w:ilvl w:val="0"/>
          <w:numId w:val="14"/>
        </w:numPr>
        <w:ind w:left="0" w:firstLine="560"/>
        <w:rPr>
          <w:rFonts w:cs="Times New Roman"/>
          <w:color w:val="auto"/>
        </w:rPr>
      </w:pPr>
      <w:r>
        <w:rPr>
          <w:rFonts w:hint="eastAsia" w:cs="Times New Roman"/>
          <w:color w:val="auto"/>
        </w:rPr>
        <w:t>《固定式钢梯及平台安全要求 第2部分：钢斜梯》（GB4053.2-2009），2009年03月31日发布，2009年12月01日起实施；</w:t>
      </w:r>
    </w:p>
    <w:p w14:paraId="5DD05F83">
      <w:pPr>
        <w:pStyle w:val="73"/>
        <w:numPr>
          <w:ilvl w:val="0"/>
          <w:numId w:val="14"/>
        </w:numPr>
        <w:ind w:left="0" w:firstLine="560"/>
        <w:rPr>
          <w:rFonts w:cs="Times New Roman"/>
          <w:color w:val="auto"/>
        </w:rPr>
      </w:pPr>
      <w:r>
        <w:rPr>
          <w:rFonts w:hint="eastAsia" w:cs="Times New Roman"/>
          <w:color w:val="auto"/>
        </w:rPr>
        <w:t>《固定式钢梯及平台安全要求 第3部分：工业防护栏杆及钢平台》（GB4053.3-2009），2009年03月31日发布，2009年12月01日起实施；</w:t>
      </w:r>
    </w:p>
    <w:p w14:paraId="503AD3D0">
      <w:pPr>
        <w:pStyle w:val="73"/>
        <w:numPr>
          <w:ilvl w:val="0"/>
          <w:numId w:val="14"/>
        </w:numPr>
        <w:ind w:left="0" w:firstLine="560"/>
        <w:rPr>
          <w:rFonts w:cs="Times New Roman"/>
          <w:color w:val="auto"/>
        </w:rPr>
      </w:pPr>
      <w:r>
        <w:rPr>
          <w:rFonts w:hint="eastAsia" w:cs="Times New Roman"/>
          <w:color w:val="auto"/>
        </w:rPr>
        <w:t xml:space="preserve">《机械安全防止上下肢触及危险区的安全距离》（GB </w:t>
      </w:r>
      <w:r>
        <w:rPr>
          <w:rFonts w:cs="Times New Roman"/>
          <w:color w:val="auto"/>
        </w:rPr>
        <w:t>/T</w:t>
      </w:r>
      <w:r>
        <w:rPr>
          <w:rFonts w:hint="eastAsia" w:cs="Times New Roman"/>
          <w:color w:val="auto"/>
        </w:rPr>
        <w:t>23821-20</w:t>
      </w:r>
      <w:r>
        <w:rPr>
          <w:rFonts w:cs="Times New Roman"/>
          <w:color w:val="auto"/>
        </w:rPr>
        <w:t>22</w:t>
      </w:r>
      <w:r>
        <w:rPr>
          <w:rFonts w:hint="eastAsia" w:cs="Times New Roman"/>
          <w:color w:val="auto"/>
        </w:rPr>
        <w:t>），2009年05月13日发布，2009年12月01日起实施；</w:t>
      </w:r>
    </w:p>
    <w:p w14:paraId="77E44F87">
      <w:pPr>
        <w:pStyle w:val="73"/>
        <w:numPr>
          <w:ilvl w:val="0"/>
          <w:numId w:val="14"/>
        </w:numPr>
        <w:ind w:left="0" w:firstLine="560"/>
        <w:rPr>
          <w:rFonts w:cs="Times New Roman"/>
          <w:color w:val="auto"/>
        </w:rPr>
      </w:pPr>
      <w:r>
        <w:rPr>
          <w:rFonts w:hint="eastAsia" w:cs="Times New Roman"/>
          <w:color w:val="auto"/>
        </w:rPr>
        <w:t>《供配电系统设计规范》（GB50052-2009），2009年11月11日发布，2010年07月01日起实施；</w:t>
      </w:r>
    </w:p>
    <w:p w14:paraId="024157B4">
      <w:pPr>
        <w:pStyle w:val="73"/>
        <w:numPr>
          <w:ilvl w:val="0"/>
          <w:numId w:val="14"/>
        </w:numPr>
        <w:ind w:left="0" w:firstLine="560"/>
        <w:rPr>
          <w:rFonts w:cs="Times New Roman"/>
          <w:color w:val="auto"/>
        </w:rPr>
      </w:pPr>
      <w:r>
        <w:rPr>
          <w:rFonts w:hint="eastAsia" w:cs="Times New Roman"/>
          <w:color w:val="auto"/>
        </w:rPr>
        <w:t>《工业企业设计卫生标准》（GBZ1-2010），2010年01月22日发布，2010年08月01日起实施；</w:t>
      </w:r>
    </w:p>
    <w:p w14:paraId="515816C1">
      <w:pPr>
        <w:pStyle w:val="73"/>
        <w:numPr>
          <w:ilvl w:val="0"/>
          <w:numId w:val="14"/>
        </w:numPr>
        <w:ind w:left="0" w:firstLine="560"/>
        <w:rPr>
          <w:rFonts w:cs="Times New Roman"/>
          <w:color w:val="auto"/>
        </w:rPr>
      </w:pPr>
      <w:r>
        <w:rPr>
          <w:rFonts w:hint="eastAsia" w:cs="Times New Roman"/>
          <w:color w:val="auto"/>
        </w:rPr>
        <w:t>《职业性接触毒物危害程度分级》（GBZ230-2010），2010年04月12日发布，2010年11月01日起实施；</w:t>
      </w:r>
    </w:p>
    <w:p w14:paraId="51D53C97">
      <w:pPr>
        <w:pStyle w:val="73"/>
        <w:numPr>
          <w:ilvl w:val="0"/>
          <w:numId w:val="14"/>
        </w:numPr>
        <w:ind w:left="0" w:firstLine="560"/>
        <w:rPr>
          <w:rFonts w:cs="Times New Roman"/>
          <w:color w:val="auto"/>
        </w:rPr>
      </w:pPr>
      <w:r>
        <w:rPr>
          <w:rFonts w:hint="eastAsia" w:cs="Times New Roman"/>
          <w:color w:val="auto"/>
        </w:rPr>
        <w:t>《建筑物防雷设计规范》（GB50057-2010），2010年11月03日发布，2011年10月01日起实施；</w:t>
      </w:r>
    </w:p>
    <w:p w14:paraId="5BF075DE">
      <w:pPr>
        <w:pStyle w:val="73"/>
        <w:numPr>
          <w:ilvl w:val="0"/>
          <w:numId w:val="14"/>
        </w:numPr>
        <w:ind w:left="0" w:firstLine="560"/>
        <w:rPr>
          <w:rFonts w:cs="Times New Roman"/>
          <w:color w:val="auto"/>
        </w:rPr>
      </w:pPr>
      <w:r>
        <w:rPr>
          <w:rFonts w:hint="eastAsia" w:cs="Times New Roman"/>
          <w:color w:val="auto"/>
        </w:rPr>
        <w:t>《低压配电设计规范》（GB50054-2011），2011年07月26日发布，2012年06月01日起实施；</w:t>
      </w:r>
    </w:p>
    <w:p w14:paraId="485379DA">
      <w:pPr>
        <w:pStyle w:val="73"/>
        <w:numPr>
          <w:ilvl w:val="0"/>
          <w:numId w:val="14"/>
        </w:numPr>
        <w:ind w:left="0" w:firstLine="560"/>
        <w:rPr>
          <w:rFonts w:cs="Times New Roman"/>
          <w:color w:val="auto"/>
        </w:rPr>
      </w:pPr>
      <w:r>
        <w:rPr>
          <w:rFonts w:hint="eastAsia" w:cs="Times New Roman"/>
          <w:color w:val="auto"/>
        </w:rPr>
        <w:t>《工业企业总平面设计规范》（GB50187-2012），2012年03月30日发布，2012年08月01日起实施；</w:t>
      </w:r>
    </w:p>
    <w:p w14:paraId="55AC7E8E">
      <w:pPr>
        <w:pStyle w:val="73"/>
        <w:numPr>
          <w:ilvl w:val="0"/>
          <w:numId w:val="14"/>
        </w:numPr>
        <w:ind w:left="0" w:firstLine="560"/>
        <w:rPr>
          <w:rFonts w:cs="Times New Roman"/>
          <w:color w:val="auto"/>
        </w:rPr>
      </w:pPr>
      <w:r>
        <w:rPr>
          <w:rFonts w:hint="eastAsia" w:cs="Times New Roman"/>
          <w:color w:val="auto"/>
        </w:rPr>
        <w:t>《20kV及以下变电所设计规范》（GB50053-2013），2013年12月19日发布，2014年07月01日起实施；</w:t>
      </w:r>
    </w:p>
    <w:p w14:paraId="67EB7847">
      <w:pPr>
        <w:pStyle w:val="73"/>
        <w:numPr>
          <w:ilvl w:val="0"/>
          <w:numId w:val="14"/>
        </w:numPr>
        <w:ind w:left="0" w:firstLine="560"/>
        <w:rPr>
          <w:rFonts w:cs="Times New Roman"/>
          <w:color w:val="auto"/>
        </w:rPr>
      </w:pPr>
      <w:r>
        <w:rPr>
          <w:rFonts w:hint="eastAsia" w:cs="Times New Roman"/>
          <w:color w:val="auto"/>
        </w:rPr>
        <w:t>《爆破安全规程》（GB6722-2014</w:t>
      </w:r>
      <w:r>
        <w:rPr>
          <w:rFonts w:cs="Times New Roman"/>
          <w:color w:val="auto"/>
        </w:rPr>
        <w:t>/XG1-2016</w:t>
      </w:r>
      <w:r>
        <w:rPr>
          <w:rFonts w:hint="eastAsia" w:cs="Times New Roman"/>
          <w:color w:val="auto"/>
        </w:rPr>
        <w:t>），2014年12月05日发布，2015年07月01日实施；</w:t>
      </w:r>
    </w:p>
    <w:p w14:paraId="416EB1CD">
      <w:pPr>
        <w:pStyle w:val="73"/>
        <w:numPr>
          <w:ilvl w:val="0"/>
          <w:numId w:val="14"/>
        </w:numPr>
        <w:ind w:left="0" w:firstLine="560"/>
        <w:rPr>
          <w:rFonts w:cs="Times New Roman"/>
          <w:color w:val="auto"/>
        </w:rPr>
      </w:pPr>
      <w:r>
        <w:rPr>
          <w:rFonts w:hint="eastAsia" w:cs="Times New Roman"/>
          <w:color w:val="auto"/>
        </w:rPr>
        <w:t>《中国地震动参数区划图》（GB18306-2015），2015年05月15日发布，2016年06月01日实施；</w:t>
      </w:r>
    </w:p>
    <w:p w14:paraId="2237EBAB">
      <w:pPr>
        <w:pStyle w:val="73"/>
        <w:numPr>
          <w:ilvl w:val="0"/>
          <w:numId w:val="14"/>
        </w:numPr>
        <w:ind w:left="0" w:firstLine="560"/>
        <w:rPr>
          <w:rFonts w:cs="Times New Roman"/>
          <w:color w:val="auto"/>
        </w:rPr>
      </w:pPr>
      <w:r>
        <w:rPr>
          <w:rFonts w:hint="eastAsia" w:cs="Times New Roman"/>
          <w:color w:val="auto"/>
        </w:rPr>
        <w:t>《建筑抗震设计规范》（GB50011-2010）（2016版），2016年07月07日发布，2016年08月01日起实施；</w:t>
      </w:r>
    </w:p>
    <w:p w14:paraId="21FAC40D">
      <w:pPr>
        <w:pStyle w:val="73"/>
        <w:numPr>
          <w:ilvl w:val="0"/>
          <w:numId w:val="14"/>
        </w:numPr>
        <w:ind w:left="0" w:firstLine="560"/>
        <w:rPr>
          <w:rFonts w:cs="Times New Roman"/>
          <w:color w:val="auto"/>
        </w:rPr>
      </w:pPr>
      <w:r>
        <w:rPr>
          <w:rFonts w:hint="eastAsia" w:cs="Times New Roman"/>
          <w:color w:val="auto"/>
        </w:rPr>
        <w:t>《用电安全导则》（GB/T13869-2017），2017年12月29日发布，2018年7月01日起实施；</w:t>
      </w:r>
    </w:p>
    <w:p w14:paraId="6BDBDDF9">
      <w:pPr>
        <w:pStyle w:val="73"/>
        <w:numPr>
          <w:ilvl w:val="0"/>
          <w:numId w:val="14"/>
        </w:numPr>
        <w:ind w:left="0" w:firstLine="560"/>
        <w:rPr>
          <w:rFonts w:cs="Times New Roman"/>
          <w:color w:val="auto"/>
        </w:rPr>
      </w:pPr>
      <w:r>
        <w:rPr>
          <w:rFonts w:hint="eastAsia" w:cs="Times New Roman"/>
          <w:color w:val="auto"/>
        </w:rPr>
        <w:t>《建筑设计防火规范》（GB50016-2014）（2018年版），2018年03月30日发布，2018年10月01日实施；</w:t>
      </w:r>
    </w:p>
    <w:p w14:paraId="598120AA">
      <w:pPr>
        <w:pStyle w:val="73"/>
        <w:numPr>
          <w:ilvl w:val="0"/>
          <w:numId w:val="14"/>
        </w:numPr>
        <w:ind w:left="0" w:firstLine="560"/>
        <w:rPr>
          <w:rFonts w:cs="Times New Roman"/>
          <w:color w:val="auto"/>
        </w:rPr>
      </w:pPr>
      <w:r>
        <w:rPr>
          <w:rFonts w:hint="eastAsia" w:cs="Times New Roman"/>
          <w:color w:val="auto"/>
        </w:rPr>
        <w:t>《危险化学品重大危险源辨识》（GB18218-2018），2018年11月19日发布，2019年03月01日实施；</w:t>
      </w:r>
    </w:p>
    <w:p w14:paraId="5D105F1B">
      <w:pPr>
        <w:pStyle w:val="73"/>
        <w:numPr>
          <w:ilvl w:val="0"/>
          <w:numId w:val="14"/>
        </w:numPr>
        <w:ind w:left="0" w:firstLine="560"/>
        <w:rPr>
          <w:rFonts w:cs="Times New Roman"/>
          <w:color w:val="auto"/>
        </w:rPr>
      </w:pPr>
      <w:r>
        <w:rPr>
          <w:rFonts w:hint="eastAsia" w:cs="Times New Roman"/>
          <w:color w:val="auto"/>
        </w:rPr>
        <w:t>《机械安全防护装置固定式和活动式防护装置设计与制造一般要求》（G</w:t>
      </w:r>
      <w:r>
        <w:rPr>
          <w:rFonts w:cs="Times New Roman"/>
          <w:color w:val="auto"/>
        </w:rPr>
        <w:t>B/T</w:t>
      </w:r>
      <w:r>
        <w:rPr>
          <w:rFonts w:hint="eastAsia" w:cs="Times New Roman"/>
          <w:color w:val="auto"/>
        </w:rPr>
        <w:t>8196-2018），2018年12月28日发布，2019年07月01日起实施；</w:t>
      </w:r>
    </w:p>
    <w:p w14:paraId="6E0297C1">
      <w:pPr>
        <w:pStyle w:val="73"/>
        <w:numPr>
          <w:ilvl w:val="0"/>
          <w:numId w:val="14"/>
        </w:numPr>
        <w:ind w:left="0" w:firstLine="560"/>
        <w:rPr>
          <w:rFonts w:cs="Times New Roman"/>
          <w:color w:val="auto"/>
        </w:rPr>
      </w:pPr>
      <w:r>
        <w:rPr>
          <w:rFonts w:hint="eastAsia" w:cs="Times New Roman"/>
          <w:color w:val="auto"/>
        </w:rPr>
        <w:t>《矿山电力设计标准》（GB50070-2020），2020年02月27日发布，2020年10月01日起实施；</w:t>
      </w:r>
    </w:p>
    <w:p w14:paraId="39BF2A2B">
      <w:pPr>
        <w:pStyle w:val="73"/>
        <w:numPr>
          <w:ilvl w:val="0"/>
          <w:numId w:val="14"/>
        </w:numPr>
        <w:ind w:left="0" w:firstLine="560"/>
        <w:rPr>
          <w:rFonts w:cs="Times New Roman"/>
          <w:color w:val="auto"/>
        </w:rPr>
      </w:pPr>
      <w:r>
        <w:rPr>
          <w:rFonts w:cs="Times New Roman"/>
          <w:color w:val="auto"/>
        </w:rPr>
        <w:t>《图形符号 安全色和安全标志 第5部分：安全标志使用原则与要求》（GB/T</w:t>
      </w:r>
      <w:r>
        <w:rPr>
          <w:rFonts w:hint="eastAsia" w:cs="Times New Roman"/>
          <w:color w:val="auto"/>
        </w:rPr>
        <w:t xml:space="preserve"> </w:t>
      </w:r>
      <w:r>
        <w:rPr>
          <w:rFonts w:cs="Times New Roman"/>
          <w:color w:val="auto"/>
        </w:rPr>
        <w:t>2893.5-2020）</w:t>
      </w:r>
      <w:r>
        <w:rPr>
          <w:rFonts w:hint="eastAsia" w:cs="Times New Roman"/>
          <w:color w:val="auto"/>
        </w:rPr>
        <w:t>2020年03月31日发布，2020年10月01日起实施；</w:t>
      </w:r>
    </w:p>
    <w:p w14:paraId="3086A4D2">
      <w:pPr>
        <w:pStyle w:val="73"/>
        <w:numPr>
          <w:ilvl w:val="0"/>
          <w:numId w:val="14"/>
        </w:numPr>
        <w:ind w:left="0" w:firstLine="560"/>
        <w:rPr>
          <w:rFonts w:cs="Times New Roman"/>
          <w:color w:val="auto"/>
        </w:rPr>
      </w:pPr>
      <w:r>
        <w:rPr>
          <w:rFonts w:hint="eastAsia" w:cs="Times New Roman"/>
          <w:color w:val="auto"/>
        </w:rPr>
        <w:t>《生产经营单位生产安全事故应急预案编制导则》（GB/T29639-2020），2020年09月29日发布，2021年04月01日实施；</w:t>
      </w:r>
    </w:p>
    <w:p w14:paraId="27648DAB">
      <w:pPr>
        <w:pStyle w:val="73"/>
        <w:numPr>
          <w:ilvl w:val="0"/>
          <w:numId w:val="14"/>
        </w:numPr>
        <w:ind w:left="0" w:firstLine="560"/>
        <w:rPr>
          <w:rFonts w:cs="Times New Roman"/>
          <w:color w:val="auto"/>
        </w:rPr>
      </w:pPr>
      <w:r>
        <w:rPr>
          <w:rFonts w:hint="eastAsia" w:cs="Times New Roman"/>
          <w:color w:val="auto"/>
        </w:rPr>
        <w:t>《一般工业固体废物贮存、处置场污染控制标准》（GB18599-2020），  </w:t>
      </w:r>
      <w:r>
        <w:rPr>
          <w:rFonts w:cs="Times New Roman"/>
          <w:color w:val="auto"/>
        </w:rPr>
        <w:t>2020年11月26日批准</w:t>
      </w:r>
      <w:r>
        <w:rPr>
          <w:rFonts w:hint="eastAsia" w:cs="Times New Roman"/>
          <w:color w:val="auto"/>
        </w:rPr>
        <w:t>，</w:t>
      </w:r>
      <w:r>
        <w:rPr>
          <w:rFonts w:cs="Times New Roman"/>
          <w:color w:val="auto"/>
        </w:rPr>
        <w:t>2021年</w:t>
      </w:r>
      <w:r>
        <w:rPr>
          <w:rFonts w:hint="eastAsia" w:cs="Times New Roman"/>
          <w:color w:val="auto"/>
        </w:rPr>
        <w:t>0</w:t>
      </w:r>
      <w:r>
        <w:rPr>
          <w:rFonts w:cs="Times New Roman"/>
          <w:color w:val="auto"/>
        </w:rPr>
        <w:t>7月</w:t>
      </w:r>
      <w:r>
        <w:rPr>
          <w:rFonts w:hint="eastAsia" w:cs="Times New Roman"/>
          <w:color w:val="auto"/>
        </w:rPr>
        <w:t>0</w:t>
      </w:r>
      <w:r>
        <w:rPr>
          <w:rFonts w:cs="Times New Roman"/>
          <w:color w:val="auto"/>
        </w:rPr>
        <w:t>1日</w:t>
      </w:r>
      <w:r>
        <w:rPr>
          <w:rFonts w:hint="eastAsia" w:cs="Times New Roman"/>
          <w:color w:val="auto"/>
        </w:rPr>
        <w:t>起实施；</w:t>
      </w:r>
    </w:p>
    <w:p w14:paraId="07FF6CA1">
      <w:pPr>
        <w:pStyle w:val="73"/>
        <w:numPr>
          <w:ilvl w:val="0"/>
          <w:numId w:val="14"/>
        </w:numPr>
        <w:ind w:left="0" w:firstLine="560"/>
        <w:rPr>
          <w:rFonts w:cs="Times New Roman"/>
          <w:color w:val="auto"/>
        </w:rPr>
      </w:pPr>
      <w:r>
        <w:rPr>
          <w:rFonts w:cs="Times New Roman"/>
          <w:color w:val="auto"/>
        </w:rPr>
        <w:t>《金属非金属矿山安全规程》（GB16423</w:t>
      </w:r>
      <w:r>
        <w:rPr>
          <w:rFonts w:hint="eastAsia" w:cs="Times New Roman"/>
          <w:color w:val="auto"/>
        </w:rPr>
        <w:t>-</w:t>
      </w:r>
      <w:r>
        <w:rPr>
          <w:rFonts w:cs="Times New Roman"/>
          <w:color w:val="auto"/>
        </w:rPr>
        <w:t>20</w:t>
      </w:r>
      <w:r>
        <w:rPr>
          <w:rFonts w:hint="eastAsia" w:cs="Times New Roman"/>
          <w:color w:val="auto"/>
        </w:rPr>
        <w:t>20</w:t>
      </w:r>
      <w:r>
        <w:rPr>
          <w:rFonts w:cs="Times New Roman"/>
          <w:color w:val="auto"/>
        </w:rPr>
        <w:t>）</w:t>
      </w:r>
      <w:r>
        <w:rPr>
          <w:rFonts w:hint="eastAsia" w:cs="Times New Roman"/>
          <w:color w:val="auto"/>
        </w:rPr>
        <w:t>，2020年10月11日发布，</w:t>
      </w:r>
      <w:r>
        <w:rPr>
          <w:rFonts w:cs="Times New Roman"/>
          <w:color w:val="auto"/>
        </w:rPr>
        <w:t>20</w:t>
      </w:r>
      <w:r>
        <w:rPr>
          <w:rFonts w:hint="eastAsia" w:cs="Times New Roman"/>
          <w:color w:val="auto"/>
        </w:rPr>
        <w:t>21</w:t>
      </w:r>
      <w:r>
        <w:rPr>
          <w:rFonts w:cs="Times New Roman"/>
          <w:color w:val="auto"/>
        </w:rPr>
        <w:t>年09月01日起实施</w:t>
      </w:r>
      <w:r>
        <w:rPr>
          <w:rFonts w:hint="eastAsia" w:cs="Times New Roman"/>
          <w:color w:val="auto"/>
        </w:rPr>
        <w:t>；</w:t>
      </w:r>
    </w:p>
    <w:p w14:paraId="0B8E1388">
      <w:pPr>
        <w:pStyle w:val="73"/>
        <w:numPr>
          <w:ilvl w:val="0"/>
          <w:numId w:val="14"/>
        </w:numPr>
        <w:ind w:left="0" w:firstLine="560"/>
        <w:rPr>
          <w:rFonts w:cs="Times New Roman"/>
          <w:color w:val="auto"/>
        </w:rPr>
      </w:pPr>
      <w:r>
        <w:rPr>
          <w:rFonts w:hint="eastAsia" w:cs="Times New Roman"/>
          <w:color w:val="auto"/>
        </w:rPr>
        <w:t>《机械安全防止人体部位挤压的最小间距》</w:t>
      </w:r>
      <w:r>
        <w:rPr>
          <w:rFonts w:cs="Times New Roman"/>
          <w:color w:val="auto"/>
        </w:rPr>
        <w:t>（</w:t>
      </w:r>
      <w:r>
        <w:rPr>
          <w:rFonts w:hint="eastAsia" w:cs="Times New Roman"/>
          <w:color w:val="auto"/>
        </w:rPr>
        <w:t>GB/12265-2021</w:t>
      </w:r>
      <w:r>
        <w:rPr>
          <w:rFonts w:cs="Times New Roman"/>
          <w:color w:val="auto"/>
        </w:rPr>
        <w:t>）</w:t>
      </w:r>
      <w:r>
        <w:rPr>
          <w:rFonts w:hint="eastAsia" w:cs="Times New Roman"/>
          <w:color w:val="auto"/>
        </w:rPr>
        <w:t>，2021年05月21日发布，</w:t>
      </w:r>
      <w:r>
        <w:rPr>
          <w:rFonts w:cs="Times New Roman"/>
          <w:color w:val="auto"/>
        </w:rPr>
        <w:t>20</w:t>
      </w:r>
      <w:r>
        <w:rPr>
          <w:rFonts w:hint="eastAsia" w:cs="Times New Roman"/>
          <w:color w:val="auto"/>
        </w:rPr>
        <w:t>21</w:t>
      </w:r>
      <w:r>
        <w:rPr>
          <w:rFonts w:cs="Times New Roman"/>
          <w:color w:val="auto"/>
        </w:rPr>
        <w:t>年</w:t>
      </w:r>
      <w:r>
        <w:rPr>
          <w:rFonts w:hint="eastAsia" w:cs="Times New Roman"/>
          <w:color w:val="auto"/>
        </w:rPr>
        <w:t>12</w:t>
      </w:r>
      <w:r>
        <w:rPr>
          <w:rFonts w:cs="Times New Roman"/>
          <w:color w:val="auto"/>
        </w:rPr>
        <w:t>月01日起实施</w:t>
      </w:r>
      <w:r>
        <w:rPr>
          <w:rFonts w:hint="eastAsia" w:cs="Times New Roman"/>
          <w:color w:val="auto"/>
        </w:rPr>
        <w:t>；</w:t>
      </w:r>
    </w:p>
    <w:p w14:paraId="6A057737">
      <w:pPr>
        <w:pStyle w:val="73"/>
        <w:numPr>
          <w:ilvl w:val="0"/>
          <w:numId w:val="14"/>
        </w:numPr>
        <w:ind w:left="0" w:firstLine="560"/>
        <w:rPr>
          <w:rFonts w:cs="Times New Roman"/>
          <w:color w:val="auto"/>
        </w:rPr>
      </w:pPr>
      <w:r>
        <w:rPr>
          <w:rFonts w:cs="Times New Roman"/>
          <w:color w:val="auto"/>
        </w:rPr>
        <w:t>《个体防护装备配备规范 第4部分：非煤矿山》（GB 39800.4-2020）</w:t>
      </w:r>
      <w:r>
        <w:rPr>
          <w:rFonts w:hint="eastAsia" w:cs="Times New Roman"/>
          <w:color w:val="auto"/>
        </w:rPr>
        <w:t>2020年12月24日发布，2022年01月01日起实施；</w:t>
      </w:r>
    </w:p>
    <w:p w14:paraId="4757C9C9">
      <w:pPr>
        <w:pStyle w:val="73"/>
        <w:numPr>
          <w:ilvl w:val="0"/>
          <w:numId w:val="14"/>
        </w:numPr>
        <w:ind w:left="0" w:firstLine="560"/>
        <w:rPr>
          <w:color w:val="auto"/>
        </w:rPr>
      </w:pPr>
      <w:r>
        <w:rPr>
          <w:rFonts w:hint="eastAsia" w:cs="Times New Roman"/>
          <w:color w:val="auto"/>
        </w:rPr>
        <w:t>《生产过程危险和有害因素分类与代码》（GB/T13861-2022），2022年03月09日发布，2022年10月01日</w:t>
      </w:r>
      <w:r>
        <w:rPr>
          <w:rFonts w:cs="Times New Roman"/>
          <w:color w:val="auto"/>
        </w:rPr>
        <w:t>起实施</w:t>
      </w:r>
      <w:r>
        <w:rPr>
          <w:rFonts w:hint="eastAsia"/>
          <w:color w:val="auto"/>
        </w:rPr>
        <w:t>。</w:t>
      </w:r>
    </w:p>
    <w:p w14:paraId="20278F94">
      <w:pPr>
        <w:pStyle w:val="85"/>
        <w:numPr>
          <w:ilvl w:val="3"/>
          <w:numId w:val="0"/>
        </w:numPr>
        <w:ind w:firstLine="560" w:firstLineChars="200"/>
        <w:rPr>
          <w:rFonts w:cs="黑体"/>
          <w:b w:val="0"/>
          <w:bCs/>
          <w:color w:val="auto"/>
        </w:rPr>
      </w:pPr>
      <w:r>
        <w:rPr>
          <w:rFonts w:hint="eastAsia" w:cs="黑体"/>
          <w:b w:val="0"/>
          <w:bCs/>
          <w:color w:val="auto"/>
        </w:rPr>
        <w:t>1.2.2.2行业标准</w:t>
      </w:r>
    </w:p>
    <w:p w14:paraId="4EAC9E88">
      <w:pPr>
        <w:pStyle w:val="73"/>
        <w:numPr>
          <w:ilvl w:val="0"/>
          <w:numId w:val="15"/>
        </w:numPr>
        <w:ind w:left="0" w:firstLine="560"/>
        <w:rPr>
          <w:color w:val="auto"/>
        </w:rPr>
      </w:pPr>
      <w:r>
        <w:rPr>
          <w:rFonts w:hint="eastAsia"/>
          <w:color w:val="auto"/>
        </w:rPr>
        <w:t>《安全评价通则》（AQ8001-2007）</w:t>
      </w:r>
    </w:p>
    <w:p w14:paraId="6FC56577">
      <w:pPr>
        <w:pStyle w:val="73"/>
        <w:numPr>
          <w:ilvl w:val="0"/>
          <w:numId w:val="15"/>
        </w:numPr>
        <w:ind w:left="0" w:firstLine="560"/>
        <w:rPr>
          <w:color w:val="auto"/>
        </w:rPr>
      </w:pPr>
      <w:r>
        <w:rPr>
          <w:color w:val="auto"/>
        </w:rPr>
        <w:t>《安全预评价导则》（AQ8002</w:t>
      </w:r>
      <w:r>
        <w:rPr>
          <w:rFonts w:hint="eastAsia"/>
          <w:color w:val="auto"/>
        </w:rPr>
        <w:t>-</w:t>
      </w:r>
      <w:r>
        <w:rPr>
          <w:color w:val="auto"/>
        </w:rPr>
        <w:t>2007）；</w:t>
      </w:r>
    </w:p>
    <w:p w14:paraId="20E42B2F">
      <w:pPr>
        <w:pStyle w:val="73"/>
        <w:numPr>
          <w:ilvl w:val="0"/>
          <w:numId w:val="15"/>
        </w:numPr>
        <w:ind w:left="0" w:firstLine="560"/>
        <w:rPr>
          <w:color w:val="auto"/>
        </w:rPr>
      </w:pPr>
      <w:r>
        <w:rPr>
          <w:rFonts w:hint="eastAsia"/>
          <w:color w:val="auto"/>
        </w:rPr>
        <w:t>《企业安全生产标准化基本规范》（AQ/T9006-2016）；</w:t>
      </w:r>
    </w:p>
    <w:p w14:paraId="4454BF2A">
      <w:pPr>
        <w:pStyle w:val="73"/>
        <w:numPr>
          <w:ilvl w:val="0"/>
          <w:numId w:val="15"/>
        </w:numPr>
        <w:ind w:left="0" w:firstLine="560"/>
        <w:rPr>
          <w:color w:val="auto"/>
        </w:rPr>
      </w:pPr>
      <w:r>
        <w:rPr>
          <w:rFonts w:hint="eastAsia"/>
          <w:color w:val="auto"/>
        </w:rPr>
        <w:t>《金属非金属矿山安全标准化规范导则》（</w:t>
      </w:r>
      <w:r>
        <w:rPr>
          <w:color w:val="auto"/>
        </w:rPr>
        <w:t>AQ/T2050.1</w:t>
      </w:r>
      <w:r>
        <w:rPr>
          <w:rFonts w:hint="eastAsia"/>
          <w:color w:val="auto"/>
        </w:rPr>
        <w:t>-</w:t>
      </w:r>
      <w:r>
        <w:rPr>
          <w:color w:val="auto"/>
        </w:rPr>
        <w:t>2016</w:t>
      </w:r>
      <w:r>
        <w:rPr>
          <w:rFonts w:hint="eastAsia"/>
          <w:color w:val="auto"/>
        </w:rPr>
        <w:t>）；</w:t>
      </w:r>
    </w:p>
    <w:p w14:paraId="20F11FF8">
      <w:pPr>
        <w:pStyle w:val="73"/>
        <w:numPr>
          <w:ilvl w:val="0"/>
          <w:numId w:val="15"/>
        </w:numPr>
        <w:ind w:left="0" w:firstLine="560"/>
        <w:rPr>
          <w:color w:val="auto"/>
        </w:rPr>
      </w:pPr>
      <w:r>
        <w:rPr>
          <w:rFonts w:hint="eastAsia"/>
          <w:color w:val="auto"/>
        </w:rPr>
        <w:t>《金属非金属矿山安全标准化规范小型露天采石场实施指南》（</w:t>
      </w:r>
      <w:r>
        <w:rPr>
          <w:color w:val="auto"/>
        </w:rPr>
        <w:t>AQ/T2050.5</w:t>
      </w:r>
      <w:r>
        <w:rPr>
          <w:rFonts w:hint="eastAsia"/>
          <w:color w:val="auto"/>
        </w:rPr>
        <w:t>-</w:t>
      </w:r>
      <w:r>
        <w:rPr>
          <w:color w:val="auto"/>
        </w:rPr>
        <w:t>2016</w:t>
      </w:r>
      <w:r>
        <w:rPr>
          <w:rFonts w:hint="eastAsia"/>
          <w:color w:val="auto"/>
        </w:rPr>
        <w:t>）；</w:t>
      </w:r>
    </w:p>
    <w:p w14:paraId="238BDB20">
      <w:pPr>
        <w:pStyle w:val="73"/>
        <w:numPr>
          <w:ilvl w:val="0"/>
          <w:numId w:val="15"/>
        </w:numPr>
        <w:ind w:left="0" w:firstLine="560"/>
        <w:rPr>
          <w:color w:val="auto"/>
        </w:rPr>
      </w:pPr>
      <w:r>
        <w:rPr>
          <w:color w:val="auto"/>
          <w:lang w:val="sq-AL"/>
        </w:rPr>
        <w:t>《固定式压力容器安全技术监察规程》（TSG 21</w:t>
      </w:r>
      <w:r>
        <w:rPr>
          <w:rFonts w:hint="eastAsia"/>
          <w:color w:val="auto"/>
        </w:rPr>
        <w:t>-</w:t>
      </w:r>
      <w:r>
        <w:rPr>
          <w:color w:val="auto"/>
          <w:lang w:val="sq-AL"/>
        </w:rPr>
        <w:t>2016</w:t>
      </w:r>
      <w:r>
        <w:rPr>
          <w:color w:val="auto"/>
        </w:rPr>
        <w:t>/XG1-2020</w:t>
      </w:r>
      <w:r>
        <w:rPr>
          <w:color w:val="auto"/>
          <w:lang w:val="sq-AL"/>
        </w:rPr>
        <w:t>）；</w:t>
      </w:r>
    </w:p>
    <w:p w14:paraId="40A87A8A">
      <w:pPr>
        <w:pStyle w:val="73"/>
        <w:numPr>
          <w:ilvl w:val="0"/>
          <w:numId w:val="15"/>
        </w:numPr>
        <w:ind w:left="0" w:firstLine="560"/>
        <w:rPr>
          <w:color w:val="auto"/>
          <w:lang w:val="sq-AL"/>
        </w:rPr>
      </w:pPr>
      <w:r>
        <w:rPr>
          <w:rFonts w:hint="eastAsia"/>
          <w:color w:val="auto"/>
          <w:lang w:val="sq-AL"/>
        </w:rPr>
        <w:t>《金属非金属矿山在用空气压缩机安全检验规范第1部分：固定式空气压缩机》（AQ2055</w:t>
      </w:r>
      <w:r>
        <w:rPr>
          <w:rFonts w:hint="eastAsia"/>
          <w:color w:val="auto"/>
        </w:rPr>
        <w:t>-</w:t>
      </w:r>
      <w:r>
        <w:rPr>
          <w:rFonts w:hint="eastAsia"/>
          <w:color w:val="auto"/>
          <w:lang w:val="sq-AL"/>
        </w:rPr>
        <w:t>2016）；</w:t>
      </w:r>
    </w:p>
    <w:p w14:paraId="00FEA940">
      <w:pPr>
        <w:pStyle w:val="73"/>
        <w:numPr>
          <w:ilvl w:val="0"/>
          <w:numId w:val="15"/>
        </w:numPr>
        <w:ind w:left="0" w:firstLine="560"/>
        <w:rPr>
          <w:color w:val="auto"/>
          <w:lang w:val="sq-AL"/>
        </w:rPr>
      </w:pPr>
      <w:r>
        <w:rPr>
          <w:rFonts w:hint="eastAsia"/>
          <w:color w:val="auto"/>
          <w:lang w:val="sq-AL"/>
        </w:rPr>
        <w:t>《金属非金属矿山在用空气压缩机安全检验规范第2部分：移动式空气压缩机》（AQ2056</w:t>
      </w:r>
      <w:r>
        <w:rPr>
          <w:rFonts w:hint="eastAsia"/>
          <w:color w:val="auto"/>
        </w:rPr>
        <w:t>-</w:t>
      </w:r>
      <w:r>
        <w:rPr>
          <w:rFonts w:hint="eastAsia"/>
          <w:color w:val="auto"/>
          <w:lang w:val="sq-AL"/>
        </w:rPr>
        <w:t>2016）；</w:t>
      </w:r>
      <w:bookmarkEnd w:id="55"/>
      <w:bookmarkEnd w:id="56"/>
      <w:bookmarkEnd w:id="57"/>
      <w:bookmarkEnd w:id="58"/>
      <w:bookmarkEnd w:id="59"/>
      <w:bookmarkEnd w:id="60"/>
      <w:bookmarkEnd w:id="61"/>
      <w:bookmarkEnd w:id="62"/>
      <w:bookmarkEnd w:id="63"/>
      <w:bookmarkStart w:id="95" w:name="_Toc871"/>
      <w:bookmarkStart w:id="96" w:name="_Toc514"/>
      <w:bookmarkStart w:id="97" w:name="_Toc501120266"/>
    </w:p>
    <w:p w14:paraId="115AB23E">
      <w:pPr>
        <w:pStyle w:val="73"/>
        <w:numPr>
          <w:ilvl w:val="0"/>
          <w:numId w:val="15"/>
        </w:numPr>
        <w:ind w:left="0" w:firstLine="560"/>
        <w:rPr>
          <w:color w:val="auto"/>
          <w:lang w:val="sq-AL"/>
        </w:rPr>
      </w:pPr>
      <w:r>
        <w:rPr>
          <w:rFonts w:hint="eastAsia"/>
          <w:color w:val="auto"/>
        </w:rPr>
        <w:t>《金属非金属露天矿山高陡边坡安全监测技术规范》（AQ/T 2063-2018）。</w:t>
      </w:r>
    </w:p>
    <w:p w14:paraId="56CF5333">
      <w:pPr>
        <w:pStyle w:val="5"/>
        <w:keepNext/>
        <w:keepLines/>
        <w:snapToGrid w:val="0"/>
        <w:spacing w:line="360" w:lineRule="auto"/>
        <w:ind w:firstLine="562" w:firstLineChars="200"/>
        <w:jc w:val="left"/>
        <w:rPr>
          <w:rFonts w:cs="Times New Roman"/>
          <w:b/>
          <w:color w:val="auto"/>
          <w:sz w:val="28"/>
          <w:szCs w:val="32"/>
          <w:lang w:val="en-GB"/>
        </w:rPr>
      </w:pPr>
      <w:bookmarkStart w:id="98" w:name="_Toc7393"/>
      <w:bookmarkStart w:id="99" w:name="_Toc20"/>
      <w:bookmarkStart w:id="100" w:name="_Toc27287"/>
      <w:bookmarkStart w:id="101" w:name="_Toc31124"/>
      <w:bookmarkStart w:id="102" w:name="_Toc30511"/>
      <w:r>
        <w:rPr>
          <w:rFonts w:hint="eastAsia" w:cs="Times New Roman"/>
          <w:b/>
          <w:color w:val="auto"/>
          <w:sz w:val="28"/>
          <w:szCs w:val="32"/>
          <w:lang w:val="en-GB"/>
        </w:rPr>
        <w:t>1.2.3项目技术资料</w:t>
      </w:r>
      <w:bookmarkEnd w:id="95"/>
      <w:bookmarkEnd w:id="96"/>
      <w:bookmarkEnd w:id="97"/>
      <w:bookmarkEnd w:id="98"/>
      <w:bookmarkEnd w:id="99"/>
      <w:bookmarkEnd w:id="100"/>
      <w:bookmarkEnd w:id="101"/>
      <w:bookmarkEnd w:id="102"/>
    </w:p>
    <w:p w14:paraId="637EC349">
      <w:pPr>
        <w:pStyle w:val="73"/>
        <w:numPr>
          <w:ilvl w:val="0"/>
          <w:numId w:val="16"/>
        </w:numPr>
        <w:ind w:left="0" w:firstLine="560"/>
        <w:rPr>
          <w:rFonts w:cs="Times New Roman"/>
          <w:color w:val="auto"/>
        </w:rPr>
      </w:pPr>
      <w:r>
        <w:rPr>
          <w:rFonts w:hint="eastAsia" w:cs="Times New Roman"/>
          <w:color w:val="auto"/>
        </w:rPr>
        <w:t>建设项目安全评价委托书和合同书；</w:t>
      </w:r>
    </w:p>
    <w:p w14:paraId="24E55B03">
      <w:pPr>
        <w:pStyle w:val="73"/>
        <w:numPr>
          <w:ilvl w:val="0"/>
          <w:numId w:val="16"/>
        </w:numPr>
        <w:ind w:left="0" w:firstLine="560"/>
        <w:rPr>
          <w:rFonts w:cs="Times New Roman"/>
          <w:color w:val="auto"/>
        </w:rPr>
      </w:pPr>
      <w:r>
        <w:rPr>
          <w:rFonts w:cs="Times New Roman"/>
          <w:color w:val="auto"/>
        </w:rPr>
        <w:t>营业执照</w:t>
      </w:r>
      <w:r>
        <w:rPr>
          <w:rFonts w:hint="eastAsia" w:cs="Times New Roman"/>
          <w:color w:val="auto"/>
        </w:rPr>
        <w:t>，</w:t>
      </w:r>
      <w:r>
        <w:rPr>
          <w:rFonts w:cs="Times New Roman"/>
          <w:color w:val="auto"/>
        </w:rPr>
        <w:t>统一社会信用代码</w:t>
      </w:r>
      <w:r>
        <w:rPr>
          <w:rFonts w:hint="eastAsia" w:cs="Times New Roman"/>
          <w:color w:val="auto"/>
        </w:rPr>
        <w:t>91530721MAC965193J；</w:t>
      </w:r>
    </w:p>
    <w:p w14:paraId="1F6B27E7">
      <w:pPr>
        <w:pStyle w:val="73"/>
        <w:numPr>
          <w:ilvl w:val="0"/>
          <w:numId w:val="16"/>
        </w:numPr>
        <w:ind w:left="0" w:firstLine="560"/>
        <w:rPr>
          <w:rFonts w:cs="Times New Roman"/>
          <w:color w:val="auto"/>
        </w:rPr>
      </w:pPr>
      <w:r>
        <w:rPr>
          <w:rFonts w:cs="Times New Roman"/>
          <w:color w:val="auto"/>
        </w:rPr>
        <w:t>采矿许可证</w:t>
      </w:r>
      <w:r>
        <w:rPr>
          <w:rFonts w:hint="eastAsia" w:cs="Times New Roman"/>
          <w:color w:val="auto"/>
        </w:rPr>
        <w:t>，</w:t>
      </w:r>
      <w:r>
        <w:rPr>
          <w:rFonts w:cs="Times New Roman"/>
          <w:color w:val="auto"/>
        </w:rPr>
        <w:t>证号</w:t>
      </w:r>
      <w:r>
        <w:rPr>
          <w:rFonts w:hint="eastAsia" w:cs="Times New Roman"/>
          <w:color w:val="auto"/>
        </w:rPr>
        <w:t>C5307212011087130117197；</w:t>
      </w:r>
    </w:p>
    <w:p w14:paraId="2F94C3A0">
      <w:pPr>
        <w:pStyle w:val="73"/>
        <w:numPr>
          <w:ilvl w:val="0"/>
          <w:numId w:val="16"/>
        </w:numPr>
        <w:ind w:left="0" w:firstLine="560"/>
        <w:rPr>
          <w:rFonts w:cs="Times New Roman"/>
          <w:color w:val="auto"/>
        </w:rPr>
      </w:pPr>
      <w:r>
        <w:rPr>
          <w:rFonts w:hint="eastAsia" w:cs="Times New Roman"/>
          <w:color w:val="auto"/>
        </w:rPr>
        <w:t>《云南省玉龙县吉余砂石料厂建筑石料用灰岩矿地质勘查报告（2019年）》（玉龙县吉余砂石料厂，2019年5月）；</w:t>
      </w:r>
    </w:p>
    <w:p w14:paraId="3A09D131">
      <w:pPr>
        <w:pStyle w:val="73"/>
        <w:numPr>
          <w:ilvl w:val="0"/>
          <w:numId w:val="16"/>
        </w:numPr>
        <w:ind w:left="0" w:firstLine="560"/>
        <w:rPr>
          <w:rFonts w:cs="Times New Roman"/>
          <w:color w:val="auto"/>
        </w:rPr>
      </w:pPr>
      <w:r>
        <w:rPr>
          <w:rFonts w:cs="Times New Roman"/>
          <w:color w:val="auto"/>
        </w:rPr>
        <w:t>《</w:t>
      </w:r>
      <w:r>
        <w:rPr>
          <w:rFonts w:hint="eastAsia" w:cs="Times New Roman"/>
          <w:color w:val="auto"/>
        </w:rPr>
        <w:t>云南省玉龙县吉余砂石料厂建筑石料用灰岩矿地质勘查报告（2019年）</w:t>
      </w:r>
      <w:r>
        <w:rPr>
          <w:rFonts w:cs="Times New Roman"/>
          <w:color w:val="auto"/>
        </w:rPr>
        <w:t>》</w:t>
      </w:r>
      <w:r>
        <w:rPr>
          <w:rFonts w:hint="eastAsia" w:cs="Times New Roman"/>
          <w:color w:val="auto"/>
        </w:rPr>
        <w:t>矿产资源储量评审备案证明（云丽自然资储备字【2019】16号）及评审意见书（丽展华评储字【2019】009号）；</w:t>
      </w:r>
    </w:p>
    <w:p w14:paraId="5DDB0BA4">
      <w:pPr>
        <w:pStyle w:val="73"/>
        <w:numPr>
          <w:ilvl w:val="0"/>
          <w:numId w:val="16"/>
        </w:numPr>
        <w:ind w:left="0" w:firstLine="560"/>
        <w:rPr>
          <w:rFonts w:cs="Times New Roman"/>
          <w:color w:val="auto"/>
        </w:rPr>
      </w:pPr>
      <w:r>
        <w:rPr>
          <w:rFonts w:hint="eastAsia" w:cs="Times New Roman"/>
          <w:color w:val="auto"/>
        </w:rPr>
        <w:t>《玉龙县鼎康建材有限责任公司玉龙县吉余砂石料厂建筑石料用灰岩矿30</w:t>
      </w:r>
      <w:r>
        <w:rPr>
          <w:rFonts w:hint="eastAsia" w:cs="Times New Roman"/>
          <w:color w:val="auto"/>
          <w:lang w:val="zh-TW"/>
        </w:rPr>
        <w:t>万t/a露天采矿工程</w:t>
      </w:r>
      <w:r>
        <w:rPr>
          <w:rFonts w:hint="eastAsia" w:cs="Times New Roman"/>
          <w:color w:val="auto"/>
        </w:rPr>
        <w:t>初步设计（代可研）》（云南中林规划设计有限公司，2024年3月）；</w:t>
      </w:r>
    </w:p>
    <w:p w14:paraId="46BF7730">
      <w:pPr>
        <w:pStyle w:val="73"/>
        <w:numPr>
          <w:ilvl w:val="0"/>
          <w:numId w:val="16"/>
        </w:numPr>
        <w:ind w:left="0" w:firstLine="560"/>
        <w:rPr>
          <w:rFonts w:cs="Times New Roman"/>
          <w:color w:val="auto"/>
        </w:rPr>
      </w:pPr>
      <w:r>
        <w:rPr>
          <w:rFonts w:hint="eastAsia" w:cs="Times New Roman"/>
          <w:color w:val="auto"/>
        </w:rPr>
        <w:t>建设单位提供的其它相关资料。</w:t>
      </w:r>
    </w:p>
    <w:p w14:paraId="4A2DD064">
      <w:pPr>
        <w:pStyle w:val="5"/>
        <w:keepNext/>
        <w:keepLines/>
        <w:snapToGrid w:val="0"/>
        <w:spacing w:line="360" w:lineRule="auto"/>
        <w:ind w:firstLine="562" w:firstLineChars="200"/>
        <w:jc w:val="left"/>
        <w:rPr>
          <w:rFonts w:cs="Times New Roman"/>
          <w:b/>
          <w:color w:val="auto"/>
          <w:sz w:val="28"/>
          <w:szCs w:val="32"/>
          <w:lang w:val="en-GB"/>
        </w:rPr>
      </w:pPr>
      <w:bookmarkStart w:id="103" w:name="_Toc7582"/>
      <w:bookmarkStart w:id="104" w:name="_Toc22707"/>
      <w:bookmarkStart w:id="105" w:name="_Toc13668"/>
      <w:bookmarkStart w:id="106" w:name="_Toc501120267"/>
      <w:bookmarkStart w:id="107" w:name="_Toc15751"/>
      <w:bookmarkStart w:id="108" w:name="_Toc31453"/>
      <w:bookmarkStart w:id="109" w:name="_Toc4625"/>
      <w:bookmarkStart w:id="110" w:name="_Toc27720"/>
      <w:r>
        <w:rPr>
          <w:rFonts w:hint="eastAsia" w:cs="Times New Roman"/>
          <w:b/>
          <w:color w:val="auto"/>
          <w:sz w:val="28"/>
          <w:szCs w:val="32"/>
          <w:lang w:val="en-GB"/>
        </w:rPr>
        <w:t>1.2.4其他评价依据</w:t>
      </w:r>
      <w:bookmarkEnd w:id="103"/>
      <w:bookmarkEnd w:id="104"/>
      <w:bookmarkEnd w:id="105"/>
      <w:bookmarkEnd w:id="106"/>
      <w:bookmarkEnd w:id="107"/>
      <w:bookmarkEnd w:id="108"/>
      <w:bookmarkEnd w:id="109"/>
      <w:bookmarkEnd w:id="110"/>
    </w:p>
    <w:p w14:paraId="18F76F43">
      <w:pPr>
        <w:pStyle w:val="73"/>
        <w:numPr>
          <w:ilvl w:val="0"/>
          <w:numId w:val="17"/>
        </w:numPr>
        <w:ind w:left="0" w:firstLine="560"/>
        <w:rPr>
          <w:color w:val="auto"/>
        </w:rPr>
      </w:pPr>
      <w:r>
        <w:rPr>
          <w:rFonts w:hint="eastAsia"/>
          <w:color w:val="auto"/>
          <w:lang w:val="en-US" w:eastAsia="zh-CN"/>
        </w:rPr>
        <w:t>XX</w:t>
      </w:r>
      <w:r>
        <w:rPr>
          <w:rFonts w:hint="eastAsia"/>
          <w:color w:val="auto"/>
        </w:rPr>
        <w:t>。</w:t>
      </w:r>
      <w:bookmarkEnd w:id="82"/>
    </w:p>
    <w:p w14:paraId="4B46CDFD">
      <w:pPr>
        <w:pStyle w:val="81"/>
        <w:numPr>
          <w:ilvl w:val="1"/>
          <w:numId w:val="0"/>
        </w:numPr>
        <w:spacing w:before="0" w:after="0"/>
        <w:jc w:val="center"/>
        <w:rPr>
          <w:rFonts w:hint="eastAsia" w:cs="黑体"/>
          <w:color w:val="auto"/>
          <w:sz w:val="30"/>
          <w:szCs w:val="30"/>
          <w:lang w:val="en-GB"/>
        </w:rPr>
      </w:pPr>
      <w:bookmarkStart w:id="111" w:name="_Toc11944"/>
      <w:bookmarkStart w:id="112" w:name="_Toc15998"/>
      <w:bookmarkStart w:id="113" w:name="_Toc242849735"/>
      <w:bookmarkStart w:id="114" w:name="_Toc184701526"/>
      <w:bookmarkStart w:id="115" w:name="_Toc115120608"/>
      <w:bookmarkStart w:id="116" w:name="_Toc226963123"/>
      <w:bookmarkStart w:id="117" w:name="_Toc115120214"/>
    </w:p>
    <w:p w14:paraId="52704FB9">
      <w:pPr>
        <w:pStyle w:val="81"/>
        <w:numPr>
          <w:ilvl w:val="1"/>
          <w:numId w:val="0"/>
        </w:numPr>
        <w:spacing w:before="0" w:after="0"/>
        <w:jc w:val="center"/>
        <w:rPr>
          <w:rFonts w:hint="eastAsia" w:cs="黑体"/>
          <w:color w:val="auto"/>
          <w:sz w:val="30"/>
          <w:szCs w:val="30"/>
          <w:lang w:val="en-GB"/>
        </w:rPr>
      </w:pPr>
    </w:p>
    <w:p w14:paraId="04BF5BCF">
      <w:pPr>
        <w:pStyle w:val="81"/>
        <w:numPr>
          <w:ilvl w:val="1"/>
          <w:numId w:val="0"/>
        </w:numPr>
        <w:spacing w:before="0" w:after="0"/>
        <w:jc w:val="center"/>
        <w:rPr>
          <w:rFonts w:cs="黑体"/>
          <w:color w:val="auto"/>
          <w:sz w:val="30"/>
          <w:szCs w:val="30"/>
          <w:lang w:val="en-GB"/>
        </w:rPr>
      </w:pPr>
      <w:r>
        <w:rPr>
          <w:rFonts w:hint="eastAsia" w:cs="黑体"/>
          <w:color w:val="auto"/>
          <w:sz w:val="30"/>
          <w:szCs w:val="30"/>
          <w:lang w:val="en-GB"/>
        </w:rPr>
        <w:t>1.3 安全预评价原则</w:t>
      </w:r>
      <w:bookmarkEnd w:id="111"/>
      <w:bookmarkEnd w:id="112"/>
    </w:p>
    <w:p w14:paraId="3769C3B0">
      <w:pPr>
        <w:keepNext/>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《安全评价通则》第2条规定，安全评价基本原则是具备国家规定资质的安全评价机构科学、公正和合法的自主开展安全预评价。</w:t>
      </w:r>
    </w:p>
    <w:p w14:paraId="0FF22CAE">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本报告将按国家现行有关劳动安全的法律、法规和标准要求对该项目进行安全评价，同时遵循下列原则：</w:t>
      </w:r>
    </w:p>
    <w:p w14:paraId="4D58C7AF">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1</w:t>
      </w:r>
      <w:r>
        <w:rPr>
          <w:rFonts w:hint="eastAsia" w:cs="Times New Roman"/>
          <w:color w:val="auto"/>
          <w:sz w:val="28"/>
          <w:szCs w:val="28"/>
        </w:rPr>
        <w:t>.</w:t>
      </w:r>
      <w:r>
        <w:rPr>
          <w:rFonts w:cs="Times New Roman"/>
          <w:color w:val="auto"/>
          <w:sz w:val="28"/>
          <w:szCs w:val="28"/>
          <w:lang w:val="en-GB"/>
        </w:rPr>
        <w:t>严格执行国家现行有关法律、法规、标准和规范的要求，对该企业申请安全生产许可证应具备的安全生产条件进行科学、公正、合法、自主的评价；</w:t>
      </w:r>
    </w:p>
    <w:p w14:paraId="4BEC146D">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2</w:t>
      </w:r>
      <w:r>
        <w:rPr>
          <w:rFonts w:hint="eastAsia" w:cs="Times New Roman"/>
          <w:color w:val="auto"/>
          <w:sz w:val="28"/>
          <w:szCs w:val="28"/>
        </w:rPr>
        <w:t>.</w:t>
      </w:r>
      <w:r>
        <w:rPr>
          <w:rFonts w:cs="Times New Roman"/>
          <w:color w:val="auto"/>
          <w:sz w:val="28"/>
          <w:szCs w:val="28"/>
          <w:lang w:val="en-GB"/>
        </w:rPr>
        <w:t>执行行业现行有关法规、标准、规范和政策的要求；</w:t>
      </w:r>
    </w:p>
    <w:p w14:paraId="66FDBB07">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3</w:t>
      </w:r>
      <w:r>
        <w:rPr>
          <w:rFonts w:hint="eastAsia" w:cs="Times New Roman"/>
          <w:color w:val="auto"/>
          <w:sz w:val="28"/>
          <w:szCs w:val="28"/>
        </w:rPr>
        <w:t>.</w:t>
      </w:r>
      <w:r>
        <w:rPr>
          <w:rFonts w:cs="Times New Roman"/>
          <w:color w:val="auto"/>
          <w:sz w:val="28"/>
          <w:szCs w:val="28"/>
          <w:lang w:val="en-GB"/>
        </w:rPr>
        <w:t>采用适用、可靠的评价技术和评价方法，保证评价的针对性，确保评价质量；</w:t>
      </w:r>
    </w:p>
    <w:p w14:paraId="41950AC2">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4</w:t>
      </w:r>
      <w:r>
        <w:rPr>
          <w:rFonts w:hint="eastAsia" w:cs="Times New Roman"/>
          <w:color w:val="auto"/>
          <w:sz w:val="28"/>
          <w:szCs w:val="28"/>
        </w:rPr>
        <w:t>.</w:t>
      </w:r>
      <w:r>
        <w:rPr>
          <w:rFonts w:cs="Times New Roman"/>
          <w:color w:val="auto"/>
          <w:sz w:val="28"/>
          <w:szCs w:val="28"/>
          <w:lang w:val="en-GB"/>
        </w:rPr>
        <w:t>恪守职业道德，遵循诚实守信的原则，对被评价企业的技术资料和商业运作保密。</w:t>
      </w:r>
    </w:p>
    <w:p w14:paraId="3AE727BF">
      <w:pPr>
        <w:pStyle w:val="81"/>
        <w:numPr>
          <w:ilvl w:val="1"/>
          <w:numId w:val="0"/>
        </w:numPr>
        <w:spacing w:before="0" w:after="0"/>
        <w:jc w:val="center"/>
        <w:rPr>
          <w:rFonts w:cs="黑体"/>
          <w:color w:val="auto"/>
          <w:sz w:val="30"/>
          <w:szCs w:val="30"/>
          <w:lang w:val="en-GB"/>
        </w:rPr>
      </w:pPr>
      <w:bookmarkStart w:id="118" w:name="_Toc17946"/>
      <w:bookmarkStart w:id="119" w:name="_Toc6278"/>
      <w:bookmarkStart w:id="120" w:name="_Toc16232"/>
      <w:bookmarkStart w:id="121" w:name="_Toc28162"/>
      <w:r>
        <w:rPr>
          <w:rFonts w:hint="eastAsia" w:cs="黑体"/>
          <w:color w:val="auto"/>
          <w:sz w:val="30"/>
          <w:szCs w:val="30"/>
          <w:lang w:val="en-GB"/>
        </w:rPr>
        <w:t>1.4 评价内容</w:t>
      </w:r>
      <w:bookmarkEnd w:id="118"/>
      <w:bookmarkEnd w:id="119"/>
      <w:bookmarkEnd w:id="120"/>
      <w:bookmarkEnd w:id="121"/>
    </w:p>
    <w:p w14:paraId="20D695F4">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评价主要内容包括：</w:t>
      </w:r>
    </w:p>
    <w:p w14:paraId="128C94C4">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1</w:t>
      </w:r>
      <w:r>
        <w:rPr>
          <w:rFonts w:hint="eastAsia" w:cs="Times New Roman"/>
          <w:color w:val="auto"/>
          <w:sz w:val="28"/>
          <w:szCs w:val="28"/>
        </w:rPr>
        <w:t>.</w:t>
      </w:r>
      <w:r>
        <w:rPr>
          <w:rFonts w:cs="Times New Roman"/>
          <w:color w:val="auto"/>
          <w:sz w:val="28"/>
          <w:szCs w:val="28"/>
          <w:lang w:val="en-GB"/>
        </w:rPr>
        <w:t>辨识建设项目投产运行后在运行过程中存在的主要危险有害因素，并分析其可能导致发生事故的诱发因素、可能性及严重程度。</w:t>
      </w:r>
    </w:p>
    <w:p w14:paraId="08A039AA">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2</w:t>
      </w:r>
      <w:r>
        <w:rPr>
          <w:rFonts w:hint="eastAsia" w:cs="Times New Roman"/>
          <w:color w:val="auto"/>
          <w:sz w:val="28"/>
          <w:szCs w:val="28"/>
        </w:rPr>
        <w:t>.</w:t>
      </w:r>
      <w:r>
        <w:rPr>
          <w:rFonts w:cs="Times New Roman"/>
          <w:color w:val="auto"/>
          <w:sz w:val="28"/>
          <w:szCs w:val="28"/>
          <w:lang w:val="en-GB"/>
        </w:rPr>
        <w:t>评价初步设计报告中危险有害因素预防和控制措施的可靠性，以及与有关安全生产法律、法规、规章、规范性文件和标准的符合性。</w:t>
      </w:r>
    </w:p>
    <w:p w14:paraId="034A6027">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3</w:t>
      </w:r>
      <w:r>
        <w:rPr>
          <w:rFonts w:hint="eastAsia" w:cs="Times New Roman"/>
          <w:color w:val="auto"/>
          <w:sz w:val="28"/>
          <w:szCs w:val="28"/>
        </w:rPr>
        <w:t>.</w:t>
      </w:r>
      <w:r>
        <w:rPr>
          <w:rFonts w:cs="Times New Roman"/>
          <w:color w:val="auto"/>
          <w:sz w:val="28"/>
          <w:szCs w:val="28"/>
          <w:lang w:val="en-GB"/>
        </w:rPr>
        <w:t>提出消除未受控危险有害因素的安全对策措施及建议。</w:t>
      </w:r>
    </w:p>
    <w:p w14:paraId="5ED1D59C">
      <w:pPr>
        <w:snapToGrid w:val="0"/>
        <w:spacing w:line="360" w:lineRule="auto"/>
        <w:ind w:firstLine="560" w:firstLineChars="200"/>
        <w:rPr>
          <w:rFonts w:cs="Times New Roman"/>
          <w:color w:val="auto"/>
          <w:sz w:val="28"/>
          <w:szCs w:val="28"/>
          <w:lang w:val="en-GB"/>
        </w:rPr>
      </w:pPr>
      <w:r>
        <w:rPr>
          <w:rFonts w:cs="Times New Roman"/>
          <w:color w:val="auto"/>
          <w:sz w:val="28"/>
          <w:szCs w:val="28"/>
          <w:lang w:val="en-GB"/>
        </w:rPr>
        <w:t>4</w:t>
      </w:r>
      <w:r>
        <w:rPr>
          <w:rFonts w:hint="eastAsia" w:cs="Times New Roman"/>
          <w:color w:val="auto"/>
          <w:sz w:val="28"/>
          <w:szCs w:val="28"/>
        </w:rPr>
        <w:t>.</w:t>
      </w:r>
      <w:r>
        <w:rPr>
          <w:rFonts w:cs="Times New Roman"/>
          <w:color w:val="auto"/>
          <w:sz w:val="28"/>
          <w:szCs w:val="28"/>
          <w:lang w:val="en-GB"/>
        </w:rPr>
        <w:t>做出安全预评价结论。</w:t>
      </w:r>
    </w:p>
    <w:p w14:paraId="7DAE3D99">
      <w:pPr>
        <w:pStyle w:val="77"/>
        <w:numPr>
          <w:ilvl w:val="0"/>
          <w:numId w:val="0"/>
        </w:numPr>
        <w:spacing w:before="0" w:after="0"/>
        <w:rPr>
          <w:color w:val="auto"/>
        </w:rPr>
      </w:pPr>
      <w:r>
        <w:rPr>
          <w:color w:val="auto"/>
          <w:sz w:val="32"/>
          <w:szCs w:val="16"/>
        </w:rPr>
        <w:br w:type="page"/>
      </w:r>
      <w:bookmarkStart w:id="122" w:name="_Toc26523"/>
      <w:bookmarkStart w:id="123" w:name="_Toc14494"/>
      <w:bookmarkStart w:id="124" w:name="_Toc501120268"/>
      <w:r>
        <w:rPr>
          <w:rFonts w:hint="eastAsia" w:cs="黑体"/>
          <w:color w:val="auto"/>
          <w:sz w:val="32"/>
          <w:szCs w:val="16"/>
        </w:rPr>
        <w:t>2.建设项目</w:t>
      </w:r>
      <w:bookmarkEnd w:id="113"/>
      <w:bookmarkEnd w:id="114"/>
      <w:bookmarkEnd w:id="115"/>
      <w:bookmarkEnd w:id="116"/>
      <w:bookmarkEnd w:id="117"/>
      <w:r>
        <w:rPr>
          <w:rFonts w:hint="eastAsia" w:cs="黑体"/>
          <w:color w:val="auto"/>
          <w:sz w:val="32"/>
          <w:szCs w:val="16"/>
        </w:rPr>
        <w:t>概</w:t>
      </w:r>
      <w:bookmarkEnd w:id="122"/>
      <w:bookmarkEnd w:id="123"/>
      <w:bookmarkEnd w:id="124"/>
      <w:r>
        <w:rPr>
          <w:rFonts w:hint="eastAsia" w:cs="黑体"/>
          <w:color w:val="auto"/>
          <w:sz w:val="32"/>
          <w:szCs w:val="16"/>
        </w:rPr>
        <w:t>述</w:t>
      </w:r>
    </w:p>
    <w:p w14:paraId="4C812679">
      <w:pPr>
        <w:pStyle w:val="81"/>
        <w:numPr>
          <w:ilvl w:val="1"/>
          <w:numId w:val="0"/>
        </w:numPr>
        <w:spacing w:before="0" w:after="0"/>
        <w:jc w:val="center"/>
        <w:rPr>
          <w:rFonts w:cs="黑体"/>
          <w:color w:val="auto"/>
          <w:sz w:val="30"/>
          <w:szCs w:val="30"/>
        </w:rPr>
      </w:pPr>
      <w:bookmarkStart w:id="125" w:name="_Toc7673"/>
      <w:bookmarkStart w:id="126" w:name="_Toc5757"/>
      <w:bookmarkStart w:id="127" w:name="_Toc501120269"/>
      <w:r>
        <w:rPr>
          <w:rFonts w:hint="eastAsia" w:cs="黑体"/>
          <w:color w:val="auto"/>
          <w:sz w:val="30"/>
          <w:szCs w:val="30"/>
        </w:rPr>
        <w:t>2.1建设单位概况</w:t>
      </w:r>
      <w:bookmarkEnd w:id="125"/>
      <w:bookmarkEnd w:id="126"/>
      <w:bookmarkEnd w:id="127"/>
    </w:p>
    <w:p w14:paraId="34DB9A21">
      <w:pPr>
        <w:pStyle w:val="5"/>
        <w:keepNext/>
        <w:keepLines/>
        <w:snapToGrid w:val="0"/>
        <w:spacing w:line="360" w:lineRule="auto"/>
        <w:ind w:firstLine="562" w:firstLineChars="200"/>
        <w:jc w:val="left"/>
        <w:rPr>
          <w:rFonts w:cs="Times New Roman"/>
          <w:b/>
          <w:color w:val="auto"/>
          <w:sz w:val="28"/>
          <w:szCs w:val="32"/>
          <w:lang w:val="en-GB"/>
        </w:rPr>
      </w:pPr>
      <w:bookmarkStart w:id="128" w:name="_Toc23613"/>
      <w:bookmarkStart w:id="129" w:name="_Toc30556"/>
      <w:bookmarkStart w:id="130" w:name="_Toc29798"/>
      <w:bookmarkStart w:id="131" w:name="_Toc17278"/>
      <w:bookmarkStart w:id="132" w:name="_Toc4576"/>
      <w:bookmarkStart w:id="133" w:name="_Toc10472"/>
      <w:bookmarkStart w:id="134" w:name="_Toc501120270"/>
      <w:bookmarkStart w:id="135" w:name="_Toc26650"/>
      <w:r>
        <w:rPr>
          <w:rFonts w:hint="eastAsia" w:cs="Times New Roman"/>
          <w:b/>
          <w:color w:val="auto"/>
          <w:sz w:val="28"/>
          <w:szCs w:val="32"/>
          <w:lang w:val="en-GB"/>
        </w:rPr>
        <w:t>2.1.1建设单位历史沿革、经济类型及隶属关系</w:t>
      </w:r>
      <w:bookmarkEnd w:id="128"/>
      <w:bookmarkEnd w:id="129"/>
      <w:bookmarkEnd w:id="130"/>
      <w:bookmarkEnd w:id="131"/>
      <w:bookmarkEnd w:id="132"/>
      <w:bookmarkEnd w:id="133"/>
      <w:bookmarkEnd w:id="134"/>
      <w:bookmarkEnd w:id="135"/>
    </w:p>
    <w:p w14:paraId="2E00460E">
      <w:pPr>
        <w:pStyle w:val="66"/>
        <w:ind w:firstLine="560"/>
        <w:rPr>
          <w:rFonts w:cs="Times New Roman"/>
          <w:color w:val="auto"/>
        </w:rPr>
      </w:pPr>
      <w:bookmarkStart w:id="136" w:name="_Toc115120611"/>
      <w:bookmarkStart w:id="137" w:name="_Toc115120217"/>
      <w:bookmarkStart w:id="138" w:name="_Toc226963126"/>
      <w:bookmarkStart w:id="139" w:name="_Toc242849738"/>
      <w:bookmarkStart w:id="140" w:name="_Hlk501313544"/>
      <w:r>
        <w:rPr>
          <w:rFonts w:hint="eastAsia" w:cs="Times New Roman"/>
          <w:color w:val="auto"/>
        </w:rPr>
        <w:t>玉龙县鼎康建材有限责任公司2023年01月10</w:t>
      </w:r>
      <w:r>
        <w:rPr>
          <w:rFonts w:hint="eastAsia" w:cs="Times New Roman"/>
          <w:color w:val="auto"/>
          <w:lang w:val="zh-TW"/>
        </w:rPr>
        <w:t>成立，企业</w:t>
      </w:r>
      <w:r>
        <w:rPr>
          <w:rFonts w:hint="eastAsia" w:cs="Times New Roman"/>
          <w:color w:val="auto"/>
        </w:rPr>
        <w:t>类型为有限责任公司（非自然人投资或控股的法人独资），法定代表人刘茜</w:t>
      </w:r>
      <w:r>
        <w:rPr>
          <w:rFonts w:hint="eastAsia" w:cs="Times New Roman"/>
          <w:color w:val="auto"/>
          <w:lang w:val="zh-TW"/>
        </w:rPr>
        <w:t>，企业地址云南省丽江市玉龙纳西族自治县黄山街道华荣居D8幢D-8号，</w:t>
      </w:r>
      <w:r>
        <w:rPr>
          <w:rFonts w:cs="Times New Roman"/>
          <w:bCs/>
          <w:color w:val="auto"/>
        </w:rPr>
        <w:t>经营范围：许可项目</w:t>
      </w:r>
      <w:r>
        <w:rPr>
          <w:rFonts w:hint="eastAsia" w:cs="Times New Roman"/>
          <w:bCs/>
          <w:color w:val="auto"/>
        </w:rPr>
        <w:t>：</w:t>
      </w:r>
      <w:r>
        <w:rPr>
          <w:rFonts w:hint="eastAsia" w:cs="Times New Roman"/>
          <w:color w:val="auto"/>
        </w:rPr>
        <w:t>非煤矿山矿产资源开采（除</w:t>
      </w:r>
      <w:r>
        <w:rPr>
          <w:rFonts w:hint="eastAsia"/>
          <w:color w:val="auto"/>
        </w:rPr>
        <w:t>稀土</w:t>
      </w:r>
      <w:r>
        <w:rPr>
          <w:rFonts w:hint="eastAsia" w:cs="Times New Roman"/>
          <w:color w:val="auto"/>
        </w:rPr>
        <w:t>、放射性矿产</w:t>
      </w:r>
      <w:r>
        <w:rPr>
          <w:rFonts w:hint="eastAsia"/>
          <w:color w:val="auto"/>
        </w:rPr>
        <w:t>、</w:t>
      </w:r>
      <w:r>
        <w:rPr>
          <w:rFonts w:hint="eastAsia" w:cs="Times New Roman"/>
          <w:color w:val="auto"/>
        </w:rPr>
        <w:t>钨）（依法须经批准的项目，经相关部门批准后方可开展经营活动，具体经营项目以相关部门批准文件或许可证件为准）一般项目：建筑材料销售，</w:t>
      </w:r>
      <w:r>
        <w:rPr>
          <w:rFonts w:hint="eastAsia"/>
          <w:color w:val="auto"/>
        </w:rPr>
        <w:t>土</w:t>
      </w:r>
      <w:r>
        <w:rPr>
          <w:rFonts w:hint="eastAsia" w:cs="Times New Roman"/>
          <w:color w:val="auto"/>
        </w:rPr>
        <w:t>石方工程施工，矿物洗选加工（除稀土、放射性矿产、钨），建筑用石加工，建筑块制造，非金属矿物制品制造，结构构件制造，水泥制品制造（除依法须经批准的项目外，凭营业执照依法自主开展经营活动）。</w:t>
      </w:r>
    </w:p>
    <w:p w14:paraId="6D2E3779">
      <w:pPr>
        <w:pStyle w:val="66"/>
        <w:ind w:firstLine="560"/>
        <w:rPr>
          <w:color w:val="auto"/>
        </w:rPr>
      </w:pPr>
      <w:r>
        <w:rPr>
          <w:rFonts w:hint="eastAsia" w:cs="Times New Roman"/>
          <w:color w:val="auto"/>
        </w:rPr>
        <w:t>矿山于2023年6月8日取得新的采矿许可证，</w:t>
      </w:r>
      <w:r>
        <w:rPr>
          <w:rFonts w:cs="Times New Roman"/>
          <w:color w:val="auto"/>
        </w:rPr>
        <w:t>采矿许可证证号</w:t>
      </w:r>
      <w:r>
        <w:rPr>
          <w:rFonts w:hint="eastAsia"/>
          <w:color w:val="auto"/>
        </w:rPr>
        <w:t>C5307212011087130117197</w:t>
      </w:r>
      <w:r>
        <w:rPr>
          <w:rFonts w:hint="eastAsia"/>
          <w:color w:val="auto"/>
          <w:lang w:bidi="en-US"/>
        </w:rPr>
        <w:t>，采矿权人：</w:t>
      </w:r>
      <w:r>
        <w:rPr>
          <w:rFonts w:hint="eastAsia" w:cs="Times New Roman"/>
          <w:color w:val="auto"/>
        </w:rPr>
        <w:t>玉龙县鼎康建材有限责任公司</w:t>
      </w:r>
      <w:r>
        <w:rPr>
          <w:rFonts w:hint="eastAsia"/>
          <w:color w:val="auto"/>
        </w:rPr>
        <w:t>，地址：</w:t>
      </w:r>
      <w:r>
        <w:rPr>
          <w:rFonts w:hint="eastAsia" w:cs="Times New Roman"/>
          <w:color w:val="auto"/>
          <w:lang w:val="zh-TW"/>
        </w:rPr>
        <w:t>云南省丽江市玉龙纳西族自治县黄山街道华荣居D8幢D-8号</w:t>
      </w:r>
      <w:r>
        <w:rPr>
          <w:rFonts w:hint="eastAsia" w:cs="Times New Roman"/>
          <w:snapToGrid w:val="0"/>
          <w:color w:val="auto"/>
          <w:kern w:val="0"/>
        </w:rPr>
        <w:t>，矿山名称：</w:t>
      </w:r>
      <w:r>
        <w:rPr>
          <w:rFonts w:hint="eastAsia" w:cs="Times New Roman"/>
          <w:color w:val="auto"/>
        </w:rPr>
        <w:t>玉龙县吉余砂石料厂建筑石料用灰岩矿</w:t>
      </w:r>
      <w:r>
        <w:rPr>
          <w:rFonts w:hint="eastAsia"/>
          <w:color w:val="auto"/>
        </w:rPr>
        <w:t>，经济类型：有限责任公司，开采矿种：建筑石料</w:t>
      </w:r>
      <w:r>
        <w:rPr>
          <w:color w:val="auto"/>
        </w:rPr>
        <w:t>用灰岩</w:t>
      </w:r>
      <w:r>
        <w:rPr>
          <w:rFonts w:hint="eastAsia"/>
          <w:color w:val="auto"/>
        </w:rPr>
        <w:t>，开采方式：露天开采，生产规模：</w:t>
      </w:r>
      <w:r>
        <w:rPr>
          <w:rFonts w:hint="eastAsia"/>
          <w:color w:val="auto"/>
          <w:lang w:bidi="en-US"/>
        </w:rPr>
        <w:t>30.00万t/a，矿区面积：</w:t>
      </w:r>
      <w:r>
        <w:rPr>
          <w:rFonts w:hint="eastAsia"/>
          <w:color w:val="auto"/>
        </w:rPr>
        <w:t>0.0740km</w:t>
      </w:r>
      <w:r>
        <w:rPr>
          <w:rFonts w:hint="eastAsia"/>
          <w:color w:val="auto"/>
          <w:vertAlign w:val="superscript"/>
        </w:rPr>
        <w:t>2</w:t>
      </w:r>
      <w:r>
        <w:rPr>
          <w:rFonts w:hint="eastAsia"/>
          <w:color w:val="auto"/>
          <w:lang w:bidi="en-US"/>
        </w:rPr>
        <w:t>，开采深度2770m～2710m，</w:t>
      </w:r>
      <w:r>
        <w:rPr>
          <w:rFonts w:hint="eastAsia" w:cs="Times New Roman"/>
          <w:snapToGrid w:val="0"/>
          <w:color w:val="auto"/>
          <w:kern w:val="0"/>
        </w:rPr>
        <w:t>有效期限：</w:t>
      </w:r>
      <w:r>
        <w:rPr>
          <w:rFonts w:hint="eastAsia" w:cs="Times New Roman"/>
          <w:color w:val="auto"/>
        </w:rPr>
        <w:t>陆年零壹拾月</w:t>
      </w:r>
      <w:r>
        <w:rPr>
          <w:rFonts w:hint="eastAsia" w:cs="Times New Roman"/>
          <w:snapToGrid w:val="0"/>
          <w:color w:val="auto"/>
          <w:kern w:val="0"/>
        </w:rPr>
        <w:t>，</w:t>
      </w:r>
      <w:r>
        <w:rPr>
          <w:rFonts w:hint="eastAsia" w:cs="Times New Roman"/>
          <w:color w:val="auto"/>
        </w:rPr>
        <w:t>2023年6月8日－</w:t>
      </w:r>
      <w:r>
        <w:rPr>
          <w:rFonts w:hint="eastAsia"/>
          <w:color w:val="auto"/>
        </w:rPr>
        <w:t>2030年5月22日。</w:t>
      </w:r>
    </w:p>
    <w:p w14:paraId="16BA27D9">
      <w:pPr>
        <w:pStyle w:val="66"/>
        <w:ind w:firstLine="560"/>
        <w:rPr>
          <w:color w:val="auto"/>
        </w:rPr>
      </w:pPr>
      <w:r>
        <w:rPr>
          <w:rFonts w:hint="eastAsia"/>
          <w:color w:val="auto"/>
        </w:rPr>
        <w:t>建设单位取得的主要证照信息如下：</w:t>
      </w:r>
    </w:p>
    <w:bookmarkEnd w:id="136"/>
    <w:bookmarkEnd w:id="137"/>
    <w:bookmarkEnd w:id="138"/>
    <w:bookmarkEnd w:id="139"/>
    <w:p w14:paraId="230CF0B4">
      <w:pPr>
        <w:pStyle w:val="66"/>
        <w:ind w:firstLine="560"/>
        <w:rPr>
          <w:color w:val="auto"/>
        </w:rPr>
      </w:pPr>
      <w:r>
        <w:rPr>
          <w:rFonts w:hint="eastAsia"/>
          <w:color w:val="auto"/>
          <w:lang w:val="en-US" w:eastAsia="zh-CN"/>
        </w:rPr>
        <w:t>XX</w:t>
      </w:r>
      <w:r>
        <w:rPr>
          <w:color w:val="auto"/>
        </w:rPr>
        <w:t>。</w:t>
      </w:r>
      <w:bookmarkEnd w:id="140"/>
    </w:p>
    <w:p w14:paraId="608FBCC8">
      <w:pPr>
        <w:snapToGrid w:val="0"/>
        <w:spacing w:line="360" w:lineRule="auto"/>
        <w:jc w:val="center"/>
        <w:rPr>
          <w:rFonts w:cs="Times New Roman"/>
          <w:bCs/>
          <w:color w:val="auto"/>
        </w:rPr>
      </w:pPr>
      <w:bookmarkStart w:id="141" w:name="_Toc501120271"/>
      <w:bookmarkStart w:id="142" w:name="_Toc242849739"/>
      <w:bookmarkStart w:id="143" w:name="_Toc115120218"/>
      <w:bookmarkStart w:id="144" w:name="_Toc226963127"/>
      <w:bookmarkStart w:id="145" w:name="_Toc115120612"/>
      <w:r>
        <w:rPr>
          <w:rFonts w:hint="eastAsia" w:cs="Times New Roman"/>
          <w:bCs/>
          <w:color w:val="auto"/>
        </w:rPr>
        <w:t>表 2.1-1  矿区范围拐点坐标表</w:t>
      </w:r>
    </w:p>
    <w:p w14:paraId="5E55AD8B">
      <w:pPr>
        <w:pStyle w:val="20"/>
        <w:rPr>
          <w:rFonts w:hint="default" w:eastAsia="宋体"/>
          <w:color w:val="auto"/>
          <w:lang w:val="en-US" w:eastAsia="zh-CN"/>
        </w:rPr>
      </w:pPr>
      <w:r>
        <w:rPr>
          <w:rFonts w:hint="eastAsia"/>
          <w:color w:val="auto"/>
          <w:lang w:val="en-US" w:eastAsia="zh-CN"/>
        </w:rPr>
        <w:t>XX。</w:t>
      </w:r>
    </w:p>
    <w:p w14:paraId="7694E3F5">
      <w:pPr>
        <w:pStyle w:val="5"/>
        <w:keepNext/>
        <w:keepLines/>
        <w:snapToGrid w:val="0"/>
        <w:spacing w:line="360" w:lineRule="auto"/>
        <w:ind w:firstLine="562" w:firstLineChars="200"/>
        <w:jc w:val="left"/>
        <w:rPr>
          <w:rFonts w:cs="Times New Roman"/>
          <w:b/>
          <w:color w:val="auto"/>
          <w:sz w:val="28"/>
          <w:szCs w:val="32"/>
          <w:lang w:val="en-GB"/>
        </w:rPr>
      </w:pPr>
      <w:bookmarkStart w:id="146" w:name="_Toc1504"/>
      <w:bookmarkStart w:id="147" w:name="_Toc556"/>
      <w:bookmarkStart w:id="148" w:name="_Toc1976"/>
      <w:bookmarkStart w:id="149" w:name="_Toc22171"/>
      <w:bookmarkStart w:id="150" w:name="_Toc19881"/>
      <w:bookmarkStart w:id="151" w:name="_Toc7134"/>
      <w:bookmarkStart w:id="152" w:name="_Toc29930"/>
      <w:r>
        <w:rPr>
          <w:rFonts w:hint="eastAsia" w:cs="Times New Roman"/>
          <w:b/>
          <w:color w:val="auto"/>
          <w:sz w:val="28"/>
          <w:szCs w:val="32"/>
          <w:lang w:val="en-GB"/>
        </w:rPr>
        <w:t>2.1.2建设项目背景</w:t>
      </w:r>
      <w:bookmarkEnd w:id="141"/>
      <w:bookmarkEnd w:id="146"/>
      <w:bookmarkEnd w:id="147"/>
      <w:bookmarkEnd w:id="148"/>
      <w:bookmarkEnd w:id="149"/>
      <w:bookmarkEnd w:id="150"/>
      <w:bookmarkEnd w:id="151"/>
      <w:bookmarkEnd w:id="152"/>
    </w:p>
    <w:p w14:paraId="2C4EC91E">
      <w:pPr>
        <w:snapToGrid w:val="0"/>
        <w:spacing w:line="360" w:lineRule="auto"/>
        <w:ind w:firstLine="560" w:firstLineChars="200"/>
        <w:rPr>
          <w:rFonts w:cs="宋体"/>
          <w:color w:val="auto"/>
          <w:sz w:val="28"/>
          <w:szCs w:val="28"/>
        </w:rPr>
      </w:pPr>
      <w:bookmarkStart w:id="153" w:name="_Hlk501313656"/>
      <w:r>
        <w:rPr>
          <w:rFonts w:hint="eastAsia"/>
          <w:color w:val="auto"/>
          <w:sz w:val="28"/>
          <w:szCs w:val="28"/>
          <w:lang w:val="en-US" w:eastAsia="zh-CN"/>
        </w:rPr>
        <w:t>XX</w:t>
      </w:r>
      <w:r>
        <w:rPr>
          <w:rFonts w:hint="eastAsia" w:cs="宋体"/>
          <w:color w:val="auto"/>
          <w:sz w:val="28"/>
          <w:szCs w:val="28"/>
        </w:rPr>
        <w:t>。</w:t>
      </w:r>
      <w:bookmarkEnd w:id="153"/>
    </w:p>
    <w:p w14:paraId="45B9B5A2">
      <w:pPr>
        <w:pStyle w:val="5"/>
        <w:keepNext/>
        <w:keepLines/>
        <w:snapToGrid w:val="0"/>
        <w:spacing w:line="360" w:lineRule="auto"/>
        <w:ind w:firstLine="562" w:firstLineChars="200"/>
        <w:jc w:val="left"/>
        <w:rPr>
          <w:rFonts w:cs="Times New Roman"/>
          <w:b/>
          <w:color w:val="auto"/>
          <w:sz w:val="28"/>
          <w:szCs w:val="32"/>
          <w:lang w:val="en-GB"/>
        </w:rPr>
      </w:pPr>
      <w:bookmarkStart w:id="154" w:name="_Toc29806"/>
      <w:bookmarkStart w:id="155" w:name="_Toc852"/>
      <w:bookmarkStart w:id="156" w:name="_Toc20707"/>
      <w:bookmarkStart w:id="157" w:name="_Toc501120273"/>
      <w:bookmarkStart w:id="158" w:name="_Toc27430"/>
      <w:bookmarkStart w:id="159" w:name="_Toc14241"/>
      <w:bookmarkStart w:id="160" w:name="_Toc27851"/>
      <w:bookmarkStart w:id="161" w:name="_Toc4575"/>
      <w:r>
        <w:rPr>
          <w:rFonts w:hint="eastAsia" w:cs="Times New Roman"/>
          <w:b/>
          <w:color w:val="auto"/>
          <w:sz w:val="28"/>
          <w:szCs w:val="32"/>
          <w:lang w:val="en-GB"/>
        </w:rPr>
        <w:t>2.1.</w:t>
      </w:r>
      <w:r>
        <w:rPr>
          <w:rFonts w:hint="eastAsia" w:cs="Times New Roman"/>
          <w:b/>
          <w:color w:val="auto"/>
          <w:sz w:val="28"/>
          <w:szCs w:val="32"/>
        </w:rPr>
        <w:t>3</w:t>
      </w:r>
      <w:r>
        <w:rPr>
          <w:rFonts w:hint="eastAsia" w:cs="Times New Roman"/>
          <w:b/>
          <w:color w:val="auto"/>
          <w:sz w:val="28"/>
          <w:szCs w:val="32"/>
          <w:lang w:val="en-GB"/>
        </w:rPr>
        <w:t>建设项目行政区划、地理位置及交通</w:t>
      </w:r>
      <w:bookmarkEnd w:id="154"/>
      <w:bookmarkEnd w:id="155"/>
      <w:bookmarkEnd w:id="156"/>
      <w:bookmarkEnd w:id="157"/>
      <w:bookmarkEnd w:id="158"/>
      <w:bookmarkEnd w:id="159"/>
      <w:bookmarkEnd w:id="160"/>
      <w:bookmarkEnd w:id="161"/>
    </w:p>
    <w:p w14:paraId="0C1FB959">
      <w:pPr>
        <w:pStyle w:val="66"/>
        <w:ind w:firstLine="560"/>
        <w:rPr>
          <w:color w:val="auto"/>
        </w:rPr>
      </w:pPr>
      <w:r>
        <w:rPr>
          <w:rFonts w:hint="eastAsia"/>
          <w:color w:val="auto"/>
          <w:sz w:val="28"/>
          <w:szCs w:val="28"/>
        </w:rPr>
        <w:t>玉龙县吉余砂石料厂建筑石料用灰岩矿位于玉龙县城238°方向，</w:t>
      </w:r>
      <w:r>
        <w:rPr>
          <w:rFonts w:hint="eastAsia"/>
          <w:color w:val="auto"/>
          <w:sz w:val="28"/>
          <w:szCs w:val="28"/>
          <w:lang w:val="en-US" w:eastAsia="zh-CN"/>
        </w:rPr>
        <w:t>XX</w:t>
      </w:r>
      <w:r>
        <w:rPr>
          <w:rFonts w:hint="eastAsia"/>
          <w:color w:val="auto"/>
        </w:rPr>
        <w:t>。</w:t>
      </w:r>
    </w:p>
    <w:p w14:paraId="16E9C35C">
      <w:pPr>
        <w:pStyle w:val="20"/>
        <w:spacing w:after="0"/>
        <w:jc w:val="center"/>
        <w:rPr>
          <w:rFonts w:hint="default" w:eastAsia="宋体"/>
          <w:color w:val="auto"/>
          <w:sz w:val="24"/>
          <w:szCs w:val="24"/>
          <w:lang w:val="en-US" w:eastAsia="zh-CN"/>
        </w:rPr>
      </w:pPr>
      <w:r>
        <w:rPr>
          <w:rFonts w:hint="eastAsia"/>
          <w:color w:val="auto"/>
          <w:sz w:val="24"/>
          <w:szCs w:val="24"/>
          <w:lang w:val="en-US" w:eastAsia="zh-CN"/>
        </w:rPr>
        <w:t>XX</w:t>
      </w:r>
    </w:p>
    <w:p w14:paraId="711ABE72">
      <w:pPr>
        <w:snapToGrid w:val="0"/>
        <w:spacing w:line="360" w:lineRule="auto"/>
        <w:jc w:val="center"/>
        <w:rPr>
          <w:rFonts w:cs="Times New Roman"/>
          <w:bCs/>
          <w:color w:val="auto"/>
          <w:sz w:val="24"/>
          <w:szCs w:val="24"/>
          <w:lang w:val="en-GB"/>
        </w:rPr>
      </w:pPr>
      <w:r>
        <w:rPr>
          <w:rFonts w:cs="Times New Roman"/>
          <w:bCs/>
          <w:color w:val="auto"/>
          <w:sz w:val="24"/>
          <w:szCs w:val="24"/>
          <w:lang w:val="en-GB"/>
        </w:rPr>
        <w:t>图</w:t>
      </w:r>
      <w:r>
        <w:rPr>
          <w:rFonts w:hint="eastAsia" w:cs="Times New Roman"/>
          <w:bCs/>
          <w:color w:val="auto"/>
          <w:sz w:val="24"/>
          <w:szCs w:val="24"/>
        </w:rPr>
        <w:t>2.1</w:t>
      </w:r>
      <w:r>
        <w:rPr>
          <w:rFonts w:cs="Times New Roman"/>
          <w:bCs/>
          <w:color w:val="auto"/>
          <w:sz w:val="24"/>
          <w:szCs w:val="24"/>
          <w:lang w:val="en-GB"/>
        </w:rPr>
        <w:t xml:space="preserve">-1 </w:t>
      </w:r>
      <w:r>
        <w:rPr>
          <w:rFonts w:cs="Times New Roman"/>
          <w:bCs/>
          <w:color w:val="auto"/>
          <w:sz w:val="24"/>
          <w:szCs w:val="24"/>
        </w:rPr>
        <w:t xml:space="preserve"> </w:t>
      </w:r>
      <w:r>
        <w:rPr>
          <w:rFonts w:cs="Times New Roman"/>
          <w:bCs/>
          <w:color w:val="auto"/>
          <w:sz w:val="24"/>
          <w:szCs w:val="24"/>
          <w:lang w:val="en-GB"/>
        </w:rPr>
        <w:t>交通位置图</w:t>
      </w:r>
    </w:p>
    <w:p w14:paraId="5752B726">
      <w:pPr>
        <w:pStyle w:val="5"/>
        <w:keepNext/>
        <w:keepLines/>
        <w:snapToGrid w:val="0"/>
        <w:spacing w:line="360" w:lineRule="auto"/>
        <w:ind w:firstLine="562" w:firstLineChars="200"/>
        <w:jc w:val="left"/>
        <w:rPr>
          <w:rFonts w:cs="Times New Roman"/>
          <w:b/>
          <w:color w:val="auto"/>
          <w:sz w:val="28"/>
          <w:szCs w:val="32"/>
          <w:lang w:val="en-GB"/>
        </w:rPr>
      </w:pPr>
      <w:bookmarkStart w:id="162" w:name="_Toc32663"/>
      <w:bookmarkStart w:id="163" w:name="_Toc4555"/>
      <w:bookmarkStart w:id="164" w:name="_Toc6767"/>
      <w:r>
        <w:rPr>
          <w:rFonts w:hint="eastAsia" w:cs="Times New Roman"/>
          <w:b/>
          <w:color w:val="auto"/>
          <w:sz w:val="28"/>
          <w:szCs w:val="32"/>
        </w:rPr>
        <w:t>2.1.4</w:t>
      </w:r>
      <w:r>
        <w:rPr>
          <w:rFonts w:cs="Times New Roman"/>
          <w:b/>
          <w:color w:val="auto"/>
          <w:sz w:val="28"/>
          <w:szCs w:val="32"/>
          <w:lang w:val="en-GB"/>
        </w:rPr>
        <w:t>矿权设置</w:t>
      </w:r>
      <w:bookmarkEnd w:id="162"/>
      <w:bookmarkEnd w:id="163"/>
      <w:bookmarkEnd w:id="164"/>
    </w:p>
    <w:p w14:paraId="4838D93F">
      <w:pPr>
        <w:snapToGrid w:val="0"/>
        <w:spacing w:line="360" w:lineRule="auto"/>
        <w:ind w:firstLine="560" w:firstLineChars="200"/>
        <w:rPr>
          <w:color w:val="auto"/>
          <w:sz w:val="28"/>
          <w:szCs w:val="28"/>
        </w:rPr>
      </w:pPr>
      <w:r>
        <w:rPr>
          <w:rFonts w:hint="eastAsia"/>
          <w:color w:val="auto"/>
          <w:sz w:val="28"/>
          <w:szCs w:val="28"/>
          <w:lang w:val="en-US" w:eastAsia="zh-CN"/>
        </w:rPr>
        <w:t>XX</w:t>
      </w:r>
      <w:r>
        <w:rPr>
          <w:rFonts w:hint="eastAsia"/>
          <w:color w:val="auto"/>
          <w:sz w:val="28"/>
          <w:szCs w:val="28"/>
        </w:rPr>
        <w:t>。</w:t>
      </w:r>
    </w:p>
    <w:p w14:paraId="02D9D76E">
      <w:pPr>
        <w:snapToGrid w:val="0"/>
        <w:spacing w:line="360" w:lineRule="auto"/>
        <w:jc w:val="center"/>
        <w:rPr>
          <w:rFonts w:cs="Times New Roman"/>
          <w:bCs/>
          <w:color w:val="auto"/>
        </w:rPr>
      </w:pPr>
      <w:r>
        <w:rPr>
          <w:rFonts w:cs="Times New Roman"/>
          <w:bCs/>
          <w:color w:val="auto"/>
        </w:rPr>
        <w:t>表</w:t>
      </w:r>
      <w:r>
        <w:rPr>
          <w:rFonts w:hint="eastAsia" w:cs="Times New Roman"/>
          <w:bCs/>
          <w:color w:val="auto"/>
        </w:rPr>
        <w:t>2.1-2</w:t>
      </w:r>
      <w:r>
        <w:rPr>
          <w:rFonts w:cs="Times New Roman"/>
          <w:bCs/>
          <w:color w:val="auto"/>
        </w:rPr>
        <w:t xml:space="preserve">  </w:t>
      </w:r>
      <w:r>
        <w:rPr>
          <w:rFonts w:hint="eastAsia" w:cs="Times New Roman"/>
          <w:bCs/>
          <w:color w:val="auto"/>
        </w:rPr>
        <w:t>原</w:t>
      </w:r>
      <w:r>
        <w:rPr>
          <w:rFonts w:cs="Times New Roman"/>
          <w:bCs/>
          <w:color w:val="auto"/>
        </w:rPr>
        <w:t>矿区范围拐点坐标表</w:t>
      </w:r>
    </w:p>
    <w:p w14:paraId="192AE73D">
      <w:pPr>
        <w:snapToGrid w:val="0"/>
        <w:ind w:firstLine="420" w:firstLineChars="200"/>
        <w:rPr>
          <w:rFonts w:cs="Times New Roman"/>
          <w:color w:val="auto"/>
        </w:rPr>
      </w:pPr>
    </w:p>
    <w:p w14:paraId="526E2D7D">
      <w:pPr>
        <w:snapToGrid w:val="0"/>
        <w:spacing w:line="360" w:lineRule="auto"/>
        <w:ind w:firstLine="560" w:firstLineChars="200"/>
        <w:rPr>
          <w:color w:val="auto"/>
          <w:sz w:val="28"/>
          <w:szCs w:val="28"/>
        </w:rPr>
      </w:pPr>
      <w:r>
        <w:rPr>
          <w:rFonts w:hint="eastAsia" w:cs="Times New Roman"/>
          <w:color w:val="auto"/>
          <w:sz w:val="28"/>
          <w:szCs w:val="28"/>
          <w:lang w:val="en-US" w:eastAsia="zh-CN"/>
        </w:rPr>
        <w:t>XX</w:t>
      </w:r>
      <w:r>
        <w:rPr>
          <w:color w:val="auto"/>
          <w:sz w:val="28"/>
          <w:szCs w:val="28"/>
        </w:rPr>
        <w:t>。</w:t>
      </w:r>
    </w:p>
    <w:p w14:paraId="410351AE">
      <w:pPr>
        <w:snapToGrid w:val="0"/>
        <w:spacing w:line="360" w:lineRule="auto"/>
        <w:jc w:val="center"/>
        <w:rPr>
          <w:rFonts w:cs="Times New Roman"/>
          <w:bCs/>
          <w:color w:val="auto"/>
        </w:rPr>
      </w:pPr>
      <w:r>
        <w:rPr>
          <w:rFonts w:cs="Times New Roman"/>
          <w:bCs/>
          <w:color w:val="auto"/>
        </w:rPr>
        <w:t>表</w:t>
      </w:r>
      <w:r>
        <w:rPr>
          <w:rFonts w:hint="eastAsia" w:cs="Times New Roman"/>
          <w:bCs/>
          <w:color w:val="auto"/>
        </w:rPr>
        <w:t>2.1-3</w:t>
      </w:r>
      <w:r>
        <w:rPr>
          <w:rFonts w:cs="Times New Roman"/>
          <w:bCs/>
          <w:color w:val="auto"/>
        </w:rPr>
        <w:t xml:space="preserve">  </w:t>
      </w:r>
      <w:r>
        <w:rPr>
          <w:rFonts w:hint="eastAsia" w:cs="Times New Roman"/>
          <w:bCs/>
          <w:color w:val="auto"/>
        </w:rPr>
        <w:t>现</w:t>
      </w:r>
      <w:r>
        <w:rPr>
          <w:rFonts w:cs="Times New Roman"/>
          <w:bCs/>
          <w:color w:val="auto"/>
        </w:rPr>
        <w:t>矿区范围拐点坐标表</w:t>
      </w:r>
    </w:p>
    <w:p w14:paraId="32546543">
      <w:pPr>
        <w:snapToGrid w:val="0"/>
        <w:ind w:firstLine="420" w:firstLineChars="200"/>
        <w:rPr>
          <w:rFonts w:cs="Times New Roman"/>
          <w:color w:val="auto"/>
        </w:rPr>
      </w:pPr>
    </w:p>
    <w:p w14:paraId="405F328E">
      <w:pPr>
        <w:snapToGrid w:val="0"/>
        <w:spacing w:line="360" w:lineRule="auto"/>
        <w:ind w:firstLine="560" w:firstLineChars="200"/>
        <w:rPr>
          <w:color w:val="auto"/>
          <w:sz w:val="28"/>
          <w:szCs w:val="28"/>
        </w:rPr>
      </w:pPr>
      <w:r>
        <w:rPr>
          <w:rFonts w:hint="eastAsia"/>
          <w:color w:val="auto"/>
          <w:sz w:val="28"/>
          <w:szCs w:val="28"/>
          <w:lang w:val="en-US" w:eastAsia="zh-CN"/>
        </w:rPr>
        <w:t>XX</w:t>
      </w:r>
      <w:r>
        <w:rPr>
          <w:color w:val="auto"/>
          <w:sz w:val="28"/>
          <w:szCs w:val="28"/>
        </w:rPr>
        <w:t>。</w:t>
      </w:r>
    </w:p>
    <w:p w14:paraId="4F4D451F">
      <w:pPr>
        <w:snapToGrid w:val="0"/>
        <w:spacing w:line="360" w:lineRule="auto"/>
        <w:jc w:val="center"/>
        <w:rPr>
          <w:rFonts w:cs="Times New Roman"/>
          <w:bCs/>
          <w:color w:val="auto"/>
        </w:rPr>
      </w:pPr>
      <w:r>
        <w:rPr>
          <w:rFonts w:cs="Times New Roman"/>
          <w:bCs/>
          <w:color w:val="auto"/>
        </w:rPr>
        <w:t>表</w:t>
      </w:r>
      <w:r>
        <w:rPr>
          <w:rFonts w:hint="eastAsia" w:cs="Times New Roman"/>
          <w:bCs/>
          <w:color w:val="auto"/>
        </w:rPr>
        <w:t>2.1-4</w:t>
      </w:r>
      <w:r>
        <w:rPr>
          <w:rFonts w:cs="Times New Roman"/>
          <w:bCs/>
          <w:color w:val="auto"/>
        </w:rPr>
        <w:t xml:space="preserve"> </w:t>
      </w:r>
      <w:r>
        <w:rPr>
          <w:rFonts w:hint="eastAsia" w:cs="Times New Roman"/>
          <w:bCs/>
          <w:color w:val="auto"/>
        </w:rPr>
        <w:t xml:space="preserve">  玉龙县吉余砂石料厂建筑石料用灰岩矿</w:t>
      </w:r>
      <w:r>
        <w:rPr>
          <w:rFonts w:cs="Times New Roman"/>
          <w:bCs/>
          <w:color w:val="auto"/>
        </w:rPr>
        <w:t>采矿权情况一览表</w:t>
      </w:r>
    </w:p>
    <w:p w14:paraId="6B317423">
      <w:pPr>
        <w:snapToGrid w:val="0"/>
        <w:ind w:firstLine="420" w:firstLineChars="200"/>
        <w:rPr>
          <w:rFonts w:cs="Times New Roman"/>
          <w:color w:val="auto"/>
        </w:rPr>
      </w:pPr>
    </w:p>
    <w:p w14:paraId="5A5683C5">
      <w:pPr>
        <w:snapToGrid w:val="0"/>
        <w:spacing w:line="360" w:lineRule="auto"/>
        <w:ind w:firstLine="560" w:firstLineChars="200"/>
        <w:rPr>
          <w:color w:val="auto"/>
          <w:sz w:val="28"/>
          <w:szCs w:val="28"/>
        </w:rPr>
      </w:pPr>
      <w:r>
        <w:rPr>
          <w:rFonts w:hint="eastAsia" w:cs="Times New Roman"/>
          <w:color w:val="auto"/>
          <w:sz w:val="28"/>
          <w:szCs w:val="28"/>
          <w:lang w:val="en-US" w:eastAsia="zh-CN"/>
        </w:rPr>
        <w:t>XX</w:t>
      </w:r>
      <w:r>
        <w:rPr>
          <w:rFonts w:hint="eastAsia"/>
          <w:color w:val="auto"/>
          <w:sz w:val="28"/>
          <w:szCs w:val="28"/>
        </w:rPr>
        <w:t>。</w:t>
      </w:r>
    </w:p>
    <w:p w14:paraId="53EB0E75">
      <w:pPr>
        <w:snapToGrid w:val="0"/>
        <w:jc w:val="center"/>
        <w:rPr>
          <w:color w:val="auto"/>
        </w:rPr>
      </w:pPr>
    </w:p>
    <w:p w14:paraId="55663DF2">
      <w:pPr>
        <w:snapToGrid w:val="0"/>
        <w:spacing w:line="360" w:lineRule="auto"/>
        <w:jc w:val="center"/>
        <w:rPr>
          <w:rFonts w:cs="Times New Roman"/>
          <w:bCs/>
          <w:color w:val="auto"/>
          <w:sz w:val="24"/>
          <w:szCs w:val="24"/>
          <w:lang w:val="en-GB"/>
        </w:rPr>
      </w:pPr>
      <w:r>
        <w:rPr>
          <w:rFonts w:cs="Times New Roman"/>
          <w:bCs/>
          <w:color w:val="auto"/>
          <w:sz w:val="24"/>
          <w:szCs w:val="24"/>
          <w:lang w:val="en-GB"/>
        </w:rPr>
        <w:t>图</w:t>
      </w:r>
      <w:r>
        <w:rPr>
          <w:rFonts w:hint="eastAsia" w:cs="Times New Roman"/>
          <w:bCs/>
          <w:color w:val="auto"/>
          <w:sz w:val="24"/>
          <w:szCs w:val="24"/>
        </w:rPr>
        <w:t>2.1-2</w:t>
      </w:r>
      <w:r>
        <w:rPr>
          <w:rFonts w:cs="Times New Roman"/>
          <w:bCs/>
          <w:color w:val="auto"/>
          <w:sz w:val="24"/>
          <w:szCs w:val="24"/>
          <w:lang w:val="en-GB"/>
        </w:rPr>
        <w:t xml:space="preserve"> </w:t>
      </w:r>
      <w:r>
        <w:rPr>
          <w:rFonts w:cs="Times New Roman"/>
          <w:bCs/>
          <w:color w:val="auto"/>
          <w:sz w:val="24"/>
          <w:szCs w:val="24"/>
        </w:rPr>
        <w:t xml:space="preserve"> </w:t>
      </w:r>
      <w:r>
        <w:rPr>
          <w:rFonts w:hint="eastAsia" w:cs="Times New Roman"/>
          <w:bCs/>
          <w:color w:val="auto"/>
          <w:sz w:val="24"/>
          <w:szCs w:val="24"/>
        </w:rPr>
        <w:t>矿界关系</w:t>
      </w:r>
      <w:r>
        <w:rPr>
          <w:rFonts w:cs="Times New Roman"/>
          <w:bCs/>
          <w:color w:val="auto"/>
          <w:sz w:val="24"/>
          <w:szCs w:val="24"/>
          <w:lang w:val="en-GB"/>
        </w:rPr>
        <w:t>图</w:t>
      </w:r>
    </w:p>
    <w:p w14:paraId="7502DBAB">
      <w:pPr>
        <w:pStyle w:val="5"/>
        <w:keepNext/>
        <w:keepLines/>
        <w:snapToGrid w:val="0"/>
        <w:spacing w:line="360" w:lineRule="auto"/>
        <w:ind w:firstLine="562" w:firstLineChars="200"/>
        <w:jc w:val="left"/>
        <w:rPr>
          <w:rFonts w:cs="Times New Roman"/>
          <w:b/>
          <w:color w:val="auto"/>
          <w:sz w:val="28"/>
          <w:szCs w:val="32"/>
          <w:lang w:val="en-GB"/>
        </w:rPr>
      </w:pPr>
      <w:bookmarkStart w:id="165" w:name="_Toc21306"/>
      <w:bookmarkStart w:id="166" w:name="_Toc11656"/>
      <w:bookmarkStart w:id="167" w:name="_Toc21025"/>
      <w:bookmarkStart w:id="168" w:name="_Toc501120274"/>
      <w:bookmarkStart w:id="169" w:name="_Toc31366"/>
      <w:bookmarkStart w:id="170" w:name="_Toc8762"/>
      <w:bookmarkStart w:id="171" w:name="_Toc12705"/>
      <w:bookmarkStart w:id="172" w:name="_Toc28038"/>
      <w:r>
        <w:rPr>
          <w:rFonts w:hint="eastAsia" w:cs="Times New Roman"/>
          <w:b/>
          <w:color w:val="auto"/>
          <w:sz w:val="28"/>
          <w:szCs w:val="32"/>
          <w:lang w:val="en-GB"/>
        </w:rPr>
        <w:t>2.1.</w:t>
      </w:r>
      <w:r>
        <w:rPr>
          <w:rFonts w:hint="eastAsia" w:cs="Times New Roman"/>
          <w:b/>
          <w:color w:val="auto"/>
          <w:sz w:val="28"/>
          <w:szCs w:val="32"/>
        </w:rPr>
        <w:t>5</w:t>
      </w:r>
      <w:r>
        <w:rPr>
          <w:rFonts w:hint="eastAsia" w:cs="Times New Roman"/>
          <w:b/>
          <w:color w:val="auto"/>
          <w:sz w:val="28"/>
          <w:szCs w:val="32"/>
          <w:lang w:val="en-GB"/>
        </w:rPr>
        <w:t>矿区周边环境</w:t>
      </w:r>
      <w:bookmarkEnd w:id="165"/>
      <w:bookmarkEnd w:id="166"/>
      <w:bookmarkEnd w:id="167"/>
      <w:bookmarkEnd w:id="168"/>
      <w:bookmarkEnd w:id="169"/>
      <w:bookmarkEnd w:id="170"/>
      <w:bookmarkEnd w:id="171"/>
      <w:bookmarkEnd w:id="172"/>
    </w:p>
    <w:p w14:paraId="149715D5">
      <w:pPr>
        <w:snapToGrid w:val="0"/>
        <w:spacing w:line="360" w:lineRule="auto"/>
        <w:ind w:firstLine="560" w:firstLineChars="200"/>
        <w:rPr>
          <w:rFonts w:cs="Times New Roman"/>
          <w:color w:val="auto"/>
          <w:sz w:val="28"/>
          <w:szCs w:val="28"/>
        </w:rPr>
      </w:pPr>
      <w:r>
        <w:rPr>
          <w:rFonts w:hint="eastAsia" w:cs="Times New Roman"/>
          <w:color w:val="auto"/>
          <w:sz w:val="28"/>
          <w:szCs w:val="28"/>
          <w:lang w:val="en-US" w:eastAsia="zh-CN"/>
        </w:rPr>
        <w:t>XX</w:t>
      </w:r>
      <w:r>
        <w:rPr>
          <w:rFonts w:hint="eastAsia" w:cs="Times New Roman"/>
          <w:color w:val="auto"/>
          <w:sz w:val="28"/>
          <w:szCs w:val="28"/>
        </w:rPr>
        <w:t>。</w:t>
      </w:r>
    </w:p>
    <w:p w14:paraId="75F319E6">
      <w:pPr>
        <w:snapToGrid w:val="0"/>
        <w:jc w:val="center"/>
        <w:rPr>
          <w:rFonts w:cs="Times New Roman"/>
          <w:color w:val="auto"/>
          <w:sz w:val="28"/>
          <w:szCs w:val="28"/>
        </w:rPr>
      </w:pPr>
    </w:p>
    <w:p w14:paraId="6BE8BA42">
      <w:pPr>
        <w:snapToGrid w:val="0"/>
        <w:spacing w:line="360" w:lineRule="auto"/>
        <w:jc w:val="center"/>
        <w:rPr>
          <w:rFonts w:cs="Times New Roman"/>
          <w:bCs/>
          <w:color w:val="auto"/>
          <w:sz w:val="24"/>
          <w:szCs w:val="24"/>
        </w:rPr>
      </w:pPr>
      <w:r>
        <w:rPr>
          <w:rFonts w:cs="Times New Roman"/>
          <w:bCs/>
          <w:color w:val="auto"/>
          <w:sz w:val="24"/>
          <w:szCs w:val="24"/>
          <w:lang w:val="en-GB"/>
        </w:rPr>
        <w:t>图</w:t>
      </w:r>
      <w:r>
        <w:rPr>
          <w:rFonts w:hint="eastAsia" w:cs="Times New Roman"/>
          <w:bCs/>
          <w:color w:val="auto"/>
          <w:sz w:val="24"/>
          <w:szCs w:val="24"/>
        </w:rPr>
        <w:t>2.1-3</w:t>
      </w:r>
      <w:r>
        <w:rPr>
          <w:rFonts w:cs="Times New Roman"/>
          <w:bCs/>
          <w:color w:val="auto"/>
          <w:sz w:val="24"/>
          <w:szCs w:val="24"/>
          <w:lang w:val="en-GB"/>
        </w:rPr>
        <w:t xml:space="preserve"> </w:t>
      </w:r>
      <w:r>
        <w:rPr>
          <w:rFonts w:cs="Times New Roman"/>
          <w:bCs/>
          <w:color w:val="auto"/>
          <w:sz w:val="24"/>
          <w:szCs w:val="24"/>
        </w:rPr>
        <w:t xml:space="preserve"> 矿权周边环境平面图</w:t>
      </w:r>
    </w:p>
    <w:bookmarkEnd w:id="142"/>
    <w:bookmarkEnd w:id="143"/>
    <w:bookmarkEnd w:id="144"/>
    <w:bookmarkEnd w:id="145"/>
    <w:p w14:paraId="6664C5E8">
      <w:pPr>
        <w:pStyle w:val="81"/>
        <w:numPr>
          <w:ilvl w:val="1"/>
          <w:numId w:val="0"/>
        </w:numPr>
        <w:spacing w:before="0" w:after="0"/>
        <w:jc w:val="center"/>
        <w:rPr>
          <w:rFonts w:hint="eastAsia" w:cs="黑体"/>
          <w:color w:val="auto"/>
          <w:sz w:val="30"/>
          <w:szCs w:val="30"/>
        </w:rPr>
      </w:pPr>
      <w:bookmarkStart w:id="173" w:name="_Toc501120275"/>
      <w:bookmarkStart w:id="174" w:name="_Toc10579"/>
      <w:bookmarkStart w:id="175" w:name="_Toc20341"/>
    </w:p>
    <w:p w14:paraId="7F82C305">
      <w:pPr>
        <w:pStyle w:val="81"/>
        <w:numPr>
          <w:ilvl w:val="1"/>
          <w:numId w:val="0"/>
        </w:numPr>
        <w:spacing w:before="0" w:after="0"/>
        <w:jc w:val="center"/>
        <w:rPr>
          <w:rFonts w:hint="eastAsia" w:cs="黑体"/>
          <w:color w:val="auto"/>
          <w:sz w:val="30"/>
          <w:szCs w:val="30"/>
        </w:rPr>
      </w:pPr>
    </w:p>
    <w:p w14:paraId="38740EC7">
      <w:pPr>
        <w:pStyle w:val="81"/>
        <w:numPr>
          <w:ilvl w:val="1"/>
          <w:numId w:val="0"/>
        </w:numPr>
        <w:spacing w:before="0" w:after="0"/>
        <w:jc w:val="center"/>
        <w:rPr>
          <w:rFonts w:hint="eastAsia" w:cs="黑体"/>
          <w:color w:val="auto"/>
          <w:sz w:val="30"/>
          <w:szCs w:val="30"/>
        </w:rPr>
      </w:pPr>
    </w:p>
    <w:p w14:paraId="406D7ACC">
      <w:pPr>
        <w:pStyle w:val="81"/>
        <w:numPr>
          <w:ilvl w:val="1"/>
          <w:numId w:val="0"/>
        </w:numPr>
        <w:spacing w:before="0" w:after="0"/>
        <w:jc w:val="center"/>
        <w:rPr>
          <w:rFonts w:hint="eastAsia" w:cs="黑体"/>
          <w:color w:val="auto"/>
          <w:sz w:val="30"/>
          <w:szCs w:val="30"/>
        </w:rPr>
      </w:pPr>
    </w:p>
    <w:p w14:paraId="5382FE7E">
      <w:pPr>
        <w:pStyle w:val="81"/>
        <w:numPr>
          <w:ilvl w:val="1"/>
          <w:numId w:val="0"/>
        </w:numPr>
        <w:spacing w:before="0" w:after="0"/>
        <w:jc w:val="center"/>
        <w:rPr>
          <w:rFonts w:hint="eastAsia" w:cs="黑体"/>
          <w:color w:val="auto"/>
          <w:sz w:val="30"/>
          <w:szCs w:val="30"/>
        </w:rPr>
      </w:pPr>
    </w:p>
    <w:p w14:paraId="6EEC9927">
      <w:pPr>
        <w:pStyle w:val="81"/>
        <w:numPr>
          <w:ilvl w:val="1"/>
          <w:numId w:val="0"/>
        </w:numPr>
        <w:spacing w:before="0" w:after="0"/>
        <w:jc w:val="center"/>
        <w:rPr>
          <w:rFonts w:hint="eastAsia" w:cs="黑体"/>
          <w:color w:val="auto"/>
          <w:sz w:val="30"/>
          <w:szCs w:val="30"/>
        </w:rPr>
      </w:pPr>
    </w:p>
    <w:p w14:paraId="00925EFA">
      <w:pPr>
        <w:pStyle w:val="81"/>
        <w:numPr>
          <w:ilvl w:val="1"/>
          <w:numId w:val="0"/>
        </w:numPr>
        <w:spacing w:before="0" w:after="0"/>
        <w:jc w:val="center"/>
        <w:rPr>
          <w:rFonts w:hint="eastAsia" w:cs="黑体"/>
          <w:color w:val="auto"/>
          <w:sz w:val="30"/>
          <w:szCs w:val="30"/>
        </w:rPr>
      </w:pPr>
    </w:p>
    <w:p w14:paraId="6981A6AD">
      <w:pPr>
        <w:pStyle w:val="81"/>
        <w:numPr>
          <w:ilvl w:val="1"/>
          <w:numId w:val="0"/>
        </w:numPr>
        <w:spacing w:before="0" w:after="0"/>
        <w:jc w:val="center"/>
        <w:rPr>
          <w:rFonts w:hint="eastAsia" w:cs="黑体"/>
          <w:color w:val="auto"/>
          <w:sz w:val="30"/>
          <w:szCs w:val="30"/>
        </w:rPr>
      </w:pPr>
    </w:p>
    <w:p w14:paraId="1FDD499F">
      <w:pPr>
        <w:pStyle w:val="81"/>
        <w:numPr>
          <w:ilvl w:val="1"/>
          <w:numId w:val="0"/>
        </w:numPr>
        <w:spacing w:before="0" w:after="0"/>
        <w:jc w:val="center"/>
        <w:rPr>
          <w:rFonts w:hint="eastAsia" w:cs="黑体"/>
          <w:color w:val="auto"/>
          <w:sz w:val="30"/>
          <w:szCs w:val="30"/>
        </w:rPr>
      </w:pPr>
    </w:p>
    <w:p w14:paraId="5E4C9B9B">
      <w:pPr>
        <w:pStyle w:val="81"/>
        <w:numPr>
          <w:ilvl w:val="1"/>
          <w:numId w:val="0"/>
        </w:numPr>
        <w:spacing w:before="0" w:after="0"/>
        <w:jc w:val="center"/>
        <w:rPr>
          <w:rFonts w:cs="黑体"/>
          <w:color w:val="auto"/>
          <w:sz w:val="30"/>
          <w:szCs w:val="30"/>
        </w:rPr>
      </w:pPr>
      <w:r>
        <w:rPr>
          <w:rFonts w:hint="eastAsia" w:cs="黑体"/>
          <w:color w:val="auto"/>
          <w:sz w:val="30"/>
          <w:szCs w:val="30"/>
        </w:rPr>
        <w:t>2.2自然环境概况</w:t>
      </w:r>
      <w:bookmarkEnd w:id="173"/>
      <w:bookmarkEnd w:id="174"/>
      <w:bookmarkEnd w:id="175"/>
    </w:p>
    <w:p w14:paraId="44D7B26E">
      <w:pPr>
        <w:snapToGrid w:val="0"/>
        <w:spacing w:line="360" w:lineRule="auto"/>
        <w:ind w:firstLine="560" w:firstLineChars="200"/>
        <w:rPr>
          <w:rFonts w:cs="Times New Roman"/>
          <w:color w:val="auto"/>
          <w:sz w:val="28"/>
          <w:szCs w:val="28"/>
        </w:rPr>
      </w:pPr>
      <w:bookmarkStart w:id="176" w:name="_Toc501120276"/>
      <w:bookmarkStart w:id="177" w:name="_Toc115120620"/>
      <w:bookmarkStart w:id="178" w:name="_Toc115120226"/>
      <w:r>
        <w:rPr>
          <w:rFonts w:hint="eastAsia" w:cs="Times New Roman"/>
          <w:color w:val="auto"/>
          <w:sz w:val="28"/>
          <w:szCs w:val="28"/>
        </w:rPr>
        <w:t>矿区属金沙江水系，区内无长年性水流，无泉点。当地最低侵蚀基准面为位于矿区75°方向约3.5km的吉乐水库，标高为2480m，矿体开采标高为2770m</w:t>
      </w:r>
      <w:r>
        <w:rPr>
          <w:rFonts w:hint="eastAsia"/>
          <w:color w:val="auto"/>
          <w:sz w:val="28"/>
          <w:szCs w:val="28"/>
          <w:lang w:bidi="en-US"/>
        </w:rPr>
        <w:t>～</w:t>
      </w:r>
      <w:r>
        <w:rPr>
          <w:rFonts w:hint="eastAsia" w:cs="Times New Roman"/>
          <w:color w:val="auto"/>
          <w:sz w:val="28"/>
          <w:szCs w:val="28"/>
        </w:rPr>
        <w:t>2710m，最低开采标高高于当地最低侵蚀基准面230m。属构造剥蚀中山地貌，矿区地面自然坡度15°</w:t>
      </w:r>
      <w:r>
        <w:rPr>
          <w:rFonts w:hint="eastAsia"/>
          <w:color w:val="auto"/>
          <w:sz w:val="28"/>
          <w:szCs w:val="28"/>
          <w:lang w:bidi="en-US"/>
        </w:rPr>
        <w:t>～</w:t>
      </w:r>
      <w:r>
        <w:rPr>
          <w:rFonts w:hint="eastAsia" w:cs="Times New Roman"/>
          <w:color w:val="auto"/>
          <w:sz w:val="28"/>
          <w:szCs w:val="28"/>
        </w:rPr>
        <w:t>25°，局部稍陡，地表植被有少量灌木，植被覆盖低率。</w:t>
      </w:r>
    </w:p>
    <w:p w14:paraId="4C9A8654">
      <w:pPr>
        <w:snapToGrid w:val="0"/>
        <w:spacing w:line="360" w:lineRule="auto"/>
        <w:ind w:firstLine="560" w:firstLineChars="200"/>
        <w:rPr>
          <w:rFonts w:cs="Times New Roman"/>
          <w:color w:val="auto"/>
          <w:sz w:val="28"/>
          <w:szCs w:val="28"/>
        </w:rPr>
      </w:pPr>
      <w:r>
        <w:rPr>
          <w:rFonts w:hint="eastAsia" w:cs="Times New Roman"/>
          <w:color w:val="auto"/>
          <w:sz w:val="28"/>
          <w:szCs w:val="28"/>
        </w:rPr>
        <w:t>区内气候属低纬暖温带季风气候，立体气候极为明显，年平均气温16.2°，极端最高气温31.4°，极端最低气温-9.5°，多年平均降雨量为910mm，日最大降雨量110.7mm，最长连续降雨28天，每年5</w:t>
      </w:r>
      <w:r>
        <w:rPr>
          <w:rFonts w:hint="eastAsia"/>
          <w:color w:val="auto"/>
          <w:sz w:val="28"/>
          <w:szCs w:val="28"/>
          <w:lang w:bidi="en-US"/>
        </w:rPr>
        <w:t>～</w:t>
      </w:r>
      <w:r>
        <w:rPr>
          <w:rFonts w:hint="eastAsia" w:cs="Times New Roman"/>
          <w:color w:val="auto"/>
          <w:sz w:val="28"/>
          <w:szCs w:val="28"/>
        </w:rPr>
        <w:t>10月为雨季，降雨量占全年的80%以上，相对湿度70%。</w:t>
      </w:r>
    </w:p>
    <w:p w14:paraId="61BFA249">
      <w:pPr>
        <w:snapToGrid w:val="0"/>
        <w:spacing w:line="360" w:lineRule="auto"/>
        <w:ind w:firstLine="560" w:firstLineChars="200"/>
        <w:rPr>
          <w:rFonts w:cs="Times New Roman"/>
          <w:color w:val="auto"/>
          <w:sz w:val="28"/>
          <w:szCs w:val="28"/>
        </w:rPr>
      </w:pPr>
      <w:r>
        <w:rPr>
          <w:rFonts w:hint="eastAsia" w:cs="Times New Roman"/>
          <w:color w:val="auto"/>
          <w:sz w:val="28"/>
          <w:szCs w:val="28"/>
        </w:rPr>
        <w:t>矿区东北部有村庄分布，主要聚居有白、汉、纳西回等民族，居住较集中。经济收入主要靠农业生产，以种植油菜，土豆为主，农村富余劳动力资源丰富，经济不发达，村民收入较低。该石料厂的开发可吸纳部分农村剩余劳动力，带动农村经济发展。</w:t>
      </w:r>
    </w:p>
    <w:p w14:paraId="14023716">
      <w:pPr>
        <w:pStyle w:val="81"/>
        <w:numPr>
          <w:ilvl w:val="1"/>
          <w:numId w:val="0"/>
        </w:numPr>
        <w:spacing w:before="0" w:after="0"/>
        <w:jc w:val="center"/>
        <w:rPr>
          <w:rFonts w:cs="黑体"/>
          <w:color w:val="auto"/>
          <w:sz w:val="30"/>
          <w:szCs w:val="30"/>
        </w:rPr>
      </w:pPr>
      <w:bookmarkStart w:id="179" w:name="_Toc10381"/>
      <w:bookmarkStart w:id="180" w:name="_Toc22546"/>
      <w:r>
        <w:rPr>
          <w:rFonts w:hint="eastAsia" w:cs="黑体"/>
          <w:color w:val="auto"/>
          <w:sz w:val="30"/>
          <w:szCs w:val="30"/>
        </w:rPr>
        <w:t>2.3地质概况</w:t>
      </w:r>
      <w:bookmarkEnd w:id="176"/>
      <w:bookmarkEnd w:id="179"/>
      <w:bookmarkEnd w:id="180"/>
    </w:p>
    <w:p w14:paraId="4524858F">
      <w:pPr>
        <w:topLinePunct/>
        <w:snapToGrid w:val="0"/>
        <w:spacing w:line="360" w:lineRule="auto"/>
        <w:ind w:firstLine="560" w:firstLineChars="200"/>
        <w:rPr>
          <w:color w:val="auto"/>
          <w:sz w:val="28"/>
          <w:szCs w:val="28"/>
        </w:rPr>
      </w:pPr>
      <w:r>
        <w:rPr>
          <w:color w:val="auto"/>
          <w:sz w:val="28"/>
          <w:szCs w:val="28"/>
        </w:rPr>
        <w:t>矿山地质</w:t>
      </w:r>
      <w:r>
        <w:rPr>
          <w:rFonts w:hint="eastAsia"/>
          <w:color w:val="auto"/>
          <w:sz w:val="28"/>
          <w:szCs w:val="28"/>
        </w:rPr>
        <w:t>资料来源于2019年5月由玉龙县吉余砂石料厂提交</w:t>
      </w:r>
      <w:r>
        <w:rPr>
          <w:color w:val="auto"/>
          <w:sz w:val="28"/>
          <w:szCs w:val="28"/>
        </w:rPr>
        <w:t>的《</w:t>
      </w:r>
      <w:r>
        <w:rPr>
          <w:rFonts w:hint="eastAsia"/>
          <w:color w:val="auto"/>
          <w:sz w:val="28"/>
          <w:szCs w:val="28"/>
        </w:rPr>
        <w:t>云南省玉龙县吉余砂石料厂建筑石料用灰岩矿地质勘查报告（2019年）</w:t>
      </w:r>
      <w:r>
        <w:rPr>
          <w:color w:val="auto"/>
          <w:sz w:val="28"/>
          <w:szCs w:val="28"/>
        </w:rPr>
        <w:t>》</w:t>
      </w:r>
      <w:r>
        <w:rPr>
          <w:rFonts w:hint="eastAsia"/>
          <w:color w:val="auto"/>
          <w:sz w:val="28"/>
          <w:szCs w:val="28"/>
        </w:rPr>
        <w:t>。</w:t>
      </w:r>
    </w:p>
    <w:p w14:paraId="4FF42253">
      <w:pPr>
        <w:pStyle w:val="5"/>
        <w:keepNext/>
        <w:keepLines/>
        <w:snapToGrid w:val="0"/>
        <w:spacing w:line="360" w:lineRule="auto"/>
        <w:ind w:firstLine="562" w:firstLineChars="200"/>
        <w:jc w:val="left"/>
        <w:rPr>
          <w:rFonts w:cs="Times New Roman"/>
          <w:b/>
          <w:color w:val="auto"/>
          <w:sz w:val="28"/>
          <w:szCs w:val="32"/>
          <w:lang w:val="en-GB"/>
        </w:rPr>
      </w:pPr>
      <w:bookmarkStart w:id="181" w:name="_Toc134952916"/>
      <w:bookmarkStart w:id="182" w:name="_Toc248123880"/>
      <w:bookmarkStart w:id="183" w:name="_Toc135153918"/>
      <w:bookmarkStart w:id="184" w:name="_Toc134687045"/>
      <w:bookmarkStart w:id="185" w:name="_Toc29722"/>
      <w:bookmarkStart w:id="186" w:name="_Toc5877"/>
      <w:bookmarkStart w:id="187" w:name="_Toc3697"/>
      <w:bookmarkStart w:id="188" w:name="_Toc15560"/>
      <w:bookmarkStart w:id="189" w:name="_Toc17733624"/>
      <w:bookmarkStart w:id="190" w:name="_Toc5971"/>
      <w:bookmarkStart w:id="191" w:name="_Toc14473"/>
      <w:bookmarkStart w:id="192" w:name="_Toc10398"/>
      <w:bookmarkStart w:id="193" w:name="_Toc13444"/>
      <w:r>
        <w:rPr>
          <w:rFonts w:hint="eastAsia" w:cs="Times New Roman"/>
          <w:b/>
          <w:color w:val="auto"/>
          <w:sz w:val="28"/>
          <w:szCs w:val="32"/>
          <w:lang w:val="en-GB"/>
        </w:rPr>
        <w:t>2.3.1区域地质</w:t>
      </w:r>
      <w:bookmarkEnd w:id="181"/>
      <w:bookmarkEnd w:id="182"/>
      <w:bookmarkEnd w:id="183"/>
      <w:bookmarkEnd w:id="184"/>
      <w:r>
        <w:rPr>
          <w:rFonts w:hint="eastAsia" w:cs="Times New Roman"/>
          <w:b/>
          <w:color w:val="auto"/>
          <w:sz w:val="28"/>
          <w:szCs w:val="32"/>
          <w:lang w:val="en-GB"/>
        </w:rPr>
        <w:t>概况</w:t>
      </w:r>
      <w:bookmarkEnd w:id="185"/>
      <w:bookmarkEnd w:id="186"/>
      <w:bookmarkEnd w:id="187"/>
      <w:bookmarkEnd w:id="188"/>
      <w:bookmarkEnd w:id="189"/>
      <w:bookmarkEnd w:id="190"/>
      <w:bookmarkEnd w:id="191"/>
      <w:bookmarkEnd w:id="192"/>
      <w:bookmarkEnd w:id="193"/>
    </w:p>
    <w:p w14:paraId="2A8719FB">
      <w:pPr>
        <w:snapToGrid w:val="0"/>
        <w:spacing w:line="360" w:lineRule="auto"/>
        <w:ind w:firstLine="560" w:firstLineChars="200"/>
        <w:rPr>
          <w:rFonts w:cs="Times New Roman"/>
          <w:color w:val="auto"/>
          <w:sz w:val="28"/>
          <w:szCs w:val="28"/>
        </w:rPr>
      </w:pPr>
      <w:bookmarkStart w:id="194" w:name="_Toc501120278"/>
      <w:bookmarkStart w:id="195" w:name="_Toc16975"/>
      <w:bookmarkStart w:id="196" w:name="_Toc13735"/>
      <w:bookmarkStart w:id="197" w:name="_Toc21732"/>
      <w:bookmarkStart w:id="198" w:name="_Toc6270"/>
      <w:r>
        <w:rPr>
          <w:rFonts w:hint="eastAsia"/>
          <w:color w:val="auto"/>
          <w:sz w:val="28"/>
          <w:szCs w:val="28"/>
          <w:lang w:val="en-US" w:eastAsia="zh-CN"/>
        </w:rPr>
        <w:t>XX</w:t>
      </w:r>
      <w:r>
        <w:rPr>
          <w:rFonts w:hint="eastAsia" w:cs="Times New Roman"/>
          <w:color w:val="auto"/>
          <w:sz w:val="28"/>
          <w:szCs w:val="28"/>
        </w:rPr>
        <w:t>。</w:t>
      </w:r>
    </w:p>
    <w:p w14:paraId="13648B70">
      <w:pPr>
        <w:pStyle w:val="5"/>
        <w:keepNext/>
        <w:keepLines/>
        <w:snapToGrid w:val="0"/>
        <w:spacing w:line="360" w:lineRule="auto"/>
        <w:ind w:firstLine="562" w:firstLineChars="200"/>
        <w:jc w:val="left"/>
        <w:rPr>
          <w:rFonts w:cs="Times New Roman"/>
          <w:b/>
          <w:color w:val="auto"/>
          <w:sz w:val="28"/>
          <w:szCs w:val="32"/>
          <w:lang w:val="en-GB"/>
        </w:rPr>
      </w:pPr>
      <w:bookmarkStart w:id="199" w:name="_Toc9782"/>
      <w:bookmarkStart w:id="200" w:name="_Toc12010"/>
      <w:bookmarkStart w:id="201" w:name="_Toc23521"/>
      <w:bookmarkStart w:id="202" w:name="_Toc25274"/>
      <w:bookmarkStart w:id="203" w:name="_Toc24493"/>
      <w:r>
        <w:rPr>
          <w:rFonts w:hint="eastAsia" w:cs="Times New Roman"/>
          <w:b/>
          <w:color w:val="auto"/>
          <w:sz w:val="28"/>
          <w:szCs w:val="32"/>
        </w:rPr>
        <w:t>2.3.4</w:t>
      </w:r>
      <w:r>
        <w:rPr>
          <w:rFonts w:cs="Times New Roman"/>
          <w:b/>
          <w:color w:val="auto"/>
          <w:sz w:val="28"/>
          <w:szCs w:val="32"/>
          <w:lang w:val="en-GB"/>
        </w:rPr>
        <w:t>矿床开采技术条件</w:t>
      </w:r>
      <w:bookmarkEnd w:id="199"/>
      <w:bookmarkEnd w:id="200"/>
      <w:bookmarkEnd w:id="201"/>
      <w:bookmarkEnd w:id="202"/>
      <w:bookmarkEnd w:id="203"/>
    </w:p>
    <w:p w14:paraId="7560A5DE">
      <w:pPr>
        <w:pStyle w:val="85"/>
        <w:numPr>
          <w:ilvl w:val="3"/>
          <w:numId w:val="0"/>
        </w:numPr>
        <w:ind w:firstLine="560" w:firstLineChars="200"/>
        <w:rPr>
          <w:rFonts w:cs="黑体"/>
          <w:b w:val="0"/>
          <w:bCs/>
          <w:color w:val="auto"/>
        </w:rPr>
      </w:pPr>
      <w:r>
        <w:rPr>
          <w:rFonts w:hint="eastAsia" w:cs="黑体"/>
          <w:b w:val="0"/>
          <w:bCs/>
          <w:color w:val="auto"/>
        </w:rPr>
        <w:t>2.3.4.1水文地质概况</w:t>
      </w:r>
      <w:bookmarkEnd w:id="194"/>
      <w:bookmarkEnd w:id="195"/>
      <w:bookmarkEnd w:id="196"/>
      <w:bookmarkEnd w:id="197"/>
      <w:bookmarkEnd w:id="198"/>
    </w:p>
    <w:p w14:paraId="466EA09E">
      <w:pPr>
        <w:snapToGrid w:val="0"/>
        <w:spacing w:line="360" w:lineRule="auto"/>
        <w:ind w:firstLine="560" w:firstLineChars="200"/>
        <w:rPr>
          <w:color w:val="auto"/>
          <w:sz w:val="28"/>
          <w:szCs w:val="28"/>
        </w:rPr>
      </w:pPr>
      <w:bookmarkStart w:id="204" w:name="_Toc247464825"/>
      <w:bookmarkStart w:id="205" w:name="_Toc29182143"/>
      <w:bookmarkStart w:id="206" w:name="_Toc260257159"/>
      <w:r>
        <w:rPr>
          <w:rFonts w:hint="eastAsia"/>
          <w:color w:val="auto"/>
          <w:sz w:val="28"/>
          <w:szCs w:val="28"/>
        </w:rPr>
        <w:t>1.概况</w:t>
      </w:r>
    </w:p>
    <w:p w14:paraId="0657560A">
      <w:pPr>
        <w:snapToGrid w:val="0"/>
        <w:spacing w:line="360" w:lineRule="auto"/>
        <w:ind w:firstLine="560" w:firstLineChars="200"/>
        <w:rPr>
          <w:color w:val="auto"/>
          <w:sz w:val="28"/>
          <w:szCs w:val="28"/>
        </w:rPr>
      </w:pPr>
      <w:r>
        <w:rPr>
          <w:rFonts w:hint="eastAsia"/>
          <w:color w:val="auto"/>
          <w:sz w:val="28"/>
          <w:szCs w:val="28"/>
        </w:rPr>
        <w:t>矿区属金沙江水系，区内无长年性水流，无泉点。当地最低侵蚀基准面为位于矿区75°方向约3.6km的吉乐水库，标高为2480m，矿体开采标高为2770m</w:t>
      </w:r>
      <w:r>
        <w:rPr>
          <w:rFonts w:cs="Times New Roman"/>
          <w:color w:val="auto"/>
          <w:sz w:val="28"/>
          <w:szCs w:val="28"/>
        </w:rPr>
        <w:t>～</w:t>
      </w:r>
      <w:r>
        <w:rPr>
          <w:rFonts w:hint="eastAsia"/>
          <w:color w:val="auto"/>
          <w:sz w:val="28"/>
          <w:szCs w:val="28"/>
        </w:rPr>
        <w:t>2710m，最低开采标高高于当地最低侵蚀基准面230m，属构造剥蚀中山地貌，区内地面自然坡度15°</w:t>
      </w:r>
      <w:r>
        <w:rPr>
          <w:rFonts w:cs="Times New Roman"/>
          <w:color w:val="auto"/>
          <w:sz w:val="28"/>
          <w:szCs w:val="28"/>
        </w:rPr>
        <w:t>～</w:t>
      </w:r>
      <w:r>
        <w:rPr>
          <w:rFonts w:hint="eastAsia"/>
          <w:color w:val="auto"/>
          <w:sz w:val="28"/>
          <w:szCs w:val="28"/>
        </w:rPr>
        <w:t>25°，局部稍陡，地表植被有少量灌木，植被覆盖低率。</w:t>
      </w:r>
    </w:p>
    <w:p w14:paraId="288D77C0">
      <w:pPr>
        <w:snapToGrid w:val="0"/>
        <w:spacing w:line="360" w:lineRule="auto"/>
        <w:ind w:firstLine="560" w:firstLineChars="200"/>
        <w:rPr>
          <w:color w:val="auto"/>
          <w:sz w:val="28"/>
          <w:szCs w:val="28"/>
        </w:rPr>
      </w:pPr>
      <w:r>
        <w:rPr>
          <w:rFonts w:hint="eastAsia"/>
          <w:color w:val="auto"/>
          <w:sz w:val="28"/>
          <w:szCs w:val="28"/>
        </w:rPr>
        <w:t>区内气候属低纬暖温带季风气候，立体气候极为明显，年平均气温16.2°，极端最高气温31.4°，极端最低气温-9.5°，多年平均降雨量为910mm，日最大降雨量110.7mm，最长连续降雨28天，每年5</w:t>
      </w:r>
      <w:r>
        <w:rPr>
          <w:rFonts w:cs="Times New Roman"/>
          <w:color w:val="auto"/>
          <w:sz w:val="28"/>
          <w:szCs w:val="28"/>
        </w:rPr>
        <w:t>～</w:t>
      </w:r>
      <w:r>
        <w:rPr>
          <w:rFonts w:hint="eastAsia"/>
          <w:color w:val="auto"/>
          <w:sz w:val="28"/>
          <w:szCs w:val="28"/>
        </w:rPr>
        <w:t>10月为雨季，降雨量占全年的80%以上，相对湿度70%。</w:t>
      </w:r>
    </w:p>
    <w:bookmarkEnd w:id="204"/>
    <w:bookmarkEnd w:id="205"/>
    <w:bookmarkEnd w:id="206"/>
    <w:p w14:paraId="7DA6F168">
      <w:pPr>
        <w:pStyle w:val="85"/>
        <w:numPr>
          <w:ilvl w:val="3"/>
          <w:numId w:val="0"/>
        </w:numPr>
        <w:ind w:firstLine="560" w:firstLineChars="200"/>
        <w:rPr>
          <w:rFonts w:cs="黑体"/>
          <w:b w:val="0"/>
          <w:bCs/>
          <w:color w:val="auto"/>
        </w:rPr>
      </w:pPr>
      <w:bookmarkStart w:id="207" w:name="_Toc242849749"/>
      <w:bookmarkStart w:id="208" w:name="_Toc226963139"/>
      <w:bookmarkStart w:id="209" w:name="_Toc441571012"/>
      <w:bookmarkStart w:id="210" w:name="_Toc501120279"/>
      <w:bookmarkStart w:id="211" w:name="_Toc30175"/>
      <w:bookmarkStart w:id="212" w:name="_Toc8043"/>
      <w:bookmarkStart w:id="213" w:name="_Toc21792"/>
      <w:bookmarkStart w:id="214" w:name="_Toc30941"/>
      <w:r>
        <w:rPr>
          <w:rFonts w:hint="eastAsia" w:cs="黑体"/>
          <w:b w:val="0"/>
          <w:bCs/>
          <w:color w:val="auto"/>
        </w:rPr>
        <w:t>2.3.4.2工程地质</w:t>
      </w:r>
      <w:bookmarkEnd w:id="207"/>
      <w:bookmarkEnd w:id="208"/>
      <w:bookmarkEnd w:id="209"/>
      <w:r>
        <w:rPr>
          <w:rFonts w:hint="eastAsia" w:cs="黑体"/>
          <w:b w:val="0"/>
          <w:bCs/>
          <w:color w:val="auto"/>
        </w:rPr>
        <w:t>概况</w:t>
      </w:r>
      <w:bookmarkEnd w:id="210"/>
      <w:bookmarkEnd w:id="211"/>
      <w:bookmarkEnd w:id="212"/>
      <w:bookmarkEnd w:id="213"/>
      <w:bookmarkEnd w:id="214"/>
    </w:p>
    <w:p w14:paraId="3C1D0D1D">
      <w:pPr>
        <w:snapToGrid w:val="0"/>
        <w:spacing w:line="360" w:lineRule="auto"/>
        <w:ind w:firstLine="560" w:firstLineChars="200"/>
        <w:rPr>
          <w:color w:val="auto"/>
          <w:sz w:val="28"/>
          <w:szCs w:val="28"/>
        </w:rPr>
      </w:pPr>
      <w:r>
        <w:rPr>
          <w:rFonts w:hint="eastAsia"/>
          <w:color w:val="auto"/>
          <w:sz w:val="28"/>
          <w:szCs w:val="28"/>
        </w:rPr>
        <w:t>1.工程地质岩组</w:t>
      </w:r>
    </w:p>
    <w:p w14:paraId="26E2F581">
      <w:pPr>
        <w:snapToGrid w:val="0"/>
        <w:spacing w:line="360" w:lineRule="auto"/>
        <w:ind w:firstLine="560" w:firstLineChars="200"/>
        <w:rPr>
          <w:color w:val="auto"/>
          <w:sz w:val="28"/>
          <w:szCs w:val="28"/>
        </w:rPr>
      </w:pPr>
      <w:r>
        <w:rPr>
          <w:rFonts w:hint="eastAsia"/>
          <w:color w:val="auto"/>
          <w:sz w:val="28"/>
          <w:szCs w:val="28"/>
        </w:rPr>
        <w:t>矿区范围内出露地层简单，出露地层主要三叠系中统北衙组上段（T</w:t>
      </w:r>
      <w:r>
        <w:rPr>
          <w:rFonts w:hint="eastAsia"/>
          <w:color w:val="auto"/>
          <w:sz w:val="28"/>
          <w:szCs w:val="28"/>
          <w:vertAlign w:val="subscript"/>
        </w:rPr>
        <w:t>2</w:t>
      </w:r>
      <w:r>
        <w:rPr>
          <w:rFonts w:hint="eastAsia"/>
          <w:color w:val="auto"/>
          <w:sz w:val="28"/>
          <w:szCs w:val="28"/>
        </w:rPr>
        <w:t>b</w:t>
      </w:r>
      <w:r>
        <w:rPr>
          <w:rFonts w:hint="eastAsia"/>
          <w:color w:val="auto"/>
          <w:sz w:val="28"/>
          <w:szCs w:val="28"/>
          <w:vertAlign w:val="superscript"/>
        </w:rPr>
        <w:t>2</w:t>
      </w:r>
      <w:r>
        <w:rPr>
          <w:rFonts w:hint="eastAsia"/>
          <w:color w:val="auto"/>
          <w:sz w:val="28"/>
          <w:szCs w:val="28"/>
        </w:rPr>
        <w:t>）。根据地层岩性，岩层组合条件、岩体结构类型以及露天采场实地调查，将区内岩土可划分为2个工程地质岩组：软弱松散岩（土）体组（Ⅰ）、较坚硬块状结构灰岩类岩组（Ⅱ）。</w:t>
      </w:r>
    </w:p>
    <w:p w14:paraId="09FD6B19">
      <w:pPr>
        <w:pStyle w:val="66"/>
        <w:ind w:firstLine="560"/>
        <w:rPr>
          <w:color w:val="auto"/>
        </w:rPr>
      </w:pPr>
      <w:r>
        <w:rPr>
          <w:rFonts w:hint="eastAsia"/>
          <w:color w:val="auto"/>
        </w:rPr>
        <w:t>矿区工程地质类型属以坚硬块状灰岩为主的中等类型。</w:t>
      </w:r>
    </w:p>
    <w:p w14:paraId="4BFE0F1E">
      <w:pPr>
        <w:pStyle w:val="85"/>
        <w:numPr>
          <w:ilvl w:val="3"/>
          <w:numId w:val="0"/>
        </w:numPr>
        <w:ind w:firstLine="560" w:firstLineChars="200"/>
        <w:rPr>
          <w:rFonts w:cs="黑体"/>
          <w:b w:val="0"/>
          <w:bCs/>
          <w:color w:val="auto"/>
        </w:rPr>
      </w:pPr>
      <w:bookmarkStart w:id="215" w:name="_Toc3943"/>
      <w:bookmarkStart w:id="216" w:name="_Toc2289"/>
      <w:bookmarkStart w:id="217" w:name="_Toc22848"/>
      <w:bookmarkStart w:id="218" w:name="_Toc29883"/>
      <w:r>
        <w:rPr>
          <w:rFonts w:hint="eastAsia" w:cs="黑体"/>
          <w:b w:val="0"/>
          <w:bCs/>
          <w:color w:val="auto"/>
        </w:rPr>
        <w:t>2.3.4.3环境地质条件</w:t>
      </w:r>
      <w:bookmarkEnd w:id="215"/>
      <w:bookmarkEnd w:id="216"/>
      <w:bookmarkEnd w:id="217"/>
      <w:bookmarkEnd w:id="218"/>
    </w:p>
    <w:p w14:paraId="4ED3D70B">
      <w:pPr>
        <w:snapToGrid w:val="0"/>
        <w:spacing w:line="360" w:lineRule="auto"/>
        <w:ind w:firstLine="560" w:firstLineChars="200"/>
        <w:rPr>
          <w:color w:val="auto"/>
          <w:sz w:val="28"/>
          <w:szCs w:val="28"/>
        </w:rPr>
      </w:pPr>
      <w:r>
        <w:rPr>
          <w:rFonts w:hint="eastAsia"/>
          <w:color w:val="auto"/>
          <w:sz w:val="28"/>
          <w:szCs w:val="28"/>
        </w:rPr>
        <w:t>1.区域稳定性评价</w:t>
      </w:r>
    </w:p>
    <w:p w14:paraId="449FCFC1">
      <w:pPr>
        <w:snapToGrid w:val="0"/>
        <w:spacing w:line="360" w:lineRule="auto"/>
        <w:ind w:firstLine="560" w:firstLineChars="200"/>
        <w:rPr>
          <w:color w:val="auto"/>
          <w:sz w:val="28"/>
          <w:szCs w:val="28"/>
        </w:rPr>
      </w:pPr>
      <w:bookmarkStart w:id="219" w:name="OLE_LINK4"/>
      <w:r>
        <w:rPr>
          <w:rFonts w:hint="eastAsia"/>
          <w:color w:val="auto"/>
          <w:sz w:val="28"/>
          <w:szCs w:val="28"/>
        </w:rPr>
        <w:t>矿区地处我国西部南北地震带南端，在强震频发的中甸一大理地震带内，川滇歹字型与南北向构造带的复合部位，是地壳运动剧烈、构造形态复杂、构造地震活动频繁的地区，根据《中国地震动参数区划图》（GB18306</w:t>
      </w:r>
      <w:r>
        <w:rPr>
          <w:rFonts w:hint="eastAsia"/>
          <w:bCs/>
          <w:color w:val="auto"/>
          <w:sz w:val="28"/>
          <w:szCs w:val="28"/>
        </w:rPr>
        <w:t>-</w:t>
      </w:r>
      <w:r>
        <w:rPr>
          <w:rFonts w:hint="eastAsia"/>
          <w:color w:val="auto"/>
          <w:sz w:val="28"/>
          <w:szCs w:val="28"/>
        </w:rPr>
        <w:t>2015）和《建筑抗震设计规范》（GB50011</w:t>
      </w:r>
      <w:r>
        <w:rPr>
          <w:rFonts w:hint="eastAsia"/>
          <w:bCs/>
          <w:color w:val="auto"/>
          <w:sz w:val="28"/>
          <w:szCs w:val="28"/>
        </w:rPr>
        <w:t>-</w:t>
      </w:r>
      <w:r>
        <w:rPr>
          <w:rFonts w:hint="eastAsia"/>
          <w:color w:val="auto"/>
          <w:sz w:val="28"/>
          <w:szCs w:val="28"/>
        </w:rPr>
        <w:t>2010）2016年版，矿区地震动峰值加速度0.30g，抗震设防烈度为8度，设计地震分组为第一组。</w:t>
      </w:r>
      <w:bookmarkEnd w:id="219"/>
    </w:p>
    <w:p w14:paraId="43EA647B">
      <w:pPr>
        <w:snapToGrid w:val="0"/>
        <w:spacing w:line="360" w:lineRule="auto"/>
        <w:ind w:firstLine="560" w:firstLineChars="200"/>
        <w:rPr>
          <w:color w:val="auto"/>
          <w:sz w:val="28"/>
          <w:szCs w:val="28"/>
        </w:rPr>
      </w:pPr>
      <w:r>
        <w:rPr>
          <w:rFonts w:hint="eastAsia"/>
          <w:color w:val="auto"/>
          <w:sz w:val="28"/>
          <w:szCs w:val="28"/>
        </w:rPr>
        <w:t>2.环境地质对矿山开采的影响</w:t>
      </w:r>
    </w:p>
    <w:p w14:paraId="65A79C94">
      <w:pPr>
        <w:snapToGrid w:val="0"/>
        <w:spacing w:line="360" w:lineRule="auto"/>
        <w:ind w:firstLine="560" w:firstLineChars="200"/>
        <w:rPr>
          <w:color w:val="auto"/>
          <w:sz w:val="28"/>
          <w:szCs w:val="28"/>
        </w:rPr>
      </w:pPr>
      <w:r>
        <w:rPr>
          <w:rFonts w:hint="eastAsia"/>
          <w:color w:val="auto"/>
          <w:sz w:val="28"/>
          <w:szCs w:val="28"/>
        </w:rPr>
        <w:t>经实地调查，矿区整体地形南高北低，为构造剥蚀中山地貌，矿区附近最高点为矿区南部山顶，海拔标高2788m，矿区地面自然坡度15°</w:t>
      </w:r>
      <w:r>
        <w:rPr>
          <w:rFonts w:cs="Times New Roman"/>
          <w:color w:val="auto"/>
          <w:sz w:val="28"/>
          <w:szCs w:val="28"/>
        </w:rPr>
        <w:t>～</w:t>
      </w:r>
      <w:r>
        <w:rPr>
          <w:rFonts w:hint="eastAsia"/>
          <w:color w:val="auto"/>
          <w:sz w:val="28"/>
          <w:szCs w:val="28"/>
        </w:rPr>
        <w:t>32°，局部稍陡。矿区前期开采形成的采空区规模较大，未来开采过程中应加强防治工作，制定应急实施方案。</w:t>
      </w:r>
    </w:p>
    <w:p w14:paraId="2E6D99D0">
      <w:pPr>
        <w:snapToGrid w:val="0"/>
        <w:spacing w:line="360" w:lineRule="auto"/>
        <w:ind w:firstLine="560" w:firstLineChars="200"/>
        <w:rPr>
          <w:color w:val="auto"/>
          <w:sz w:val="28"/>
          <w:szCs w:val="28"/>
        </w:rPr>
      </w:pPr>
      <w:r>
        <w:rPr>
          <w:rFonts w:hint="eastAsia"/>
          <w:color w:val="auto"/>
          <w:sz w:val="28"/>
          <w:szCs w:val="28"/>
        </w:rPr>
        <w:t>矿床岩体完整性、稳固性一般，矿山开采可局部诱发山体开裂，危岩崩落等地质灾害。并对周边水体及生态环境有一定的污染及影响，因此矿区地质环境质量中等。</w:t>
      </w:r>
    </w:p>
    <w:bookmarkEnd w:id="177"/>
    <w:bookmarkEnd w:id="178"/>
    <w:p w14:paraId="23D2BE23">
      <w:pPr>
        <w:pStyle w:val="81"/>
        <w:numPr>
          <w:ilvl w:val="1"/>
          <w:numId w:val="0"/>
        </w:numPr>
        <w:spacing w:before="0" w:after="0"/>
        <w:jc w:val="center"/>
        <w:rPr>
          <w:rFonts w:cs="黑体"/>
          <w:color w:val="auto"/>
          <w:sz w:val="30"/>
          <w:szCs w:val="30"/>
          <w:lang w:val="zh-TW"/>
        </w:rPr>
      </w:pPr>
      <w:bookmarkStart w:id="220" w:name="_Toc8526"/>
      <w:bookmarkStart w:id="221" w:name="_Toc501120281"/>
      <w:bookmarkStart w:id="222" w:name="_Toc25335"/>
      <w:r>
        <w:rPr>
          <w:rFonts w:hint="eastAsia" w:cs="黑体"/>
          <w:color w:val="auto"/>
          <w:sz w:val="30"/>
          <w:szCs w:val="30"/>
        </w:rPr>
        <w:t>2.4建设方案概</w:t>
      </w:r>
      <w:bookmarkEnd w:id="220"/>
      <w:bookmarkEnd w:id="221"/>
      <w:bookmarkEnd w:id="222"/>
      <w:r>
        <w:rPr>
          <w:rFonts w:hint="eastAsia" w:cs="黑体"/>
          <w:color w:val="auto"/>
          <w:sz w:val="30"/>
          <w:szCs w:val="30"/>
        </w:rPr>
        <w:t>况</w:t>
      </w:r>
    </w:p>
    <w:p w14:paraId="1CF39821">
      <w:pPr>
        <w:snapToGrid w:val="0"/>
        <w:spacing w:line="360" w:lineRule="auto"/>
        <w:ind w:firstLine="560" w:firstLineChars="200"/>
        <w:rPr>
          <w:color w:val="auto"/>
          <w:sz w:val="28"/>
          <w:szCs w:val="28"/>
        </w:rPr>
      </w:pPr>
      <w:r>
        <w:rPr>
          <w:rFonts w:hint="eastAsia"/>
          <w:color w:val="auto"/>
          <w:sz w:val="28"/>
          <w:szCs w:val="28"/>
          <w:lang w:val="zh-TW"/>
        </w:rPr>
        <w:t>本次预评价报告主</w:t>
      </w:r>
      <w:r>
        <w:rPr>
          <w:rFonts w:hint="eastAsia"/>
          <w:color w:val="auto"/>
          <w:sz w:val="28"/>
          <w:szCs w:val="28"/>
        </w:rPr>
        <w:t>要以《</w:t>
      </w:r>
      <w:r>
        <w:rPr>
          <w:rFonts w:hint="eastAsia" w:cs="Times New Roman"/>
          <w:color w:val="auto"/>
          <w:sz w:val="28"/>
          <w:szCs w:val="28"/>
        </w:rPr>
        <w:t>玉龙县鼎康建材有限责任公司玉龙县吉余砂石料厂建筑石料用灰岩矿3</w:t>
      </w:r>
      <w:r>
        <w:rPr>
          <w:rFonts w:hint="eastAsia"/>
          <w:color w:val="auto"/>
          <w:sz w:val="28"/>
          <w:szCs w:val="28"/>
        </w:rPr>
        <w:t>0</w:t>
      </w:r>
      <w:r>
        <w:rPr>
          <w:rFonts w:hint="eastAsia"/>
          <w:color w:val="auto"/>
          <w:sz w:val="28"/>
          <w:szCs w:val="28"/>
          <w:lang w:val="zh-TW"/>
        </w:rPr>
        <w:t>万t/a露天采矿工程</w:t>
      </w:r>
      <w:r>
        <w:rPr>
          <w:rFonts w:hint="eastAsia"/>
          <w:color w:val="auto"/>
          <w:sz w:val="28"/>
          <w:szCs w:val="28"/>
        </w:rPr>
        <w:t>初步设</w:t>
      </w:r>
      <w:r>
        <w:rPr>
          <w:rStyle w:val="56"/>
          <w:rFonts w:hint="eastAsia"/>
          <w:color w:val="auto"/>
          <w:sz w:val="28"/>
          <w:szCs w:val="28"/>
          <w:u w:val="none"/>
        </w:rPr>
        <w:t>计（代可研）</w:t>
      </w:r>
      <w:r>
        <w:rPr>
          <w:rFonts w:hint="eastAsia"/>
          <w:color w:val="auto"/>
          <w:sz w:val="28"/>
          <w:szCs w:val="28"/>
        </w:rPr>
        <w:t>》设计方案作为依据，并结合项目现状进行描述。</w:t>
      </w:r>
    </w:p>
    <w:p w14:paraId="23ADE729">
      <w:pPr>
        <w:pStyle w:val="5"/>
        <w:keepNext/>
        <w:keepLines/>
        <w:snapToGrid w:val="0"/>
        <w:spacing w:line="360" w:lineRule="auto"/>
        <w:ind w:firstLine="562" w:firstLineChars="200"/>
        <w:jc w:val="left"/>
        <w:rPr>
          <w:rFonts w:cs="Times New Roman"/>
          <w:b/>
          <w:color w:val="auto"/>
          <w:sz w:val="28"/>
          <w:szCs w:val="32"/>
          <w:lang w:val="en-GB"/>
        </w:rPr>
      </w:pPr>
      <w:bookmarkStart w:id="223" w:name="_Toc22362"/>
      <w:bookmarkStart w:id="224" w:name="_Toc10662"/>
      <w:bookmarkStart w:id="225" w:name="_Toc31275"/>
      <w:bookmarkStart w:id="226" w:name="_Toc23005"/>
      <w:bookmarkStart w:id="227" w:name="_Toc3464"/>
      <w:bookmarkStart w:id="228" w:name="_Toc6458"/>
      <w:bookmarkStart w:id="229" w:name="_Toc24531"/>
      <w:bookmarkStart w:id="230" w:name="_Toc501120282"/>
      <w:r>
        <w:rPr>
          <w:rFonts w:hint="eastAsia" w:cs="Times New Roman"/>
          <w:b/>
          <w:color w:val="auto"/>
          <w:sz w:val="28"/>
          <w:szCs w:val="32"/>
          <w:lang w:val="en-GB"/>
        </w:rPr>
        <w:t>2.4.1矿山开采现状</w:t>
      </w:r>
      <w:bookmarkEnd w:id="223"/>
      <w:bookmarkEnd w:id="224"/>
      <w:bookmarkEnd w:id="225"/>
      <w:bookmarkEnd w:id="226"/>
      <w:bookmarkEnd w:id="227"/>
      <w:bookmarkEnd w:id="228"/>
      <w:bookmarkEnd w:id="229"/>
      <w:bookmarkEnd w:id="230"/>
    </w:p>
    <w:p w14:paraId="746BBDB7">
      <w:pPr>
        <w:snapToGrid w:val="0"/>
        <w:spacing w:line="360" w:lineRule="auto"/>
        <w:jc w:val="center"/>
        <w:rPr>
          <w:rFonts w:hint="default" w:eastAsia="宋体" w:cs="Times New Roman"/>
          <w:bCs/>
          <w:color w:val="auto"/>
          <w:sz w:val="24"/>
          <w:szCs w:val="24"/>
          <w:lang w:val="en-US" w:eastAsia="zh-CN"/>
        </w:rPr>
      </w:pPr>
      <w:bookmarkStart w:id="231" w:name="_Toc226963147"/>
      <w:bookmarkStart w:id="232" w:name="_Toc115120634"/>
      <w:bookmarkStart w:id="233" w:name="_Toc115120240"/>
      <w:bookmarkStart w:id="234" w:name="_Toc242849759"/>
      <w:r>
        <w:rPr>
          <w:rFonts w:hint="eastAsia"/>
          <w:color w:val="auto"/>
          <w:sz w:val="28"/>
          <w:szCs w:val="28"/>
          <w:lang w:val="en-US" w:eastAsia="zh-CN"/>
        </w:rPr>
        <w:t>XX。</w:t>
      </w:r>
    </w:p>
    <w:p w14:paraId="5C2CBC51">
      <w:pPr>
        <w:rPr>
          <w:color w:val="auto"/>
        </w:rPr>
      </w:pPr>
    </w:p>
    <w:p w14:paraId="6E9F3281">
      <w:pPr>
        <w:rPr>
          <w:color w:val="auto"/>
        </w:rPr>
      </w:pPr>
    </w:p>
    <w:p w14:paraId="75F03685">
      <w:pPr>
        <w:rPr>
          <w:color w:val="auto"/>
        </w:rPr>
      </w:pPr>
    </w:p>
    <w:bookmarkEnd w:id="231"/>
    <w:bookmarkEnd w:id="232"/>
    <w:bookmarkEnd w:id="233"/>
    <w:bookmarkEnd w:id="234"/>
    <w:p w14:paraId="5A10000A">
      <w:pPr>
        <w:pStyle w:val="77"/>
        <w:numPr>
          <w:ilvl w:val="0"/>
          <w:numId w:val="0"/>
        </w:numPr>
        <w:spacing w:before="0" w:after="0"/>
        <w:rPr>
          <w:color w:val="auto"/>
        </w:rPr>
      </w:pPr>
      <w:bookmarkStart w:id="235" w:name="_Toc30637"/>
      <w:r>
        <w:rPr>
          <w:color w:val="auto"/>
        </w:rPr>
        <w:br w:type="page"/>
      </w:r>
      <w:bookmarkStart w:id="236" w:name="_Toc26019"/>
      <w:bookmarkStart w:id="237" w:name="_Toc8856"/>
      <w:bookmarkStart w:id="238" w:name="_Toc501120295"/>
      <w:r>
        <w:rPr>
          <w:rFonts w:hint="eastAsia" w:cs="黑体"/>
          <w:color w:val="auto"/>
          <w:sz w:val="32"/>
          <w:szCs w:val="16"/>
        </w:rPr>
        <w:t>3.定性定量评价</w:t>
      </w:r>
      <w:bookmarkEnd w:id="235"/>
      <w:bookmarkEnd w:id="236"/>
      <w:bookmarkEnd w:id="237"/>
      <w:bookmarkEnd w:id="238"/>
    </w:p>
    <w:p w14:paraId="569728FB">
      <w:pPr>
        <w:pStyle w:val="81"/>
        <w:numPr>
          <w:ilvl w:val="1"/>
          <w:numId w:val="0"/>
        </w:numPr>
        <w:spacing w:before="0" w:after="0"/>
        <w:jc w:val="center"/>
        <w:rPr>
          <w:rFonts w:cs="黑体"/>
          <w:color w:val="auto"/>
          <w:sz w:val="30"/>
          <w:szCs w:val="30"/>
        </w:rPr>
      </w:pPr>
      <w:bookmarkStart w:id="239" w:name="_Toc21161"/>
      <w:bookmarkStart w:id="240" w:name="_Toc97018971"/>
      <w:bookmarkStart w:id="241" w:name="_Toc18037"/>
      <w:bookmarkStart w:id="242" w:name="_Toc30446"/>
      <w:r>
        <w:rPr>
          <w:rFonts w:hint="eastAsia" w:cs="黑体"/>
          <w:color w:val="auto"/>
          <w:sz w:val="30"/>
          <w:szCs w:val="30"/>
        </w:rPr>
        <w:t>3.1评价单元划分及评价方法选择</w:t>
      </w:r>
      <w:bookmarkEnd w:id="239"/>
      <w:bookmarkEnd w:id="240"/>
      <w:bookmarkEnd w:id="241"/>
      <w:bookmarkEnd w:id="242"/>
    </w:p>
    <w:p w14:paraId="34414E4C">
      <w:pPr>
        <w:pStyle w:val="5"/>
        <w:keepNext/>
        <w:keepLines/>
        <w:snapToGrid w:val="0"/>
        <w:spacing w:line="360" w:lineRule="auto"/>
        <w:ind w:firstLine="562" w:firstLineChars="200"/>
        <w:jc w:val="left"/>
        <w:rPr>
          <w:rFonts w:cs="Times New Roman"/>
          <w:b/>
          <w:color w:val="auto"/>
          <w:sz w:val="28"/>
          <w:szCs w:val="32"/>
          <w:lang w:val="en-GB"/>
        </w:rPr>
      </w:pPr>
      <w:bookmarkStart w:id="243" w:name="_Toc21146"/>
      <w:bookmarkStart w:id="244" w:name="_Toc9418"/>
      <w:bookmarkStart w:id="245" w:name="_Toc30482"/>
      <w:bookmarkStart w:id="246" w:name="_Toc12818"/>
      <w:bookmarkStart w:id="247" w:name="_Toc23545"/>
      <w:r>
        <w:rPr>
          <w:rFonts w:hint="eastAsia" w:cs="Times New Roman"/>
          <w:b/>
          <w:color w:val="auto"/>
          <w:sz w:val="28"/>
          <w:szCs w:val="32"/>
          <w:lang w:val="en-GB"/>
        </w:rPr>
        <w:t>3.1.1评价单元划分</w:t>
      </w:r>
      <w:bookmarkEnd w:id="243"/>
      <w:bookmarkEnd w:id="244"/>
      <w:bookmarkEnd w:id="245"/>
      <w:bookmarkEnd w:id="246"/>
      <w:bookmarkEnd w:id="247"/>
    </w:p>
    <w:p w14:paraId="79FF004E">
      <w:pPr>
        <w:pStyle w:val="66"/>
        <w:ind w:firstLine="560"/>
        <w:rPr>
          <w:color w:val="auto"/>
        </w:rPr>
      </w:pPr>
      <w:bookmarkStart w:id="248" w:name="_Toc115120646"/>
      <w:bookmarkStart w:id="249" w:name="_Toc217115742"/>
      <w:bookmarkStart w:id="250" w:name="_Toc439259971"/>
      <w:bookmarkStart w:id="251" w:name="_Toc15988"/>
      <w:bookmarkStart w:id="252" w:name="_Toc115120252"/>
      <w:bookmarkStart w:id="253" w:name="_Toc357685743"/>
      <w:bookmarkStart w:id="254" w:name="_Toc244170512"/>
      <w:bookmarkStart w:id="255" w:name="_Toc10102"/>
      <w:bookmarkStart w:id="256" w:name="_Toc439259973"/>
      <w:bookmarkStart w:id="257" w:name="_Toc17827"/>
      <w:bookmarkStart w:id="258" w:name="_Toc11947"/>
      <w:r>
        <w:rPr>
          <w:rFonts w:hint="eastAsia"/>
          <w:color w:val="auto"/>
        </w:rPr>
        <w:t>1.评价单元划分的原则</w:t>
      </w:r>
      <w:bookmarkEnd w:id="248"/>
      <w:bookmarkEnd w:id="249"/>
      <w:bookmarkEnd w:id="250"/>
      <w:bookmarkEnd w:id="251"/>
      <w:bookmarkEnd w:id="252"/>
    </w:p>
    <w:p w14:paraId="1DBA2BAE">
      <w:pPr>
        <w:pStyle w:val="66"/>
        <w:ind w:firstLine="560"/>
        <w:rPr>
          <w:color w:val="auto"/>
        </w:rPr>
      </w:pPr>
      <w:r>
        <w:rPr>
          <w:color w:val="auto"/>
        </w:rPr>
        <w:t>评价单元的划分是在对危险、有害因素辨析的基础上，根据评价目的和评价方法的需要，将系统分成若干有限的、范围确定的需要评价的单元，以提高评价的客观性和准确性。</w:t>
      </w:r>
    </w:p>
    <w:p w14:paraId="54149189">
      <w:pPr>
        <w:pStyle w:val="66"/>
        <w:ind w:firstLine="560"/>
        <w:rPr>
          <w:color w:val="auto"/>
        </w:rPr>
      </w:pPr>
      <w:r>
        <w:rPr>
          <w:color w:val="auto"/>
        </w:rPr>
        <w:t>评价单元一般以生产工艺，物料的特性及危险、有害因素的类别、分布状况综合考虑进行划分。</w:t>
      </w:r>
    </w:p>
    <w:p w14:paraId="40810450">
      <w:pPr>
        <w:pStyle w:val="66"/>
        <w:ind w:firstLine="560"/>
        <w:rPr>
          <w:color w:val="auto"/>
        </w:rPr>
      </w:pPr>
      <w:bookmarkStart w:id="259" w:name="_Toc27802"/>
      <w:bookmarkStart w:id="260" w:name="_Toc217115743"/>
      <w:bookmarkStart w:id="261" w:name="_Toc115120253"/>
      <w:bookmarkStart w:id="262" w:name="_Toc439259972"/>
      <w:bookmarkStart w:id="263" w:name="_Toc115120647"/>
      <w:r>
        <w:rPr>
          <w:rFonts w:hint="eastAsia"/>
          <w:color w:val="auto"/>
        </w:rPr>
        <w:t>2.评价单元的确定</w:t>
      </w:r>
      <w:bookmarkEnd w:id="259"/>
      <w:bookmarkEnd w:id="260"/>
      <w:bookmarkEnd w:id="261"/>
      <w:bookmarkEnd w:id="262"/>
      <w:bookmarkEnd w:id="263"/>
    </w:p>
    <w:p w14:paraId="3BCF737A">
      <w:pPr>
        <w:pStyle w:val="66"/>
        <w:ind w:firstLine="560"/>
        <w:rPr>
          <w:color w:val="auto"/>
        </w:rPr>
      </w:pPr>
      <w:r>
        <w:rPr>
          <w:rFonts w:hint="eastAsia"/>
          <w:color w:val="auto"/>
        </w:rPr>
        <w:t>（1）</w:t>
      </w:r>
      <w:r>
        <w:rPr>
          <w:color w:val="auto"/>
        </w:rPr>
        <w:t>评价单元划分的分析过程</w:t>
      </w:r>
    </w:p>
    <w:p w14:paraId="7A80FF80">
      <w:pPr>
        <w:pStyle w:val="66"/>
        <w:ind w:firstLine="560"/>
        <w:rPr>
          <w:color w:val="auto"/>
        </w:rPr>
      </w:pPr>
      <w:r>
        <w:rPr>
          <w:color w:val="auto"/>
        </w:rPr>
        <w:t>根据该矿山已提供的有关技术资料和现场调查、类比调查结果，以该矿山所固有的系统特点，在对该项目主要危险、有害因素分析的基础上，遵循突出重点、抓主要环节的原则，按照系统分析中自上而下逐步分解的原理，将整个评价对象首先划分为若干子系统，再将各子系统划分为不同的单元，对复杂的和重要的单元进一步划分为数个子单元，以确保评价过程的系统性、完整性和针对性。同时，在划分评价单元时，还尽可能考虑到：</w:t>
      </w:r>
    </w:p>
    <w:p w14:paraId="74302A0E">
      <w:pPr>
        <w:pStyle w:val="66"/>
        <w:ind w:firstLine="560"/>
        <w:rPr>
          <w:color w:val="auto"/>
        </w:rPr>
      </w:pPr>
      <w:bookmarkStart w:id="264" w:name="_Toc30617"/>
      <w:r>
        <w:rPr>
          <w:color w:val="auto"/>
        </w:rPr>
        <w:t>1）自然地质本身的危险因素和危害因子；</w:t>
      </w:r>
      <w:bookmarkEnd w:id="264"/>
    </w:p>
    <w:p w14:paraId="54E6083F">
      <w:pPr>
        <w:pStyle w:val="66"/>
        <w:ind w:firstLine="560"/>
        <w:rPr>
          <w:color w:val="auto"/>
        </w:rPr>
      </w:pPr>
      <w:r>
        <w:rPr>
          <w:color w:val="auto"/>
        </w:rPr>
        <w:t>2）可能造成人员伤害的危险设备、设施和作业场所；</w:t>
      </w:r>
    </w:p>
    <w:p w14:paraId="1034CAC0">
      <w:pPr>
        <w:pStyle w:val="66"/>
        <w:ind w:firstLine="560"/>
        <w:rPr>
          <w:color w:val="auto"/>
        </w:rPr>
      </w:pPr>
      <w:r>
        <w:rPr>
          <w:color w:val="auto"/>
        </w:rPr>
        <w:t>3）可能出现的危险形式；</w:t>
      </w:r>
    </w:p>
    <w:p w14:paraId="138CB78D">
      <w:pPr>
        <w:pStyle w:val="66"/>
        <w:ind w:firstLine="560"/>
        <w:rPr>
          <w:color w:val="auto"/>
        </w:rPr>
      </w:pPr>
      <w:r>
        <w:rPr>
          <w:color w:val="auto"/>
        </w:rPr>
        <w:t>4）各工艺在空间、时间上的关系；</w:t>
      </w:r>
    </w:p>
    <w:p w14:paraId="1FBA5D6B">
      <w:pPr>
        <w:pStyle w:val="66"/>
        <w:ind w:firstLine="560"/>
        <w:rPr>
          <w:color w:val="auto"/>
        </w:rPr>
      </w:pPr>
      <w:r>
        <w:rPr>
          <w:color w:val="auto"/>
        </w:rPr>
        <w:t>5）各装置在空间上的关系；</w:t>
      </w:r>
    </w:p>
    <w:p w14:paraId="50FC1F2E">
      <w:pPr>
        <w:pStyle w:val="66"/>
        <w:ind w:firstLine="560"/>
        <w:rPr>
          <w:color w:val="auto"/>
        </w:rPr>
      </w:pPr>
      <w:r>
        <w:rPr>
          <w:color w:val="auto"/>
        </w:rPr>
        <w:t>6）操作岗位的设置状况等因素。</w:t>
      </w:r>
    </w:p>
    <w:p w14:paraId="7733A84A">
      <w:pPr>
        <w:pStyle w:val="66"/>
        <w:ind w:firstLine="560"/>
        <w:rPr>
          <w:color w:val="auto"/>
        </w:rPr>
      </w:pPr>
      <w:r>
        <w:rPr>
          <w:rFonts w:hint="eastAsia"/>
          <w:color w:val="auto"/>
        </w:rPr>
        <w:t>（2）</w:t>
      </w:r>
      <w:r>
        <w:rPr>
          <w:color w:val="auto"/>
        </w:rPr>
        <w:t>评价单元汇总表</w:t>
      </w:r>
    </w:p>
    <w:p w14:paraId="03FFC7A0">
      <w:pPr>
        <w:pStyle w:val="42"/>
        <w:widowControl w:val="0"/>
        <w:tabs>
          <w:tab w:val="left" w:pos="5327"/>
          <w:tab w:val="left" w:pos="6326"/>
          <w:tab w:val="left" w:pos="7230"/>
          <w:tab w:val="left" w:pos="9301"/>
        </w:tabs>
        <w:autoSpaceDE w:val="0"/>
        <w:autoSpaceDN w:val="0"/>
        <w:snapToGrid w:val="0"/>
        <w:spacing w:line="360" w:lineRule="auto"/>
        <w:ind w:firstLine="420" w:firstLineChars="150"/>
        <w:jc w:val="both"/>
        <w:rPr>
          <w:rFonts w:ascii="Times New Roman" w:hAnsi="Times New Roman" w:cs="Times New Roman"/>
          <w:color w:val="auto"/>
          <w:sz w:val="28"/>
          <w:szCs w:val="28"/>
        </w:rPr>
      </w:pPr>
      <w:r>
        <w:rPr>
          <w:rFonts w:hint="eastAsia" w:ascii="Times New Roman" w:hAnsi="Times New Roman" w:cs="Times New Roman"/>
          <w:color w:val="auto"/>
          <w:sz w:val="28"/>
          <w:szCs w:val="28"/>
        </w:rPr>
        <w:t>本报告按照矿山生产工艺过程，结合该主要危险、有害因素的性质和生产工艺，划分为8个单元进行评价，见表3.1-</w:t>
      </w:r>
      <w:r>
        <w:rPr>
          <w:rFonts w:ascii="Times New Roman" w:hAnsi="Times New Roman" w:cs="Times New Roman"/>
          <w:color w:val="auto"/>
          <w:sz w:val="28"/>
          <w:szCs w:val="28"/>
        </w:rPr>
        <w:t>1</w:t>
      </w:r>
      <w:r>
        <w:rPr>
          <w:rFonts w:hint="eastAsia" w:ascii="Times New Roman" w:hAnsi="Times New Roman" w:cs="Times New Roman"/>
          <w:color w:val="auto"/>
          <w:sz w:val="28"/>
          <w:szCs w:val="28"/>
        </w:rPr>
        <w:t>。</w:t>
      </w:r>
    </w:p>
    <w:p w14:paraId="67525D15">
      <w:pPr>
        <w:snapToGrid w:val="0"/>
        <w:spacing w:line="360" w:lineRule="auto"/>
        <w:jc w:val="center"/>
        <w:rPr>
          <w:rFonts w:cs="Times New Roman"/>
          <w:bCs/>
          <w:color w:val="auto"/>
        </w:rPr>
      </w:pPr>
      <w:r>
        <w:rPr>
          <w:rFonts w:hint="eastAsia" w:cs="Times New Roman"/>
          <w:bCs/>
          <w:color w:val="auto"/>
        </w:rPr>
        <w:t>表 3.1-</w:t>
      </w:r>
      <w:r>
        <w:rPr>
          <w:rFonts w:hint="eastAsia" w:cs="Times New Roman"/>
          <w:bCs/>
          <w:color w:val="auto"/>
        </w:rPr>
        <w:fldChar w:fldCharType="begin"/>
      </w:r>
      <w:r>
        <w:rPr>
          <w:rFonts w:hint="eastAsia" w:cs="Times New Roman"/>
          <w:bCs/>
          <w:color w:val="auto"/>
        </w:rPr>
        <w:instrText xml:space="preserve"> SEQ 表3- \* ARABIC </w:instrText>
      </w:r>
      <w:r>
        <w:rPr>
          <w:rFonts w:hint="eastAsia" w:cs="Times New Roman"/>
          <w:bCs/>
          <w:color w:val="auto"/>
        </w:rPr>
        <w:fldChar w:fldCharType="separate"/>
      </w:r>
      <w:r>
        <w:rPr>
          <w:rFonts w:hint="eastAsia" w:cs="Times New Roman"/>
          <w:bCs/>
          <w:color w:val="auto"/>
        </w:rPr>
        <w:t>1</w:t>
      </w:r>
      <w:r>
        <w:rPr>
          <w:rFonts w:hint="eastAsia" w:cs="Times New Roman"/>
          <w:bCs/>
          <w:color w:val="auto"/>
        </w:rPr>
        <w:fldChar w:fldCharType="end"/>
      </w:r>
      <w:r>
        <w:rPr>
          <w:rFonts w:hint="eastAsia" w:cs="Times New Roman"/>
          <w:bCs/>
          <w:color w:val="auto"/>
        </w:rPr>
        <w:t xml:space="preserve">  评价单元划分表</w:t>
      </w:r>
    </w:p>
    <w:tbl>
      <w:tblPr>
        <w:tblStyle w:val="4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9"/>
        <w:gridCol w:w="2963"/>
        <w:gridCol w:w="4477"/>
      </w:tblGrid>
      <w:tr w14:paraId="70DA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jc w:val="center"/>
        </w:trPr>
        <w:tc>
          <w:tcPr>
            <w:tcW w:w="1042" w:type="pct"/>
            <w:tcBorders>
              <w:tl2br w:val="nil"/>
              <w:tr2bl w:val="nil"/>
            </w:tcBorders>
            <w:vAlign w:val="center"/>
          </w:tcPr>
          <w:p w14:paraId="1165888E">
            <w:pPr>
              <w:pStyle w:val="100"/>
              <w:spacing w:line="240" w:lineRule="auto"/>
              <w:rPr>
                <w:color w:val="auto"/>
              </w:rPr>
            </w:pPr>
            <w:r>
              <w:rPr>
                <w:color w:val="auto"/>
              </w:rPr>
              <w:t>序号</w:t>
            </w:r>
          </w:p>
        </w:tc>
        <w:tc>
          <w:tcPr>
            <w:tcW w:w="3957" w:type="pct"/>
            <w:gridSpan w:val="2"/>
            <w:tcBorders>
              <w:tl2br w:val="nil"/>
              <w:tr2bl w:val="nil"/>
            </w:tcBorders>
            <w:vAlign w:val="center"/>
          </w:tcPr>
          <w:p w14:paraId="0117A7EC">
            <w:pPr>
              <w:pStyle w:val="100"/>
              <w:spacing w:line="240" w:lineRule="auto"/>
              <w:rPr>
                <w:color w:val="auto"/>
              </w:rPr>
            </w:pPr>
            <w:r>
              <w:rPr>
                <w:color w:val="auto"/>
              </w:rPr>
              <w:t>评价单元划分</w:t>
            </w:r>
          </w:p>
        </w:tc>
      </w:tr>
      <w:tr w14:paraId="7D46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42" w:type="pct"/>
            <w:tcBorders>
              <w:tl2br w:val="nil"/>
              <w:tr2bl w:val="nil"/>
            </w:tcBorders>
            <w:vAlign w:val="center"/>
          </w:tcPr>
          <w:p w14:paraId="33EE004B">
            <w:pPr>
              <w:pStyle w:val="101"/>
              <w:spacing w:line="240" w:lineRule="auto"/>
              <w:jc w:val="center"/>
              <w:rPr>
                <w:color w:val="auto"/>
              </w:rPr>
            </w:pPr>
            <w:r>
              <w:rPr>
                <w:color w:val="auto"/>
              </w:rPr>
              <w:t>1</w:t>
            </w:r>
          </w:p>
        </w:tc>
        <w:tc>
          <w:tcPr>
            <w:tcW w:w="3957" w:type="pct"/>
            <w:gridSpan w:val="2"/>
            <w:tcBorders>
              <w:tl2br w:val="nil"/>
              <w:tr2bl w:val="nil"/>
            </w:tcBorders>
            <w:vAlign w:val="center"/>
          </w:tcPr>
          <w:p w14:paraId="27D7444C">
            <w:pPr>
              <w:pStyle w:val="101"/>
              <w:spacing w:line="240" w:lineRule="auto"/>
              <w:rPr>
                <w:color w:val="auto"/>
              </w:rPr>
            </w:pPr>
            <w:r>
              <w:rPr>
                <w:color w:val="auto"/>
              </w:rPr>
              <w:t>总平面布置单元</w:t>
            </w:r>
          </w:p>
        </w:tc>
      </w:tr>
      <w:tr w14:paraId="1093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42" w:type="pct"/>
            <w:tcBorders>
              <w:tl2br w:val="nil"/>
              <w:tr2bl w:val="nil"/>
            </w:tcBorders>
            <w:vAlign w:val="center"/>
          </w:tcPr>
          <w:p w14:paraId="02BE63E8">
            <w:pPr>
              <w:pStyle w:val="101"/>
              <w:spacing w:line="240" w:lineRule="auto"/>
              <w:jc w:val="center"/>
              <w:rPr>
                <w:color w:val="auto"/>
              </w:rPr>
            </w:pPr>
            <w:r>
              <w:rPr>
                <w:color w:val="auto"/>
              </w:rPr>
              <w:t>2</w:t>
            </w:r>
          </w:p>
        </w:tc>
        <w:tc>
          <w:tcPr>
            <w:tcW w:w="3957" w:type="pct"/>
            <w:gridSpan w:val="2"/>
            <w:tcBorders>
              <w:tl2br w:val="nil"/>
              <w:tr2bl w:val="nil"/>
            </w:tcBorders>
            <w:vAlign w:val="center"/>
          </w:tcPr>
          <w:p w14:paraId="50639682">
            <w:pPr>
              <w:pStyle w:val="101"/>
              <w:spacing w:line="240" w:lineRule="auto"/>
              <w:rPr>
                <w:color w:val="auto"/>
              </w:rPr>
            </w:pPr>
            <w:r>
              <w:rPr>
                <w:color w:val="auto"/>
              </w:rPr>
              <w:t>矿山开拓运输单元</w:t>
            </w:r>
          </w:p>
        </w:tc>
      </w:tr>
      <w:tr w14:paraId="26BB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vMerge w:val="restart"/>
            <w:tcBorders>
              <w:tl2br w:val="nil"/>
              <w:tr2bl w:val="nil"/>
            </w:tcBorders>
            <w:vAlign w:val="center"/>
          </w:tcPr>
          <w:p w14:paraId="1C0C4A29">
            <w:pPr>
              <w:pStyle w:val="101"/>
              <w:spacing w:line="240" w:lineRule="auto"/>
              <w:jc w:val="center"/>
              <w:rPr>
                <w:color w:val="auto"/>
              </w:rPr>
            </w:pPr>
            <w:r>
              <w:rPr>
                <w:color w:val="auto"/>
              </w:rPr>
              <w:t>3</w:t>
            </w:r>
          </w:p>
        </w:tc>
        <w:tc>
          <w:tcPr>
            <w:tcW w:w="1576" w:type="pct"/>
            <w:vMerge w:val="restart"/>
            <w:tcBorders>
              <w:tl2br w:val="nil"/>
              <w:tr2bl w:val="nil"/>
            </w:tcBorders>
            <w:vAlign w:val="center"/>
          </w:tcPr>
          <w:p w14:paraId="1F6EFD07">
            <w:pPr>
              <w:pStyle w:val="101"/>
              <w:spacing w:line="240" w:lineRule="auto"/>
              <w:rPr>
                <w:color w:val="auto"/>
              </w:rPr>
            </w:pPr>
            <w:r>
              <w:rPr>
                <w:color w:val="auto"/>
              </w:rPr>
              <w:t>采剥单元</w:t>
            </w:r>
          </w:p>
        </w:tc>
        <w:tc>
          <w:tcPr>
            <w:tcW w:w="2380" w:type="pct"/>
            <w:tcBorders>
              <w:tl2br w:val="nil"/>
              <w:tr2bl w:val="nil"/>
            </w:tcBorders>
            <w:vAlign w:val="center"/>
          </w:tcPr>
          <w:p w14:paraId="13DBFCD3">
            <w:pPr>
              <w:pStyle w:val="101"/>
              <w:spacing w:line="240" w:lineRule="auto"/>
              <w:rPr>
                <w:color w:val="auto"/>
              </w:rPr>
            </w:pPr>
            <w:r>
              <w:rPr>
                <w:color w:val="auto"/>
              </w:rPr>
              <w:t>露天采场子单元</w:t>
            </w:r>
          </w:p>
        </w:tc>
      </w:tr>
      <w:tr w14:paraId="7DF3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vMerge w:val="continue"/>
            <w:tcBorders>
              <w:tl2br w:val="nil"/>
              <w:tr2bl w:val="nil"/>
            </w:tcBorders>
            <w:vAlign w:val="center"/>
          </w:tcPr>
          <w:p w14:paraId="68A45D1A">
            <w:pPr>
              <w:pStyle w:val="101"/>
              <w:spacing w:line="240" w:lineRule="auto"/>
              <w:jc w:val="center"/>
              <w:rPr>
                <w:color w:val="auto"/>
              </w:rPr>
            </w:pPr>
          </w:p>
        </w:tc>
        <w:tc>
          <w:tcPr>
            <w:tcW w:w="1576" w:type="pct"/>
            <w:vMerge w:val="continue"/>
            <w:tcBorders>
              <w:tl2br w:val="nil"/>
              <w:tr2bl w:val="nil"/>
            </w:tcBorders>
            <w:vAlign w:val="center"/>
          </w:tcPr>
          <w:p w14:paraId="71B10025">
            <w:pPr>
              <w:pStyle w:val="101"/>
              <w:spacing w:line="240" w:lineRule="auto"/>
              <w:rPr>
                <w:color w:val="auto"/>
              </w:rPr>
            </w:pPr>
          </w:p>
        </w:tc>
        <w:tc>
          <w:tcPr>
            <w:tcW w:w="2380" w:type="pct"/>
            <w:tcBorders>
              <w:tl2br w:val="nil"/>
              <w:tr2bl w:val="nil"/>
            </w:tcBorders>
            <w:vAlign w:val="center"/>
          </w:tcPr>
          <w:p w14:paraId="319A3560">
            <w:pPr>
              <w:pStyle w:val="101"/>
              <w:spacing w:line="240" w:lineRule="auto"/>
              <w:rPr>
                <w:color w:val="auto"/>
              </w:rPr>
            </w:pPr>
            <w:r>
              <w:rPr>
                <w:color w:val="auto"/>
              </w:rPr>
              <w:t>穿孔爆破子单元</w:t>
            </w:r>
          </w:p>
        </w:tc>
      </w:tr>
      <w:tr w14:paraId="042D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vMerge w:val="continue"/>
            <w:tcBorders>
              <w:tl2br w:val="nil"/>
              <w:tr2bl w:val="nil"/>
            </w:tcBorders>
            <w:vAlign w:val="center"/>
          </w:tcPr>
          <w:p w14:paraId="69D92948">
            <w:pPr>
              <w:pStyle w:val="101"/>
              <w:spacing w:line="240" w:lineRule="auto"/>
              <w:jc w:val="center"/>
              <w:rPr>
                <w:color w:val="auto"/>
              </w:rPr>
            </w:pPr>
          </w:p>
        </w:tc>
        <w:tc>
          <w:tcPr>
            <w:tcW w:w="1576" w:type="pct"/>
            <w:vMerge w:val="continue"/>
            <w:tcBorders>
              <w:tl2br w:val="nil"/>
              <w:tr2bl w:val="nil"/>
            </w:tcBorders>
            <w:vAlign w:val="center"/>
          </w:tcPr>
          <w:p w14:paraId="63DD5775">
            <w:pPr>
              <w:pStyle w:val="101"/>
              <w:spacing w:line="240" w:lineRule="auto"/>
              <w:rPr>
                <w:color w:val="auto"/>
              </w:rPr>
            </w:pPr>
          </w:p>
        </w:tc>
        <w:tc>
          <w:tcPr>
            <w:tcW w:w="2380" w:type="pct"/>
            <w:tcBorders>
              <w:tl2br w:val="nil"/>
              <w:tr2bl w:val="nil"/>
            </w:tcBorders>
            <w:vAlign w:val="center"/>
          </w:tcPr>
          <w:p w14:paraId="61131EF6">
            <w:pPr>
              <w:pStyle w:val="101"/>
              <w:spacing w:line="240" w:lineRule="auto"/>
              <w:rPr>
                <w:color w:val="auto"/>
              </w:rPr>
            </w:pPr>
            <w:r>
              <w:rPr>
                <w:color w:val="auto"/>
              </w:rPr>
              <w:t>铲装作业子单元</w:t>
            </w:r>
          </w:p>
        </w:tc>
      </w:tr>
      <w:tr w14:paraId="5C07D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tcBorders>
              <w:tl2br w:val="nil"/>
              <w:tr2bl w:val="nil"/>
            </w:tcBorders>
            <w:vAlign w:val="center"/>
          </w:tcPr>
          <w:p w14:paraId="3650E6E4">
            <w:pPr>
              <w:pStyle w:val="101"/>
              <w:spacing w:line="240" w:lineRule="auto"/>
              <w:jc w:val="center"/>
              <w:rPr>
                <w:color w:val="auto"/>
              </w:rPr>
            </w:pPr>
            <w:r>
              <w:rPr>
                <w:color w:val="auto"/>
              </w:rPr>
              <w:t>4</w:t>
            </w:r>
          </w:p>
        </w:tc>
        <w:tc>
          <w:tcPr>
            <w:tcW w:w="3957" w:type="pct"/>
            <w:gridSpan w:val="2"/>
            <w:tcBorders>
              <w:tl2br w:val="nil"/>
              <w:tr2bl w:val="nil"/>
            </w:tcBorders>
            <w:vAlign w:val="center"/>
          </w:tcPr>
          <w:p w14:paraId="79574621">
            <w:pPr>
              <w:pStyle w:val="101"/>
              <w:spacing w:line="240" w:lineRule="auto"/>
              <w:rPr>
                <w:color w:val="auto"/>
              </w:rPr>
            </w:pPr>
            <w:r>
              <w:rPr>
                <w:color w:val="auto"/>
              </w:rPr>
              <w:t>矿山供配电设施单元</w:t>
            </w:r>
          </w:p>
        </w:tc>
      </w:tr>
      <w:tr w14:paraId="0B5B0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tcBorders>
              <w:tl2br w:val="nil"/>
              <w:tr2bl w:val="nil"/>
            </w:tcBorders>
            <w:vAlign w:val="center"/>
          </w:tcPr>
          <w:p w14:paraId="6F0C90A1">
            <w:pPr>
              <w:pStyle w:val="101"/>
              <w:spacing w:line="240" w:lineRule="auto"/>
              <w:jc w:val="center"/>
              <w:rPr>
                <w:color w:val="auto"/>
              </w:rPr>
            </w:pPr>
            <w:r>
              <w:rPr>
                <w:color w:val="auto"/>
              </w:rPr>
              <w:t>5</w:t>
            </w:r>
          </w:p>
        </w:tc>
        <w:tc>
          <w:tcPr>
            <w:tcW w:w="3957" w:type="pct"/>
            <w:gridSpan w:val="2"/>
            <w:tcBorders>
              <w:tl2br w:val="nil"/>
              <w:tr2bl w:val="nil"/>
            </w:tcBorders>
            <w:vAlign w:val="center"/>
          </w:tcPr>
          <w:p w14:paraId="0D0D20F5">
            <w:pPr>
              <w:pStyle w:val="101"/>
              <w:spacing w:line="240" w:lineRule="auto"/>
              <w:rPr>
                <w:color w:val="auto"/>
              </w:rPr>
            </w:pPr>
            <w:r>
              <w:rPr>
                <w:color w:val="auto"/>
              </w:rPr>
              <w:t>防排水单元</w:t>
            </w:r>
          </w:p>
        </w:tc>
      </w:tr>
      <w:tr w14:paraId="16F1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tcBorders>
              <w:tl2br w:val="nil"/>
              <w:tr2bl w:val="nil"/>
            </w:tcBorders>
            <w:vAlign w:val="center"/>
          </w:tcPr>
          <w:p w14:paraId="179050E7">
            <w:pPr>
              <w:pStyle w:val="101"/>
              <w:spacing w:line="240" w:lineRule="auto"/>
              <w:jc w:val="center"/>
              <w:rPr>
                <w:color w:val="auto"/>
              </w:rPr>
            </w:pPr>
            <w:r>
              <w:rPr>
                <w:rFonts w:hint="eastAsia"/>
                <w:color w:val="auto"/>
              </w:rPr>
              <w:t>6</w:t>
            </w:r>
          </w:p>
        </w:tc>
        <w:tc>
          <w:tcPr>
            <w:tcW w:w="3957" w:type="pct"/>
            <w:gridSpan w:val="2"/>
            <w:tcBorders>
              <w:tl2br w:val="nil"/>
              <w:tr2bl w:val="nil"/>
            </w:tcBorders>
            <w:vAlign w:val="center"/>
          </w:tcPr>
          <w:p w14:paraId="1AEAA988">
            <w:pPr>
              <w:pStyle w:val="101"/>
              <w:spacing w:line="240" w:lineRule="auto"/>
              <w:rPr>
                <w:color w:val="auto"/>
              </w:rPr>
            </w:pPr>
            <w:r>
              <w:rPr>
                <w:rFonts w:hint="eastAsia" w:cs="宋体"/>
                <w:color w:val="auto"/>
              </w:rPr>
              <w:t>破碎系统单元</w:t>
            </w:r>
          </w:p>
        </w:tc>
      </w:tr>
      <w:tr w14:paraId="6DB8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tcBorders>
              <w:tl2br w:val="nil"/>
              <w:tr2bl w:val="nil"/>
            </w:tcBorders>
            <w:vAlign w:val="center"/>
          </w:tcPr>
          <w:p w14:paraId="4F83832D">
            <w:pPr>
              <w:pStyle w:val="101"/>
              <w:spacing w:line="240" w:lineRule="auto"/>
              <w:jc w:val="center"/>
              <w:rPr>
                <w:color w:val="auto"/>
              </w:rPr>
            </w:pPr>
            <w:r>
              <w:rPr>
                <w:rFonts w:hint="eastAsia"/>
                <w:color w:val="auto"/>
              </w:rPr>
              <w:t>7</w:t>
            </w:r>
          </w:p>
        </w:tc>
        <w:tc>
          <w:tcPr>
            <w:tcW w:w="3957" w:type="pct"/>
            <w:gridSpan w:val="2"/>
            <w:tcBorders>
              <w:tl2br w:val="nil"/>
              <w:tr2bl w:val="nil"/>
            </w:tcBorders>
            <w:vAlign w:val="center"/>
          </w:tcPr>
          <w:p w14:paraId="472754DF">
            <w:pPr>
              <w:pStyle w:val="101"/>
              <w:spacing w:line="240" w:lineRule="auto"/>
              <w:rPr>
                <w:rFonts w:cs="宋体"/>
                <w:color w:val="auto"/>
              </w:rPr>
            </w:pPr>
            <w:r>
              <w:rPr>
                <w:rFonts w:hint="eastAsia" w:cs="宋体"/>
                <w:color w:val="auto"/>
              </w:rPr>
              <w:t>排土场单元</w:t>
            </w:r>
          </w:p>
        </w:tc>
      </w:tr>
      <w:tr w14:paraId="2AA1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tcBorders>
              <w:tl2br w:val="nil"/>
              <w:tr2bl w:val="nil"/>
            </w:tcBorders>
            <w:vAlign w:val="center"/>
          </w:tcPr>
          <w:p w14:paraId="5308F105">
            <w:pPr>
              <w:pStyle w:val="101"/>
              <w:spacing w:line="240" w:lineRule="auto"/>
              <w:jc w:val="center"/>
              <w:rPr>
                <w:color w:val="auto"/>
              </w:rPr>
            </w:pPr>
            <w:r>
              <w:rPr>
                <w:rFonts w:hint="eastAsia"/>
                <w:color w:val="auto"/>
              </w:rPr>
              <w:t>8</w:t>
            </w:r>
          </w:p>
        </w:tc>
        <w:tc>
          <w:tcPr>
            <w:tcW w:w="3957" w:type="pct"/>
            <w:gridSpan w:val="2"/>
            <w:tcBorders>
              <w:tl2br w:val="nil"/>
              <w:tr2bl w:val="nil"/>
            </w:tcBorders>
            <w:vAlign w:val="center"/>
          </w:tcPr>
          <w:p w14:paraId="53A5506B">
            <w:pPr>
              <w:pStyle w:val="101"/>
              <w:spacing w:line="240" w:lineRule="auto"/>
              <w:rPr>
                <w:color w:val="auto"/>
              </w:rPr>
            </w:pPr>
            <w:r>
              <w:rPr>
                <w:rFonts w:cs="Times New Roman"/>
                <w:color w:val="auto"/>
              </w:rPr>
              <w:t>安全管理单元</w:t>
            </w:r>
          </w:p>
        </w:tc>
      </w:tr>
      <w:tr w14:paraId="6BF1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42" w:type="pct"/>
            <w:tcBorders>
              <w:tl2br w:val="nil"/>
              <w:tr2bl w:val="nil"/>
            </w:tcBorders>
            <w:vAlign w:val="center"/>
          </w:tcPr>
          <w:p w14:paraId="1639C7E8">
            <w:pPr>
              <w:pStyle w:val="101"/>
              <w:spacing w:line="240" w:lineRule="auto"/>
              <w:jc w:val="center"/>
              <w:rPr>
                <w:color w:val="auto"/>
              </w:rPr>
            </w:pPr>
            <w:r>
              <w:rPr>
                <w:rFonts w:hint="eastAsia"/>
                <w:color w:val="auto"/>
              </w:rPr>
              <w:t>9</w:t>
            </w:r>
          </w:p>
        </w:tc>
        <w:tc>
          <w:tcPr>
            <w:tcW w:w="3957" w:type="pct"/>
            <w:gridSpan w:val="2"/>
            <w:tcBorders>
              <w:tl2br w:val="nil"/>
              <w:tr2bl w:val="nil"/>
            </w:tcBorders>
            <w:vAlign w:val="center"/>
          </w:tcPr>
          <w:p w14:paraId="7CCEA3EB">
            <w:pPr>
              <w:pStyle w:val="101"/>
              <w:spacing w:line="240" w:lineRule="auto"/>
              <w:rPr>
                <w:color w:val="auto"/>
              </w:rPr>
            </w:pPr>
            <w:r>
              <w:rPr>
                <w:rFonts w:hint="eastAsia"/>
                <w:color w:val="auto"/>
              </w:rPr>
              <w:t>重大危险源辨识单元</w:t>
            </w:r>
          </w:p>
        </w:tc>
      </w:tr>
    </w:tbl>
    <w:p w14:paraId="0BA47F57">
      <w:pPr>
        <w:pStyle w:val="66"/>
        <w:spacing w:line="240" w:lineRule="auto"/>
        <w:ind w:firstLine="420"/>
        <w:rPr>
          <w:color w:val="auto"/>
          <w:sz w:val="21"/>
          <w:szCs w:val="21"/>
        </w:rPr>
      </w:pPr>
    </w:p>
    <w:p w14:paraId="396ED11F">
      <w:pPr>
        <w:pStyle w:val="5"/>
        <w:keepNext/>
        <w:keepLines/>
        <w:snapToGrid w:val="0"/>
        <w:spacing w:line="360" w:lineRule="auto"/>
        <w:ind w:firstLine="562" w:firstLineChars="200"/>
        <w:jc w:val="left"/>
        <w:rPr>
          <w:rFonts w:cs="Times New Roman"/>
          <w:b/>
          <w:color w:val="auto"/>
          <w:sz w:val="28"/>
          <w:szCs w:val="32"/>
          <w:lang w:val="en-GB"/>
        </w:rPr>
      </w:pPr>
      <w:bookmarkStart w:id="265" w:name="_Toc22913"/>
      <w:bookmarkStart w:id="266" w:name="_Toc23115"/>
      <w:bookmarkStart w:id="267" w:name="_Toc10765"/>
      <w:r>
        <w:rPr>
          <w:rFonts w:hint="eastAsia" w:cs="Times New Roman"/>
          <w:b/>
          <w:color w:val="auto"/>
          <w:sz w:val="28"/>
          <w:szCs w:val="32"/>
          <w:lang w:val="en-GB"/>
        </w:rPr>
        <w:t>3.1.2评价方法</w:t>
      </w:r>
      <w:bookmarkEnd w:id="253"/>
      <w:bookmarkEnd w:id="254"/>
      <w:bookmarkEnd w:id="255"/>
      <w:bookmarkEnd w:id="256"/>
      <w:r>
        <w:rPr>
          <w:rFonts w:hint="eastAsia" w:cs="Times New Roman"/>
          <w:b/>
          <w:color w:val="auto"/>
          <w:sz w:val="28"/>
          <w:szCs w:val="32"/>
          <w:lang w:val="en-GB"/>
        </w:rPr>
        <w:t>选择</w:t>
      </w:r>
      <w:bookmarkEnd w:id="257"/>
      <w:bookmarkEnd w:id="258"/>
      <w:bookmarkEnd w:id="265"/>
      <w:bookmarkEnd w:id="266"/>
      <w:bookmarkEnd w:id="267"/>
    </w:p>
    <w:p w14:paraId="50FF8EDF">
      <w:pPr>
        <w:pStyle w:val="66"/>
        <w:ind w:firstLine="560"/>
        <w:rPr>
          <w:color w:val="auto"/>
        </w:rPr>
      </w:pPr>
      <w:r>
        <w:rPr>
          <w:rFonts w:hint="eastAsia"/>
          <w:color w:val="auto"/>
        </w:rPr>
        <w:t>根据该项目的生产工艺特点、危险有害因素的类型及评价目的，本次安全预评价主要采用安全检查表法、预先危险性分析法、事故树分析、作业条件危险性评价法（LEC评价法）、专家法等评价方法。各单元评价方法见表3.</w:t>
      </w:r>
      <w:r>
        <w:rPr>
          <w:color w:val="auto"/>
        </w:rPr>
        <w:t>1</w:t>
      </w:r>
      <w:r>
        <w:rPr>
          <w:rFonts w:hint="eastAsia"/>
          <w:color w:val="auto"/>
        </w:rPr>
        <w:t>-2。</w:t>
      </w:r>
    </w:p>
    <w:p w14:paraId="48B919AE">
      <w:pPr>
        <w:snapToGrid w:val="0"/>
        <w:spacing w:line="360" w:lineRule="auto"/>
        <w:jc w:val="center"/>
        <w:rPr>
          <w:rFonts w:cs="Times New Roman"/>
          <w:bCs/>
          <w:color w:val="auto"/>
        </w:rPr>
      </w:pPr>
      <w:r>
        <w:rPr>
          <w:rFonts w:hint="eastAsia" w:cs="Times New Roman"/>
          <w:bCs/>
          <w:color w:val="auto"/>
          <w:lang w:eastAsia="zh-TW"/>
        </w:rPr>
        <w:t>表3</w:t>
      </w:r>
      <w:r>
        <w:rPr>
          <w:rFonts w:hint="eastAsia" w:cs="Times New Roman"/>
          <w:bCs/>
          <w:color w:val="auto"/>
        </w:rPr>
        <w:t>.1-</w:t>
      </w:r>
      <w:r>
        <w:rPr>
          <w:rFonts w:hint="eastAsia" w:cs="Times New Roman"/>
          <w:bCs/>
          <w:color w:val="auto"/>
          <w:lang w:eastAsia="zh-TW"/>
        </w:rPr>
        <w:t>2  各单元评价方法选择汇总</w:t>
      </w:r>
      <w:r>
        <w:rPr>
          <w:rFonts w:hint="eastAsia" w:cs="Times New Roman"/>
          <w:bCs/>
          <w:color w:val="auto"/>
        </w:rPr>
        <w:t>表</w:t>
      </w:r>
    </w:p>
    <w:tbl>
      <w:tblPr>
        <w:tblStyle w:val="4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2291"/>
        <w:gridCol w:w="1835"/>
        <w:gridCol w:w="4577"/>
      </w:tblGrid>
      <w:tr w14:paraId="2AB6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blHeader/>
          <w:jc w:val="center"/>
        </w:trPr>
        <w:tc>
          <w:tcPr>
            <w:tcW w:w="369" w:type="pct"/>
            <w:tcBorders>
              <w:tl2br w:val="nil"/>
              <w:tr2bl w:val="nil"/>
            </w:tcBorders>
            <w:vAlign w:val="center"/>
          </w:tcPr>
          <w:p w14:paraId="6E944970">
            <w:pPr>
              <w:jc w:val="center"/>
              <w:rPr>
                <w:rFonts w:cs="宋体"/>
                <w:b/>
                <w:bCs/>
                <w:color w:val="auto"/>
              </w:rPr>
            </w:pPr>
            <w:r>
              <w:rPr>
                <w:rFonts w:hint="eastAsia" w:cs="宋体"/>
                <w:b/>
                <w:bCs/>
                <w:color w:val="auto"/>
              </w:rPr>
              <w:t>序号</w:t>
            </w:r>
          </w:p>
        </w:tc>
        <w:tc>
          <w:tcPr>
            <w:tcW w:w="2195" w:type="pct"/>
            <w:gridSpan w:val="2"/>
            <w:tcBorders>
              <w:tl2br w:val="nil"/>
              <w:tr2bl w:val="nil"/>
            </w:tcBorders>
            <w:vAlign w:val="center"/>
          </w:tcPr>
          <w:p w14:paraId="62A3549E">
            <w:pPr>
              <w:jc w:val="center"/>
              <w:rPr>
                <w:rFonts w:cs="宋体"/>
                <w:b/>
                <w:bCs/>
                <w:color w:val="auto"/>
              </w:rPr>
            </w:pPr>
            <w:r>
              <w:rPr>
                <w:rFonts w:hint="eastAsia" w:cs="宋体"/>
                <w:b/>
                <w:bCs/>
                <w:color w:val="auto"/>
              </w:rPr>
              <w:t>评价单元</w:t>
            </w:r>
          </w:p>
        </w:tc>
        <w:tc>
          <w:tcPr>
            <w:tcW w:w="2435" w:type="pct"/>
            <w:tcBorders>
              <w:tl2br w:val="nil"/>
              <w:tr2bl w:val="nil"/>
            </w:tcBorders>
            <w:vAlign w:val="center"/>
          </w:tcPr>
          <w:p w14:paraId="2D83BA54">
            <w:pPr>
              <w:jc w:val="center"/>
              <w:rPr>
                <w:rFonts w:cs="宋体"/>
                <w:b/>
                <w:bCs/>
                <w:color w:val="auto"/>
              </w:rPr>
            </w:pPr>
            <w:r>
              <w:rPr>
                <w:rFonts w:hint="eastAsia" w:cs="宋体"/>
                <w:b/>
                <w:bCs/>
                <w:color w:val="auto"/>
              </w:rPr>
              <w:t>评价方法选择</w:t>
            </w:r>
          </w:p>
        </w:tc>
      </w:tr>
      <w:tr w14:paraId="2FDD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39736C16">
            <w:pPr>
              <w:jc w:val="center"/>
              <w:rPr>
                <w:rFonts w:cs="宋体"/>
                <w:color w:val="auto"/>
              </w:rPr>
            </w:pPr>
            <w:r>
              <w:rPr>
                <w:rFonts w:hint="eastAsia" w:cs="宋体"/>
                <w:color w:val="auto"/>
              </w:rPr>
              <w:t>1</w:t>
            </w:r>
          </w:p>
        </w:tc>
        <w:tc>
          <w:tcPr>
            <w:tcW w:w="1219" w:type="pct"/>
            <w:tcBorders>
              <w:tl2br w:val="nil"/>
              <w:tr2bl w:val="nil"/>
            </w:tcBorders>
            <w:vAlign w:val="center"/>
          </w:tcPr>
          <w:p w14:paraId="5F16F0B7">
            <w:pPr>
              <w:jc w:val="center"/>
              <w:rPr>
                <w:rFonts w:cs="宋体"/>
                <w:color w:val="auto"/>
              </w:rPr>
            </w:pPr>
            <w:r>
              <w:rPr>
                <w:rFonts w:hint="eastAsia" w:cs="宋体"/>
                <w:color w:val="auto"/>
              </w:rPr>
              <w:t>总平面布置单元</w:t>
            </w:r>
          </w:p>
        </w:tc>
        <w:tc>
          <w:tcPr>
            <w:tcW w:w="976" w:type="pct"/>
            <w:tcBorders>
              <w:tl2br w:val="nil"/>
              <w:tr2bl w:val="nil"/>
            </w:tcBorders>
            <w:vAlign w:val="center"/>
          </w:tcPr>
          <w:p w14:paraId="374BF938">
            <w:pPr>
              <w:jc w:val="center"/>
              <w:rPr>
                <w:color w:val="auto"/>
              </w:rPr>
            </w:pPr>
          </w:p>
        </w:tc>
        <w:tc>
          <w:tcPr>
            <w:tcW w:w="2435" w:type="pct"/>
            <w:tcBorders>
              <w:tl2br w:val="nil"/>
              <w:tr2bl w:val="nil"/>
            </w:tcBorders>
            <w:vAlign w:val="center"/>
          </w:tcPr>
          <w:p w14:paraId="56C856B2">
            <w:pPr>
              <w:jc w:val="center"/>
              <w:rPr>
                <w:rFonts w:cs="宋体"/>
                <w:color w:val="auto"/>
              </w:rPr>
            </w:pPr>
            <w:r>
              <w:rPr>
                <w:rFonts w:hint="eastAsia"/>
                <w:color w:val="auto"/>
              </w:rPr>
              <w:t>预先危险性分析、安全检查表</w:t>
            </w:r>
          </w:p>
        </w:tc>
      </w:tr>
      <w:tr w14:paraId="303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0D581CD6">
            <w:pPr>
              <w:jc w:val="center"/>
              <w:rPr>
                <w:rFonts w:cs="宋体"/>
                <w:color w:val="auto"/>
              </w:rPr>
            </w:pPr>
            <w:r>
              <w:rPr>
                <w:rFonts w:hint="eastAsia" w:cs="宋体"/>
                <w:color w:val="auto"/>
              </w:rPr>
              <w:t>2</w:t>
            </w:r>
          </w:p>
        </w:tc>
        <w:tc>
          <w:tcPr>
            <w:tcW w:w="1219" w:type="pct"/>
            <w:tcBorders>
              <w:tl2br w:val="nil"/>
              <w:tr2bl w:val="nil"/>
            </w:tcBorders>
            <w:vAlign w:val="center"/>
          </w:tcPr>
          <w:p w14:paraId="35704A9F">
            <w:pPr>
              <w:jc w:val="center"/>
              <w:rPr>
                <w:rFonts w:cs="宋体"/>
                <w:color w:val="auto"/>
              </w:rPr>
            </w:pPr>
            <w:r>
              <w:rPr>
                <w:rFonts w:hint="eastAsia" w:cs="宋体"/>
                <w:color w:val="auto"/>
              </w:rPr>
              <w:t>开拓运输単元</w:t>
            </w:r>
          </w:p>
        </w:tc>
        <w:tc>
          <w:tcPr>
            <w:tcW w:w="976" w:type="pct"/>
            <w:tcBorders>
              <w:tl2br w:val="nil"/>
              <w:tr2bl w:val="nil"/>
            </w:tcBorders>
            <w:vAlign w:val="center"/>
          </w:tcPr>
          <w:p w14:paraId="276F42FB">
            <w:pPr>
              <w:jc w:val="center"/>
              <w:rPr>
                <w:color w:val="auto"/>
              </w:rPr>
            </w:pPr>
          </w:p>
        </w:tc>
        <w:tc>
          <w:tcPr>
            <w:tcW w:w="2435" w:type="pct"/>
            <w:tcBorders>
              <w:tl2br w:val="nil"/>
              <w:tr2bl w:val="nil"/>
            </w:tcBorders>
            <w:vAlign w:val="center"/>
          </w:tcPr>
          <w:p w14:paraId="166E0177">
            <w:pPr>
              <w:jc w:val="center"/>
              <w:rPr>
                <w:rFonts w:cs="宋体"/>
                <w:color w:val="auto"/>
              </w:rPr>
            </w:pPr>
            <w:r>
              <w:rPr>
                <w:rFonts w:hint="eastAsia"/>
                <w:color w:val="auto"/>
              </w:rPr>
              <w:t>预先危险性分析、安全检查表</w:t>
            </w:r>
          </w:p>
        </w:tc>
      </w:tr>
      <w:tr w14:paraId="2ADE8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vMerge w:val="restart"/>
            <w:tcBorders>
              <w:tl2br w:val="nil"/>
              <w:tr2bl w:val="nil"/>
            </w:tcBorders>
            <w:vAlign w:val="center"/>
          </w:tcPr>
          <w:p w14:paraId="0FA5CA96">
            <w:pPr>
              <w:jc w:val="center"/>
              <w:rPr>
                <w:rFonts w:cs="宋体"/>
                <w:color w:val="auto"/>
              </w:rPr>
            </w:pPr>
            <w:r>
              <w:rPr>
                <w:rFonts w:hint="eastAsia" w:cs="宋体"/>
                <w:color w:val="auto"/>
              </w:rPr>
              <w:t>3</w:t>
            </w:r>
          </w:p>
        </w:tc>
        <w:tc>
          <w:tcPr>
            <w:tcW w:w="1219" w:type="pct"/>
            <w:vMerge w:val="restart"/>
            <w:tcBorders>
              <w:tl2br w:val="nil"/>
              <w:tr2bl w:val="nil"/>
            </w:tcBorders>
            <w:vAlign w:val="center"/>
          </w:tcPr>
          <w:p w14:paraId="65C0B9A0">
            <w:pPr>
              <w:jc w:val="center"/>
              <w:rPr>
                <w:rFonts w:cs="宋体"/>
                <w:color w:val="auto"/>
              </w:rPr>
            </w:pPr>
            <w:r>
              <w:rPr>
                <w:rFonts w:hint="eastAsia" w:cs="宋体"/>
                <w:color w:val="auto"/>
              </w:rPr>
              <w:t>采剥单元</w:t>
            </w:r>
          </w:p>
        </w:tc>
        <w:tc>
          <w:tcPr>
            <w:tcW w:w="976" w:type="pct"/>
            <w:tcBorders>
              <w:tl2br w:val="nil"/>
              <w:tr2bl w:val="nil"/>
            </w:tcBorders>
            <w:vAlign w:val="center"/>
          </w:tcPr>
          <w:p w14:paraId="29BB3C8A">
            <w:pPr>
              <w:pStyle w:val="101"/>
              <w:spacing w:line="240" w:lineRule="auto"/>
              <w:rPr>
                <w:color w:val="auto"/>
              </w:rPr>
            </w:pPr>
            <w:r>
              <w:rPr>
                <w:color w:val="auto"/>
              </w:rPr>
              <w:t>露天采场子单元</w:t>
            </w:r>
          </w:p>
        </w:tc>
        <w:tc>
          <w:tcPr>
            <w:tcW w:w="2435" w:type="pct"/>
            <w:tcBorders>
              <w:tl2br w:val="nil"/>
              <w:tr2bl w:val="nil"/>
            </w:tcBorders>
            <w:vAlign w:val="center"/>
          </w:tcPr>
          <w:p w14:paraId="0D5F7084">
            <w:pPr>
              <w:jc w:val="center"/>
              <w:rPr>
                <w:color w:val="auto"/>
              </w:rPr>
            </w:pPr>
            <w:r>
              <w:rPr>
                <w:rFonts w:hint="eastAsia"/>
                <w:color w:val="auto"/>
              </w:rPr>
              <w:t>事故树分析、预先危险性分析、安全检查表</w:t>
            </w:r>
          </w:p>
        </w:tc>
      </w:tr>
      <w:tr w14:paraId="0ED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vMerge w:val="continue"/>
            <w:tcBorders>
              <w:tl2br w:val="nil"/>
              <w:tr2bl w:val="nil"/>
            </w:tcBorders>
            <w:vAlign w:val="center"/>
          </w:tcPr>
          <w:p w14:paraId="7BE36293">
            <w:pPr>
              <w:jc w:val="center"/>
              <w:rPr>
                <w:rFonts w:cs="宋体"/>
                <w:color w:val="auto"/>
              </w:rPr>
            </w:pPr>
          </w:p>
        </w:tc>
        <w:tc>
          <w:tcPr>
            <w:tcW w:w="1219" w:type="pct"/>
            <w:vMerge w:val="continue"/>
            <w:tcBorders>
              <w:tl2br w:val="nil"/>
              <w:tr2bl w:val="nil"/>
            </w:tcBorders>
            <w:vAlign w:val="center"/>
          </w:tcPr>
          <w:p w14:paraId="74C6496F">
            <w:pPr>
              <w:jc w:val="center"/>
              <w:rPr>
                <w:rFonts w:cs="宋体"/>
                <w:color w:val="auto"/>
              </w:rPr>
            </w:pPr>
          </w:p>
        </w:tc>
        <w:tc>
          <w:tcPr>
            <w:tcW w:w="976" w:type="pct"/>
            <w:tcBorders>
              <w:tl2br w:val="nil"/>
              <w:tr2bl w:val="nil"/>
            </w:tcBorders>
            <w:vAlign w:val="center"/>
          </w:tcPr>
          <w:p w14:paraId="02490C81">
            <w:pPr>
              <w:pStyle w:val="101"/>
              <w:spacing w:line="240" w:lineRule="auto"/>
              <w:rPr>
                <w:color w:val="auto"/>
              </w:rPr>
            </w:pPr>
            <w:r>
              <w:rPr>
                <w:color w:val="auto"/>
              </w:rPr>
              <w:t>穿孔爆破子单元</w:t>
            </w:r>
          </w:p>
        </w:tc>
        <w:tc>
          <w:tcPr>
            <w:tcW w:w="2435" w:type="pct"/>
            <w:tcBorders>
              <w:tl2br w:val="nil"/>
              <w:tr2bl w:val="nil"/>
            </w:tcBorders>
            <w:vAlign w:val="center"/>
          </w:tcPr>
          <w:p w14:paraId="2E393E61">
            <w:pPr>
              <w:jc w:val="center"/>
              <w:rPr>
                <w:color w:val="auto"/>
              </w:rPr>
            </w:pPr>
            <w:r>
              <w:rPr>
                <w:rFonts w:hint="eastAsia"/>
                <w:color w:val="auto"/>
              </w:rPr>
              <w:t>预先危险性分析、事故树分析</w:t>
            </w:r>
          </w:p>
        </w:tc>
      </w:tr>
      <w:tr w14:paraId="0216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vMerge w:val="continue"/>
            <w:tcBorders>
              <w:tl2br w:val="nil"/>
              <w:tr2bl w:val="nil"/>
            </w:tcBorders>
            <w:vAlign w:val="center"/>
          </w:tcPr>
          <w:p w14:paraId="51A77346">
            <w:pPr>
              <w:jc w:val="center"/>
              <w:rPr>
                <w:rFonts w:cs="宋体"/>
                <w:color w:val="auto"/>
              </w:rPr>
            </w:pPr>
          </w:p>
        </w:tc>
        <w:tc>
          <w:tcPr>
            <w:tcW w:w="1219" w:type="pct"/>
            <w:vMerge w:val="continue"/>
            <w:tcBorders>
              <w:tl2br w:val="nil"/>
              <w:tr2bl w:val="nil"/>
            </w:tcBorders>
            <w:vAlign w:val="center"/>
          </w:tcPr>
          <w:p w14:paraId="2AE5032F">
            <w:pPr>
              <w:jc w:val="center"/>
              <w:rPr>
                <w:rFonts w:cs="宋体"/>
                <w:color w:val="auto"/>
              </w:rPr>
            </w:pPr>
          </w:p>
        </w:tc>
        <w:tc>
          <w:tcPr>
            <w:tcW w:w="976" w:type="pct"/>
            <w:tcBorders>
              <w:tl2br w:val="nil"/>
              <w:tr2bl w:val="nil"/>
            </w:tcBorders>
            <w:vAlign w:val="center"/>
          </w:tcPr>
          <w:p w14:paraId="3FC5E5AB">
            <w:pPr>
              <w:pStyle w:val="101"/>
              <w:spacing w:line="240" w:lineRule="auto"/>
              <w:rPr>
                <w:color w:val="auto"/>
              </w:rPr>
            </w:pPr>
            <w:r>
              <w:rPr>
                <w:color w:val="auto"/>
              </w:rPr>
              <w:t>铲装作业子单元</w:t>
            </w:r>
          </w:p>
        </w:tc>
        <w:tc>
          <w:tcPr>
            <w:tcW w:w="2435" w:type="pct"/>
            <w:tcBorders>
              <w:tl2br w:val="nil"/>
              <w:tr2bl w:val="nil"/>
            </w:tcBorders>
            <w:vAlign w:val="center"/>
          </w:tcPr>
          <w:p w14:paraId="70BA2C70">
            <w:pPr>
              <w:jc w:val="center"/>
              <w:rPr>
                <w:color w:val="auto"/>
              </w:rPr>
            </w:pPr>
            <w:r>
              <w:rPr>
                <w:rFonts w:hint="eastAsia"/>
                <w:color w:val="auto"/>
              </w:rPr>
              <w:t>预先危险性分析</w:t>
            </w:r>
          </w:p>
        </w:tc>
      </w:tr>
      <w:tr w14:paraId="1506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6DC6A83A">
            <w:pPr>
              <w:jc w:val="center"/>
              <w:rPr>
                <w:rFonts w:cs="宋体"/>
                <w:color w:val="auto"/>
              </w:rPr>
            </w:pPr>
            <w:r>
              <w:rPr>
                <w:rFonts w:hint="eastAsia" w:cs="宋体"/>
                <w:color w:val="auto"/>
              </w:rPr>
              <w:t>4</w:t>
            </w:r>
          </w:p>
        </w:tc>
        <w:tc>
          <w:tcPr>
            <w:tcW w:w="1219" w:type="pct"/>
            <w:tcBorders>
              <w:tl2br w:val="nil"/>
              <w:tr2bl w:val="nil"/>
            </w:tcBorders>
            <w:vAlign w:val="center"/>
          </w:tcPr>
          <w:p w14:paraId="4F79E19A">
            <w:pPr>
              <w:jc w:val="center"/>
              <w:rPr>
                <w:rFonts w:cs="宋体"/>
                <w:color w:val="auto"/>
              </w:rPr>
            </w:pPr>
            <w:r>
              <w:rPr>
                <w:rFonts w:hint="eastAsia" w:cs="宋体"/>
                <w:color w:val="auto"/>
              </w:rPr>
              <w:t>矿山供配电单元</w:t>
            </w:r>
          </w:p>
        </w:tc>
        <w:tc>
          <w:tcPr>
            <w:tcW w:w="976" w:type="pct"/>
            <w:tcBorders>
              <w:tl2br w:val="nil"/>
              <w:tr2bl w:val="nil"/>
            </w:tcBorders>
            <w:vAlign w:val="center"/>
          </w:tcPr>
          <w:p w14:paraId="442185FA">
            <w:pPr>
              <w:jc w:val="center"/>
              <w:rPr>
                <w:color w:val="auto"/>
              </w:rPr>
            </w:pPr>
          </w:p>
        </w:tc>
        <w:tc>
          <w:tcPr>
            <w:tcW w:w="2435" w:type="pct"/>
            <w:tcBorders>
              <w:tl2br w:val="nil"/>
              <w:tr2bl w:val="nil"/>
            </w:tcBorders>
            <w:vAlign w:val="center"/>
          </w:tcPr>
          <w:p w14:paraId="5A05E8F3">
            <w:pPr>
              <w:jc w:val="center"/>
              <w:rPr>
                <w:rFonts w:cs="宋体"/>
                <w:color w:val="auto"/>
              </w:rPr>
            </w:pPr>
            <w:r>
              <w:rPr>
                <w:rFonts w:hint="eastAsia"/>
                <w:color w:val="auto"/>
              </w:rPr>
              <w:t>预先危险性分析</w:t>
            </w:r>
          </w:p>
        </w:tc>
      </w:tr>
      <w:tr w14:paraId="2639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12C4DD57">
            <w:pPr>
              <w:jc w:val="center"/>
              <w:rPr>
                <w:rFonts w:cs="宋体"/>
                <w:color w:val="auto"/>
              </w:rPr>
            </w:pPr>
            <w:r>
              <w:rPr>
                <w:rFonts w:hint="eastAsia" w:cs="宋体"/>
                <w:color w:val="auto"/>
              </w:rPr>
              <w:t>5</w:t>
            </w:r>
          </w:p>
        </w:tc>
        <w:tc>
          <w:tcPr>
            <w:tcW w:w="1219" w:type="pct"/>
            <w:tcBorders>
              <w:tl2br w:val="nil"/>
              <w:tr2bl w:val="nil"/>
            </w:tcBorders>
            <w:vAlign w:val="center"/>
          </w:tcPr>
          <w:p w14:paraId="40CF6493">
            <w:pPr>
              <w:jc w:val="center"/>
              <w:rPr>
                <w:rFonts w:cs="宋体"/>
                <w:color w:val="auto"/>
              </w:rPr>
            </w:pPr>
            <w:r>
              <w:rPr>
                <w:rFonts w:hint="eastAsia" w:cs="宋体"/>
                <w:color w:val="auto"/>
              </w:rPr>
              <w:t>矿山防排水单元</w:t>
            </w:r>
          </w:p>
        </w:tc>
        <w:tc>
          <w:tcPr>
            <w:tcW w:w="976" w:type="pct"/>
            <w:tcBorders>
              <w:tl2br w:val="nil"/>
              <w:tr2bl w:val="nil"/>
            </w:tcBorders>
            <w:vAlign w:val="center"/>
          </w:tcPr>
          <w:p w14:paraId="327A6DE8">
            <w:pPr>
              <w:jc w:val="center"/>
              <w:rPr>
                <w:color w:val="auto"/>
              </w:rPr>
            </w:pPr>
          </w:p>
        </w:tc>
        <w:tc>
          <w:tcPr>
            <w:tcW w:w="2435" w:type="pct"/>
            <w:tcBorders>
              <w:tl2br w:val="nil"/>
              <w:tr2bl w:val="nil"/>
            </w:tcBorders>
            <w:vAlign w:val="center"/>
          </w:tcPr>
          <w:p w14:paraId="6A6F896B">
            <w:pPr>
              <w:jc w:val="center"/>
              <w:rPr>
                <w:rFonts w:cs="宋体"/>
                <w:color w:val="auto"/>
              </w:rPr>
            </w:pPr>
            <w:r>
              <w:rPr>
                <w:rFonts w:hint="eastAsia"/>
                <w:color w:val="auto"/>
              </w:rPr>
              <w:t>预先危险性分析、安全检查表</w:t>
            </w:r>
          </w:p>
        </w:tc>
      </w:tr>
      <w:tr w14:paraId="0372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13AD27F5">
            <w:pPr>
              <w:jc w:val="center"/>
              <w:rPr>
                <w:rFonts w:cs="宋体"/>
                <w:color w:val="auto"/>
              </w:rPr>
            </w:pPr>
            <w:r>
              <w:rPr>
                <w:rFonts w:hint="eastAsia" w:cs="宋体"/>
                <w:color w:val="auto"/>
              </w:rPr>
              <w:t>6</w:t>
            </w:r>
          </w:p>
        </w:tc>
        <w:tc>
          <w:tcPr>
            <w:tcW w:w="1219" w:type="pct"/>
            <w:tcBorders>
              <w:tl2br w:val="nil"/>
              <w:tr2bl w:val="nil"/>
            </w:tcBorders>
            <w:vAlign w:val="center"/>
          </w:tcPr>
          <w:p w14:paraId="1D3BE58B">
            <w:pPr>
              <w:jc w:val="center"/>
              <w:rPr>
                <w:rFonts w:cs="宋体"/>
                <w:color w:val="auto"/>
              </w:rPr>
            </w:pPr>
            <w:r>
              <w:rPr>
                <w:rFonts w:hint="eastAsia" w:cs="宋体"/>
                <w:color w:val="auto"/>
              </w:rPr>
              <w:t>破碎系统单元</w:t>
            </w:r>
          </w:p>
        </w:tc>
        <w:tc>
          <w:tcPr>
            <w:tcW w:w="976" w:type="pct"/>
            <w:tcBorders>
              <w:tl2br w:val="nil"/>
              <w:tr2bl w:val="nil"/>
            </w:tcBorders>
            <w:vAlign w:val="center"/>
          </w:tcPr>
          <w:p w14:paraId="35D07823">
            <w:pPr>
              <w:jc w:val="center"/>
              <w:rPr>
                <w:color w:val="auto"/>
              </w:rPr>
            </w:pPr>
          </w:p>
        </w:tc>
        <w:tc>
          <w:tcPr>
            <w:tcW w:w="2435" w:type="pct"/>
            <w:tcBorders>
              <w:tl2br w:val="nil"/>
              <w:tr2bl w:val="nil"/>
            </w:tcBorders>
            <w:vAlign w:val="center"/>
          </w:tcPr>
          <w:p w14:paraId="1E230B13">
            <w:pPr>
              <w:jc w:val="center"/>
              <w:rPr>
                <w:color w:val="auto"/>
              </w:rPr>
            </w:pPr>
            <w:r>
              <w:rPr>
                <w:rFonts w:hint="eastAsia"/>
                <w:color w:val="auto"/>
              </w:rPr>
              <w:t>预先危险性分析、LEC评价法</w:t>
            </w:r>
          </w:p>
        </w:tc>
      </w:tr>
      <w:tr w14:paraId="5316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681527A7">
            <w:pPr>
              <w:jc w:val="center"/>
              <w:rPr>
                <w:rFonts w:cs="宋体"/>
                <w:color w:val="auto"/>
              </w:rPr>
            </w:pPr>
            <w:r>
              <w:rPr>
                <w:rFonts w:cs="宋体"/>
                <w:color w:val="auto"/>
              </w:rPr>
              <w:t>7</w:t>
            </w:r>
          </w:p>
        </w:tc>
        <w:tc>
          <w:tcPr>
            <w:tcW w:w="1219" w:type="pct"/>
            <w:tcBorders>
              <w:tl2br w:val="nil"/>
              <w:tr2bl w:val="nil"/>
            </w:tcBorders>
            <w:vAlign w:val="center"/>
          </w:tcPr>
          <w:p w14:paraId="45E066AE">
            <w:pPr>
              <w:jc w:val="center"/>
              <w:rPr>
                <w:rFonts w:cs="宋体"/>
                <w:color w:val="auto"/>
              </w:rPr>
            </w:pPr>
            <w:r>
              <w:rPr>
                <w:rFonts w:hint="eastAsia" w:cs="宋体"/>
                <w:color w:val="auto"/>
              </w:rPr>
              <w:t>排土场单元</w:t>
            </w:r>
          </w:p>
        </w:tc>
        <w:tc>
          <w:tcPr>
            <w:tcW w:w="976" w:type="pct"/>
            <w:tcBorders>
              <w:tl2br w:val="nil"/>
              <w:tr2bl w:val="nil"/>
            </w:tcBorders>
            <w:vAlign w:val="center"/>
          </w:tcPr>
          <w:p w14:paraId="70C2E9AA">
            <w:pPr>
              <w:jc w:val="center"/>
              <w:rPr>
                <w:color w:val="auto"/>
              </w:rPr>
            </w:pPr>
          </w:p>
        </w:tc>
        <w:tc>
          <w:tcPr>
            <w:tcW w:w="2435" w:type="pct"/>
            <w:tcBorders>
              <w:tl2br w:val="nil"/>
              <w:tr2bl w:val="nil"/>
            </w:tcBorders>
            <w:vAlign w:val="center"/>
          </w:tcPr>
          <w:p w14:paraId="166700B6">
            <w:pPr>
              <w:jc w:val="center"/>
              <w:rPr>
                <w:color w:val="auto"/>
              </w:rPr>
            </w:pPr>
            <w:r>
              <w:rPr>
                <w:rFonts w:hint="eastAsia"/>
                <w:color w:val="auto"/>
              </w:rPr>
              <w:t>预先危险性分析</w:t>
            </w:r>
          </w:p>
        </w:tc>
      </w:tr>
      <w:tr w14:paraId="7F60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369" w:type="pct"/>
            <w:tcBorders>
              <w:tl2br w:val="nil"/>
              <w:tr2bl w:val="nil"/>
            </w:tcBorders>
            <w:vAlign w:val="center"/>
          </w:tcPr>
          <w:p w14:paraId="1753FBF5">
            <w:pPr>
              <w:jc w:val="center"/>
              <w:rPr>
                <w:rFonts w:cs="宋体"/>
                <w:color w:val="auto"/>
              </w:rPr>
            </w:pPr>
            <w:r>
              <w:rPr>
                <w:rFonts w:cs="宋体"/>
                <w:color w:val="auto"/>
              </w:rPr>
              <w:t>8</w:t>
            </w:r>
          </w:p>
        </w:tc>
        <w:tc>
          <w:tcPr>
            <w:tcW w:w="1219" w:type="pct"/>
            <w:tcBorders>
              <w:tl2br w:val="nil"/>
              <w:tr2bl w:val="nil"/>
            </w:tcBorders>
            <w:vAlign w:val="center"/>
          </w:tcPr>
          <w:p w14:paraId="7206EA63">
            <w:pPr>
              <w:jc w:val="center"/>
              <w:rPr>
                <w:rFonts w:cs="宋体"/>
                <w:color w:val="auto"/>
              </w:rPr>
            </w:pPr>
            <w:r>
              <w:rPr>
                <w:rFonts w:hint="eastAsia" w:cs="宋体"/>
                <w:color w:val="auto"/>
              </w:rPr>
              <w:t>安全管理单元</w:t>
            </w:r>
          </w:p>
        </w:tc>
        <w:tc>
          <w:tcPr>
            <w:tcW w:w="976" w:type="pct"/>
            <w:tcBorders>
              <w:tl2br w:val="nil"/>
              <w:tr2bl w:val="nil"/>
            </w:tcBorders>
            <w:vAlign w:val="center"/>
          </w:tcPr>
          <w:p w14:paraId="3BA81D27">
            <w:pPr>
              <w:jc w:val="center"/>
              <w:rPr>
                <w:color w:val="auto"/>
              </w:rPr>
            </w:pPr>
          </w:p>
        </w:tc>
        <w:tc>
          <w:tcPr>
            <w:tcW w:w="2435" w:type="pct"/>
            <w:tcBorders>
              <w:tl2br w:val="nil"/>
              <w:tr2bl w:val="nil"/>
            </w:tcBorders>
            <w:vAlign w:val="center"/>
          </w:tcPr>
          <w:p w14:paraId="5022F486">
            <w:pPr>
              <w:jc w:val="center"/>
              <w:rPr>
                <w:rFonts w:cs="宋体"/>
                <w:color w:val="auto"/>
              </w:rPr>
            </w:pPr>
            <w:r>
              <w:rPr>
                <w:rFonts w:hint="eastAsia"/>
                <w:color w:val="auto"/>
              </w:rPr>
              <w:t>预先危险性分析</w:t>
            </w:r>
          </w:p>
        </w:tc>
      </w:tr>
      <w:tr w14:paraId="0048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369" w:type="pct"/>
            <w:tcBorders>
              <w:tl2br w:val="nil"/>
              <w:tr2bl w:val="nil"/>
            </w:tcBorders>
            <w:vAlign w:val="center"/>
          </w:tcPr>
          <w:p w14:paraId="3A9EFF04">
            <w:pPr>
              <w:jc w:val="center"/>
              <w:rPr>
                <w:rFonts w:cs="宋体"/>
                <w:color w:val="auto"/>
              </w:rPr>
            </w:pPr>
            <w:r>
              <w:rPr>
                <w:rFonts w:hint="eastAsia" w:cs="宋体"/>
                <w:color w:val="auto"/>
              </w:rPr>
              <w:t>9</w:t>
            </w:r>
          </w:p>
        </w:tc>
        <w:tc>
          <w:tcPr>
            <w:tcW w:w="1219" w:type="pct"/>
            <w:tcBorders>
              <w:tl2br w:val="nil"/>
              <w:tr2bl w:val="nil"/>
            </w:tcBorders>
            <w:vAlign w:val="center"/>
          </w:tcPr>
          <w:p w14:paraId="07398E02">
            <w:pPr>
              <w:jc w:val="center"/>
              <w:rPr>
                <w:rFonts w:cs="宋体"/>
                <w:color w:val="auto"/>
              </w:rPr>
            </w:pPr>
            <w:r>
              <w:rPr>
                <w:rFonts w:hint="eastAsia" w:cs="宋体"/>
                <w:color w:val="auto"/>
              </w:rPr>
              <w:t>重大危险源辨识单元</w:t>
            </w:r>
          </w:p>
        </w:tc>
        <w:tc>
          <w:tcPr>
            <w:tcW w:w="976" w:type="pct"/>
            <w:tcBorders>
              <w:tl2br w:val="nil"/>
              <w:tr2bl w:val="nil"/>
            </w:tcBorders>
            <w:vAlign w:val="center"/>
          </w:tcPr>
          <w:p w14:paraId="02BB3DEA">
            <w:pPr>
              <w:jc w:val="center"/>
              <w:rPr>
                <w:rFonts w:cs="宋体"/>
                <w:color w:val="auto"/>
              </w:rPr>
            </w:pPr>
          </w:p>
        </w:tc>
        <w:tc>
          <w:tcPr>
            <w:tcW w:w="2435" w:type="pct"/>
            <w:tcBorders>
              <w:tl2br w:val="nil"/>
              <w:tr2bl w:val="nil"/>
            </w:tcBorders>
            <w:vAlign w:val="center"/>
          </w:tcPr>
          <w:p w14:paraId="25B18496">
            <w:pPr>
              <w:jc w:val="center"/>
              <w:rPr>
                <w:rFonts w:cs="宋体"/>
                <w:color w:val="auto"/>
              </w:rPr>
            </w:pPr>
            <w:r>
              <w:rPr>
                <w:rFonts w:hint="eastAsia" w:cs="宋体"/>
                <w:color w:val="auto"/>
              </w:rPr>
              <w:t>专家评价法</w:t>
            </w:r>
          </w:p>
        </w:tc>
      </w:tr>
    </w:tbl>
    <w:p w14:paraId="65268129">
      <w:pPr>
        <w:pStyle w:val="66"/>
        <w:spacing w:line="240" w:lineRule="auto"/>
        <w:ind w:firstLine="420"/>
        <w:rPr>
          <w:color w:val="auto"/>
          <w:sz w:val="21"/>
          <w:szCs w:val="21"/>
        </w:rPr>
      </w:pPr>
    </w:p>
    <w:p w14:paraId="602A1822">
      <w:pPr>
        <w:pStyle w:val="81"/>
        <w:numPr>
          <w:ilvl w:val="1"/>
          <w:numId w:val="0"/>
        </w:numPr>
        <w:spacing w:before="0" w:after="0"/>
        <w:jc w:val="center"/>
        <w:rPr>
          <w:rFonts w:cs="黑体"/>
          <w:color w:val="auto"/>
          <w:sz w:val="30"/>
          <w:szCs w:val="30"/>
        </w:rPr>
      </w:pPr>
      <w:bookmarkStart w:id="268" w:name="_Toc98845013"/>
      <w:bookmarkStart w:id="269" w:name="_Toc95030052"/>
      <w:bookmarkStart w:id="270" w:name="_Toc95029402"/>
      <w:bookmarkStart w:id="271" w:name="_Toc97526307"/>
      <w:bookmarkStart w:id="272" w:name="_Toc95028906"/>
      <w:bookmarkStart w:id="273" w:name="_Toc98845181"/>
      <w:bookmarkStart w:id="274" w:name="_Toc95030571"/>
      <w:bookmarkStart w:id="275" w:name="_Toc95030516"/>
      <w:bookmarkStart w:id="276" w:name="_Toc110071920"/>
      <w:bookmarkStart w:id="277" w:name="_Toc110072106"/>
      <w:bookmarkStart w:id="278" w:name="_Toc95028557"/>
      <w:bookmarkStart w:id="279" w:name="_Toc123639228"/>
      <w:bookmarkStart w:id="280" w:name="_Toc95029269"/>
      <w:bookmarkStart w:id="281" w:name="_Toc96091455"/>
      <w:bookmarkStart w:id="282" w:name="_Toc95028743"/>
      <w:bookmarkStart w:id="283" w:name="_Toc95029502"/>
      <w:bookmarkStart w:id="284" w:name="_Toc112663826"/>
      <w:bookmarkStart w:id="285" w:name="_Toc95029020"/>
      <w:bookmarkStart w:id="286" w:name="_Toc95030626"/>
      <w:bookmarkStart w:id="287" w:name="_Toc95030437"/>
      <w:bookmarkStart w:id="288" w:name="_Toc95050655"/>
      <w:bookmarkStart w:id="289" w:name="_Toc95029775"/>
      <w:bookmarkStart w:id="290" w:name="_Toc96336349"/>
      <w:bookmarkStart w:id="291" w:name="_Toc95029627"/>
      <w:bookmarkStart w:id="292" w:name="_Toc95029105"/>
      <w:bookmarkStart w:id="293" w:name="_Toc226963162"/>
      <w:bookmarkStart w:id="294" w:name="_Toc115120652"/>
      <w:bookmarkStart w:id="295" w:name="_Toc473"/>
      <w:bookmarkStart w:id="296" w:name="_Toc115120258"/>
      <w:bookmarkStart w:id="297" w:name="_Toc23248"/>
      <w:bookmarkStart w:id="298" w:name="_Toc12480"/>
      <w:bookmarkStart w:id="299" w:name="_Toc12228"/>
      <w:bookmarkStart w:id="300" w:name="_Toc242849774"/>
      <w:bookmarkStart w:id="301" w:name="_Toc501120296"/>
      <w:r>
        <w:rPr>
          <w:rFonts w:hint="eastAsia" w:cs="黑体"/>
          <w:color w:val="auto"/>
          <w:sz w:val="30"/>
          <w:szCs w:val="30"/>
        </w:rPr>
        <w:t>3.2总平面</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Pr>
          <w:rFonts w:hint="eastAsia" w:cs="黑体"/>
          <w:color w:val="auto"/>
          <w:sz w:val="30"/>
          <w:szCs w:val="30"/>
        </w:rPr>
        <w:t>布置单元</w:t>
      </w:r>
      <w:bookmarkEnd w:id="293"/>
      <w:bookmarkEnd w:id="294"/>
      <w:bookmarkEnd w:id="295"/>
      <w:bookmarkEnd w:id="296"/>
      <w:bookmarkEnd w:id="297"/>
      <w:bookmarkEnd w:id="298"/>
      <w:bookmarkEnd w:id="299"/>
      <w:bookmarkEnd w:id="300"/>
      <w:bookmarkEnd w:id="301"/>
    </w:p>
    <w:p w14:paraId="447EB2C9">
      <w:pPr>
        <w:pStyle w:val="5"/>
        <w:keepNext/>
        <w:keepLines/>
        <w:snapToGrid w:val="0"/>
        <w:spacing w:line="360" w:lineRule="auto"/>
        <w:ind w:firstLine="562" w:firstLineChars="200"/>
        <w:jc w:val="left"/>
        <w:rPr>
          <w:rFonts w:cs="Times New Roman"/>
          <w:b/>
          <w:color w:val="auto"/>
          <w:sz w:val="28"/>
          <w:szCs w:val="32"/>
          <w:lang w:val="en-GB"/>
        </w:rPr>
      </w:pPr>
      <w:bookmarkStart w:id="302" w:name="_Toc1000"/>
      <w:bookmarkStart w:id="303" w:name="_Toc21848"/>
      <w:bookmarkStart w:id="304" w:name="_Toc16343"/>
      <w:bookmarkStart w:id="305" w:name="_Toc16971"/>
      <w:bookmarkStart w:id="306" w:name="_Toc25790"/>
      <w:bookmarkStart w:id="307" w:name="_Toc21269"/>
      <w:bookmarkStart w:id="308" w:name="_Toc28308"/>
      <w:r>
        <w:rPr>
          <w:rFonts w:hint="eastAsia" w:cs="Times New Roman"/>
          <w:b/>
          <w:color w:val="auto"/>
          <w:sz w:val="28"/>
          <w:szCs w:val="32"/>
          <w:lang w:val="en-GB"/>
        </w:rPr>
        <w:t>3.</w:t>
      </w:r>
      <w:r>
        <w:rPr>
          <w:rFonts w:hint="eastAsia" w:cs="Times New Roman"/>
          <w:b/>
          <w:color w:val="auto"/>
          <w:sz w:val="28"/>
          <w:szCs w:val="32"/>
        </w:rPr>
        <w:t>2</w:t>
      </w:r>
      <w:r>
        <w:rPr>
          <w:rFonts w:hint="eastAsia" w:cs="Times New Roman"/>
          <w:b/>
          <w:color w:val="auto"/>
          <w:sz w:val="28"/>
          <w:szCs w:val="32"/>
          <w:lang w:val="en-GB"/>
        </w:rPr>
        <w:t>.1总平面布置主要危险、有害因素辨识</w:t>
      </w:r>
      <w:bookmarkEnd w:id="302"/>
      <w:bookmarkEnd w:id="303"/>
      <w:bookmarkEnd w:id="304"/>
      <w:bookmarkEnd w:id="305"/>
      <w:bookmarkEnd w:id="306"/>
      <w:bookmarkEnd w:id="307"/>
      <w:bookmarkEnd w:id="308"/>
    </w:p>
    <w:p w14:paraId="6790DEE9">
      <w:pPr>
        <w:pStyle w:val="66"/>
        <w:ind w:firstLine="560"/>
        <w:rPr>
          <w:snapToGrid w:val="0"/>
          <w:color w:val="auto"/>
          <w:lang w:val="zh-CN"/>
        </w:rPr>
      </w:pPr>
      <w:r>
        <w:rPr>
          <w:rFonts w:hint="eastAsia"/>
          <w:snapToGrid w:val="0"/>
          <w:color w:val="auto"/>
          <w:lang w:val="zh-CN"/>
        </w:rPr>
        <w:t>根据本项目矿山选址和总图布置，围绕矿山选址的各组成部分及总平面布置情况。从矿山选址的工程地质、地形地貌、水文、气象条件、周围环境、交通运输条件、自然灾害、消防支持和救援联系等方面分析和辨识各厂址的危险、有害因素；从总平面布置的功能分区、安全距离、风向、建筑构筑物、设施、道路联系等方面分析和辨识各矿山选址的危险、有害因素。</w:t>
      </w:r>
    </w:p>
    <w:p w14:paraId="22B9009F">
      <w:pPr>
        <w:tabs>
          <w:tab w:val="left" w:pos="0"/>
        </w:tabs>
        <w:snapToGrid w:val="0"/>
        <w:spacing w:line="360" w:lineRule="auto"/>
        <w:ind w:firstLine="560" w:firstLineChars="200"/>
        <w:rPr>
          <w:rFonts w:cs="Times New Roman"/>
          <w:color w:val="auto"/>
          <w:sz w:val="28"/>
          <w:szCs w:val="28"/>
          <w:lang w:val="zh-CN"/>
        </w:rPr>
      </w:pPr>
      <w:r>
        <w:rPr>
          <w:rFonts w:hint="eastAsia" w:cs="Times New Roman"/>
          <w:color w:val="auto"/>
          <w:sz w:val="28"/>
          <w:szCs w:val="28"/>
          <w:lang w:val="zh-CN"/>
        </w:rPr>
        <w:t>按照危险因素的性质，矿山选址和总图布置方面的危险、有害因素可划分为：周围环境、不良工程地质、滚石、滑坡、泥石流、</w:t>
      </w:r>
      <w:r>
        <w:rPr>
          <w:rFonts w:hint="eastAsia" w:cs="Times New Roman"/>
          <w:color w:val="auto"/>
          <w:sz w:val="28"/>
          <w:szCs w:val="28"/>
        </w:rPr>
        <w:t>地震、</w:t>
      </w:r>
      <w:r>
        <w:rPr>
          <w:rFonts w:hint="eastAsia" w:cs="Times New Roman"/>
          <w:color w:val="auto"/>
          <w:sz w:val="28"/>
          <w:szCs w:val="28"/>
          <w:lang w:val="zh-CN"/>
        </w:rPr>
        <w:t>车辆伤害、道路运输及消防联系等几种，分析如下：</w:t>
      </w:r>
    </w:p>
    <w:p w14:paraId="6EF2E441">
      <w:pPr>
        <w:snapToGrid w:val="0"/>
        <w:spacing w:line="360" w:lineRule="auto"/>
        <w:ind w:firstLine="560" w:firstLineChars="200"/>
        <w:rPr>
          <w:rFonts w:cs="Times New Roman"/>
          <w:color w:val="auto"/>
          <w:sz w:val="28"/>
          <w:szCs w:val="20"/>
        </w:rPr>
      </w:pPr>
      <w:r>
        <w:rPr>
          <w:rFonts w:hint="eastAsia" w:cs="宋体"/>
          <w:color w:val="auto"/>
          <w:sz w:val="28"/>
          <w:szCs w:val="28"/>
          <w:lang w:val="en-US" w:eastAsia="zh-CN"/>
        </w:rPr>
        <w:t>XX</w:t>
      </w:r>
      <w:r>
        <w:rPr>
          <w:rFonts w:hint="eastAsia" w:cs="Times New Roman"/>
          <w:color w:val="auto"/>
          <w:sz w:val="28"/>
          <w:szCs w:val="20"/>
        </w:rPr>
        <w:t>。</w:t>
      </w:r>
    </w:p>
    <w:p w14:paraId="165E9A63">
      <w:pPr>
        <w:pStyle w:val="5"/>
        <w:keepNext/>
        <w:keepLines/>
        <w:snapToGrid w:val="0"/>
        <w:spacing w:line="360" w:lineRule="auto"/>
        <w:ind w:firstLine="562" w:firstLineChars="200"/>
        <w:jc w:val="left"/>
        <w:rPr>
          <w:rFonts w:cs="Times New Roman"/>
          <w:b/>
          <w:color w:val="auto"/>
          <w:sz w:val="28"/>
          <w:szCs w:val="32"/>
          <w:lang w:val="en-GB"/>
        </w:rPr>
      </w:pPr>
      <w:bookmarkStart w:id="309" w:name="_Toc21119"/>
      <w:bookmarkStart w:id="310" w:name="_Toc15019"/>
      <w:bookmarkStart w:id="311" w:name="_Toc16605"/>
      <w:bookmarkStart w:id="312" w:name="_Toc329899555"/>
      <w:bookmarkStart w:id="313" w:name="_Toc13663"/>
      <w:bookmarkStart w:id="314" w:name="_Toc501120297"/>
      <w:bookmarkStart w:id="315" w:name="_Toc3356"/>
      <w:bookmarkStart w:id="316" w:name="_Toc16632"/>
      <w:bookmarkStart w:id="317" w:name="_Toc313096720"/>
      <w:bookmarkStart w:id="318" w:name="_Toc313096567"/>
      <w:bookmarkStart w:id="319" w:name="_Toc8718"/>
      <w:bookmarkStart w:id="320" w:name="_Toc23664"/>
      <w:bookmarkStart w:id="321" w:name="_Toc31923"/>
      <w:bookmarkStart w:id="322" w:name="_Toc115120259"/>
      <w:bookmarkStart w:id="323" w:name="_Toc242849775"/>
      <w:bookmarkStart w:id="324" w:name="_Toc115120653"/>
      <w:bookmarkStart w:id="325" w:name="_Toc226963163"/>
      <w:r>
        <w:rPr>
          <w:rFonts w:hint="eastAsia" w:cs="Times New Roman"/>
          <w:b/>
          <w:color w:val="auto"/>
          <w:sz w:val="28"/>
          <w:szCs w:val="32"/>
          <w:lang w:val="en-GB"/>
        </w:rPr>
        <w:t>3.</w:t>
      </w:r>
      <w:r>
        <w:rPr>
          <w:rFonts w:hint="eastAsia" w:cs="Times New Roman"/>
          <w:b/>
          <w:color w:val="auto"/>
          <w:sz w:val="28"/>
          <w:szCs w:val="32"/>
        </w:rPr>
        <w:t>2</w:t>
      </w:r>
      <w:r>
        <w:rPr>
          <w:rFonts w:hint="eastAsia" w:cs="Times New Roman"/>
          <w:b/>
          <w:color w:val="auto"/>
          <w:sz w:val="28"/>
          <w:szCs w:val="32"/>
          <w:lang w:val="en-GB"/>
        </w:rPr>
        <w:t>.2总平面布置预先危险性分析（PHA）</w:t>
      </w:r>
      <w:bookmarkEnd w:id="309"/>
      <w:bookmarkEnd w:id="310"/>
      <w:bookmarkEnd w:id="311"/>
      <w:bookmarkEnd w:id="312"/>
      <w:bookmarkEnd w:id="313"/>
      <w:bookmarkEnd w:id="314"/>
      <w:bookmarkEnd w:id="315"/>
      <w:bookmarkEnd w:id="316"/>
      <w:bookmarkEnd w:id="317"/>
      <w:bookmarkEnd w:id="318"/>
      <w:bookmarkEnd w:id="319"/>
      <w:bookmarkEnd w:id="320"/>
      <w:bookmarkEnd w:id="321"/>
    </w:p>
    <w:p w14:paraId="6ABE83E7">
      <w:pPr>
        <w:snapToGrid w:val="0"/>
        <w:spacing w:line="360" w:lineRule="auto"/>
        <w:ind w:firstLine="560" w:firstLineChars="200"/>
        <w:jc w:val="left"/>
        <w:rPr>
          <w:rFonts w:cs="Times New Roman"/>
          <w:color w:val="auto"/>
          <w:sz w:val="28"/>
          <w:szCs w:val="28"/>
        </w:rPr>
      </w:pPr>
      <w:r>
        <w:rPr>
          <w:rFonts w:hint="eastAsia" w:cs="Times New Roman"/>
          <w:color w:val="auto"/>
          <w:sz w:val="28"/>
          <w:szCs w:val="28"/>
        </w:rPr>
        <w:t>根据危险有害因素辨识和分析结果，对已辨识的危险、有害因素进行PHA分析，鉴别危险产生的原因，预测事故出现对作业人员及生产过程产生的影响，判定已识别的危险性等级，并提出消除或控制危险性的措施。厂址及总图运输系统PHA分析见表3.2-1。</w:t>
      </w:r>
    </w:p>
    <w:p w14:paraId="388A9090">
      <w:pPr>
        <w:snapToGrid w:val="0"/>
        <w:jc w:val="center"/>
        <w:rPr>
          <w:rFonts w:cs="Times New Roman"/>
          <w:bCs/>
          <w:color w:val="auto"/>
        </w:rPr>
      </w:pPr>
      <w:r>
        <w:rPr>
          <w:rFonts w:hint="eastAsia" w:cs="Times New Roman"/>
          <w:bCs/>
          <w:color w:val="auto"/>
        </w:rPr>
        <w:t>表 3.2-1  厂址选择及总平面布置预先危险性分析</w:t>
      </w:r>
    </w:p>
    <w:p w14:paraId="39738BC6">
      <w:pPr>
        <w:pStyle w:val="66"/>
        <w:spacing w:line="240" w:lineRule="auto"/>
        <w:ind w:firstLine="420"/>
        <w:rPr>
          <w:rFonts w:hint="default" w:ascii="Times New Roman" w:hAnsi="Times New Roman" w:eastAsia="宋体" w:cs="Times New Roman"/>
          <w:color w:val="auto"/>
          <w:kern w:val="2"/>
          <w:sz w:val="28"/>
          <w:szCs w:val="28"/>
          <w:lang w:val="en-US" w:eastAsia="zh-CN" w:bidi="ar-SA"/>
        </w:rPr>
      </w:pPr>
      <w:r>
        <w:rPr>
          <w:rFonts w:hint="eastAsia" w:ascii="Times New Roman" w:hAnsi="Times New Roman" w:eastAsia="宋体" w:cs="Times New Roman"/>
          <w:color w:val="auto"/>
          <w:kern w:val="2"/>
          <w:sz w:val="28"/>
          <w:szCs w:val="28"/>
          <w:lang w:val="en-US" w:eastAsia="zh-CN" w:bidi="ar-SA"/>
        </w:rPr>
        <w:t>XX。</w:t>
      </w:r>
    </w:p>
    <w:p w14:paraId="312D9C2D">
      <w:pPr>
        <w:snapToGrid w:val="0"/>
        <w:spacing w:line="360" w:lineRule="auto"/>
        <w:ind w:firstLine="560" w:firstLineChars="200"/>
        <w:jc w:val="left"/>
        <w:rPr>
          <w:rFonts w:cs="Times New Roman"/>
          <w:color w:val="auto"/>
          <w:sz w:val="28"/>
          <w:szCs w:val="28"/>
        </w:rPr>
      </w:pPr>
      <w:r>
        <w:rPr>
          <w:rFonts w:hint="eastAsia" w:ascii="Times New Roman" w:hAnsi="Times New Roman" w:eastAsia="宋体" w:cs="Times New Roman"/>
          <w:color w:val="auto"/>
          <w:kern w:val="2"/>
          <w:sz w:val="28"/>
          <w:szCs w:val="28"/>
          <w:lang w:val="en-US" w:eastAsia="zh-CN" w:bidi="ar-SA"/>
        </w:rPr>
        <w:t>本系统</w:t>
      </w:r>
      <w:r>
        <w:rPr>
          <w:rFonts w:hint="eastAsia" w:cs="Times New Roman"/>
          <w:color w:val="auto"/>
          <w:sz w:val="28"/>
          <w:szCs w:val="28"/>
        </w:rPr>
        <w:t>应根据矿区工程地质、环境地质、气象、地形地貌等条件，应避免选址及布置过程中形成滚石、滑坡、泥石流等重大危险因素，对选址特殊，且条件限制的设施，应根据危险因素的诱发事故条件，采取措施，加以消除、预防和减弱；对运输可能造成的车辆伤害也应引起重视，加强预防和管理。</w:t>
      </w:r>
    </w:p>
    <w:p w14:paraId="7F3540DF">
      <w:pPr>
        <w:pStyle w:val="5"/>
        <w:keepNext/>
        <w:keepLines/>
        <w:snapToGrid w:val="0"/>
        <w:spacing w:line="360" w:lineRule="auto"/>
        <w:ind w:firstLine="562" w:firstLineChars="200"/>
        <w:jc w:val="left"/>
        <w:rPr>
          <w:rFonts w:cs="Times New Roman"/>
          <w:b/>
          <w:color w:val="auto"/>
          <w:sz w:val="28"/>
          <w:szCs w:val="32"/>
          <w:lang w:val="en-GB"/>
        </w:rPr>
      </w:pPr>
      <w:bookmarkStart w:id="326" w:name="_Toc32199"/>
      <w:bookmarkStart w:id="327" w:name="_Toc18281"/>
      <w:bookmarkStart w:id="328" w:name="_Toc30721"/>
      <w:bookmarkStart w:id="329" w:name="_Toc501120298"/>
      <w:bookmarkStart w:id="330" w:name="_Toc8112"/>
      <w:bookmarkStart w:id="331" w:name="_Toc24609"/>
      <w:bookmarkStart w:id="332" w:name="_Toc10861"/>
      <w:bookmarkStart w:id="333" w:name="_Toc16095"/>
      <w:bookmarkStart w:id="334" w:name="_Toc14374"/>
      <w:bookmarkStart w:id="335" w:name="_Toc10727"/>
      <w:r>
        <w:rPr>
          <w:rFonts w:hint="eastAsia" w:cs="Times New Roman"/>
          <w:b/>
          <w:color w:val="auto"/>
          <w:sz w:val="28"/>
          <w:szCs w:val="32"/>
          <w:lang w:val="en-GB"/>
        </w:rPr>
        <w:t>3.</w:t>
      </w:r>
      <w:r>
        <w:rPr>
          <w:rFonts w:hint="eastAsia" w:cs="Times New Roman"/>
          <w:b/>
          <w:color w:val="auto"/>
          <w:sz w:val="28"/>
          <w:szCs w:val="32"/>
        </w:rPr>
        <w:t>2</w:t>
      </w:r>
      <w:r>
        <w:rPr>
          <w:rFonts w:hint="eastAsia" w:cs="Times New Roman"/>
          <w:b/>
          <w:color w:val="auto"/>
          <w:sz w:val="28"/>
          <w:szCs w:val="32"/>
          <w:lang w:val="en-GB"/>
        </w:rPr>
        <w:t>.3厂址选择安全检查表</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5EC7A31D">
      <w:pPr>
        <w:pStyle w:val="66"/>
        <w:ind w:firstLine="560"/>
        <w:rPr>
          <w:color w:val="auto"/>
        </w:rPr>
      </w:pPr>
      <w:bookmarkStart w:id="336" w:name="_Toc110071926"/>
      <w:bookmarkStart w:id="337" w:name="_Toc112663832"/>
      <w:bookmarkStart w:id="338" w:name="_Toc110072112"/>
      <w:r>
        <w:rPr>
          <w:color w:val="auto"/>
        </w:rPr>
        <w:t>根据《工业企业总平面设计规范》（GB50187</w:t>
      </w:r>
      <w:r>
        <w:rPr>
          <w:rFonts w:hint="eastAsia"/>
          <w:color w:val="auto"/>
        </w:rPr>
        <w:t>-</w:t>
      </w:r>
      <w:r>
        <w:rPr>
          <w:color w:val="auto"/>
        </w:rPr>
        <w:t>2012）中的相关内容对该项目厂址选择进行对照检查。检查表见表</w:t>
      </w:r>
      <w:r>
        <w:rPr>
          <w:rFonts w:hint="eastAsia"/>
          <w:color w:val="auto"/>
        </w:rPr>
        <w:t>3.2-2</w:t>
      </w:r>
      <w:r>
        <w:rPr>
          <w:color w:val="auto"/>
        </w:rPr>
        <w:t>。</w:t>
      </w:r>
    </w:p>
    <w:p w14:paraId="59DE1897">
      <w:pPr>
        <w:snapToGrid w:val="0"/>
        <w:jc w:val="center"/>
        <w:rPr>
          <w:rFonts w:cs="Times New Roman"/>
          <w:bCs/>
          <w:color w:val="auto"/>
        </w:rPr>
      </w:pPr>
      <w:r>
        <w:rPr>
          <w:rFonts w:hint="eastAsia" w:cs="Times New Roman"/>
          <w:bCs/>
          <w:color w:val="auto"/>
        </w:rPr>
        <w:t>表 3.2-2  厂址选择安全检查表</w:t>
      </w:r>
    </w:p>
    <w:bookmarkEnd w:id="336"/>
    <w:bookmarkEnd w:id="337"/>
    <w:bookmarkEnd w:id="338"/>
    <w:p w14:paraId="79A47406">
      <w:pPr>
        <w:pStyle w:val="66"/>
        <w:ind w:firstLine="560"/>
        <w:rPr>
          <w:rFonts w:hint="default"/>
          <w:color w:val="auto"/>
          <w:lang w:val="en-US" w:eastAsia="zh-CN"/>
        </w:rPr>
      </w:pPr>
      <w:bookmarkStart w:id="339" w:name="_Toc501120299"/>
      <w:bookmarkStart w:id="340" w:name="_Toc242849776"/>
      <w:bookmarkStart w:id="341" w:name="_Toc14330"/>
      <w:bookmarkStart w:id="342" w:name="_Toc115119151"/>
      <w:bookmarkStart w:id="343" w:name="_Toc20505"/>
      <w:bookmarkStart w:id="344" w:name="_Toc21336"/>
      <w:bookmarkStart w:id="345" w:name="_Toc23832"/>
      <w:bookmarkStart w:id="346" w:name="_Toc115141890"/>
      <w:bookmarkStart w:id="347" w:name="_Toc115118963"/>
      <w:bookmarkStart w:id="348" w:name="_Toc13475"/>
      <w:bookmarkStart w:id="349" w:name="_Toc4351"/>
      <w:bookmarkStart w:id="350" w:name="_Toc226963164"/>
      <w:bookmarkStart w:id="351" w:name="_Toc7573"/>
      <w:bookmarkStart w:id="352" w:name="_Toc16081"/>
      <w:bookmarkStart w:id="353" w:name="_Toc115120654"/>
      <w:bookmarkStart w:id="354" w:name="_Toc115120260"/>
      <w:r>
        <w:rPr>
          <w:rFonts w:hint="eastAsia"/>
          <w:color w:val="auto"/>
          <w:lang w:val="en-US" w:eastAsia="zh-CN"/>
        </w:rPr>
        <w:t>XX。</w:t>
      </w:r>
    </w:p>
    <w:p w14:paraId="68958F0B">
      <w:pPr>
        <w:pStyle w:val="5"/>
        <w:keepNext/>
        <w:keepLines/>
        <w:snapToGrid w:val="0"/>
        <w:spacing w:line="360" w:lineRule="auto"/>
        <w:ind w:firstLine="562" w:firstLineChars="200"/>
        <w:jc w:val="left"/>
        <w:rPr>
          <w:rFonts w:cs="Times New Roman"/>
          <w:b/>
          <w:color w:val="auto"/>
          <w:sz w:val="28"/>
          <w:szCs w:val="32"/>
          <w:lang w:val="en-GB"/>
        </w:rPr>
      </w:pPr>
      <w:bookmarkStart w:id="355" w:name="_Toc29036"/>
      <w:r>
        <w:rPr>
          <w:rFonts w:hint="eastAsia" w:cs="Times New Roman"/>
          <w:b/>
          <w:color w:val="auto"/>
          <w:sz w:val="28"/>
          <w:szCs w:val="32"/>
          <w:lang w:val="en-GB"/>
        </w:rPr>
        <w:t>3.</w:t>
      </w:r>
      <w:r>
        <w:rPr>
          <w:rFonts w:hint="eastAsia" w:cs="Times New Roman"/>
          <w:b/>
          <w:color w:val="auto"/>
          <w:sz w:val="28"/>
          <w:szCs w:val="32"/>
        </w:rPr>
        <w:t>2</w:t>
      </w:r>
      <w:r>
        <w:rPr>
          <w:rFonts w:hint="eastAsia" w:cs="Times New Roman"/>
          <w:b/>
          <w:color w:val="auto"/>
          <w:sz w:val="28"/>
          <w:szCs w:val="32"/>
          <w:lang w:val="en-GB"/>
        </w:rPr>
        <w:t>.4总平面布置安全检查表</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5"/>
    </w:p>
    <w:p w14:paraId="0909A486">
      <w:pPr>
        <w:pStyle w:val="66"/>
        <w:ind w:firstLine="560"/>
        <w:rPr>
          <w:color w:val="auto"/>
        </w:rPr>
      </w:pPr>
      <w:r>
        <w:rPr>
          <w:color w:val="auto"/>
        </w:rPr>
        <w:t>根据《工业企业总平面设计规范》（GB50187</w:t>
      </w:r>
      <w:r>
        <w:rPr>
          <w:rFonts w:hint="eastAsia"/>
          <w:color w:val="auto"/>
        </w:rPr>
        <w:t>-</w:t>
      </w:r>
      <w:r>
        <w:rPr>
          <w:color w:val="auto"/>
        </w:rPr>
        <w:t>2012）、《工业企业设计卫生标准》（GBZ1</w:t>
      </w:r>
      <w:r>
        <w:rPr>
          <w:rFonts w:hint="eastAsia"/>
          <w:color w:val="auto"/>
        </w:rPr>
        <w:t>-</w:t>
      </w:r>
      <w:r>
        <w:rPr>
          <w:color w:val="auto"/>
        </w:rPr>
        <w:t>2010）及《厂矿道路设计规范》（GBJ22</w:t>
      </w:r>
      <w:r>
        <w:rPr>
          <w:rFonts w:hint="eastAsia"/>
          <w:color w:val="auto"/>
        </w:rPr>
        <w:t>-19</w:t>
      </w:r>
      <w:r>
        <w:rPr>
          <w:color w:val="auto"/>
        </w:rPr>
        <w:t>87）中的相关内容从总平面布置方面对该项目进行检查，见表</w:t>
      </w:r>
      <w:r>
        <w:rPr>
          <w:rFonts w:hint="eastAsia"/>
          <w:color w:val="auto"/>
        </w:rPr>
        <w:t>3.2-3</w:t>
      </w:r>
      <w:r>
        <w:rPr>
          <w:color w:val="auto"/>
        </w:rPr>
        <w:t>。</w:t>
      </w:r>
    </w:p>
    <w:p w14:paraId="5BF3A305">
      <w:pPr>
        <w:snapToGrid w:val="0"/>
        <w:jc w:val="center"/>
        <w:rPr>
          <w:rFonts w:cs="Times New Roman"/>
          <w:bCs/>
          <w:color w:val="auto"/>
        </w:rPr>
      </w:pPr>
      <w:r>
        <w:rPr>
          <w:rFonts w:hint="eastAsia" w:cs="Times New Roman"/>
          <w:bCs/>
          <w:color w:val="auto"/>
        </w:rPr>
        <w:t>表 3.2-3  总平面布置安全检查表</w:t>
      </w:r>
    </w:p>
    <w:p w14:paraId="131CFCF1">
      <w:pPr>
        <w:pStyle w:val="66"/>
        <w:spacing w:line="240" w:lineRule="auto"/>
        <w:ind w:firstLine="440"/>
        <w:rPr>
          <w:rFonts w:hint="default" w:eastAsia="宋体"/>
          <w:color w:val="auto"/>
          <w:sz w:val="22"/>
          <w:szCs w:val="22"/>
          <w:lang w:val="en-US" w:eastAsia="zh-CN"/>
        </w:rPr>
      </w:pPr>
      <w:bookmarkStart w:id="356" w:name="_Toc6527"/>
      <w:bookmarkStart w:id="357" w:name="_Toc444458126"/>
      <w:bookmarkStart w:id="358" w:name="_Toc501120300"/>
      <w:bookmarkStart w:id="359" w:name="_Toc1168"/>
      <w:bookmarkStart w:id="360" w:name="_Toc115119152"/>
      <w:bookmarkStart w:id="361" w:name="_Toc242849777"/>
      <w:bookmarkStart w:id="362" w:name="_Toc115141891"/>
      <w:bookmarkStart w:id="363" w:name="_Toc115118964"/>
      <w:bookmarkStart w:id="364" w:name="_Toc226963165"/>
      <w:r>
        <w:rPr>
          <w:rFonts w:hint="eastAsia"/>
          <w:color w:val="auto"/>
          <w:sz w:val="22"/>
          <w:szCs w:val="22"/>
          <w:lang w:val="en-US" w:eastAsia="zh-CN"/>
        </w:rPr>
        <w:t>XX。</w:t>
      </w:r>
    </w:p>
    <w:p w14:paraId="21D7AB29">
      <w:pPr>
        <w:pStyle w:val="5"/>
        <w:keepNext/>
        <w:keepLines/>
        <w:snapToGrid w:val="0"/>
        <w:spacing w:line="360" w:lineRule="auto"/>
        <w:ind w:firstLine="562" w:firstLineChars="200"/>
        <w:jc w:val="left"/>
        <w:rPr>
          <w:rFonts w:cs="Times New Roman"/>
          <w:b/>
          <w:color w:val="auto"/>
          <w:sz w:val="28"/>
          <w:szCs w:val="32"/>
          <w:lang w:val="en-GB"/>
        </w:rPr>
      </w:pPr>
      <w:bookmarkStart w:id="365" w:name="_Toc10099"/>
      <w:bookmarkStart w:id="366" w:name="_Toc2858"/>
      <w:bookmarkStart w:id="367" w:name="_Toc1291"/>
      <w:bookmarkStart w:id="368" w:name="_Toc11569"/>
      <w:bookmarkStart w:id="369" w:name="_Toc31361"/>
      <w:bookmarkStart w:id="370" w:name="_Toc555"/>
      <w:bookmarkStart w:id="371" w:name="_Toc13819"/>
      <w:r>
        <w:rPr>
          <w:rFonts w:hint="eastAsia" w:cs="Times New Roman"/>
          <w:b/>
          <w:color w:val="auto"/>
          <w:sz w:val="28"/>
          <w:szCs w:val="32"/>
          <w:lang w:val="en-GB"/>
        </w:rPr>
        <w:t>3.</w:t>
      </w:r>
      <w:r>
        <w:rPr>
          <w:rFonts w:hint="eastAsia" w:cs="Times New Roman"/>
          <w:b/>
          <w:color w:val="auto"/>
          <w:sz w:val="28"/>
          <w:szCs w:val="32"/>
        </w:rPr>
        <w:t>2</w:t>
      </w:r>
      <w:r>
        <w:rPr>
          <w:rFonts w:hint="eastAsia" w:cs="Times New Roman"/>
          <w:b/>
          <w:color w:val="auto"/>
          <w:sz w:val="28"/>
          <w:szCs w:val="32"/>
          <w:lang w:val="en-GB"/>
        </w:rPr>
        <w:t>.5厂址及总平面布置设计方案评述</w:t>
      </w:r>
      <w:bookmarkEnd w:id="356"/>
      <w:bookmarkEnd w:id="357"/>
      <w:bookmarkEnd w:id="358"/>
      <w:bookmarkEnd w:id="359"/>
      <w:bookmarkEnd w:id="365"/>
      <w:bookmarkEnd w:id="366"/>
      <w:bookmarkEnd w:id="367"/>
      <w:bookmarkEnd w:id="368"/>
      <w:bookmarkEnd w:id="369"/>
      <w:bookmarkEnd w:id="370"/>
      <w:bookmarkEnd w:id="371"/>
    </w:p>
    <w:bookmarkEnd w:id="353"/>
    <w:bookmarkEnd w:id="354"/>
    <w:bookmarkEnd w:id="360"/>
    <w:bookmarkEnd w:id="361"/>
    <w:bookmarkEnd w:id="362"/>
    <w:bookmarkEnd w:id="363"/>
    <w:bookmarkEnd w:id="364"/>
    <w:p w14:paraId="668D037C">
      <w:pPr>
        <w:snapToGrid w:val="0"/>
        <w:spacing w:line="360" w:lineRule="auto"/>
        <w:ind w:firstLine="560" w:firstLineChars="200"/>
        <w:jc w:val="left"/>
        <w:rPr>
          <w:rFonts w:cs="Times New Roman"/>
          <w:color w:val="auto"/>
          <w:sz w:val="28"/>
          <w:szCs w:val="28"/>
        </w:rPr>
      </w:pPr>
      <w:bookmarkStart w:id="372" w:name="_Toc115120656"/>
      <w:bookmarkStart w:id="373" w:name="_Toc226963166"/>
      <w:bookmarkStart w:id="374" w:name="_Toc115120262"/>
      <w:r>
        <w:rPr>
          <w:rFonts w:hint="eastAsia"/>
          <w:color w:val="auto"/>
          <w:sz w:val="28"/>
          <w:szCs w:val="28"/>
          <w:lang w:val="en-US" w:eastAsia="zh-CN"/>
        </w:rPr>
        <w:t>XX</w:t>
      </w:r>
      <w:r>
        <w:rPr>
          <w:rFonts w:hint="eastAsia" w:cs="Times New Roman"/>
          <w:color w:val="auto"/>
          <w:sz w:val="28"/>
          <w:szCs w:val="28"/>
        </w:rPr>
        <w:t>。</w:t>
      </w:r>
    </w:p>
    <w:p w14:paraId="074CDF7B">
      <w:pPr>
        <w:pStyle w:val="81"/>
        <w:numPr>
          <w:ilvl w:val="1"/>
          <w:numId w:val="0"/>
        </w:numPr>
        <w:spacing w:before="0" w:after="0"/>
        <w:jc w:val="center"/>
        <w:rPr>
          <w:rFonts w:cs="黑体"/>
          <w:color w:val="auto"/>
          <w:sz w:val="30"/>
          <w:szCs w:val="30"/>
        </w:rPr>
      </w:pPr>
      <w:bookmarkStart w:id="375" w:name="_Toc17253"/>
      <w:bookmarkStart w:id="376" w:name="_Toc30300"/>
      <w:bookmarkStart w:id="377" w:name="_Toc9896"/>
      <w:bookmarkStart w:id="378" w:name="_Toc501120303"/>
      <w:bookmarkStart w:id="379" w:name="_Toc18699"/>
      <w:r>
        <w:rPr>
          <w:rFonts w:hint="eastAsia" w:cs="黑体"/>
          <w:color w:val="auto"/>
          <w:sz w:val="30"/>
          <w:szCs w:val="30"/>
        </w:rPr>
        <w:t>3.3开拓运输单元</w:t>
      </w:r>
      <w:bookmarkEnd w:id="375"/>
      <w:bookmarkEnd w:id="376"/>
      <w:bookmarkEnd w:id="377"/>
      <w:bookmarkEnd w:id="378"/>
      <w:bookmarkEnd w:id="379"/>
    </w:p>
    <w:p w14:paraId="663D9015">
      <w:pPr>
        <w:pStyle w:val="5"/>
        <w:keepNext/>
        <w:keepLines/>
        <w:snapToGrid w:val="0"/>
        <w:spacing w:line="360" w:lineRule="auto"/>
        <w:ind w:firstLine="562" w:firstLineChars="200"/>
        <w:jc w:val="left"/>
        <w:rPr>
          <w:rFonts w:cs="Times New Roman"/>
          <w:b/>
          <w:color w:val="auto"/>
          <w:sz w:val="28"/>
          <w:szCs w:val="32"/>
          <w:lang w:val="en-GB"/>
        </w:rPr>
      </w:pPr>
      <w:bookmarkStart w:id="380" w:name="_Toc17689"/>
      <w:bookmarkStart w:id="381" w:name="_Toc8774"/>
      <w:bookmarkStart w:id="382" w:name="_Toc6355"/>
      <w:bookmarkStart w:id="383" w:name="_Toc10528"/>
      <w:bookmarkStart w:id="384" w:name="_Toc24745"/>
      <w:bookmarkStart w:id="385" w:name="_Toc4729"/>
      <w:bookmarkStart w:id="386" w:name="_Toc31554"/>
      <w:r>
        <w:rPr>
          <w:rFonts w:hint="eastAsia" w:cs="Times New Roman"/>
          <w:b/>
          <w:color w:val="auto"/>
          <w:sz w:val="28"/>
          <w:szCs w:val="32"/>
          <w:lang w:val="en-GB"/>
        </w:rPr>
        <w:t>3.</w:t>
      </w:r>
      <w:r>
        <w:rPr>
          <w:rFonts w:hint="eastAsia" w:cs="Times New Roman"/>
          <w:b/>
          <w:color w:val="auto"/>
          <w:sz w:val="28"/>
          <w:szCs w:val="32"/>
        </w:rPr>
        <w:t>3</w:t>
      </w:r>
      <w:r>
        <w:rPr>
          <w:rFonts w:hint="eastAsia" w:cs="Times New Roman"/>
          <w:b/>
          <w:color w:val="auto"/>
          <w:sz w:val="28"/>
          <w:szCs w:val="32"/>
          <w:lang w:val="en-GB"/>
        </w:rPr>
        <w:t>.1开拓运输</w:t>
      </w:r>
      <w:r>
        <w:rPr>
          <w:rFonts w:hint="eastAsia" w:cs="Times New Roman"/>
          <w:b/>
          <w:color w:val="auto"/>
          <w:sz w:val="28"/>
          <w:szCs w:val="32"/>
        </w:rPr>
        <w:t>单元</w:t>
      </w:r>
      <w:r>
        <w:rPr>
          <w:rFonts w:hint="eastAsia" w:cs="Times New Roman"/>
          <w:b/>
          <w:color w:val="auto"/>
          <w:sz w:val="28"/>
          <w:szCs w:val="32"/>
          <w:lang w:val="en-GB"/>
        </w:rPr>
        <w:t>主要危险、有害因素辨识</w:t>
      </w:r>
      <w:bookmarkEnd w:id="380"/>
      <w:bookmarkEnd w:id="381"/>
      <w:bookmarkEnd w:id="382"/>
      <w:bookmarkEnd w:id="383"/>
      <w:bookmarkEnd w:id="384"/>
      <w:bookmarkEnd w:id="385"/>
      <w:bookmarkEnd w:id="386"/>
    </w:p>
    <w:p w14:paraId="733E29D2">
      <w:pPr>
        <w:autoSpaceDE w:val="0"/>
        <w:autoSpaceDN w:val="0"/>
        <w:snapToGrid w:val="0"/>
        <w:spacing w:line="360" w:lineRule="auto"/>
        <w:ind w:firstLine="560" w:firstLineChars="200"/>
        <w:rPr>
          <w:rFonts w:cs="Times New Roman"/>
          <w:color w:val="auto"/>
          <w:kern w:val="0"/>
          <w:sz w:val="28"/>
          <w:szCs w:val="28"/>
        </w:rPr>
      </w:pPr>
      <w:bookmarkStart w:id="387" w:name="_Toc380754922"/>
      <w:bookmarkStart w:id="388" w:name="_Toc328567549"/>
      <w:bookmarkStart w:id="389" w:name="_Toc3090"/>
      <w:bookmarkStart w:id="390" w:name="_Toc379978962"/>
      <w:bookmarkStart w:id="391" w:name="_Toc379979142"/>
      <w:bookmarkStart w:id="392" w:name="_Toc8867"/>
      <w:bookmarkStart w:id="393" w:name="_Toc501120304"/>
      <w:bookmarkStart w:id="394" w:name="_Toc15050"/>
      <w:bookmarkStart w:id="395" w:name="_Toc24155"/>
      <w:bookmarkStart w:id="396" w:name="_Toc3648"/>
      <w:bookmarkStart w:id="397" w:name="_Toc331402858"/>
      <w:r>
        <w:rPr>
          <w:rFonts w:cs="Times New Roman"/>
          <w:color w:val="auto"/>
          <w:kern w:val="0"/>
          <w:sz w:val="28"/>
          <w:szCs w:val="28"/>
        </w:rPr>
        <w:t>开拓运输单元存在的主要危险有害因素有：车辆伤害、机械伤害、爆破伤害，火药爆破、高处坠落、物体打击及粉尘等。</w:t>
      </w:r>
    </w:p>
    <w:p w14:paraId="31FD6B5B">
      <w:pPr>
        <w:spacing w:line="360" w:lineRule="auto"/>
        <w:ind w:firstLine="561"/>
        <w:rPr>
          <w:color w:val="auto"/>
          <w:sz w:val="28"/>
        </w:rPr>
      </w:pPr>
      <w:r>
        <w:rPr>
          <w:color w:val="auto"/>
          <w:sz w:val="28"/>
        </w:rPr>
        <w:t>1.车辆伤害</w:t>
      </w:r>
    </w:p>
    <w:p w14:paraId="0576957F">
      <w:pPr>
        <w:spacing w:line="360" w:lineRule="auto"/>
        <w:ind w:firstLine="561"/>
        <w:rPr>
          <w:color w:val="auto"/>
          <w:sz w:val="28"/>
        </w:rPr>
      </w:pPr>
      <w:r>
        <w:rPr>
          <w:color w:val="auto"/>
          <w:sz w:val="28"/>
        </w:rPr>
        <w:t>车辆伤害是指企业机动车辆在行驶中引起的人体坠落和物体倒塌、下落、挤压伤亡事故。</w:t>
      </w:r>
    </w:p>
    <w:p w14:paraId="00D2DACB">
      <w:pPr>
        <w:spacing w:line="360" w:lineRule="auto"/>
        <w:ind w:firstLine="561"/>
        <w:rPr>
          <w:color w:val="auto"/>
          <w:sz w:val="28"/>
        </w:rPr>
      </w:pPr>
      <w:r>
        <w:rPr>
          <w:color w:val="auto"/>
          <w:sz w:val="28"/>
        </w:rPr>
        <w:t>场内运输、装载设备有故障、操作失误或指挥不当，有造成车辆伤害的危险；矿山使用汽车进行运输，由于驾驶员违章驾驶等造成车辆伤害。车辆伤害在本项目中包括汽车、装载机、挖掘机等车辆在公路运输过程中的伤害。</w:t>
      </w:r>
    </w:p>
    <w:p w14:paraId="2017273A">
      <w:pPr>
        <w:spacing w:line="360" w:lineRule="auto"/>
        <w:ind w:firstLine="561"/>
        <w:rPr>
          <w:color w:val="auto"/>
          <w:sz w:val="28"/>
        </w:rPr>
      </w:pPr>
      <w:r>
        <w:rPr>
          <w:color w:val="auto"/>
          <w:sz w:val="28"/>
        </w:rPr>
        <w:t>（1）露天铲装运输过程中，由于违章载人、违章作业或作业场地狭窄而导致人员坠落或铲装设备倾翻引发的伤亡事故。</w:t>
      </w:r>
    </w:p>
    <w:p w14:paraId="16A1AA6A">
      <w:pPr>
        <w:spacing w:line="360" w:lineRule="auto"/>
        <w:ind w:firstLine="561"/>
        <w:rPr>
          <w:color w:val="auto"/>
          <w:sz w:val="28"/>
        </w:rPr>
      </w:pPr>
      <w:r>
        <w:rPr>
          <w:color w:val="auto"/>
          <w:sz w:val="28"/>
        </w:rPr>
        <w:t>（2）车辆在行驶过程中，由于道路坡陡弯急、行车速度快、车辆故障、制动失灵、信号标志缺失、运输线路及路面不合理、道路局部坍塌、下沉、路况质量差、狭窄、路不平、雨季冲刷严重等，易发生翻车、撞坏设备和撞伤人员等车辆伤害事故。</w:t>
      </w:r>
    </w:p>
    <w:p w14:paraId="18D96CC6">
      <w:pPr>
        <w:spacing w:line="360" w:lineRule="auto"/>
        <w:ind w:firstLine="561"/>
        <w:rPr>
          <w:color w:val="auto"/>
          <w:sz w:val="28"/>
        </w:rPr>
      </w:pPr>
      <w:r>
        <w:rPr>
          <w:color w:val="auto"/>
          <w:sz w:val="28"/>
        </w:rPr>
        <w:t>（3）疲劳驾驶、无证驾驶等违章作业。</w:t>
      </w:r>
    </w:p>
    <w:p w14:paraId="3F33F712">
      <w:pPr>
        <w:spacing w:line="360" w:lineRule="auto"/>
        <w:ind w:firstLine="561"/>
        <w:rPr>
          <w:color w:val="auto"/>
          <w:sz w:val="28"/>
        </w:rPr>
      </w:pPr>
      <w:r>
        <w:rPr>
          <w:color w:val="auto"/>
          <w:sz w:val="28"/>
        </w:rPr>
        <w:t>（4）雨天车辆行驶未采取防滑措施（如采用防滑链等）。</w:t>
      </w:r>
    </w:p>
    <w:p w14:paraId="732069F9">
      <w:pPr>
        <w:spacing w:line="360" w:lineRule="auto"/>
        <w:ind w:firstLine="561"/>
        <w:rPr>
          <w:color w:val="auto"/>
          <w:sz w:val="28"/>
        </w:rPr>
      </w:pPr>
      <w:r>
        <w:rPr>
          <w:color w:val="auto"/>
          <w:sz w:val="28"/>
        </w:rPr>
        <w:t>（5）卸载点未设置车挡或形成反坡，易发生卸载车辆倾翻、坠落，导致人员伤害、车辆损坏等。</w:t>
      </w:r>
    </w:p>
    <w:p w14:paraId="1ACD31E6">
      <w:pPr>
        <w:spacing w:line="360" w:lineRule="auto"/>
        <w:ind w:firstLine="561"/>
        <w:rPr>
          <w:color w:val="auto"/>
          <w:sz w:val="28"/>
        </w:rPr>
      </w:pPr>
      <w:r>
        <w:rPr>
          <w:color w:val="auto"/>
          <w:sz w:val="28"/>
        </w:rPr>
        <w:t>（6）台阶作业平台宽度不够，平台边缘矿岩松软，不稳固，铲装设备沿平台边缘行驶作业，易造成设备倾翻，坠落，导致人员伤害和设备损坏。</w:t>
      </w:r>
    </w:p>
    <w:p w14:paraId="204EC920">
      <w:pPr>
        <w:spacing w:line="360" w:lineRule="auto"/>
        <w:ind w:firstLine="561"/>
        <w:rPr>
          <w:color w:val="auto"/>
          <w:sz w:val="28"/>
        </w:rPr>
      </w:pPr>
      <w:r>
        <w:rPr>
          <w:color w:val="auto"/>
          <w:sz w:val="28"/>
        </w:rPr>
        <w:t>2.机械伤害</w:t>
      </w:r>
    </w:p>
    <w:p w14:paraId="7D0769FF">
      <w:pPr>
        <w:spacing w:line="360" w:lineRule="auto"/>
        <w:ind w:firstLine="561"/>
        <w:rPr>
          <w:color w:val="auto"/>
          <w:sz w:val="28"/>
        </w:rPr>
      </w:pPr>
      <w:r>
        <w:rPr>
          <w:color w:val="auto"/>
          <w:sz w:val="28"/>
        </w:rPr>
        <w:t>机械伤害是指机械设备运动（静止）部件、工具、加工件直接与人体接触引起的夹击、碰撞、剪切、卷入、绞、碾、割、刺等伤害，不包括车辆、起重机械引起的机械伤害。</w:t>
      </w:r>
    </w:p>
    <w:p w14:paraId="33D796E0">
      <w:pPr>
        <w:spacing w:line="360" w:lineRule="auto"/>
        <w:ind w:firstLine="561"/>
        <w:rPr>
          <w:color w:val="auto"/>
          <w:sz w:val="28"/>
        </w:rPr>
      </w:pPr>
      <w:r>
        <w:rPr>
          <w:color w:val="auto"/>
          <w:sz w:val="28"/>
        </w:rPr>
        <w:t>矿山造成的机械伤害事故，主要是由于人的违章指挥、违章操作造成的。常见的因素有：</w:t>
      </w:r>
    </w:p>
    <w:p w14:paraId="2AEB9C88">
      <w:pPr>
        <w:spacing w:line="360" w:lineRule="auto"/>
        <w:ind w:firstLine="561"/>
        <w:rPr>
          <w:color w:val="auto"/>
          <w:sz w:val="28"/>
        </w:rPr>
      </w:pPr>
      <w:bookmarkStart w:id="398" w:name="_Toc154048592"/>
      <w:r>
        <w:rPr>
          <w:color w:val="auto"/>
          <w:sz w:val="28"/>
        </w:rPr>
        <w:t>（1）穿戴不符合安全规定的服装进行操作；</w:t>
      </w:r>
    </w:p>
    <w:p w14:paraId="3C746481">
      <w:pPr>
        <w:spacing w:line="360" w:lineRule="auto"/>
        <w:ind w:firstLine="561"/>
        <w:rPr>
          <w:color w:val="auto"/>
          <w:sz w:val="28"/>
        </w:rPr>
      </w:pPr>
      <w:r>
        <w:rPr>
          <w:color w:val="auto"/>
          <w:sz w:val="28"/>
        </w:rPr>
        <w:t>（2）违章操作；</w:t>
      </w:r>
    </w:p>
    <w:p w14:paraId="46EDB543">
      <w:pPr>
        <w:spacing w:line="360" w:lineRule="auto"/>
        <w:ind w:firstLine="561"/>
        <w:rPr>
          <w:color w:val="auto"/>
          <w:sz w:val="28"/>
        </w:rPr>
      </w:pPr>
      <w:r>
        <w:rPr>
          <w:color w:val="auto"/>
          <w:sz w:val="28"/>
        </w:rPr>
        <w:t>（3）机械设备安全防护装置缺乏或损坏、被拆除等，导致事故发生；</w:t>
      </w:r>
    </w:p>
    <w:p w14:paraId="370CBF74">
      <w:pPr>
        <w:spacing w:line="360" w:lineRule="auto"/>
        <w:ind w:firstLine="561"/>
        <w:rPr>
          <w:color w:val="auto"/>
          <w:sz w:val="28"/>
        </w:rPr>
      </w:pPr>
      <w:r>
        <w:rPr>
          <w:color w:val="auto"/>
          <w:sz w:val="28"/>
        </w:rPr>
        <w:t>（4）操作过程中衣物、头发、工具进入运转机械导致身体被运动机械拖带伤害；</w:t>
      </w:r>
    </w:p>
    <w:p w14:paraId="7E84485D">
      <w:pPr>
        <w:spacing w:line="360" w:lineRule="auto"/>
        <w:ind w:firstLine="561"/>
        <w:rPr>
          <w:color w:val="auto"/>
          <w:sz w:val="28"/>
        </w:rPr>
      </w:pPr>
      <w:r>
        <w:rPr>
          <w:color w:val="auto"/>
          <w:sz w:val="28"/>
        </w:rPr>
        <w:t>（5）操作人员疏忽大意，身体进入机械危险部位；</w:t>
      </w:r>
    </w:p>
    <w:p w14:paraId="2B70AE64">
      <w:pPr>
        <w:spacing w:line="360" w:lineRule="auto"/>
        <w:ind w:firstLine="561"/>
        <w:rPr>
          <w:color w:val="auto"/>
          <w:sz w:val="28"/>
        </w:rPr>
      </w:pPr>
      <w:r>
        <w:rPr>
          <w:color w:val="auto"/>
          <w:sz w:val="28"/>
        </w:rPr>
        <w:t>（6）在检修和正常工作时，机器突然被别人随意启动，导致事故发生；</w:t>
      </w:r>
    </w:p>
    <w:p w14:paraId="0318809E">
      <w:pPr>
        <w:spacing w:line="360" w:lineRule="auto"/>
        <w:ind w:firstLine="561"/>
        <w:rPr>
          <w:color w:val="auto"/>
          <w:sz w:val="28"/>
        </w:rPr>
      </w:pPr>
      <w:r>
        <w:rPr>
          <w:color w:val="auto"/>
          <w:sz w:val="28"/>
        </w:rPr>
        <w:t>（7）在不安全的机械上停留、休息，导致事故发生；</w:t>
      </w:r>
    </w:p>
    <w:p w14:paraId="25194740">
      <w:pPr>
        <w:spacing w:line="360" w:lineRule="auto"/>
        <w:ind w:firstLine="561"/>
        <w:rPr>
          <w:color w:val="auto"/>
          <w:sz w:val="28"/>
        </w:rPr>
      </w:pPr>
      <w:r>
        <w:rPr>
          <w:color w:val="auto"/>
          <w:sz w:val="28"/>
        </w:rPr>
        <w:t>（8）设备设施设计、选型不合理或安装存在缺陷；</w:t>
      </w:r>
    </w:p>
    <w:p w14:paraId="47A7D3FD">
      <w:pPr>
        <w:spacing w:line="360" w:lineRule="auto"/>
        <w:ind w:firstLine="561"/>
        <w:rPr>
          <w:color w:val="auto"/>
          <w:sz w:val="28"/>
        </w:rPr>
      </w:pPr>
      <w:r>
        <w:rPr>
          <w:color w:val="auto"/>
          <w:sz w:val="28"/>
        </w:rPr>
        <w:t>（9）设备设施没有按规定进行维护或特种设备没有定期检测检验；</w:t>
      </w:r>
    </w:p>
    <w:p w14:paraId="0215B008">
      <w:pPr>
        <w:spacing w:line="360" w:lineRule="auto"/>
        <w:ind w:firstLine="561"/>
        <w:rPr>
          <w:color w:val="auto"/>
          <w:sz w:val="28"/>
        </w:rPr>
      </w:pPr>
      <w:r>
        <w:rPr>
          <w:color w:val="auto"/>
          <w:sz w:val="28"/>
        </w:rPr>
        <w:t>（10）安全管理上存在不足。</w:t>
      </w:r>
      <w:bookmarkEnd w:id="398"/>
    </w:p>
    <w:p w14:paraId="193A9E4A">
      <w:pPr>
        <w:spacing w:line="360" w:lineRule="auto"/>
        <w:ind w:firstLine="561"/>
        <w:rPr>
          <w:color w:val="auto"/>
          <w:sz w:val="28"/>
        </w:rPr>
      </w:pPr>
      <w:r>
        <w:rPr>
          <w:color w:val="auto"/>
          <w:sz w:val="28"/>
        </w:rPr>
        <w:t>3.放炮伤害</w:t>
      </w:r>
    </w:p>
    <w:p w14:paraId="08890CF3">
      <w:pPr>
        <w:spacing w:line="360" w:lineRule="auto"/>
        <w:ind w:firstLine="560" w:firstLineChars="200"/>
        <w:jc w:val="left"/>
        <w:rPr>
          <w:color w:val="auto"/>
          <w:sz w:val="28"/>
        </w:rPr>
      </w:pPr>
      <w:r>
        <w:rPr>
          <w:color w:val="auto"/>
          <w:sz w:val="28"/>
        </w:rPr>
        <w:t>放炮伤害是指爆破作业中发生的伤亡事故。</w:t>
      </w:r>
    </w:p>
    <w:p w14:paraId="1DF1FB9C">
      <w:pPr>
        <w:spacing w:line="360" w:lineRule="auto"/>
        <w:ind w:firstLine="560" w:firstLineChars="200"/>
        <w:jc w:val="left"/>
        <w:rPr>
          <w:color w:val="auto"/>
          <w:sz w:val="28"/>
        </w:rPr>
      </w:pPr>
      <w:r>
        <w:rPr>
          <w:color w:val="auto"/>
          <w:sz w:val="28"/>
        </w:rPr>
        <w:t>在运输道路施工过程中爆破时，未按《爆破安全规程》的规定进行爆破，不严格按照设计进行布孔（凿岩）、装药、连线和起爆，或者爆破人员未经培训无证上岗，打残眼、使用的爆破器材质量不合格或已过期，产生拒爆、早爆、延爆等违章作业现象发生或警戒不严，有可能导致放炮伤害发生。</w:t>
      </w:r>
    </w:p>
    <w:p w14:paraId="7EBA1C80">
      <w:pPr>
        <w:spacing w:line="360" w:lineRule="auto"/>
        <w:ind w:firstLine="560" w:firstLineChars="200"/>
        <w:jc w:val="left"/>
        <w:rPr>
          <w:color w:val="auto"/>
          <w:sz w:val="28"/>
        </w:rPr>
      </w:pPr>
      <w:r>
        <w:rPr>
          <w:color w:val="auto"/>
          <w:sz w:val="28"/>
        </w:rPr>
        <w:t>（1）引起放炮伤害事故的原因：</w:t>
      </w:r>
    </w:p>
    <w:p w14:paraId="43F13B7B">
      <w:pPr>
        <w:spacing w:line="360" w:lineRule="auto"/>
        <w:ind w:firstLine="560" w:firstLineChars="200"/>
        <w:jc w:val="left"/>
        <w:rPr>
          <w:color w:val="auto"/>
          <w:sz w:val="28"/>
        </w:rPr>
      </w:pPr>
      <w:r>
        <w:rPr>
          <w:rFonts w:cs="宋体"/>
          <w:color w:val="auto"/>
          <w:sz w:val="28"/>
        </w:rPr>
        <w:t>①</w:t>
      </w:r>
      <w:r>
        <w:rPr>
          <w:color w:val="auto"/>
          <w:sz w:val="28"/>
        </w:rPr>
        <w:t>装药工艺不合理或违章作业；</w:t>
      </w:r>
    </w:p>
    <w:p w14:paraId="0CFDAC98">
      <w:pPr>
        <w:spacing w:line="360" w:lineRule="auto"/>
        <w:ind w:firstLine="560" w:firstLineChars="200"/>
        <w:jc w:val="left"/>
        <w:rPr>
          <w:color w:val="auto"/>
          <w:sz w:val="28"/>
        </w:rPr>
      </w:pPr>
      <w:r>
        <w:rPr>
          <w:rFonts w:cs="宋体"/>
          <w:color w:val="auto"/>
          <w:sz w:val="28"/>
        </w:rPr>
        <w:t>②</w:t>
      </w:r>
      <w:r>
        <w:rPr>
          <w:color w:val="auto"/>
          <w:sz w:val="28"/>
        </w:rPr>
        <w:t>起爆工艺不合理或违章作业；</w:t>
      </w:r>
    </w:p>
    <w:p w14:paraId="2AD21F4D">
      <w:pPr>
        <w:spacing w:line="360" w:lineRule="auto"/>
        <w:ind w:firstLine="560" w:firstLineChars="200"/>
        <w:jc w:val="left"/>
        <w:rPr>
          <w:rFonts w:cs="宋体"/>
          <w:color w:val="auto"/>
          <w:sz w:val="28"/>
        </w:rPr>
      </w:pPr>
      <w:r>
        <w:rPr>
          <w:rFonts w:cs="宋体"/>
          <w:color w:val="auto"/>
          <w:sz w:val="28"/>
        </w:rPr>
        <w:t>③未圈定爆破警戒或警戒不到位；</w:t>
      </w:r>
    </w:p>
    <w:p w14:paraId="74BE5967">
      <w:pPr>
        <w:spacing w:line="360" w:lineRule="auto"/>
        <w:ind w:firstLine="560" w:firstLineChars="200"/>
        <w:jc w:val="left"/>
        <w:rPr>
          <w:rFonts w:cs="宋体"/>
          <w:color w:val="auto"/>
          <w:sz w:val="28"/>
        </w:rPr>
      </w:pPr>
      <w:r>
        <w:rPr>
          <w:rFonts w:cs="宋体"/>
          <w:color w:val="auto"/>
          <w:sz w:val="28"/>
        </w:rPr>
        <w:t>④人员没有撤离到安全区域就起爆；</w:t>
      </w:r>
    </w:p>
    <w:p w14:paraId="5CB760E0">
      <w:pPr>
        <w:spacing w:line="360" w:lineRule="auto"/>
        <w:ind w:firstLine="560" w:firstLineChars="200"/>
        <w:jc w:val="left"/>
        <w:rPr>
          <w:rFonts w:cs="宋体"/>
          <w:color w:val="auto"/>
          <w:sz w:val="28"/>
        </w:rPr>
      </w:pPr>
      <w:r>
        <w:rPr>
          <w:rFonts w:cs="宋体"/>
          <w:color w:val="auto"/>
          <w:sz w:val="28"/>
        </w:rPr>
        <w:t>⑤爆破时使用不合格的雷管或导爆管；</w:t>
      </w:r>
    </w:p>
    <w:p w14:paraId="50AD99D7">
      <w:pPr>
        <w:spacing w:line="360" w:lineRule="auto"/>
        <w:ind w:firstLine="560" w:firstLineChars="200"/>
        <w:jc w:val="left"/>
        <w:rPr>
          <w:rFonts w:cs="宋体"/>
          <w:color w:val="auto"/>
          <w:sz w:val="28"/>
        </w:rPr>
      </w:pPr>
      <w:r>
        <w:rPr>
          <w:rFonts w:cs="宋体"/>
          <w:color w:val="auto"/>
          <w:sz w:val="28"/>
        </w:rPr>
        <w:t>⑥采用质量不合格或过期的爆破器材，发生拒爆、早爆、延爆；</w:t>
      </w:r>
    </w:p>
    <w:p w14:paraId="2B1E2410">
      <w:pPr>
        <w:spacing w:line="360" w:lineRule="auto"/>
        <w:ind w:firstLine="560" w:firstLineChars="200"/>
        <w:jc w:val="left"/>
        <w:rPr>
          <w:rFonts w:cs="宋体"/>
          <w:color w:val="auto"/>
          <w:sz w:val="28"/>
        </w:rPr>
      </w:pPr>
      <w:r>
        <w:rPr>
          <w:rFonts w:cs="宋体"/>
          <w:color w:val="auto"/>
          <w:sz w:val="28"/>
        </w:rPr>
        <w:t>⑦其他违章作业；</w:t>
      </w:r>
    </w:p>
    <w:p w14:paraId="2659F6FB">
      <w:pPr>
        <w:spacing w:line="360" w:lineRule="auto"/>
        <w:ind w:firstLine="560" w:firstLineChars="200"/>
        <w:jc w:val="left"/>
        <w:rPr>
          <w:rFonts w:cs="宋体"/>
          <w:color w:val="auto"/>
          <w:sz w:val="28"/>
        </w:rPr>
      </w:pPr>
      <w:r>
        <w:rPr>
          <w:rFonts w:cs="宋体"/>
          <w:color w:val="auto"/>
          <w:sz w:val="28"/>
        </w:rPr>
        <w:t>⑧无爆破设计或设计不当等；</w:t>
      </w:r>
    </w:p>
    <w:p w14:paraId="04923BF5">
      <w:pPr>
        <w:spacing w:line="360" w:lineRule="auto"/>
        <w:ind w:firstLine="560" w:firstLineChars="200"/>
        <w:jc w:val="left"/>
        <w:rPr>
          <w:rFonts w:cs="宋体"/>
          <w:color w:val="auto"/>
          <w:sz w:val="28"/>
        </w:rPr>
      </w:pPr>
      <w:r>
        <w:rPr>
          <w:rFonts w:cs="宋体"/>
          <w:color w:val="auto"/>
          <w:sz w:val="28"/>
        </w:rPr>
        <w:t>⑨爆破作业后，没有检查或检查不彻底，没有清除未爆破的残余炸药和雷管。</w:t>
      </w:r>
    </w:p>
    <w:p w14:paraId="37219EF5">
      <w:pPr>
        <w:spacing w:line="360" w:lineRule="auto"/>
        <w:ind w:firstLine="560" w:firstLineChars="200"/>
        <w:jc w:val="left"/>
        <w:rPr>
          <w:rFonts w:cs="Times New Roman"/>
          <w:color w:val="auto"/>
          <w:sz w:val="28"/>
        </w:rPr>
      </w:pPr>
      <w:r>
        <w:rPr>
          <w:rFonts w:cs="Times New Roman"/>
          <w:color w:val="auto"/>
          <w:sz w:val="28"/>
        </w:rPr>
        <w:t>（2）容易发生放炮伤害事故的场所：</w:t>
      </w:r>
    </w:p>
    <w:p w14:paraId="4B5FC2B2">
      <w:pPr>
        <w:spacing w:line="360" w:lineRule="auto"/>
        <w:ind w:firstLine="560" w:firstLineChars="200"/>
        <w:jc w:val="left"/>
        <w:rPr>
          <w:rFonts w:cs="宋体"/>
          <w:color w:val="auto"/>
          <w:sz w:val="28"/>
        </w:rPr>
      </w:pPr>
      <w:r>
        <w:rPr>
          <w:rFonts w:cs="宋体"/>
          <w:color w:val="auto"/>
          <w:sz w:val="28"/>
        </w:rPr>
        <w:t>①爆破作业点；</w:t>
      </w:r>
    </w:p>
    <w:p w14:paraId="157A3871">
      <w:pPr>
        <w:spacing w:line="360" w:lineRule="auto"/>
        <w:ind w:firstLine="560" w:firstLineChars="200"/>
        <w:jc w:val="left"/>
        <w:rPr>
          <w:rFonts w:cs="宋体"/>
          <w:color w:val="auto"/>
          <w:sz w:val="28"/>
        </w:rPr>
      </w:pPr>
      <w:r>
        <w:rPr>
          <w:rFonts w:cs="宋体"/>
          <w:color w:val="auto"/>
          <w:sz w:val="28"/>
        </w:rPr>
        <w:t>②爆破作业时的道路运输系统；</w:t>
      </w:r>
    </w:p>
    <w:p w14:paraId="6A1CAECC">
      <w:pPr>
        <w:spacing w:line="360" w:lineRule="auto"/>
        <w:ind w:firstLine="560" w:firstLineChars="200"/>
        <w:jc w:val="left"/>
        <w:rPr>
          <w:rFonts w:cs="宋体"/>
          <w:color w:val="auto"/>
          <w:sz w:val="28"/>
        </w:rPr>
      </w:pPr>
      <w:r>
        <w:rPr>
          <w:rFonts w:cs="宋体"/>
          <w:color w:val="auto"/>
          <w:sz w:val="28"/>
        </w:rPr>
        <w:t>③爆破后的道路；</w:t>
      </w:r>
    </w:p>
    <w:p w14:paraId="105096BB">
      <w:pPr>
        <w:spacing w:line="360" w:lineRule="auto"/>
        <w:ind w:firstLine="560" w:firstLineChars="200"/>
        <w:jc w:val="left"/>
        <w:rPr>
          <w:rFonts w:cs="宋体"/>
          <w:color w:val="auto"/>
          <w:sz w:val="28"/>
        </w:rPr>
      </w:pPr>
      <w:r>
        <w:rPr>
          <w:rFonts w:cs="宋体"/>
          <w:color w:val="auto"/>
          <w:sz w:val="28"/>
        </w:rPr>
        <w:t>④起爆药包加工点等；</w:t>
      </w:r>
    </w:p>
    <w:p w14:paraId="700ED5DA">
      <w:pPr>
        <w:spacing w:line="360" w:lineRule="auto"/>
        <w:ind w:firstLine="560" w:firstLineChars="200"/>
        <w:jc w:val="left"/>
        <w:rPr>
          <w:rFonts w:cs="宋体"/>
          <w:color w:val="auto"/>
          <w:sz w:val="28"/>
        </w:rPr>
      </w:pPr>
      <w:r>
        <w:rPr>
          <w:rFonts w:cs="宋体"/>
          <w:color w:val="auto"/>
          <w:sz w:val="28"/>
        </w:rPr>
        <w:t>⑤瞎炮处理过程中。</w:t>
      </w:r>
    </w:p>
    <w:p w14:paraId="662AFD55">
      <w:pPr>
        <w:spacing w:line="360" w:lineRule="auto"/>
        <w:ind w:firstLine="560" w:firstLineChars="200"/>
        <w:rPr>
          <w:bCs/>
          <w:snapToGrid w:val="0"/>
          <w:color w:val="auto"/>
          <w:kern w:val="0"/>
          <w:sz w:val="28"/>
        </w:rPr>
      </w:pPr>
      <w:r>
        <w:rPr>
          <w:bCs/>
          <w:snapToGrid w:val="0"/>
          <w:color w:val="auto"/>
          <w:kern w:val="0"/>
          <w:sz w:val="28"/>
        </w:rPr>
        <w:t>4.火药爆炸</w:t>
      </w:r>
    </w:p>
    <w:p w14:paraId="05B5C1C6">
      <w:pPr>
        <w:spacing w:line="360" w:lineRule="auto"/>
        <w:ind w:firstLine="560" w:firstLineChars="200"/>
        <w:jc w:val="left"/>
        <w:rPr>
          <w:color w:val="auto"/>
          <w:sz w:val="28"/>
        </w:rPr>
      </w:pPr>
      <w:r>
        <w:rPr>
          <w:color w:val="auto"/>
          <w:sz w:val="28"/>
        </w:rPr>
        <w:t>火药爆炸是指炸药及其制品存储、使用过程中发生的爆炸事故，本项目只涉及炸药在使用、存储中发生的爆炸事故。引起火药爆炸的主要原因：</w:t>
      </w:r>
    </w:p>
    <w:p w14:paraId="05A74AB4">
      <w:pPr>
        <w:spacing w:line="360" w:lineRule="auto"/>
        <w:ind w:firstLine="560" w:firstLineChars="200"/>
        <w:jc w:val="left"/>
        <w:rPr>
          <w:color w:val="auto"/>
          <w:sz w:val="28"/>
        </w:rPr>
      </w:pPr>
      <w:r>
        <w:rPr>
          <w:color w:val="auto"/>
          <w:sz w:val="28"/>
        </w:rPr>
        <w:t>（1）炸药控制不合格；炸药质量不合格；</w:t>
      </w:r>
    </w:p>
    <w:p w14:paraId="13BC02A1">
      <w:pPr>
        <w:spacing w:line="360" w:lineRule="auto"/>
        <w:ind w:firstLine="560" w:firstLineChars="200"/>
        <w:jc w:val="left"/>
        <w:rPr>
          <w:color w:val="auto"/>
          <w:sz w:val="28"/>
        </w:rPr>
      </w:pPr>
      <w:r>
        <w:rPr>
          <w:color w:val="auto"/>
          <w:sz w:val="28"/>
        </w:rPr>
        <w:t>（2）炸药储存点、现场加工管理不规范；</w:t>
      </w:r>
    </w:p>
    <w:p w14:paraId="2AB978B5">
      <w:pPr>
        <w:spacing w:line="360" w:lineRule="auto"/>
        <w:ind w:firstLine="560" w:firstLineChars="200"/>
        <w:jc w:val="left"/>
        <w:rPr>
          <w:color w:val="auto"/>
          <w:sz w:val="28"/>
        </w:rPr>
      </w:pPr>
      <w:r>
        <w:rPr>
          <w:color w:val="auto"/>
          <w:sz w:val="28"/>
        </w:rPr>
        <w:t>（3）炸药运输过程中遇到明火、高温物体；</w:t>
      </w:r>
    </w:p>
    <w:p w14:paraId="4F28F93C">
      <w:pPr>
        <w:spacing w:line="360" w:lineRule="auto"/>
        <w:ind w:firstLine="560" w:firstLineChars="200"/>
        <w:jc w:val="left"/>
        <w:rPr>
          <w:color w:val="auto"/>
          <w:sz w:val="28"/>
        </w:rPr>
      </w:pPr>
      <w:r>
        <w:rPr>
          <w:color w:val="auto"/>
          <w:sz w:val="28"/>
        </w:rPr>
        <w:t>（4）炸药运输过程中强烈振动或摩擦或受到撞击；</w:t>
      </w:r>
    </w:p>
    <w:p w14:paraId="25B30F85">
      <w:pPr>
        <w:spacing w:line="360" w:lineRule="auto"/>
        <w:ind w:firstLine="560" w:firstLineChars="200"/>
        <w:jc w:val="left"/>
        <w:rPr>
          <w:color w:val="auto"/>
          <w:sz w:val="28"/>
        </w:rPr>
      </w:pPr>
      <w:r>
        <w:rPr>
          <w:color w:val="auto"/>
          <w:sz w:val="28"/>
        </w:rPr>
        <w:t>（5）炸药、雷管混装、混运；</w:t>
      </w:r>
    </w:p>
    <w:p w14:paraId="0EEA9B30">
      <w:pPr>
        <w:spacing w:line="360" w:lineRule="auto"/>
        <w:ind w:firstLine="560" w:firstLineChars="200"/>
        <w:jc w:val="left"/>
        <w:rPr>
          <w:color w:val="auto"/>
          <w:sz w:val="28"/>
        </w:rPr>
      </w:pPr>
      <w:r>
        <w:rPr>
          <w:color w:val="auto"/>
          <w:sz w:val="28"/>
        </w:rPr>
        <w:t>（6）运送炸药过程中出现意外情况等；</w:t>
      </w:r>
    </w:p>
    <w:p w14:paraId="57A0A0B8">
      <w:pPr>
        <w:spacing w:line="360" w:lineRule="auto"/>
        <w:ind w:firstLine="560" w:firstLineChars="200"/>
        <w:jc w:val="left"/>
        <w:rPr>
          <w:color w:val="auto"/>
          <w:sz w:val="28"/>
        </w:rPr>
      </w:pPr>
      <w:r>
        <w:rPr>
          <w:color w:val="auto"/>
          <w:sz w:val="28"/>
        </w:rPr>
        <w:t>（7）雷击引发的火药爆炸；</w:t>
      </w:r>
    </w:p>
    <w:p w14:paraId="217A620A">
      <w:pPr>
        <w:spacing w:line="360" w:lineRule="auto"/>
        <w:ind w:firstLine="560" w:firstLineChars="200"/>
        <w:jc w:val="left"/>
        <w:rPr>
          <w:color w:val="auto"/>
          <w:sz w:val="28"/>
        </w:rPr>
      </w:pPr>
      <w:r>
        <w:rPr>
          <w:color w:val="auto"/>
          <w:sz w:val="28"/>
        </w:rPr>
        <w:t>（8）静电感应引起的火药爆炸。</w:t>
      </w:r>
    </w:p>
    <w:p w14:paraId="3B55D36A">
      <w:pPr>
        <w:spacing w:line="360" w:lineRule="auto"/>
        <w:ind w:firstLine="560" w:firstLineChars="200"/>
        <w:jc w:val="left"/>
        <w:rPr>
          <w:color w:val="auto"/>
        </w:rPr>
      </w:pPr>
      <w:r>
        <w:rPr>
          <w:color w:val="auto"/>
          <w:sz w:val="28"/>
        </w:rPr>
        <w:t>可能存在部位：爆破器材现场存放点，爆破使用点等。</w:t>
      </w:r>
    </w:p>
    <w:p w14:paraId="674A92D9">
      <w:pPr>
        <w:spacing w:line="360" w:lineRule="auto"/>
        <w:ind w:firstLine="561"/>
        <w:rPr>
          <w:color w:val="auto"/>
          <w:sz w:val="28"/>
        </w:rPr>
      </w:pPr>
      <w:r>
        <w:rPr>
          <w:color w:val="auto"/>
          <w:sz w:val="28"/>
        </w:rPr>
        <w:t>5.高处坠落</w:t>
      </w:r>
    </w:p>
    <w:p w14:paraId="409BB73B">
      <w:pPr>
        <w:spacing w:line="360" w:lineRule="auto"/>
        <w:ind w:firstLine="561"/>
        <w:rPr>
          <w:color w:val="auto"/>
          <w:sz w:val="28"/>
        </w:rPr>
      </w:pPr>
      <w:r>
        <w:rPr>
          <w:color w:val="auto"/>
          <w:sz w:val="28"/>
        </w:rPr>
        <w:t>高处坠落是指在高处作业中发生坠落造成的伤亡事故。</w:t>
      </w:r>
    </w:p>
    <w:p w14:paraId="6D766063">
      <w:pPr>
        <w:spacing w:line="360" w:lineRule="auto"/>
        <w:ind w:firstLine="561"/>
        <w:rPr>
          <w:color w:val="auto"/>
          <w:sz w:val="28"/>
        </w:rPr>
      </w:pPr>
      <w:r>
        <w:rPr>
          <w:color w:val="auto"/>
          <w:sz w:val="28"/>
        </w:rPr>
        <w:t>该项目高处坠落主要存在于各类相对于坠落基准面2m及以上的作业平台等处，易发生高处坠落伤亡事故。</w:t>
      </w:r>
    </w:p>
    <w:p w14:paraId="160407B1">
      <w:pPr>
        <w:spacing w:line="360" w:lineRule="auto"/>
        <w:ind w:firstLine="561"/>
        <w:rPr>
          <w:color w:val="auto"/>
          <w:sz w:val="28"/>
        </w:rPr>
      </w:pPr>
      <w:r>
        <w:rPr>
          <w:color w:val="auto"/>
          <w:sz w:val="28"/>
        </w:rPr>
        <w:t>造成高处坠落的主要因素有：</w:t>
      </w:r>
    </w:p>
    <w:p w14:paraId="140EDC1E">
      <w:pPr>
        <w:spacing w:line="360" w:lineRule="auto"/>
        <w:ind w:firstLine="561"/>
        <w:rPr>
          <w:color w:val="auto"/>
          <w:sz w:val="28"/>
        </w:rPr>
      </w:pPr>
      <w:r>
        <w:rPr>
          <w:color w:val="auto"/>
          <w:sz w:val="28"/>
        </w:rPr>
        <w:t>（1）采场工作平台宽度不足，平台边沿矿岩松散、不稳固，设备在平台边缘作业，导致设备坠落、倾翻造成人员伤害、设备损坏。</w:t>
      </w:r>
    </w:p>
    <w:p w14:paraId="43C05E0E">
      <w:pPr>
        <w:spacing w:line="360" w:lineRule="auto"/>
        <w:ind w:firstLine="561"/>
        <w:rPr>
          <w:color w:val="auto"/>
          <w:sz w:val="28"/>
        </w:rPr>
      </w:pPr>
      <w:r>
        <w:rPr>
          <w:color w:val="auto"/>
          <w:sz w:val="28"/>
        </w:rPr>
        <w:t>（2）因采场危险区域内、采场顶部等未设置安全警示标志，外来人员、牲畜进入采场上部危险区域；夜间作业未设置照明设施；</w:t>
      </w:r>
    </w:p>
    <w:p w14:paraId="4F11B0C6">
      <w:pPr>
        <w:spacing w:line="360" w:lineRule="auto"/>
        <w:ind w:firstLine="561"/>
        <w:rPr>
          <w:color w:val="auto"/>
          <w:sz w:val="28"/>
        </w:rPr>
      </w:pPr>
      <w:r>
        <w:rPr>
          <w:color w:val="auto"/>
          <w:sz w:val="28"/>
        </w:rPr>
        <w:t>（3）高处作业未制定作业规程，现场安全管理不到位；</w:t>
      </w:r>
    </w:p>
    <w:p w14:paraId="3FDCAE60">
      <w:pPr>
        <w:spacing w:line="360" w:lineRule="auto"/>
        <w:ind w:firstLine="561"/>
        <w:rPr>
          <w:color w:val="auto"/>
          <w:sz w:val="28"/>
        </w:rPr>
      </w:pPr>
      <w:r>
        <w:rPr>
          <w:color w:val="auto"/>
          <w:sz w:val="28"/>
        </w:rPr>
        <w:t>（4）高处作业时安全防护设施损坏或高处作业时无人监护或主观判断失误等；</w:t>
      </w:r>
    </w:p>
    <w:p w14:paraId="6E3D5F00">
      <w:pPr>
        <w:spacing w:line="360" w:lineRule="auto"/>
        <w:ind w:firstLine="561"/>
        <w:rPr>
          <w:color w:val="auto"/>
          <w:sz w:val="28"/>
        </w:rPr>
      </w:pPr>
      <w:r>
        <w:rPr>
          <w:color w:val="auto"/>
          <w:sz w:val="28"/>
        </w:rPr>
        <w:t>（5）作业人员疏忽大意，疲劳过度。</w:t>
      </w:r>
    </w:p>
    <w:p w14:paraId="51FDF219">
      <w:pPr>
        <w:spacing w:line="360" w:lineRule="auto"/>
        <w:ind w:firstLine="561"/>
        <w:rPr>
          <w:color w:val="auto"/>
          <w:sz w:val="28"/>
        </w:rPr>
      </w:pPr>
      <w:r>
        <w:rPr>
          <w:color w:val="auto"/>
          <w:sz w:val="28"/>
        </w:rPr>
        <w:t>6.物体打击</w:t>
      </w:r>
    </w:p>
    <w:p w14:paraId="57607B7F">
      <w:pPr>
        <w:spacing w:line="360" w:lineRule="auto"/>
        <w:ind w:firstLine="561"/>
        <w:rPr>
          <w:color w:val="auto"/>
          <w:sz w:val="28"/>
        </w:rPr>
      </w:pPr>
      <w:r>
        <w:rPr>
          <w:color w:val="auto"/>
          <w:sz w:val="28"/>
        </w:rPr>
        <w:t>物体打击是指物体在重力或其它外力的作用下产生运动，打击人体造成人身伤亡事故。</w:t>
      </w:r>
    </w:p>
    <w:p w14:paraId="03AC122C">
      <w:pPr>
        <w:spacing w:line="360" w:lineRule="auto"/>
        <w:ind w:firstLine="561"/>
        <w:rPr>
          <w:color w:val="auto"/>
          <w:sz w:val="28"/>
        </w:rPr>
      </w:pPr>
      <w:r>
        <w:rPr>
          <w:color w:val="auto"/>
          <w:sz w:val="28"/>
        </w:rPr>
        <w:t>造成物体打击伤害的原因多种多样，主要有：</w:t>
      </w:r>
    </w:p>
    <w:p w14:paraId="3208DE09">
      <w:pPr>
        <w:spacing w:line="360" w:lineRule="auto"/>
        <w:ind w:firstLine="561"/>
        <w:rPr>
          <w:color w:val="auto"/>
          <w:sz w:val="28"/>
        </w:rPr>
      </w:pPr>
      <w:r>
        <w:rPr>
          <w:color w:val="auto"/>
          <w:sz w:val="28"/>
        </w:rPr>
        <w:t>（1）铲装作业过程中，铲装设备操作失误或违章作业；铲装作业时铲斗经过自卸汽车驾驶室，矿岩掉落；在边坡、挖掘半径内坐卧、停留；</w:t>
      </w:r>
    </w:p>
    <w:p w14:paraId="344FE7D2">
      <w:pPr>
        <w:spacing w:line="360" w:lineRule="auto"/>
        <w:ind w:firstLine="561"/>
        <w:rPr>
          <w:color w:val="auto"/>
          <w:sz w:val="28"/>
        </w:rPr>
      </w:pPr>
      <w:r>
        <w:rPr>
          <w:color w:val="auto"/>
          <w:sz w:val="28"/>
        </w:rPr>
        <w:t>（2）人员在工作地点下部的道路停留或通过；</w:t>
      </w:r>
    </w:p>
    <w:p w14:paraId="74E0B57C">
      <w:pPr>
        <w:spacing w:line="360" w:lineRule="auto"/>
        <w:ind w:firstLine="561"/>
        <w:rPr>
          <w:color w:val="auto"/>
          <w:sz w:val="28"/>
        </w:rPr>
      </w:pPr>
      <w:r>
        <w:rPr>
          <w:color w:val="auto"/>
          <w:sz w:val="28"/>
        </w:rPr>
        <w:t>（3）安全帽等劳保用品穿戴不齐等；</w:t>
      </w:r>
    </w:p>
    <w:p w14:paraId="5A8FF00C">
      <w:pPr>
        <w:spacing w:line="360" w:lineRule="auto"/>
        <w:ind w:firstLine="561"/>
        <w:rPr>
          <w:color w:val="auto"/>
          <w:sz w:val="28"/>
        </w:rPr>
      </w:pPr>
      <w:r>
        <w:rPr>
          <w:color w:val="auto"/>
          <w:sz w:val="28"/>
        </w:rPr>
        <w:t>（4）上、下台阶同时作业，上部台阶坠物及滚石对下部台阶作业人员造成伤害。</w:t>
      </w:r>
    </w:p>
    <w:p w14:paraId="024A970F">
      <w:pPr>
        <w:spacing w:line="360" w:lineRule="auto"/>
        <w:ind w:firstLine="561"/>
        <w:rPr>
          <w:color w:val="auto"/>
          <w:sz w:val="28"/>
        </w:rPr>
      </w:pPr>
      <w:r>
        <w:rPr>
          <w:color w:val="auto"/>
          <w:sz w:val="28"/>
        </w:rPr>
        <w:t>7.粉尘</w:t>
      </w:r>
    </w:p>
    <w:p w14:paraId="2AA31B9D">
      <w:pPr>
        <w:spacing w:line="360" w:lineRule="auto"/>
        <w:ind w:firstLine="561"/>
        <w:rPr>
          <w:color w:val="auto"/>
          <w:sz w:val="28"/>
        </w:rPr>
      </w:pPr>
      <w:r>
        <w:rPr>
          <w:color w:val="auto"/>
          <w:sz w:val="28"/>
        </w:rPr>
        <w:t>粉尘是开拓运输、施工等过程中产生的细粒状矿物或岩石粉尘。直径大于50μm的尘粒，在重力作用下会很快从气流中分离出来，沉落于地面，此类矿尘称为落尘。直径在0.01μm～50μm范围内的尘粒，能长时间悬浮于空气中，此类矿尘叫做浮尘。浮尘对矿山空气的污染和人体健康的危害最大。大风扬尘是露天矿山粉尘危害的又一表现形式。</w:t>
      </w:r>
    </w:p>
    <w:p w14:paraId="3022D2F2">
      <w:pPr>
        <w:spacing w:line="360" w:lineRule="auto"/>
        <w:ind w:firstLine="561"/>
        <w:rPr>
          <w:color w:val="auto"/>
          <w:sz w:val="28"/>
        </w:rPr>
      </w:pPr>
      <w:r>
        <w:rPr>
          <w:color w:val="auto"/>
          <w:sz w:val="28"/>
        </w:rPr>
        <w:t>矿岩转运作业等过程，产生大量有害的粉尘，凿岩爆破产生大量的粉尘，如未采取湿式作业，易造成粉尘危害</w:t>
      </w:r>
      <w:r>
        <w:rPr>
          <w:rFonts w:hint="eastAsia"/>
          <w:color w:val="auto"/>
          <w:sz w:val="28"/>
        </w:rPr>
        <w:t>。</w:t>
      </w:r>
    </w:p>
    <w:p w14:paraId="5BE6DC23">
      <w:pPr>
        <w:pStyle w:val="5"/>
        <w:keepNext/>
        <w:keepLines/>
        <w:snapToGrid w:val="0"/>
        <w:spacing w:line="360" w:lineRule="auto"/>
        <w:ind w:firstLine="562" w:firstLineChars="200"/>
        <w:jc w:val="left"/>
        <w:rPr>
          <w:rFonts w:cs="Times New Roman"/>
          <w:b/>
          <w:color w:val="auto"/>
          <w:sz w:val="28"/>
          <w:szCs w:val="32"/>
          <w:lang w:val="en-GB"/>
        </w:rPr>
      </w:pPr>
      <w:bookmarkStart w:id="399" w:name="_Toc24687"/>
      <w:bookmarkStart w:id="400" w:name="_Toc9304"/>
      <w:bookmarkStart w:id="401" w:name="_Toc3076"/>
      <w:bookmarkStart w:id="402" w:name="_Toc17516"/>
      <w:bookmarkStart w:id="403" w:name="_Toc29761"/>
      <w:r>
        <w:rPr>
          <w:rFonts w:hint="eastAsia" w:cs="Times New Roman"/>
          <w:b/>
          <w:color w:val="auto"/>
          <w:sz w:val="28"/>
          <w:szCs w:val="32"/>
          <w:lang w:val="en-GB"/>
        </w:rPr>
        <w:t>3.</w:t>
      </w:r>
      <w:r>
        <w:rPr>
          <w:rFonts w:hint="eastAsia" w:cs="Times New Roman"/>
          <w:b/>
          <w:color w:val="auto"/>
          <w:sz w:val="28"/>
          <w:szCs w:val="32"/>
        </w:rPr>
        <w:t>3</w:t>
      </w:r>
      <w:r>
        <w:rPr>
          <w:rFonts w:hint="eastAsia" w:cs="Times New Roman"/>
          <w:b/>
          <w:color w:val="auto"/>
          <w:sz w:val="28"/>
          <w:szCs w:val="32"/>
          <w:lang w:val="en-GB"/>
        </w:rPr>
        <w:t>.2预先危险性分析</w:t>
      </w:r>
      <w:bookmarkEnd w:id="387"/>
      <w:bookmarkEnd w:id="388"/>
      <w:bookmarkEnd w:id="389"/>
      <w:bookmarkEnd w:id="390"/>
      <w:bookmarkEnd w:id="391"/>
      <w:bookmarkEnd w:id="392"/>
      <w:bookmarkEnd w:id="393"/>
      <w:bookmarkEnd w:id="394"/>
      <w:bookmarkEnd w:id="395"/>
      <w:bookmarkEnd w:id="396"/>
      <w:bookmarkEnd w:id="397"/>
      <w:bookmarkEnd w:id="399"/>
      <w:bookmarkEnd w:id="400"/>
      <w:bookmarkEnd w:id="401"/>
      <w:bookmarkEnd w:id="402"/>
      <w:bookmarkEnd w:id="403"/>
    </w:p>
    <w:p w14:paraId="39597B85">
      <w:pPr>
        <w:snapToGrid w:val="0"/>
        <w:spacing w:line="360" w:lineRule="auto"/>
        <w:ind w:firstLine="560" w:firstLineChars="200"/>
        <w:rPr>
          <w:rFonts w:cs="Times New Roman"/>
          <w:color w:val="auto"/>
          <w:kern w:val="0"/>
          <w:sz w:val="28"/>
          <w:szCs w:val="28"/>
        </w:rPr>
      </w:pPr>
      <w:r>
        <w:rPr>
          <w:rFonts w:cs="Times New Roman"/>
          <w:color w:val="auto"/>
          <w:kern w:val="0"/>
          <w:sz w:val="28"/>
          <w:szCs w:val="28"/>
        </w:rPr>
        <w:t>根据矿山开拓运输危险有害因素辨识和分析结果进行PHA分析，预测事故出现对作业人员及生产过程产生的影响，判定已识别的危险性等级，并提出消除或控制危险性的措施。PHA分析见表</w:t>
      </w:r>
      <w:r>
        <w:rPr>
          <w:rFonts w:hint="eastAsia" w:cs="Times New Roman"/>
          <w:color w:val="auto"/>
          <w:kern w:val="0"/>
          <w:sz w:val="28"/>
          <w:szCs w:val="28"/>
        </w:rPr>
        <w:t>3.3-1。</w:t>
      </w:r>
    </w:p>
    <w:p w14:paraId="081DC0EF">
      <w:pPr>
        <w:snapToGrid w:val="0"/>
        <w:jc w:val="center"/>
        <w:rPr>
          <w:rFonts w:cs="Times New Roman"/>
          <w:bCs/>
          <w:color w:val="auto"/>
        </w:rPr>
      </w:pPr>
      <w:r>
        <w:rPr>
          <w:rFonts w:hint="eastAsia" w:cs="Times New Roman"/>
          <w:bCs/>
          <w:color w:val="auto"/>
        </w:rPr>
        <w:t>表 3.3-1  开拓运输单元预先危险性分析表</w:t>
      </w:r>
    </w:p>
    <w:p w14:paraId="2E1CEBF6">
      <w:pPr>
        <w:pStyle w:val="66"/>
        <w:spacing w:line="240" w:lineRule="auto"/>
        <w:ind w:firstLine="440"/>
        <w:rPr>
          <w:rFonts w:hint="default" w:eastAsia="宋体"/>
          <w:color w:val="auto"/>
          <w:sz w:val="22"/>
          <w:szCs w:val="22"/>
          <w:lang w:val="en-US" w:eastAsia="zh-CN"/>
        </w:rPr>
      </w:pPr>
      <w:bookmarkStart w:id="404" w:name="_Toc501120305"/>
      <w:bookmarkStart w:id="405" w:name="_Toc8189"/>
      <w:bookmarkStart w:id="406" w:name="_Toc929"/>
      <w:r>
        <w:rPr>
          <w:rFonts w:hint="eastAsia"/>
          <w:color w:val="auto"/>
          <w:sz w:val="22"/>
          <w:szCs w:val="22"/>
          <w:lang w:val="en-US" w:eastAsia="zh-CN"/>
        </w:rPr>
        <w:t>XX。</w:t>
      </w:r>
    </w:p>
    <w:p w14:paraId="097C9BC1">
      <w:pPr>
        <w:pStyle w:val="5"/>
        <w:keepNext/>
        <w:keepLines/>
        <w:snapToGrid w:val="0"/>
        <w:spacing w:line="360" w:lineRule="auto"/>
        <w:ind w:firstLine="562" w:firstLineChars="200"/>
        <w:jc w:val="left"/>
        <w:rPr>
          <w:rFonts w:cs="Times New Roman"/>
          <w:b/>
          <w:color w:val="auto"/>
          <w:sz w:val="28"/>
          <w:szCs w:val="32"/>
          <w:lang w:val="en-GB"/>
        </w:rPr>
      </w:pPr>
      <w:bookmarkStart w:id="407" w:name="_Toc26375"/>
      <w:bookmarkStart w:id="408" w:name="_Toc13450"/>
      <w:bookmarkStart w:id="409" w:name="_Toc28411"/>
      <w:bookmarkStart w:id="410" w:name="_Toc6658"/>
      <w:r>
        <w:rPr>
          <w:rFonts w:cs="Times New Roman"/>
          <w:b/>
          <w:color w:val="auto"/>
          <w:sz w:val="28"/>
          <w:szCs w:val="32"/>
          <w:lang w:val="en-GB"/>
        </w:rPr>
        <w:t>3.</w:t>
      </w:r>
      <w:r>
        <w:rPr>
          <w:rFonts w:hint="eastAsia" w:cs="Times New Roman"/>
          <w:b/>
          <w:color w:val="auto"/>
          <w:sz w:val="28"/>
          <w:szCs w:val="32"/>
        </w:rPr>
        <w:t>3</w:t>
      </w:r>
      <w:r>
        <w:rPr>
          <w:rFonts w:cs="Times New Roman"/>
          <w:b/>
          <w:color w:val="auto"/>
          <w:sz w:val="28"/>
          <w:szCs w:val="32"/>
          <w:lang w:val="en-GB"/>
        </w:rPr>
        <w:t>.</w:t>
      </w:r>
      <w:r>
        <w:rPr>
          <w:rFonts w:hint="eastAsia" w:cs="Times New Roman"/>
          <w:b/>
          <w:color w:val="auto"/>
          <w:sz w:val="28"/>
          <w:szCs w:val="32"/>
        </w:rPr>
        <w:t>3</w:t>
      </w:r>
      <w:r>
        <w:rPr>
          <w:rFonts w:cs="Times New Roman"/>
          <w:b/>
          <w:color w:val="auto"/>
          <w:sz w:val="28"/>
          <w:szCs w:val="32"/>
          <w:lang w:val="en-GB"/>
        </w:rPr>
        <w:t>安全检查表分析</w:t>
      </w:r>
      <w:bookmarkEnd w:id="407"/>
      <w:bookmarkEnd w:id="408"/>
      <w:bookmarkEnd w:id="409"/>
      <w:bookmarkEnd w:id="410"/>
    </w:p>
    <w:p w14:paraId="6BF97474">
      <w:pPr>
        <w:spacing w:line="360" w:lineRule="auto"/>
        <w:ind w:firstLine="560" w:firstLineChars="200"/>
        <w:rPr>
          <w:rFonts w:cs="Times New Roman"/>
          <w:color w:val="auto"/>
          <w:sz w:val="28"/>
          <w:szCs w:val="28"/>
        </w:rPr>
      </w:pPr>
      <w:r>
        <w:rPr>
          <w:rFonts w:cs="Times New Roman"/>
          <w:color w:val="auto"/>
          <w:sz w:val="28"/>
          <w:szCs w:val="28"/>
        </w:rPr>
        <w:t>依据《厂矿道路设计规范》（GBJ22</w:t>
      </w:r>
      <w:r>
        <w:rPr>
          <w:rFonts w:hint="eastAsia" w:cs="Times New Roman"/>
          <w:color w:val="auto"/>
          <w:sz w:val="28"/>
          <w:szCs w:val="28"/>
        </w:rPr>
        <w:t>-</w:t>
      </w:r>
      <w:r>
        <w:rPr>
          <w:rFonts w:cs="Times New Roman"/>
          <w:color w:val="auto"/>
          <w:sz w:val="28"/>
          <w:szCs w:val="28"/>
        </w:rPr>
        <w:t>87）及《金属非金属矿山安全规程》（GB16423</w:t>
      </w:r>
      <w:r>
        <w:rPr>
          <w:rFonts w:hint="eastAsia" w:cs="Times New Roman"/>
          <w:color w:val="auto"/>
          <w:sz w:val="28"/>
          <w:szCs w:val="28"/>
        </w:rPr>
        <w:t>-</w:t>
      </w:r>
      <w:r>
        <w:rPr>
          <w:rFonts w:cs="Times New Roman"/>
          <w:color w:val="auto"/>
          <w:sz w:val="28"/>
          <w:szCs w:val="28"/>
        </w:rPr>
        <w:t>20</w:t>
      </w:r>
      <w:r>
        <w:rPr>
          <w:rFonts w:hint="eastAsia" w:cs="Times New Roman"/>
          <w:color w:val="auto"/>
          <w:sz w:val="28"/>
          <w:szCs w:val="28"/>
        </w:rPr>
        <w:t>20</w:t>
      </w:r>
      <w:r>
        <w:rPr>
          <w:rFonts w:cs="Times New Roman"/>
          <w:color w:val="auto"/>
          <w:sz w:val="28"/>
          <w:szCs w:val="28"/>
        </w:rPr>
        <w:t>）的相关条款对建设项目《初步设计</w:t>
      </w:r>
      <w:r>
        <w:rPr>
          <w:rFonts w:hint="eastAsia" w:cs="Times New Roman"/>
          <w:color w:val="auto"/>
          <w:sz w:val="28"/>
          <w:szCs w:val="28"/>
        </w:rPr>
        <w:t>（代可研）</w:t>
      </w:r>
      <w:r>
        <w:rPr>
          <w:rFonts w:cs="Times New Roman"/>
          <w:color w:val="auto"/>
          <w:sz w:val="28"/>
          <w:szCs w:val="28"/>
        </w:rPr>
        <w:t>》中的开拓运输进行安全检查，见表3</w:t>
      </w:r>
      <w:r>
        <w:rPr>
          <w:rFonts w:hint="eastAsia" w:cs="Times New Roman"/>
          <w:color w:val="auto"/>
          <w:sz w:val="28"/>
          <w:szCs w:val="28"/>
        </w:rPr>
        <w:t>.3</w:t>
      </w:r>
      <w:r>
        <w:rPr>
          <w:rFonts w:cs="Times New Roman"/>
          <w:color w:val="auto"/>
          <w:sz w:val="28"/>
          <w:szCs w:val="28"/>
        </w:rPr>
        <w:t>-</w:t>
      </w:r>
      <w:r>
        <w:rPr>
          <w:rFonts w:hint="eastAsia" w:cs="Times New Roman"/>
          <w:color w:val="auto"/>
          <w:sz w:val="28"/>
          <w:szCs w:val="28"/>
        </w:rPr>
        <w:t>2</w:t>
      </w:r>
      <w:r>
        <w:rPr>
          <w:rFonts w:cs="Times New Roman"/>
          <w:color w:val="auto"/>
          <w:sz w:val="28"/>
          <w:szCs w:val="28"/>
        </w:rPr>
        <w:t>。</w:t>
      </w:r>
    </w:p>
    <w:p w14:paraId="2D139733">
      <w:pPr>
        <w:snapToGrid w:val="0"/>
        <w:jc w:val="center"/>
        <w:rPr>
          <w:rFonts w:cs="Times New Roman"/>
          <w:bCs/>
          <w:color w:val="auto"/>
          <w:lang w:eastAsia="zh-TW"/>
        </w:rPr>
      </w:pPr>
      <w:r>
        <w:rPr>
          <w:rFonts w:hint="eastAsia" w:cs="Times New Roman"/>
          <w:bCs/>
          <w:color w:val="auto"/>
        </w:rPr>
        <w:t xml:space="preserve">表 3.3-2   </w:t>
      </w:r>
      <w:r>
        <w:rPr>
          <w:rFonts w:cs="Times New Roman"/>
          <w:bCs/>
          <w:color w:val="auto"/>
        </w:rPr>
        <w:t>开拓运输</w:t>
      </w:r>
      <w:r>
        <w:rPr>
          <w:rFonts w:cs="Times New Roman"/>
          <w:bCs/>
          <w:color w:val="auto"/>
          <w:lang w:eastAsia="zh-TW"/>
        </w:rPr>
        <w:t>安全检查表</w:t>
      </w:r>
    </w:p>
    <w:p w14:paraId="28AD31E0">
      <w:pPr>
        <w:spacing w:line="360" w:lineRule="auto"/>
        <w:ind w:firstLine="560" w:firstLineChars="200"/>
        <w:rPr>
          <w:rFonts w:hint="default" w:cs="Times New Roman"/>
          <w:color w:val="auto"/>
          <w:sz w:val="28"/>
          <w:szCs w:val="28"/>
          <w:lang w:val="en-US" w:eastAsia="zh-CN"/>
        </w:rPr>
      </w:pPr>
      <w:r>
        <w:rPr>
          <w:rFonts w:hint="eastAsia" w:cs="Times New Roman"/>
          <w:color w:val="auto"/>
          <w:sz w:val="28"/>
          <w:szCs w:val="28"/>
          <w:lang w:val="en-US" w:eastAsia="zh-CN"/>
        </w:rPr>
        <w:t>XX。</w:t>
      </w:r>
    </w:p>
    <w:bookmarkEnd w:id="404"/>
    <w:bookmarkEnd w:id="405"/>
    <w:bookmarkEnd w:id="406"/>
    <w:p w14:paraId="4370D52C">
      <w:pPr>
        <w:spacing w:line="360" w:lineRule="auto"/>
        <w:ind w:firstLine="562" w:firstLineChars="200"/>
        <w:rPr>
          <w:rFonts w:cs="Times New Roman"/>
          <w:b/>
          <w:bCs/>
          <w:color w:val="auto"/>
          <w:sz w:val="28"/>
          <w:szCs w:val="28"/>
          <w:lang w:val="en-GB"/>
        </w:rPr>
      </w:pPr>
      <w:bookmarkStart w:id="411" w:name="_Toc18891"/>
      <w:bookmarkStart w:id="412" w:name="_Toc26666"/>
      <w:bookmarkStart w:id="413" w:name="_Toc19850"/>
      <w:bookmarkStart w:id="414" w:name="_Toc29246"/>
      <w:bookmarkStart w:id="415" w:name="_Toc520029638"/>
      <w:bookmarkStart w:id="416" w:name="_Toc22310"/>
      <w:bookmarkStart w:id="417" w:name="_Toc4611"/>
      <w:bookmarkStart w:id="418" w:name="_Toc162"/>
      <w:bookmarkStart w:id="419" w:name="_Toc30384"/>
      <w:bookmarkStart w:id="420" w:name="_Toc12867"/>
      <w:r>
        <w:rPr>
          <w:rFonts w:hint="eastAsia" w:cs="Times New Roman"/>
          <w:b/>
          <w:bCs/>
          <w:color w:val="auto"/>
          <w:sz w:val="28"/>
          <w:szCs w:val="28"/>
          <w:lang w:val="en-GB"/>
        </w:rPr>
        <w:t>3.</w:t>
      </w:r>
      <w:r>
        <w:rPr>
          <w:rFonts w:hint="eastAsia" w:cs="Times New Roman"/>
          <w:b/>
          <w:bCs/>
          <w:color w:val="auto"/>
          <w:sz w:val="28"/>
          <w:szCs w:val="28"/>
        </w:rPr>
        <w:t>3</w:t>
      </w:r>
      <w:r>
        <w:rPr>
          <w:rFonts w:hint="eastAsia" w:cs="Times New Roman"/>
          <w:b/>
          <w:bCs/>
          <w:color w:val="auto"/>
          <w:sz w:val="28"/>
          <w:szCs w:val="28"/>
          <w:lang w:val="en-GB"/>
        </w:rPr>
        <w:t>.4汽车运输事故树分析</w:t>
      </w:r>
      <w:bookmarkEnd w:id="411"/>
      <w:bookmarkEnd w:id="412"/>
      <w:bookmarkEnd w:id="413"/>
      <w:bookmarkEnd w:id="414"/>
      <w:bookmarkEnd w:id="415"/>
      <w:bookmarkEnd w:id="416"/>
    </w:p>
    <w:p w14:paraId="0CE68149">
      <w:pPr>
        <w:pStyle w:val="66"/>
        <w:ind w:firstLine="560"/>
        <w:rPr>
          <w:color w:val="auto"/>
        </w:rPr>
      </w:pPr>
      <w:r>
        <w:rPr>
          <w:color w:val="auto"/>
          <w:sz w:val="28"/>
        </w:rPr>
        <w:t>设计选用公路</w:t>
      </w:r>
      <w:r>
        <w:rPr>
          <w:rFonts w:hint="eastAsia"/>
          <w:color w:val="auto"/>
          <w:sz w:val="28"/>
        </w:rPr>
        <w:t>－</w:t>
      </w:r>
      <w:r>
        <w:rPr>
          <w:color w:val="auto"/>
          <w:sz w:val="28"/>
        </w:rPr>
        <w:t>汽车开拓运输方案。汽车运输过程中，由于路面较窄、道路不平整、制动失灵、酒后驾车、无证驾驶、疲劳驾驶等常常引起汽车运输事故的发生。碰伤、摔伤、挤伤、翻车死亡等都是常见的运输伤亡事故。</w:t>
      </w:r>
      <w:r>
        <w:rPr>
          <w:rFonts w:hint="eastAsia"/>
          <w:color w:val="auto"/>
          <w:sz w:val="28"/>
          <w:lang w:val="en-US" w:eastAsia="zh-CN"/>
        </w:rPr>
        <w:t>XX</w:t>
      </w:r>
      <w:r>
        <w:rPr>
          <w:color w:val="auto"/>
        </w:rPr>
        <w:t>。</w:t>
      </w:r>
    </w:p>
    <w:p w14:paraId="6FBCD156">
      <w:pPr>
        <w:pStyle w:val="5"/>
        <w:keepNext/>
        <w:keepLines/>
        <w:snapToGrid w:val="0"/>
        <w:spacing w:line="360" w:lineRule="auto"/>
        <w:ind w:firstLine="562" w:firstLineChars="200"/>
        <w:jc w:val="left"/>
        <w:rPr>
          <w:rFonts w:cs="Times New Roman"/>
          <w:b/>
          <w:color w:val="auto"/>
          <w:sz w:val="28"/>
          <w:szCs w:val="32"/>
          <w:lang w:val="en-GB"/>
        </w:rPr>
      </w:pPr>
      <w:bookmarkStart w:id="421" w:name="_Toc5844"/>
      <w:bookmarkStart w:id="422" w:name="_Toc3317"/>
      <w:bookmarkStart w:id="423" w:name="_Toc1786"/>
      <w:r>
        <w:rPr>
          <w:rFonts w:hint="eastAsia" w:cs="Times New Roman"/>
          <w:b/>
          <w:color w:val="auto"/>
          <w:sz w:val="28"/>
          <w:szCs w:val="32"/>
          <w:lang w:val="en-GB"/>
        </w:rPr>
        <w:t>3.</w:t>
      </w:r>
      <w:r>
        <w:rPr>
          <w:rFonts w:hint="eastAsia" w:cs="Times New Roman"/>
          <w:b/>
          <w:color w:val="auto"/>
          <w:sz w:val="28"/>
          <w:szCs w:val="32"/>
        </w:rPr>
        <w:t>3</w:t>
      </w:r>
      <w:r>
        <w:rPr>
          <w:rFonts w:hint="eastAsia" w:cs="Times New Roman"/>
          <w:b/>
          <w:color w:val="auto"/>
          <w:sz w:val="28"/>
          <w:szCs w:val="32"/>
          <w:lang w:val="en-GB"/>
        </w:rPr>
        <w:t>.</w:t>
      </w:r>
      <w:r>
        <w:rPr>
          <w:rFonts w:hint="eastAsia" w:cs="Times New Roman"/>
          <w:b/>
          <w:color w:val="auto"/>
          <w:sz w:val="28"/>
          <w:szCs w:val="32"/>
        </w:rPr>
        <w:t>5</w:t>
      </w:r>
      <w:r>
        <w:rPr>
          <w:rFonts w:hint="eastAsia" w:cs="Times New Roman"/>
          <w:b/>
          <w:color w:val="auto"/>
          <w:sz w:val="28"/>
          <w:szCs w:val="32"/>
          <w:lang w:val="en-GB"/>
        </w:rPr>
        <w:t>开拓运输设计方案评价</w:t>
      </w:r>
      <w:bookmarkEnd w:id="417"/>
      <w:bookmarkEnd w:id="418"/>
      <w:bookmarkEnd w:id="419"/>
      <w:bookmarkEnd w:id="420"/>
      <w:bookmarkEnd w:id="421"/>
      <w:bookmarkEnd w:id="422"/>
      <w:bookmarkEnd w:id="423"/>
    </w:p>
    <w:p w14:paraId="4DF94209">
      <w:pPr>
        <w:snapToGrid w:val="0"/>
        <w:spacing w:line="360" w:lineRule="auto"/>
        <w:ind w:firstLine="560" w:firstLineChars="200"/>
        <w:rPr>
          <w:rFonts w:cs="Times New Roman"/>
          <w:color w:val="auto"/>
          <w:kern w:val="0"/>
          <w:sz w:val="28"/>
          <w:szCs w:val="28"/>
        </w:rPr>
      </w:pPr>
      <w:r>
        <w:rPr>
          <w:rFonts w:hint="eastAsia" w:cs="Times New Roman"/>
          <w:bCs/>
          <w:color w:val="auto"/>
          <w:sz w:val="28"/>
          <w:szCs w:val="28"/>
          <w:lang w:val="en-US" w:eastAsia="zh-CN"/>
        </w:rPr>
        <w:t>XX</w:t>
      </w:r>
      <w:r>
        <w:rPr>
          <w:rFonts w:hint="eastAsia" w:cs="Times New Roman"/>
          <w:color w:val="auto"/>
          <w:kern w:val="0"/>
          <w:sz w:val="28"/>
          <w:szCs w:val="28"/>
        </w:rPr>
        <w:t>。</w:t>
      </w:r>
    </w:p>
    <w:bookmarkEnd w:id="372"/>
    <w:bookmarkEnd w:id="373"/>
    <w:bookmarkEnd w:id="374"/>
    <w:p w14:paraId="164D8A19">
      <w:pPr>
        <w:pStyle w:val="81"/>
        <w:numPr>
          <w:ilvl w:val="1"/>
          <w:numId w:val="0"/>
        </w:numPr>
        <w:spacing w:before="0" w:after="0"/>
        <w:jc w:val="center"/>
        <w:rPr>
          <w:rFonts w:cs="黑体"/>
          <w:color w:val="auto"/>
          <w:sz w:val="30"/>
          <w:szCs w:val="30"/>
        </w:rPr>
      </w:pPr>
      <w:bookmarkStart w:id="424" w:name="_Toc28034"/>
      <w:bookmarkStart w:id="425" w:name="_Toc16976"/>
      <w:bookmarkStart w:id="426" w:name="_Toc501120308"/>
      <w:bookmarkStart w:id="427" w:name="_Toc28569"/>
      <w:bookmarkStart w:id="428" w:name="_Toc28521"/>
      <w:r>
        <w:rPr>
          <w:rFonts w:hint="eastAsia" w:cs="黑体"/>
          <w:color w:val="auto"/>
          <w:sz w:val="30"/>
          <w:szCs w:val="30"/>
        </w:rPr>
        <w:t>3.4采剥单元</w:t>
      </w:r>
      <w:bookmarkEnd w:id="424"/>
      <w:bookmarkEnd w:id="425"/>
      <w:bookmarkEnd w:id="426"/>
      <w:bookmarkEnd w:id="427"/>
      <w:bookmarkEnd w:id="428"/>
    </w:p>
    <w:p w14:paraId="0D49EBC3">
      <w:pPr>
        <w:pStyle w:val="5"/>
        <w:keepNext/>
        <w:keepLines/>
        <w:snapToGrid w:val="0"/>
        <w:spacing w:line="360" w:lineRule="auto"/>
        <w:ind w:firstLine="562" w:firstLineChars="200"/>
        <w:jc w:val="left"/>
        <w:rPr>
          <w:rFonts w:cs="Times New Roman"/>
          <w:b/>
          <w:color w:val="auto"/>
          <w:sz w:val="28"/>
          <w:szCs w:val="32"/>
          <w:lang w:val="en-GB"/>
        </w:rPr>
      </w:pPr>
      <w:bookmarkStart w:id="429" w:name="_Toc14592"/>
      <w:bookmarkStart w:id="430" w:name="_Toc14339"/>
      <w:bookmarkStart w:id="431" w:name="_Toc25355"/>
      <w:bookmarkStart w:id="432" w:name="_Toc17171"/>
      <w:bookmarkStart w:id="433" w:name="_Toc501120309"/>
      <w:bookmarkStart w:id="434" w:name="_Toc21127"/>
      <w:bookmarkStart w:id="435" w:name="_Toc10917"/>
      <w:bookmarkStart w:id="436" w:name="_Toc20984"/>
      <w:bookmarkStart w:id="437" w:name="_Toc25143"/>
      <w:bookmarkStart w:id="438" w:name="_Toc32554"/>
      <w:r>
        <w:rPr>
          <w:rFonts w:hint="eastAsia" w:cs="Times New Roman"/>
          <w:b/>
          <w:color w:val="auto"/>
          <w:sz w:val="28"/>
          <w:szCs w:val="32"/>
          <w:lang w:val="en-GB"/>
        </w:rPr>
        <w:t>3.</w:t>
      </w:r>
      <w:r>
        <w:rPr>
          <w:rFonts w:hint="eastAsia" w:cs="Times New Roman"/>
          <w:b/>
          <w:color w:val="auto"/>
          <w:sz w:val="28"/>
          <w:szCs w:val="32"/>
        </w:rPr>
        <w:t>4</w:t>
      </w:r>
      <w:r>
        <w:rPr>
          <w:rFonts w:hint="eastAsia" w:cs="Times New Roman"/>
          <w:b/>
          <w:color w:val="auto"/>
          <w:sz w:val="28"/>
          <w:szCs w:val="32"/>
          <w:lang w:val="en-GB"/>
        </w:rPr>
        <w:t>.1采场子单元</w:t>
      </w:r>
      <w:bookmarkEnd w:id="429"/>
      <w:bookmarkEnd w:id="430"/>
      <w:bookmarkEnd w:id="431"/>
      <w:bookmarkEnd w:id="432"/>
      <w:bookmarkEnd w:id="433"/>
      <w:bookmarkEnd w:id="434"/>
      <w:bookmarkEnd w:id="435"/>
      <w:bookmarkEnd w:id="436"/>
      <w:bookmarkEnd w:id="437"/>
      <w:bookmarkEnd w:id="438"/>
    </w:p>
    <w:p w14:paraId="39738DEB">
      <w:pPr>
        <w:pStyle w:val="85"/>
        <w:numPr>
          <w:ilvl w:val="3"/>
          <w:numId w:val="0"/>
        </w:numPr>
        <w:ind w:firstLine="560" w:firstLineChars="200"/>
        <w:rPr>
          <w:rFonts w:cs="黑体"/>
          <w:b w:val="0"/>
          <w:bCs/>
          <w:color w:val="auto"/>
        </w:rPr>
      </w:pPr>
      <w:r>
        <w:rPr>
          <w:rFonts w:hint="eastAsia" w:cs="黑体"/>
          <w:b w:val="0"/>
          <w:bCs/>
          <w:color w:val="auto"/>
        </w:rPr>
        <w:t>3.4.1.1露天矿边坡主要危险、有害因素辨识</w:t>
      </w:r>
    </w:p>
    <w:p w14:paraId="2410AE4D">
      <w:pPr>
        <w:pStyle w:val="63"/>
        <w:snapToGrid w:val="0"/>
        <w:spacing w:line="360" w:lineRule="auto"/>
        <w:ind w:firstLine="560" w:firstLineChars="200"/>
        <w:jc w:val="both"/>
        <w:rPr>
          <w:rFonts w:ascii="Times New Roman" w:eastAsia="宋体"/>
          <w:color w:val="auto"/>
          <w:sz w:val="28"/>
          <w:szCs w:val="28"/>
        </w:rPr>
      </w:pPr>
      <w:r>
        <w:rPr>
          <w:rFonts w:hint="eastAsia" w:ascii="Times New Roman" w:eastAsia="宋体"/>
          <w:color w:val="auto"/>
          <w:sz w:val="28"/>
          <w:szCs w:val="28"/>
        </w:rPr>
        <w:t>露天矿边坡的危险主要是边坡的滑坡，其次是边坡表面上孤石的崩落以及边坡滚石。对特殊矿山来说，突水涌沙与泥石流也是一个危害因素。对于本项目来讲，滑坡、崩落、滚石是边坡的主要危害。陡、高的边坡固然能使矿山得到较高的经济效益，但由此带来的风险也不可忽视，边坡失稳引起滑坡，轻则会招致设备损失、采场道路破坏，重则引起人员伤亡，严重影响矿山生产，甚至停产。因而对矿山边坡稳定性必须予以足够的重视。</w:t>
      </w:r>
    </w:p>
    <w:p w14:paraId="37F4F98C">
      <w:pPr>
        <w:pStyle w:val="66"/>
        <w:ind w:firstLine="560"/>
        <w:rPr>
          <w:snapToGrid w:val="0"/>
          <w:color w:val="auto"/>
        </w:rPr>
      </w:pPr>
      <w:r>
        <w:rPr>
          <w:rFonts w:hint="eastAsia"/>
          <w:snapToGrid w:val="0"/>
          <w:color w:val="auto"/>
        </w:rPr>
        <w:t>产生矿山采场边坡滑坡危害的因素很多，主要分为：</w:t>
      </w:r>
    </w:p>
    <w:p w14:paraId="3711F740">
      <w:pPr>
        <w:pStyle w:val="73"/>
        <w:numPr>
          <w:ilvl w:val="0"/>
          <w:numId w:val="18"/>
        </w:numPr>
        <w:ind w:left="0" w:firstLine="560" w:firstLineChars="200"/>
        <w:rPr>
          <w:snapToGrid w:val="0"/>
          <w:color w:val="auto"/>
        </w:rPr>
      </w:pPr>
      <w:r>
        <w:rPr>
          <w:rFonts w:hint="eastAsia"/>
          <w:snapToGrid w:val="0"/>
          <w:color w:val="auto"/>
        </w:rPr>
        <w:t>地质因素</w:t>
      </w:r>
    </w:p>
    <w:p w14:paraId="55451D7F">
      <w:pPr>
        <w:snapToGrid w:val="0"/>
        <w:spacing w:line="360" w:lineRule="auto"/>
        <w:ind w:firstLine="560" w:firstLineChars="200"/>
        <w:rPr>
          <w:rFonts w:cs="Times New Roman"/>
          <w:bCs/>
          <w:color w:val="auto"/>
          <w:sz w:val="28"/>
          <w:szCs w:val="28"/>
        </w:rPr>
      </w:pPr>
      <w:r>
        <w:rPr>
          <w:rFonts w:hint="eastAsia" w:cs="Times New Roman"/>
          <w:bCs/>
          <w:color w:val="auto"/>
          <w:sz w:val="28"/>
          <w:szCs w:val="28"/>
        </w:rPr>
        <w:t>（1）采石场为露天剥离开采，将形成较高的临空面和陡崖。爆破作业破坏了岩石的应力平衡条件，导致陡崖和临空面失稳，会造成危岩掉块、崩塌等不良灾害，危害施工与运营安全及正常运营。</w:t>
      </w:r>
    </w:p>
    <w:p w14:paraId="45A9E831">
      <w:pPr>
        <w:snapToGrid w:val="0"/>
        <w:spacing w:line="360" w:lineRule="auto"/>
        <w:ind w:firstLine="560" w:firstLineChars="200"/>
        <w:rPr>
          <w:rFonts w:cs="Times New Roman"/>
          <w:bCs/>
          <w:color w:val="auto"/>
          <w:sz w:val="28"/>
          <w:szCs w:val="28"/>
        </w:rPr>
      </w:pPr>
      <w:r>
        <w:rPr>
          <w:rFonts w:hint="eastAsia" w:cs="Times New Roman"/>
          <w:bCs/>
          <w:color w:val="auto"/>
          <w:sz w:val="28"/>
          <w:szCs w:val="28"/>
        </w:rPr>
        <w:t>（2）采矿工程布置不当，造成边坡角过大，使岩体沿不利组合结构面（层理、节理）诱发崩塌。</w:t>
      </w:r>
    </w:p>
    <w:p w14:paraId="2C4001F4">
      <w:pPr>
        <w:snapToGrid w:val="0"/>
        <w:spacing w:line="360" w:lineRule="auto"/>
        <w:ind w:firstLine="537" w:firstLineChars="192"/>
        <w:rPr>
          <w:rFonts w:cs="Times New Roman"/>
          <w:bCs/>
          <w:color w:val="auto"/>
          <w:sz w:val="28"/>
          <w:szCs w:val="28"/>
        </w:rPr>
      </w:pPr>
      <w:r>
        <w:rPr>
          <w:rFonts w:hint="eastAsia" w:cs="Times New Roman"/>
          <w:bCs/>
          <w:color w:val="auto"/>
          <w:sz w:val="28"/>
          <w:szCs w:val="28"/>
        </w:rPr>
        <w:t>（3）地表岩溶不发育，岩溶形态主要为峰丛、谷地。岩石表面多为溶隙、溶沟等形态，垂直节理裂隙发育，规模较小，采矿存在岩溶塌陷和溶隙崩塌的危险。</w:t>
      </w:r>
    </w:p>
    <w:p w14:paraId="5392D24E">
      <w:pPr>
        <w:pStyle w:val="73"/>
        <w:numPr>
          <w:ilvl w:val="0"/>
          <w:numId w:val="18"/>
        </w:numPr>
        <w:ind w:left="0" w:firstLine="560" w:firstLineChars="200"/>
        <w:rPr>
          <w:snapToGrid w:val="0"/>
          <w:color w:val="auto"/>
        </w:rPr>
      </w:pPr>
      <w:r>
        <w:rPr>
          <w:rFonts w:hint="eastAsia"/>
          <w:snapToGrid w:val="0"/>
          <w:color w:val="auto"/>
        </w:rPr>
        <w:t>水的因素</w:t>
      </w:r>
    </w:p>
    <w:p w14:paraId="56929EBF">
      <w:pPr>
        <w:snapToGrid w:val="0"/>
        <w:spacing w:line="360" w:lineRule="auto"/>
        <w:ind w:firstLine="560" w:firstLineChars="200"/>
        <w:rPr>
          <w:snapToGrid w:val="0"/>
          <w:color w:val="auto"/>
        </w:rPr>
      </w:pPr>
      <w:r>
        <w:rPr>
          <w:rFonts w:hint="eastAsia" w:cs="Times New Roman"/>
          <w:color w:val="auto"/>
          <w:sz w:val="28"/>
          <w:szCs w:val="28"/>
        </w:rPr>
        <w:t>地下水对边坡岩体具有弱化岩体强度的作用，同时过高的地下水对边坡表层岩体产生的浮托力过大，使得边坡体内有效应力过小，这些都不利于边坡的稳定。地表水对边坡的冲刷，增加边坡荷重，对边坡稳定不利</w:t>
      </w:r>
      <w:r>
        <w:rPr>
          <w:rFonts w:hint="eastAsia"/>
          <w:snapToGrid w:val="0"/>
          <w:color w:val="auto"/>
        </w:rPr>
        <w:t>。</w:t>
      </w:r>
    </w:p>
    <w:p w14:paraId="569730DC">
      <w:pPr>
        <w:pStyle w:val="73"/>
        <w:numPr>
          <w:ilvl w:val="0"/>
          <w:numId w:val="18"/>
        </w:numPr>
        <w:ind w:left="0" w:firstLine="560" w:firstLineChars="200"/>
        <w:rPr>
          <w:snapToGrid w:val="0"/>
          <w:color w:val="auto"/>
        </w:rPr>
      </w:pPr>
      <w:r>
        <w:rPr>
          <w:rFonts w:hint="eastAsia"/>
          <w:snapToGrid w:val="0"/>
          <w:color w:val="auto"/>
        </w:rPr>
        <w:t>边坡结构因素</w:t>
      </w:r>
    </w:p>
    <w:p w14:paraId="53CC81A0">
      <w:pPr>
        <w:snapToGrid w:val="0"/>
        <w:spacing w:line="360" w:lineRule="auto"/>
        <w:ind w:firstLine="560" w:firstLineChars="200"/>
        <w:rPr>
          <w:rFonts w:cs="Times New Roman"/>
          <w:color w:val="auto"/>
          <w:sz w:val="28"/>
          <w:szCs w:val="28"/>
        </w:rPr>
      </w:pPr>
      <w:r>
        <w:rPr>
          <w:rFonts w:hint="eastAsia" w:cs="Times New Roman"/>
          <w:color w:val="auto"/>
          <w:sz w:val="28"/>
          <w:szCs w:val="28"/>
        </w:rPr>
        <w:t>生产台阶过高会引起台阶失稳，产生滑坡、崩落、滚石；整体边坡角度过陡，将产生大型滑坡。</w:t>
      </w:r>
    </w:p>
    <w:p w14:paraId="00556C22">
      <w:pPr>
        <w:pStyle w:val="73"/>
        <w:numPr>
          <w:ilvl w:val="0"/>
          <w:numId w:val="18"/>
        </w:numPr>
        <w:ind w:left="0" w:firstLine="560" w:firstLineChars="200"/>
        <w:rPr>
          <w:snapToGrid w:val="0"/>
          <w:color w:val="auto"/>
        </w:rPr>
      </w:pPr>
      <w:r>
        <w:rPr>
          <w:rFonts w:hint="eastAsia"/>
          <w:snapToGrid w:val="0"/>
          <w:color w:val="auto"/>
        </w:rPr>
        <w:t>生产因素</w:t>
      </w:r>
    </w:p>
    <w:p w14:paraId="5FB19ED0">
      <w:pPr>
        <w:pStyle w:val="66"/>
        <w:ind w:firstLine="560"/>
        <w:rPr>
          <w:snapToGrid w:val="0"/>
          <w:color w:val="auto"/>
        </w:rPr>
      </w:pPr>
      <w:r>
        <w:rPr>
          <w:rFonts w:hint="eastAsia"/>
          <w:snapToGrid w:val="0"/>
          <w:color w:val="auto"/>
        </w:rPr>
        <w:t>挖掘机作业不当，如先挖坡脚，可能造成崩落、落石、滚石。</w:t>
      </w:r>
    </w:p>
    <w:p w14:paraId="4AE7A8E4">
      <w:pPr>
        <w:pStyle w:val="73"/>
        <w:numPr>
          <w:ilvl w:val="0"/>
          <w:numId w:val="18"/>
        </w:numPr>
        <w:ind w:left="0" w:firstLine="560" w:firstLineChars="200"/>
        <w:rPr>
          <w:snapToGrid w:val="0"/>
          <w:color w:val="auto"/>
        </w:rPr>
      </w:pPr>
      <w:r>
        <w:rPr>
          <w:rFonts w:hint="eastAsia"/>
          <w:snapToGrid w:val="0"/>
          <w:color w:val="auto"/>
        </w:rPr>
        <w:t>边坡管理因素</w:t>
      </w:r>
    </w:p>
    <w:p w14:paraId="43DA91E4">
      <w:pPr>
        <w:snapToGrid w:val="0"/>
        <w:spacing w:line="360" w:lineRule="auto"/>
        <w:ind w:firstLine="560" w:firstLineChars="200"/>
        <w:rPr>
          <w:rFonts w:cs="Times New Roman"/>
          <w:color w:val="auto"/>
          <w:sz w:val="28"/>
          <w:szCs w:val="28"/>
        </w:rPr>
      </w:pPr>
      <w:r>
        <w:rPr>
          <w:rFonts w:hint="eastAsia" w:cs="Times New Roman"/>
          <w:color w:val="auto"/>
          <w:sz w:val="28"/>
          <w:szCs w:val="28"/>
        </w:rPr>
        <w:t>（1）开采作业面设在工程地质或水文地质条件不良的地带或采场上方没有可靠的截流、防洪和排水设施，可能造成暴雨冲刷，产生大块滚落、滑坡、坍方和泥石流等危害；</w:t>
      </w:r>
    </w:p>
    <w:p w14:paraId="2AD4E486">
      <w:pPr>
        <w:snapToGrid w:val="0"/>
        <w:spacing w:line="360" w:lineRule="auto"/>
        <w:ind w:firstLine="560" w:firstLineChars="200"/>
        <w:rPr>
          <w:rFonts w:cs="Times New Roman"/>
          <w:color w:val="auto"/>
          <w:sz w:val="28"/>
          <w:szCs w:val="28"/>
        </w:rPr>
      </w:pPr>
      <w:r>
        <w:rPr>
          <w:rFonts w:hint="eastAsia" w:cs="Times New Roman"/>
          <w:color w:val="auto"/>
          <w:sz w:val="28"/>
          <w:szCs w:val="28"/>
        </w:rPr>
        <w:t>（2）挂帮矿石的无序开采，边坡靠帮不到位或超挖，要求边坡护坡以及边坡工程治理的没有按要求做或没有做到位；</w:t>
      </w:r>
    </w:p>
    <w:p w14:paraId="3C6670C0">
      <w:pPr>
        <w:snapToGrid w:val="0"/>
        <w:spacing w:line="360" w:lineRule="auto"/>
        <w:ind w:firstLine="560" w:firstLineChars="200"/>
        <w:rPr>
          <w:rFonts w:cs="Times New Roman"/>
          <w:color w:val="auto"/>
          <w:sz w:val="28"/>
          <w:szCs w:val="28"/>
        </w:rPr>
      </w:pPr>
      <w:r>
        <w:rPr>
          <w:rFonts w:hint="eastAsia" w:cs="Times New Roman"/>
          <w:color w:val="auto"/>
          <w:sz w:val="28"/>
          <w:szCs w:val="28"/>
        </w:rPr>
        <w:t>（3）排弃作业时，没有圈定危险范围，或未设立警戒标志，造成人员误入。</w:t>
      </w:r>
    </w:p>
    <w:p w14:paraId="132970BC">
      <w:pPr>
        <w:pStyle w:val="85"/>
        <w:numPr>
          <w:ilvl w:val="3"/>
          <w:numId w:val="0"/>
        </w:numPr>
        <w:ind w:firstLine="560" w:firstLineChars="200"/>
        <w:rPr>
          <w:rFonts w:cs="黑体"/>
          <w:b w:val="0"/>
          <w:bCs/>
          <w:color w:val="auto"/>
        </w:rPr>
      </w:pPr>
      <w:bookmarkStart w:id="439" w:name="_Toc226963168"/>
      <w:bookmarkStart w:id="440" w:name="_Toc242849780"/>
      <w:r>
        <w:rPr>
          <w:rFonts w:hint="eastAsia" w:cs="黑体"/>
          <w:b w:val="0"/>
          <w:bCs/>
          <w:color w:val="auto"/>
        </w:rPr>
        <w:t>3.4.1.2预先危险性分析（PHA）</w:t>
      </w:r>
      <w:bookmarkEnd w:id="439"/>
      <w:bookmarkEnd w:id="440"/>
    </w:p>
    <w:p w14:paraId="5020AC99">
      <w:pPr>
        <w:snapToGrid w:val="0"/>
        <w:spacing w:line="360" w:lineRule="auto"/>
        <w:ind w:firstLine="537" w:firstLineChars="192"/>
        <w:rPr>
          <w:rFonts w:cs="Times New Roman"/>
          <w:bCs/>
          <w:color w:val="auto"/>
          <w:sz w:val="28"/>
          <w:szCs w:val="28"/>
        </w:rPr>
      </w:pPr>
      <w:r>
        <w:rPr>
          <w:rFonts w:cs="Times New Roman"/>
          <w:bCs/>
          <w:color w:val="auto"/>
          <w:sz w:val="28"/>
          <w:szCs w:val="28"/>
        </w:rPr>
        <w:t>采剥单元危险、有害因素有：</w:t>
      </w:r>
      <w:r>
        <w:rPr>
          <w:color w:val="auto"/>
          <w:sz w:val="28"/>
          <w:szCs w:val="28"/>
          <w:lang w:val="en-GB"/>
        </w:rPr>
        <w:t>边坡失稳、滚石、高处坠落、机械伤害、车辆伤害、触电、爆破伤害</w:t>
      </w:r>
      <w:r>
        <w:rPr>
          <w:rFonts w:hint="eastAsia"/>
          <w:color w:val="auto"/>
          <w:sz w:val="28"/>
          <w:szCs w:val="28"/>
          <w:lang w:val="en-GB"/>
        </w:rPr>
        <w:t>（</w:t>
      </w:r>
      <w:r>
        <w:rPr>
          <w:color w:val="auto"/>
          <w:sz w:val="28"/>
          <w:szCs w:val="28"/>
          <w:lang w:val="en-GB"/>
        </w:rPr>
        <w:t>早爆、延爆、拒爆、爆破飞石、爆破冲击波、爆破振动</w:t>
      </w:r>
      <w:r>
        <w:rPr>
          <w:rFonts w:hint="eastAsia"/>
          <w:color w:val="auto"/>
          <w:sz w:val="28"/>
          <w:szCs w:val="28"/>
        </w:rPr>
        <w:t>）</w:t>
      </w:r>
      <w:r>
        <w:rPr>
          <w:color w:val="auto"/>
          <w:sz w:val="28"/>
          <w:szCs w:val="28"/>
          <w:lang w:val="en-GB"/>
        </w:rPr>
        <w:t>等</w:t>
      </w:r>
      <w:r>
        <w:rPr>
          <w:rFonts w:cs="Times New Roman"/>
          <w:bCs/>
          <w:color w:val="auto"/>
          <w:sz w:val="28"/>
          <w:szCs w:val="28"/>
        </w:rPr>
        <w:t>。</w:t>
      </w:r>
    </w:p>
    <w:p w14:paraId="3AFB36F3">
      <w:pPr>
        <w:snapToGrid w:val="0"/>
        <w:spacing w:line="360" w:lineRule="auto"/>
        <w:jc w:val="center"/>
        <w:rPr>
          <w:rFonts w:cs="Times New Roman"/>
          <w:bCs/>
          <w:color w:val="auto"/>
        </w:rPr>
      </w:pPr>
      <w:r>
        <w:rPr>
          <w:rFonts w:hint="eastAsia" w:cs="Times New Roman"/>
          <w:bCs/>
          <w:color w:val="auto"/>
        </w:rPr>
        <w:t>表 3.4-1  露天采场单元预先危险性分析表</w:t>
      </w:r>
    </w:p>
    <w:p w14:paraId="1B378BE4">
      <w:pPr>
        <w:pStyle w:val="66"/>
        <w:spacing w:line="360" w:lineRule="auto"/>
        <w:ind w:firstLine="420"/>
        <w:rPr>
          <w:rFonts w:hint="default" w:ascii="Times New Roman" w:hAnsi="Times New Roman" w:eastAsia="宋体" w:cs="Times New Roman"/>
          <w:bCs/>
          <w:color w:val="auto"/>
          <w:kern w:val="2"/>
          <w:sz w:val="28"/>
          <w:szCs w:val="28"/>
          <w:lang w:val="en-US" w:eastAsia="zh-CN" w:bidi="ar-SA"/>
        </w:rPr>
      </w:pPr>
      <w:r>
        <w:rPr>
          <w:rFonts w:hint="eastAsia" w:ascii="Times New Roman" w:hAnsi="Times New Roman" w:eastAsia="宋体" w:cs="Times New Roman"/>
          <w:bCs/>
          <w:color w:val="auto"/>
          <w:kern w:val="2"/>
          <w:sz w:val="28"/>
          <w:szCs w:val="28"/>
          <w:lang w:val="en-US" w:eastAsia="zh-CN" w:bidi="ar-SA"/>
        </w:rPr>
        <w:t>XX。</w:t>
      </w:r>
    </w:p>
    <w:p w14:paraId="2BBD54AA">
      <w:pPr>
        <w:pStyle w:val="85"/>
        <w:numPr>
          <w:ilvl w:val="3"/>
          <w:numId w:val="0"/>
        </w:numPr>
        <w:ind w:firstLine="560" w:firstLineChars="200"/>
        <w:rPr>
          <w:rFonts w:cs="黑体"/>
          <w:b w:val="0"/>
          <w:bCs/>
          <w:color w:val="auto"/>
        </w:rPr>
      </w:pPr>
      <w:bookmarkStart w:id="441" w:name="_Toc226963169"/>
      <w:bookmarkStart w:id="442" w:name="_Toc242849781"/>
      <w:r>
        <w:rPr>
          <w:rFonts w:hint="eastAsia" w:cs="黑体"/>
          <w:b w:val="0"/>
          <w:bCs/>
          <w:color w:val="auto"/>
        </w:rPr>
        <w:t>3.4.1.3边坡失稳鱼刺图分析</w:t>
      </w:r>
      <w:bookmarkEnd w:id="441"/>
      <w:bookmarkEnd w:id="442"/>
    </w:p>
    <w:p w14:paraId="515DD6D8">
      <w:pPr>
        <w:snapToGrid w:val="0"/>
        <w:spacing w:line="360" w:lineRule="auto"/>
        <w:ind w:firstLine="560" w:firstLineChars="200"/>
        <w:rPr>
          <w:rFonts w:cs="Times New Roman"/>
          <w:color w:val="auto"/>
          <w:sz w:val="28"/>
          <w:szCs w:val="28"/>
        </w:rPr>
      </w:pPr>
      <w:r>
        <w:rPr>
          <w:rFonts w:hint="eastAsia" w:cs="Times New Roman"/>
          <w:color w:val="auto"/>
          <w:kern w:val="0"/>
          <w:sz w:val="28"/>
          <w:szCs w:val="28"/>
        </w:rPr>
        <w:t>露天开采的主要危险是边坡失稳引起滑坡、坍塌，轻则会导致设备损坏、采场道路损毁，重则引起人员伤亡，严重影响矿山生产，甚至停产。因而对矿山边坡稳定性必须予以足够的重视。</w:t>
      </w:r>
      <w:r>
        <w:rPr>
          <w:rFonts w:hint="eastAsia" w:cs="Times New Roman"/>
          <w:color w:val="auto"/>
          <w:sz w:val="28"/>
          <w:szCs w:val="28"/>
          <w:lang w:val="en-US" w:eastAsia="zh-CN"/>
        </w:rPr>
        <w:t>XX</w:t>
      </w:r>
      <w:r>
        <w:rPr>
          <w:rFonts w:hint="eastAsia" w:cs="Times New Roman"/>
          <w:color w:val="auto"/>
          <w:sz w:val="28"/>
          <w:szCs w:val="28"/>
        </w:rPr>
        <w:t>。</w:t>
      </w:r>
    </w:p>
    <w:p w14:paraId="69C08183">
      <w:pPr>
        <w:pStyle w:val="85"/>
        <w:numPr>
          <w:ilvl w:val="3"/>
          <w:numId w:val="0"/>
        </w:numPr>
        <w:ind w:firstLine="560" w:firstLineChars="200"/>
        <w:rPr>
          <w:rFonts w:cs="黑体"/>
          <w:b w:val="0"/>
          <w:bCs/>
          <w:color w:val="auto"/>
        </w:rPr>
      </w:pPr>
      <w:bookmarkStart w:id="443" w:name="_Toc226963170"/>
      <w:bookmarkStart w:id="444" w:name="_Toc242849782"/>
      <w:r>
        <w:rPr>
          <w:rFonts w:hint="eastAsia" w:cs="黑体"/>
          <w:b w:val="0"/>
          <w:bCs/>
          <w:color w:val="auto"/>
        </w:rPr>
        <w:t>3.4.1.4滚石伤人事故树分析（FTA）</w:t>
      </w:r>
      <w:bookmarkEnd w:id="443"/>
      <w:bookmarkEnd w:id="444"/>
    </w:p>
    <w:p w14:paraId="3F49D463">
      <w:pPr>
        <w:snapToGrid w:val="0"/>
        <w:spacing w:line="360" w:lineRule="auto"/>
        <w:ind w:firstLine="560" w:firstLineChars="200"/>
        <w:jc w:val="left"/>
        <w:rPr>
          <w:rFonts w:cs="Times New Roman"/>
          <w:color w:val="auto"/>
          <w:kern w:val="0"/>
          <w:sz w:val="28"/>
          <w:szCs w:val="28"/>
        </w:rPr>
      </w:pPr>
      <w:r>
        <w:rPr>
          <w:rFonts w:hint="eastAsia" w:cs="Times New Roman"/>
          <w:color w:val="auto"/>
          <w:kern w:val="0"/>
          <w:sz w:val="28"/>
          <w:szCs w:val="28"/>
        </w:rPr>
        <w:t>露天开采的危险还有边坡坡面上单体危岩的崩落以及边坡滚石：露天采场因开采规范性较差，边坡安全检查和管理的薄弱，坡面上常有危石、浮石存在，受开采和振动影响，容易形成滚石危害。</w:t>
      </w:r>
    </w:p>
    <w:p w14:paraId="622B28F2">
      <w:pPr>
        <w:pStyle w:val="66"/>
        <w:ind w:firstLine="560"/>
        <w:rPr>
          <w:color w:val="auto"/>
        </w:rPr>
      </w:pPr>
      <w:r>
        <w:rPr>
          <w:color w:val="auto"/>
        </w:rPr>
        <w:t>爆破作业完成后，若不对边坡上的孤石、浮石进行清理，有可能导致滚石伤人事故；爆破参数选择不合理，易形成掏采、欠挖，工作邦边坡容易形成孤石、危石，伞檐体，如不及时清除，会造成滚石伤人。</w:t>
      </w:r>
    </w:p>
    <w:p w14:paraId="01DD9D34">
      <w:pPr>
        <w:pStyle w:val="85"/>
        <w:numPr>
          <w:ilvl w:val="3"/>
          <w:numId w:val="0"/>
        </w:numPr>
        <w:ind w:firstLine="560" w:firstLineChars="200"/>
        <w:rPr>
          <w:rFonts w:cs="黑体"/>
          <w:b w:val="0"/>
          <w:bCs/>
          <w:color w:val="auto"/>
        </w:rPr>
      </w:pPr>
      <w:bookmarkStart w:id="445" w:name="_Toc226963171"/>
      <w:bookmarkStart w:id="446" w:name="_Toc242849783"/>
      <w:r>
        <w:rPr>
          <w:rFonts w:hint="eastAsia" w:cs="黑体"/>
          <w:b w:val="0"/>
          <w:bCs/>
          <w:color w:val="auto"/>
        </w:rPr>
        <w:t>3.4.1.5边坡高处坠落事故树分析</w:t>
      </w:r>
      <w:bookmarkEnd w:id="445"/>
      <w:bookmarkEnd w:id="446"/>
    </w:p>
    <w:p w14:paraId="7FE9C0D2">
      <w:pPr>
        <w:pStyle w:val="66"/>
        <w:ind w:firstLine="560"/>
        <w:rPr>
          <w:color w:val="auto"/>
        </w:rPr>
      </w:pPr>
      <w:r>
        <w:rPr>
          <w:color w:val="auto"/>
        </w:rPr>
        <w:t>在露天边坡上进行浮石清理、装药、联线等作业，因作业条件差，安全防护措施不可靠等，极易发生人员高处坠落事故。</w:t>
      </w:r>
    </w:p>
    <w:p w14:paraId="31FE6AEA">
      <w:pPr>
        <w:pStyle w:val="85"/>
        <w:numPr>
          <w:ilvl w:val="3"/>
          <w:numId w:val="0"/>
        </w:numPr>
        <w:ind w:firstLine="560" w:firstLineChars="200"/>
        <w:rPr>
          <w:rFonts w:cs="黑体"/>
          <w:b w:val="0"/>
          <w:bCs/>
          <w:color w:val="auto"/>
        </w:rPr>
      </w:pPr>
      <w:bookmarkStart w:id="447" w:name="_Toc242849779"/>
      <w:bookmarkStart w:id="448" w:name="_Toc226963167"/>
      <w:r>
        <w:rPr>
          <w:rFonts w:hint="eastAsia" w:cs="黑体"/>
          <w:b w:val="0"/>
          <w:bCs/>
          <w:color w:val="auto"/>
        </w:rPr>
        <w:t>3.4.1.7安全检查表</w:t>
      </w:r>
      <w:bookmarkEnd w:id="447"/>
      <w:bookmarkEnd w:id="448"/>
    </w:p>
    <w:p w14:paraId="309048AA">
      <w:pPr>
        <w:spacing w:line="360" w:lineRule="auto"/>
        <w:ind w:firstLine="560" w:firstLineChars="200"/>
        <w:rPr>
          <w:rFonts w:cs="Times New Roman"/>
          <w:color w:val="auto"/>
          <w:sz w:val="28"/>
          <w:szCs w:val="28"/>
        </w:rPr>
      </w:pPr>
      <w:r>
        <w:rPr>
          <w:color w:val="auto"/>
          <w:sz w:val="28"/>
          <w:szCs w:val="28"/>
          <w:lang w:val="zh-CN"/>
        </w:rPr>
        <w:t>依据《金属非金属矿山安全规程》(GB16423-20</w:t>
      </w:r>
      <w:r>
        <w:rPr>
          <w:color w:val="auto"/>
          <w:sz w:val="28"/>
          <w:szCs w:val="28"/>
        </w:rPr>
        <w:t>20</w:t>
      </w:r>
      <w:r>
        <w:rPr>
          <w:color w:val="auto"/>
          <w:sz w:val="28"/>
          <w:szCs w:val="28"/>
          <w:lang w:val="zh-CN"/>
        </w:rPr>
        <w:t>)及的相关条款对初步设计中设计方案中的采剥工艺</w:t>
      </w:r>
      <w:r>
        <w:rPr>
          <w:rFonts w:hint="eastAsia"/>
          <w:color w:val="auto"/>
          <w:sz w:val="28"/>
          <w:szCs w:val="28"/>
        </w:rPr>
        <w:t>和边坡监测</w:t>
      </w:r>
      <w:r>
        <w:rPr>
          <w:color w:val="auto"/>
          <w:sz w:val="28"/>
          <w:szCs w:val="28"/>
          <w:lang w:val="zh-CN"/>
        </w:rPr>
        <w:t>进行安全检查</w:t>
      </w:r>
      <w:r>
        <w:rPr>
          <w:rFonts w:hint="eastAsia" w:cs="Times New Roman"/>
          <w:color w:val="auto"/>
          <w:sz w:val="28"/>
          <w:szCs w:val="28"/>
        </w:rPr>
        <w:t>，见表3.4-11。</w:t>
      </w:r>
    </w:p>
    <w:p w14:paraId="4ADE602E">
      <w:pPr>
        <w:snapToGrid w:val="0"/>
        <w:spacing w:line="360" w:lineRule="auto"/>
        <w:jc w:val="center"/>
        <w:rPr>
          <w:bCs/>
          <w:color w:val="auto"/>
        </w:rPr>
      </w:pPr>
      <w:r>
        <w:rPr>
          <w:rFonts w:hint="eastAsia" w:cs="Times New Roman"/>
          <w:bCs/>
          <w:color w:val="auto"/>
        </w:rPr>
        <w:t xml:space="preserve">表 3.4-11   </w:t>
      </w:r>
      <w:r>
        <w:rPr>
          <w:bCs/>
          <w:color w:val="auto"/>
        </w:rPr>
        <w:t>采剥工艺</w:t>
      </w:r>
      <w:r>
        <w:rPr>
          <w:rFonts w:hint="eastAsia"/>
          <w:bCs/>
          <w:color w:val="auto"/>
        </w:rPr>
        <w:t>及边坡监测</w:t>
      </w:r>
      <w:r>
        <w:rPr>
          <w:bCs/>
          <w:color w:val="auto"/>
        </w:rPr>
        <w:t>安全检查表</w:t>
      </w:r>
    </w:p>
    <w:p w14:paraId="7657417A">
      <w:pPr>
        <w:snapToGrid w:val="0"/>
        <w:ind w:firstLine="422" w:firstLineChars="192"/>
        <w:jc w:val="center"/>
        <w:rPr>
          <w:rFonts w:hint="default" w:eastAsia="宋体"/>
          <w:bCs/>
          <w:color w:val="auto"/>
          <w:sz w:val="22"/>
          <w:szCs w:val="22"/>
          <w:lang w:val="en-US" w:eastAsia="zh-CN"/>
        </w:rPr>
      </w:pPr>
      <w:r>
        <w:rPr>
          <w:rFonts w:hint="eastAsia"/>
          <w:bCs/>
          <w:color w:val="auto"/>
          <w:sz w:val="22"/>
          <w:szCs w:val="22"/>
          <w:lang w:val="en-US" w:eastAsia="zh-CN"/>
        </w:rPr>
        <w:t>XX。</w:t>
      </w:r>
    </w:p>
    <w:p w14:paraId="0F42ED66">
      <w:pPr>
        <w:snapToGrid w:val="0"/>
        <w:spacing w:line="360" w:lineRule="auto"/>
        <w:ind w:firstLine="537" w:firstLineChars="192"/>
        <w:rPr>
          <w:rFonts w:cs="Times New Roman"/>
          <w:bCs/>
          <w:color w:val="auto"/>
          <w:sz w:val="28"/>
          <w:szCs w:val="28"/>
        </w:rPr>
      </w:pPr>
      <w:r>
        <w:rPr>
          <w:rFonts w:hint="eastAsia" w:cs="Times New Roman"/>
          <w:bCs/>
          <w:color w:val="auto"/>
          <w:sz w:val="28"/>
          <w:szCs w:val="28"/>
        </w:rPr>
        <w:t>设计方案中的露天矿山的台阶高度、台阶坡面角、最小工作平台宽度、终了边坡角边坡等参数与所采用的采剥工艺，符合《金属非金属矿山安全规程》（GB16423-2020）的相关规定。</w:t>
      </w:r>
    </w:p>
    <w:p w14:paraId="0DFADAFA">
      <w:pPr>
        <w:pStyle w:val="5"/>
        <w:keepNext/>
        <w:keepLines/>
        <w:snapToGrid w:val="0"/>
        <w:spacing w:line="360" w:lineRule="auto"/>
        <w:ind w:firstLine="562" w:firstLineChars="200"/>
        <w:jc w:val="left"/>
        <w:rPr>
          <w:rFonts w:cs="Times New Roman"/>
          <w:b/>
          <w:color w:val="auto"/>
          <w:sz w:val="28"/>
          <w:szCs w:val="32"/>
          <w:lang w:val="en-GB"/>
        </w:rPr>
      </w:pPr>
      <w:bookmarkStart w:id="449" w:name="_Toc31357"/>
      <w:bookmarkStart w:id="450" w:name="_Toc23085"/>
      <w:bookmarkStart w:id="451" w:name="_Toc501120310"/>
      <w:bookmarkStart w:id="452" w:name="_Toc31802"/>
      <w:bookmarkStart w:id="453" w:name="_Toc32231"/>
      <w:bookmarkStart w:id="454" w:name="_Toc7389"/>
      <w:bookmarkStart w:id="455" w:name="_Toc23375"/>
      <w:bookmarkStart w:id="456" w:name="_Toc16889"/>
      <w:bookmarkStart w:id="457" w:name="_Toc16878"/>
      <w:bookmarkStart w:id="458" w:name="_Toc25059"/>
      <w:r>
        <w:rPr>
          <w:rFonts w:hint="eastAsia" w:cs="Times New Roman"/>
          <w:b/>
          <w:color w:val="auto"/>
          <w:sz w:val="28"/>
          <w:szCs w:val="32"/>
          <w:lang w:val="en-GB"/>
        </w:rPr>
        <w:t>3.</w:t>
      </w:r>
      <w:r>
        <w:rPr>
          <w:rFonts w:hint="eastAsia" w:cs="Times New Roman"/>
          <w:b/>
          <w:color w:val="auto"/>
          <w:sz w:val="28"/>
          <w:szCs w:val="32"/>
        </w:rPr>
        <w:t>4</w:t>
      </w:r>
      <w:r>
        <w:rPr>
          <w:rFonts w:hint="eastAsia" w:cs="Times New Roman"/>
          <w:b/>
          <w:color w:val="auto"/>
          <w:sz w:val="28"/>
          <w:szCs w:val="32"/>
          <w:lang w:val="en-GB"/>
        </w:rPr>
        <w:t>.2穿孔爆破子单元</w:t>
      </w:r>
      <w:bookmarkEnd w:id="449"/>
      <w:bookmarkEnd w:id="450"/>
      <w:bookmarkEnd w:id="451"/>
      <w:bookmarkEnd w:id="452"/>
      <w:bookmarkEnd w:id="453"/>
      <w:bookmarkEnd w:id="454"/>
      <w:bookmarkEnd w:id="455"/>
      <w:bookmarkEnd w:id="456"/>
      <w:bookmarkEnd w:id="457"/>
      <w:bookmarkEnd w:id="458"/>
    </w:p>
    <w:p w14:paraId="602D34B3">
      <w:pPr>
        <w:pStyle w:val="85"/>
        <w:numPr>
          <w:ilvl w:val="3"/>
          <w:numId w:val="0"/>
        </w:numPr>
        <w:ind w:firstLine="560" w:firstLineChars="200"/>
        <w:rPr>
          <w:rFonts w:cs="黑体"/>
          <w:b w:val="0"/>
          <w:bCs/>
          <w:color w:val="auto"/>
        </w:rPr>
      </w:pPr>
      <w:r>
        <w:rPr>
          <w:rFonts w:hint="eastAsia" w:cs="黑体"/>
          <w:b w:val="0"/>
          <w:bCs/>
          <w:color w:val="auto"/>
        </w:rPr>
        <w:t>3.4.2.2穿孔爆破单元PHA分析</w:t>
      </w:r>
    </w:p>
    <w:p w14:paraId="70709C5A">
      <w:pPr>
        <w:snapToGrid w:val="0"/>
        <w:spacing w:line="360" w:lineRule="auto"/>
        <w:ind w:firstLine="560" w:firstLineChars="200"/>
        <w:jc w:val="left"/>
        <w:rPr>
          <w:rFonts w:cs="Times New Roman"/>
          <w:color w:val="auto"/>
          <w:sz w:val="28"/>
          <w:szCs w:val="28"/>
        </w:rPr>
      </w:pPr>
      <w:r>
        <w:rPr>
          <w:rFonts w:hint="eastAsia" w:cs="Times New Roman"/>
          <w:color w:val="auto"/>
          <w:sz w:val="28"/>
          <w:szCs w:val="28"/>
        </w:rPr>
        <w:t>穿孔爆破作业单元危险、有害因素有：爆破伤害、机械伤害、高处坠落、火药爆炸、火灾等。</w:t>
      </w:r>
    </w:p>
    <w:p w14:paraId="16916C54">
      <w:pPr>
        <w:snapToGrid w:val="0"/>
        <w:spacing w:line="360" w:lineRule="auto"/>
        <w:jc w:val="center"/>
        <w:rPr>
          <w:rFonts w:cs="Times New Roman"/>
          <w:bCs/>
          <w:color w:val="auto"/>
        </w:rPr>
      </w:pPr>
      <w:r>
        <w:rPr>
          <w:rFonts w:hint="eastAsia" w:cs="Times New Roman"/>
          <w:bCs/>
          <w:color w:val="auto"/>
        </w:rPr>
        <w:t>表 3.4-12   穿孔爆破单元预先危险性分析表</w:t>
      </w:r>
    </w:p>
    <w:p w14:paraId="03AA18F4">
      <w:pPr>
        <w:pStyle w:val="66"/>
        <w:spacing w:line="360" w:lineRule="auto"/>
        <w:ind w:firstLine="440"/>
        <w:rPr>
          <w:rFonts w:hint="default" w:ascii="Times New Roman" w:hAnsi="Times New Roman" w:eastAsia="宋体" w:cs="Times New Roman"/>
          <w:color w:val="auto"/>
          <w:kern w:val="2"/>
          <w:sz w:val="28"/>
          <w:szCs w:val="28"/>
          <w:lang w:val="en-US" w:eastAsia="zh-CN" w:bidi="ar-SA"/>
        </w:rPr>
      </w:pPr>
      <w:r>
        <w:rPr>
          <w:rFonts w:hint="eastAsia" w:ascii="Times New Roman" w:hAnsi="Times New Roman" w:eastAsia="宋体" w:cs="Times New Roman"/>
          <w:color w:val="auto"/>
          <w:kern w:val="2"/>
          <w:sz w:val="28"/>
          <w:szCs w:val="28"/>
          <w:lang w:val="en-US" w:eastAsia="zh-CN" w:bidi="ar-SA"/>
        </w:rPr>
        <w:t>XX。</w:t>
      </w:r>
    </w:p>
    <w:p w14:paraId="356BE54D">
      <w:pPr>
        <w:pStyle w:val="85"/>
        <w:numPr>
          <w:ilvl w:val="3"/>
          <w:numId w:val="0"/>
        </w:numPr>
        <w:ind w:firstLine="560" w:firstLineChars="200"/>
        <w:rPr>
          <w:rFonts w:cs="黑体"/>
          <w:b w:val="0"/>
          <w:bCs/>
          <w:color w:val="auto"/>
        </w:rPr>
      </w:pPr>
      <w:r>
        <w:rPr>
          <w:rFonts w:hint="eastAsia" w:cs="黑体"/>
          <w:b w:val="0"/>
          <w:bCs/>
          <w:color w:val="auto"/>
        </w:rPr>
        <w:t>3.4.2.3爆破事故鱼刺图分析</w:t>
      </w:r>
    </w:p>
    <w:p w14:paraId="5754E79D">
      <w:pPr>
        <w:pStyle w:val="85"/>
        <w:numPr>
          <w:ilvl w:val="3"/>
          <w:numId w:val="0"/>
        </w:numPr>
        <w:ind w:firstLine="560" w:firstLineChars="200"/>
        <w:rPr>
          <w:rFonts w:cs="黑体"/>
          <w:b w:val="0"/>
          <w:bCs/>
          <w:color w:val="auto"/>
        </w:rPr>
      </w:pPr>
      <w:bookmarkStart w:id="459" w:name="_Toc226963172"/>
      <w:bookmarkStart w:id="460" w:name="_Toc242849784"/>
      <w:r>
        <w:rPr>
          <w:rFonts w:hint="eastAsia" w:cs="黑体"/>
          <w:b w:val="0"/>
          <w:bCs/>
          <w:color w:val="auto"/>
        </w:rPr>
        <w:t>3.4.2.7单元小结</w:t>
      </w:r>
    </w:p>
    <w:p w14:paraId="2C310731">
      <w:pPr>
        <w:pStyle w:val="66"/>
        <w:ind w:firstLine="560"/>
        <w:rPr>
          <w:color w:val="auto"/>
        </w:rPr>
      </w:pPr>
      <w:r>
        <w:rPr>
          <w:color w:val="auto"/>
        </w:rPr>
        <w:t>设计方案中</w:t>
      </w:r>
      <w:r>
        <w:rPr>
          <w:rFonts w:hint="eastAsia"/>
          <w:color w:val="auto"/>
        </w:rPr>
        <w:t>明确了</w:t>
      </w:r>
      <w:r>
        <w:rPr>
          <w:color w:val="auto"/>
        </w:rPr>
        <w:t>穿孔爆破</w:t>
      </w:r>
      <w:r>
        <w:rPr>
          <w:rFonts w:hint="eastAsia"/>
          <w:color w:val="auto"/>
        </w:rPr>
        <w:t>作业由爆破公司实施，对爆破</w:t>
      </w:r>
      <w:r>
        <w:rPr>
          <w:color w:val="auto"/>
        </w:rPr>
        <w:t>工艺等进行了说明，明确了穿孔爆破爆破安全措施等内容，基本符合《金属非金属矿山安全规程》（GB16423</w:t>
      </w:r>
      <w:r>
        <w:rPr>
          <w:rFonts w:hint="eastAsia"/>
          <w:color w:val="auto"/>
        </w:rPr>
        <w:t>-</w:t>
      </w:r>
      <w:r>
        <w:rPr>
          <w:color w:val="auto"/>
        </w:rPr>
        <w:t>20</w:t>
      </w:r>
      <w:r>
        <w:rPr>
          <w:rFonts w:hint="eastAsia"/>
          <w:color w:val="auto"/>
        </w:rPr>
        <w:t>20</w:t>
      </w:r>
      <w:r>
        <w:rPr>
          <w:color w:val="auto"/>
        </w:rPr>
        <w:t>）及《爆破安全规程》（GB6722</w:t>
      </w:r>
      <w:r>
        <w:rPr>
          <w:rFonts w:hint="eastAsia"/>
          <w:color w:val="auto"/>
        </w:rPr>
        <w:t>-</w:t>
      </w:r>
      <w:r>
        <w:rPr>
          <w:color w:val="auto"/>
        </w:rPr>
        <w:t>2014</w:t>
      </w:r>
      <w:r>
        <w:rPr>
          <w:rFonts w:cs="Times New Roman"/>
          <w:color w:val="auto"/>
        </w:rPr>
        <w:t>/XG1-2016</w:t>
      </w:r>
      <w:r>
        <w:rPr>
          <w:color w:val="auto"/>
        </w:rPr>
        <w:t>）的相关要求。</w:t>
      </w:r>
    </w:p>
    <w:bookmarkEnd w:id="459"/>
    <w:bookmarkEnd w:id="460"/>
    <w:p w14:paraId="2018E3ED">
      <w:pPr>
        <w:pStyle w:val="5"/>
        <w:keepNext/>
        <w:keepLines/>
        <w:snapToGrid w:val="0"/>
        <w:spacing w:line="360" w:lineRule="auto"/>
        <w:ind w:firstLine="562" w:firstLineChars="200"/>
        <w:jc w:val="left"/>
        <w:rPr>
          <w:rFonts w:cs="Times New Roman"/>
          <w:b/>
          <w:color w:val="auto"/>
          <w:sz w:val="28"/>
          <w:szCs w:val="32"/>
          <w:lang w:val="en-GB"/>
        </w:rPr>
      </w:pPr>
      <w:bookmarkStart w:id="461" w:name="_Toc23446"/>
      <w:bookmarkStart w:id="462" w:name="_Toc501120311"/>
      <w:bookmarkStart w:id="463" w:name="_Toc26251"/>
      <w:bookmarkStart w:id="464" w:name="_Toc16751"/>
      <w:bookmarkStart w:id="465" w:name="_Toc5107"/>
      <w:bookmarkStart w:id="466" w:name="_Toc3470"/>
      <w:bookmarkStart w:id="467" w:name="_Toc13932"/>
      <w:bookmarkStart w:id="468" w:name="_Toc12735"/>
      <w:bookmarkStart w:id="469" w:name="_Toc19369"/>
      <w:bookmarkStart w:id="470" w:name="_Toc13742"/>
      <w:r>
        <w:rPr>
          <w:rFonts w:hint="eastAsia" w:cs="Times New Roman"/>
          <w:b/>
          <w:color w:val="auto"/>
          <w:sz w:val="28"/>
          <w:szCs w:val="32"/>
          <w:lang w:val="en-GB"/>
        </w:rPr>
        <w:t>3.</w:t>
      </w:r>
      <w:r>
        <w:rPr>
          <w:rFonts w:hint="eastAsia" w:cs="Times New Roman"/>
          <w:b/>
          <w:color w:val="auto"/>
          <w:sz w:val="28"/>
          <w:szCs w:val="32"/>
        </w:rPr>
        <w:t>4</w:t>
      </w:r>
      <w:r>
        <w:rPr>
          <w:rFonts w:hint="eastAsia" w:cs="Times New Roman"/>
          <w:b/>
          <w:color w:val="auto"/>
          <w:sz w:val="28"/>
          <w:szCs w:val="32"/>
          <w:lang w:val="en-GB"/>
        </w:rPr>
        <w:t>.3铲装运输子单元</w:t>
      </w:r>
      <w:bookmarkEnd w:id="461"/>
      <w:bookmarkEnd w:id="462"/>
      <w:bookmarkEnd w:id="463"/>
      <w:bookmarkEnd w:id="464"/>
      <w:bookmarkEnd w:id="465"/>
      <w:bookmarkEnd w:id="466"/>
      <w:bookmarkEnd w:id="467"/>
      <w:bookmarkEnd w:id="468"/>
      <w:bookmarkEnd w:id="469"/>
      <w:bookmarkEnd w:id="470"/>
    </w:p>
    <w:p w14:paraId="3E633BE3">
      <w:pPr>
        <w:pStyle w:val="85"/>
        <w:numPr>
          <w:ilvl w:val="3"/>
          <w:numId w:val="0"/>
        </w:numPr>
        <w:ind w:firstLine="560" w:firstLineChars="200"/>
        <w:rPr>
          <w:rFonts w:cs="黑体"/>
          <w:b w:val="0"/>
          <w:bCs/>
          <w:color w:val="auto"/>
        </w:rPr>
      </w:pPr>
      <w:bookmarkStart w:id="471" w:name="_Toc226963181"/>
      <w:bookmarkStart w:id="472" w:name="_Toc242849793"/>
      <w:bookmarkStart w:id="473" w:name="_Toc115120657"/>
      <w:bookmarkStart w:id="474" w:name="_Toc115120263"/>
      <w:bookmarkStart w:id="475" w:name="_Toc226963173"/>
      <w:r>
        <w:rPr>
          <w:rFonts w:hint="eastAsia" w:cs="黑体"/>
          <w:b w:val="0"/>
          <w:bCs/>
          <w:color w:val="auto"/>
        </w:rPr>
        <w:t>3.4.3.1预先危险性分析（PHA）</w:t>
      </w:r>
      <w:bookmarkEnd w:id="471"/>
      <w:bookmarkEnd w:id="472"/>
    </w:p>
    <w:p w14:paraId="3446E137">
      <w:pPr>
        <w:pStyle w:val="66"/>
        <w:ind w:firstLine="560"/>
        <w:rPr>
          <w:color w:val="auto"/>
        </w:rPr>
      </w:pPr>
      <w:r>
        <w:rPr>
          <w:color w:val="auto"/>
        </w:rPr>
        <w:t>本单元存在的主要危险、有害因素有：</w:t>
      </w:r>
      <w:r>
        <w:rPr>
          <w:rFonts w:hint="eastAsia"/>
          <w:color w:val="auto"/>
        </w:rPr>
        <w:t>物体打击、</w:t>
      </w:r>
      <w:r>
        <w:rPr>
          <w:color w:val="auto"/>
        </w:rPr>
        <w:t>车辆伤害、机械伤害、高处坠落</w:t>
      </w:r>
      <w:r>
        <w:rPr>
          <w:rFonts w:hint="eastAsia"/>
          <w:color w:val="auto"/>
        </w:rPr>
        <w:t>等</w:t>
      </w:r>
      <w:r>
        <w:rPr>
          <w:color w:val="auto"/>
        </w:rPr>
        <w:t>。</w:t>
      </w:r>
    </w:p>
    <w:p w14:paraId="76565A1F">
      <w:pPr>
        <w:pStyle w:val="98"/>
        <w:rPr>
          <w:b w:val="0"/>
          <w:bCs/>
          <w:color w:val="auto"/>
          <w:sz w:val="21"/>
          <w:szCs w:val="21"/>
        </w:rPr>
      </w:pPr>
      <w:r>
        <w:rPr>
          <w:rFonts w:hint="eastAsia"/>
          <w:b w:val="0"/>
          <w:bCs/>
          <w:color w:val="auto"/>
          <w:sz w:val="21"/>
          <w:szCs w:val="21"/>
        </w:rPr>
        <w:t>表 3.4-16  铲装运输单元预先危险性分析表</w:t>
      </w:r>
    </w:p>
    <w:p w14:paraId="6BF83880">
      <w:pPr>
        <w:pStyle w:val="66"/>
        <w:ind w:firstLine="560"/>
        <w:rPr>
          <w:rFonts w:hint="default"/>
          <w:color w:val="auto"/>
          <w:lang w:val="en-US" w:eastAsia="zh-CN"/>
        </w:rPr>
      </w:pPr>
      <w:bookmarkStart w:id="476" w:name="_Toc242849794"/>
      <w:bookmarkStart w:id="477" w:name="_Toc226963182"/>
      <w:r>
        <w:rPr>
          <w:rFonts w:hint="eastAsia"/>
          <w:color w:val="auto"/>
          <w:lang w:val="en-US" w:eastAsia="zh-CN"/>
        </w:rPr>
        <w:t>XX。</w:t>
      </w:r>
    </w:p>
    <w:bookmarkEnd w:id="476"/>
    <w:bookmarkEnd w:id="477"/>
    <w:p w14:paraId="3FD3A5EF">
      <w:pPr>
        <w:autoSpaceDE w:val="0"/>
        <w:autoSpaceDN w:val="0"/>
        <w:snapToGrid w:val="0"/>
        <w:spacing w:line="360" w:lineRule="auto"/>
        <w:ind w:firstLine="560" w:firstLineChars="200"/>
        <w:rPr>
          <w:rFonts w:cs="Times New Roman"/>
          <w:color w:val="auto"/>
          <w:sz w:val="28"/>
          <w:szCs w:val="28"/>
          <w:lang w:val="zh-CN"/>
        </w:rPr>
      </w:pPr>
      <w:r>
        <w:rPr>
          <w:rFonts w:cs="Times New Roman"/>
          <w:color w:val="auto"/>
          <w:sz w:val="28"/>
          <w:szCs w:val="28"/>
          <w:lang w:val="zh-CN"/>
        </w:rPr>
        <w:t>设计方案中对铲装运输方式及开拓运输道路布置进行了设计，符合《金属非金属矿山安全规程》（GB16423</w:t>
      </w:r>
      <w:r>
        <w:rPr>
          <w:rFonts w:hint="eastAsia" w:cs="Times New Roman"/>
          <w:color w:val="auto"/>
          <w:sz w:val="28"/>
          <w:szCs w:val="28"/>
        </w:rPr>
        <w:t>-</w:t>
      </w:r>
      <w:r>
        <w:rPr>
          <w:rFonts w:cs="Times New Roman"/>
          <w:color w:val="auto"/>
          <w:sz w:val="28"/>
          <w:szCs w:val="28"/>
          <w:lang w:val="zh-CN"/>
        </w:rPr>
        <w:t>20</w:t>
      </w:r>
      <w:r>
        <w:rPr>
          <w:rFonts w:hint="eastAsia" w:cs="Times New Roman"/>
          <w:color w:val="auto"/>
          <w:sz w:val="28"/>
          <w:szCs w:val="28"/>
        </w:rPr>
        <w:t>20</w:t>
      </w:r>
      <w:r>
        <w:rPr>
          <w:rFonts w:cs="Times New Roman"/>
          <w:color w:val="auto"/>
          <w:sz w:val="28"/>
          <w:szCs w:val="28"/>
          <w:lang w:val="zh-CN"/>
        </w:rPr>
        <w:t>）</w:t>
      </w:r>
      <w:r>
        <w:rPr>
          <w:rFonts w:cs="Times New Roman"/>
          <w:color w:val="auto"/>
          <w:sz w:val="28"/>
          <w:szCs w:val="28"/>
        </w:rPr>
        <w:t>、</w:t>
      </w:r>
      <w:r>
        <w:rPr>
          <w:rFonts w:cs="Times New Roman"/>
          <w:color w:val="auto"/>
          <w:sz w:val="28"/>
          <w:szCs w:val="28"/>
          <w:lang w:val="zh-CN"/>
        </w:rPr>
        <w:t>《厂矿道路设计规范》（GBJ22</w:t>
      </w:r>
      <w:r>
        <w:rPr>
          <w:rFonts w:hint="eastAsia" w:cs="Times New Roman"/>
          <w:color w:val="auto"/>
          <w:sz w:val="28"/>
          <w:szCs w:val="28"/>
        </w:rPr>
        <w:t>-</w:t>
      </w:r>
      <w:r>
        <w:rPr>
          <w:rFonts w:cs="Times New Roman"/>
          <w:color w:val="auto"/>
          <w:sz w:val="28"/>
          <w:szCs w:val="28"/>
          <w:lang w:val="zh-CN"/>
        </w:rPr>
        <w:t>87）的相关规定。</w:t>
      </w:r>
    </w:p>
    <w:p w14:paraId="06A14208">
      <w:pPr>
        <w:pStyle w:val="81"/>
        <w:numPr>
          <w:ilvl w:val="1"/>
          <w:numId w:val="0"/>
        </w:numPr>
        <w:spacing w:before="0" w:after="0"/>
        <w:jc w:val="center"/>
        <w:rPr>
          <w:rFonts w:cs="黑体"/>
          <w:color w:val="auto"/>
          <w:sz w:val="30"/>
          <w:szCs w:val="30"/>
        </w:rPr>
      </w:pPr>
      <w:bookmarkStart w:id="478" w:name="_Toc1593"/>
      <w:bookmarkStart w:id="479" w:name="_Toc19158"/>
      <w:bookmarkStart w:id="480" w:name="_Toc32313"/>
      <w:bookmarkStart w:id="481" w:name="_Toc501120312"/>
      <w:bookmarkStart w:id="482" w:name="_Toc30978"/>
      <w:r>
        <w:rPr>
          <w:rFonts w:hint="eastAsia" w:cs="黑体"/>
          <w:color w:val="auto"/>
          <w:sz w:val="30"/>
          <w:szCs w:val="30"/>
        </w:rPr>
        <w:t>3.5矿山供配电设施单元</w:t>
      </w:r>
      <w:bookmarkEnd w:id="478"/>
      <w:bookmarkEnd w:id="479"/>
      <w:bookmarkEnd w:id="480"/>
      <w:bookmarkEnd w:id="481"/>
      <w:bookmarkEnd w:id="482"/>
    </w:p>
    <w:p w14:paraId="29B9C083">
      <w:pPr>
        <w:pStyle w:val="66"/>
        <w:ind w:firstLine="560"/>
        <w:rPr>
          <w:color w:val="auto"/>
        </w:rPr>
      </w:pPr>
      <w:r>
        <w:rPr>
          <w:color w:val="auto"/>
        </w:rPr>
        <w:t>本单元危险、有害因素有：机械伤害、触电、火灾等。</w:t>
      </w:r>
    </w:p>
    <w:p w14:paraId="71306B6C">
      <w:pPr>
        <w:pStyle w:val="5"/>
        <w:keepNext/>
        <w:keepLines/>
        <w:snapToGrid w:val="0"/>
        <w:spacing w:line="360" w:lineRule="auto"/>
        <w:ind w:firstLine="562" w:firstLineChars="200"/>
        <w:jc w:val="left"/>
        <w:rPr>
          <w:rFonts w:cs="Times New Roman"/>
          <w:b/>
          <w:color w:val="auto"/>
          <w:sz w:val="28"/>
          <w:szCs w:val="32"/>
          <w:lang w:val="en-GB"/>
        </w:rPr>
      </w:pPr>
      <w:bookmarkStart w:id="483" w:name="_Toc24849"/>
      <w:bookmarkStart w:id="484" w:name="_Toc7929"/>
      <w:bookmarkStart w:id="485" w:name="_Toc19548"/>
      <w:bookmarkStart w:id="486" w:name="_Toc8143"/>
      <w:bookmarkStart w:id="487" w:name="_Toc28845"/>
      <w:bookmarkStart w:id="488" w:name="_Toc843"/>
      <w:bookmarkStart w:id="489" w:name="_Toc30912"/>
      <w:r>
        <w:rPr>
          <w:rFonts w:hint="eastAsia" w:cs="Times New Roman"/>
          <w:b/>
          <w:color w:val="auto"/>
          <w:sz w:val="28"/>
          <w:szCs w:val="32"/>
          <w:lang w:val="en-GB"/>
        </w:rPr>
        <w:t>3.</w:t>
      </w:r>
      <w:r>
        <w:rPr>
          <w:rFonts w:hint="eastAsia" w:cs="Times New Roman"/>
          <w:b/>
          <w:color w:val="auto"/>
          <w:sz w:val="28"/>
          <w:szCs w:val="32"/>
        </w:rPr>
        <w:t>5</w:t>
      </w:r>
      <w:r>
        <w:rPr>
          <w:rFonts w:hint="eastAsia" w:cs="Times New Roman"/>
          <w:b/>
          <w:color w:val="auto"/>
          <w:sz w:val="28"/>
          <w:szCs w:val="32"/>
          <w:lang w:val="en-GB"/>
        </w:rPr>
        <w:t>.1矿山供配电主要危险、有害因素辨识</w:t>
      </w:r>
      <w:bookmarkEnd w:id="483"/>
      <w:bookmarkEnd w:id="484"/>
      <w:bookmarkEnd w:id="485"/>
      <w:bookmarkEnd w:id="486"/>
      <w:bookmarkEnd w:id="487"/>
      <w:bookmarkEnd w:id="488"/>
      <w:bookmarkEnd w:id="489"/>
    </w:p>
    <w:p w14:paraId="7736A180">
      <w:pPr>
        <w:pStyle w:val="85"/>
        <w:numPr>
          <w:ilvl w:val="3"/>
          <w:numId w:val="0"/>
        </w:numPr>
        <w:ind w:firstLine="560" w:firstLineChars="200"/>
        <w:rPr>
          <w:rFonts w:cs="黑体"/>
          <w:b w:val="0"/>
          <w:bCs/>
          <w:color w:val="auto"/>
        </w:rPr>
      </w:pPr>
      <w:r>
        <w:rPr>
          <w:rFonts w:hint="eastAsia" w:cs="黑体"/>
          <w:b w:val="0"/>
          <w:bCs/>
          <w:color w:val="auto"/>
        </w:rPr>
        <w:t>3.5.1.1机械伤害</w:t>
      </w:r>
    </w:p>
    <w:p w14:paraId="63245D6F">
      <w:pPr>
        <w:snapToGrid w:val="0"/>
        <w:spacing w:line="360" w:lineRule="auto"/>
        <w:ind w:firstLine="560" w:firstLineChars="200"/>
        <w:rPr>
          <w:rFonts w:cs="Times New Roman"/>
          <w:bCs/>
          <w:color w:val="auto"/>
          <w:kern w:val="0"/>
          <w:sz w:val="28"/>
          <w:szCs w:val="28"/>
        </w:rPr>
      </w:pPr>
      <w:r>
        <w:rPr>
          <w:rFonts w:hint="eastAsia" w:cs="Times New Roman"/>
          <w:bCs/>
          <w:color w:val="auto"/>
          <w:kern w:val="0"/>
          <w:sz w:val="28"/>
          <w:szCs w:val="28"/>
        </w:rPr>
        <w:t>该矿采用露天开采，使用潜孔钻、空压机等机械设备，如不加强管理，不严格按操作规程操作，将有发生绞伤、挤压、碰撞伤人事故的发生。其主要原因如下：</w:t>
      </w:r>
    </w:p>
    <w:p w14:paraId="00B82C8C">
      <w:pPr>
        <w:pStyle w:val="73"/>
        <w:numPr>
          <w:ilvl w:val="0"/>
          <w:numId w:val="19"/>
        </w:numPr>
        <w:ind w:left="0" w:firstLine="560" w:firstLineChars="200"/>
        <w:rPr>
          <w:color w:val="auto"/>
        </w:rPr>
      </w:pPr>
      <w:r>
        <w:rPr>
          <w:color w:val="auto"/>
        </w:rPr>
        <w:t>传动设备防护设施不到位、使用安全保护装置不完善或在缺乏保护装置情况下违章进行作业；</w:t>
      </w:r>
    </w:p>
    <w:p w14:paraId="3A91DC8F">
      <w:pPr>
        <w:pStyle w:val="73"/>
        <w:numPr>
          <w:ilvl w:val="0"/>
          <w:numId w:val="19"/>
        </w:numPr>
        <w:ind w:left="0" w:firstLine="560" w:firstLineChars="200"/>
        <w:rPr>
          <w:color w:val="auto"/>
        </w:rPr>
      </w:pPr>
      <w:r>
        <w:rPr>
          <w:color w:val="auto"/>
        </w:rPr>
        <w:t>使用过程中驾驶不当，碰挂周围工作人员和其他车辆；</w:t>
      </w:r>
    </w:p>
    <w:p w14:paraId="2E75AAB2">
      <w:pPr>
        <w:pStyle w:val="73"/>
        <w:numPr>
          <w:ilvl w:val="0"/>
          <w:numId w:val="19"/>
        </w:numPr>
        <w:ind w:left="0" w:firstLine="560" w:firstLineChars="200"/>
        <w:rPr>
          <w:color w:val="auto"/>
        </w:rPr>
      </w:pPr>
      <w:r>
        <w:rPr>
          <w:color w:val="auto"/>
        </w:rPr>
        <w:t>机械设备在维修过程中碰伤、挤伤、挂伤人员；</w:t>
      </w:r>
    </w:p>
    <w:p w14:paraId="5FF4A3B7">
      <w:pPr>
        <w:pStyle w:val="73"/>
        <w:numPr>
          <w:ilvl w:val="0"/>
          <w:numId w:val="19"/>
        </w:numPr>
        <w:ind w:left="0" w:firstLine="560" w:firstLineChars="200"/>
        <w:rPr>
          <w:color w:val="auto"/>
        </w:rPr>
      </w:pPr>
      <w:r>
        <w:rPr>
          <w:color w:val="auto"/>
        </w:rPr>
        <w:t>现场管理混乱，非工作人员进入机械转动作业区；</w:t>
      </w:r>
    </w:p>
    <w:p w14:paraId="16A2ED7A">
      <w:pPr>
        <w:pStyle w:val="73"/>
        <w:numPr>
          <w:ilvl w:val="0"/>
          <w:numId w:val="19"/>
        </w:numPr>
        <w:ind w:left="0" w:firstLine="560" w:firstLineChars="200"/>
        <w:rPr>
          <w:color w:val="auto"/>
        </w:rPr>
      </w:pPr>
      <w:r>
        <w:rPr>
          <w:color w:val="auto"/>
        </w:rPr>
        <w:t>机械设备的发生故障，如挖掘机断臂等。</w:t>
      </w:r>
    </w:p>
    <w:p w14:paraId="61440700">
      <w:pPr>
        <w:pStyle w:val="85"/>
        <w:numPr>
          <w:ilvl w:val="3"/>
          <w:numId w:val="0"/>
        </w:numPr>
        <w:ind w:firstLine="560" w:firstLineChars="200"/>
        <w:rPr>
          <w:rFonts w:cs="黑体"/>
          <w:b w:val="0"/>
          <w:bCs/>
          <w:color w:val="auto"/>
        </w:rPr>
      </w:pPr>
      <w:r>
        <w:rPr>
          <w:rFonts w:hint="eastAsia" w:cs="黑体"/>
          <w:b w:val="0"/>
          <w:bCs/>
          <w:color w:val="auto"/>
        </w:rPr>
        <w:t>3.5.1.2触电</w:t>
      </w:r>
    </w:p>
    <w:p w14:paraId="349B9B1B">
      <w:pPr>
        <w:snapToGrid w:val="0"/>
        <w:spacing w:line="360" w:lineRule="auto"/>
        <w:ind w:firstLine="537" w:firstLineChars="192"/>
        <w:rPr>
          <w:rFonts w:cs="Times New Roman"/>
          <w:bCs/>
          <w:color w:val="auto"/>
          <w:sz w:val="28"/>
          <w:szCs w:val="28"/>
        </w:rPr>
      </w:pPr>
      <w:r>
        <w:rPr>
          <w:rFonts w:hint="eastAsia" w:cs="Times New Roman"/>
          <w:bCs/>
          <w:color w:val="auto"/>
          <w:sz w:val="28"/>
          <w:szCs w:val="28"/>
        </w:rPr>
        <w:t>该矿在矿石的开采过程中用电设备较少，但大部分露天布置，裸露地面的电缆遭受风吹日晒易老化，电气设备、电缆的绝缘性能易遭破坏，又由于遭受矿石崩砸、运输工具撞击而使电气设备、电缆绝缘损伤，加上电工违章作业等种种原因，电气设备漏电现象容易发生，如果没有可靠的防护措施，管理不到位、设备及设施的漏电、接地、过流保护不完善，工人缺乏必要的安全用电常识及自我防护意识，一旦人体触及带电体就可能发生触电事故。</w:t>
      </w:r>
    </w:p>
    <w:p w14:paraId="2EC87508">
      <w:pPr>
        <w:snapToGrid w:val="0"/>
        <w:spacing w:line="360" w:lineRule="auto"/>
        <w:ind w:firstLine="537" w:firstLineChars="192"/>
        <w:rPr>
          <w:rFonts w:cs="Times New Roman"/>
          <w:bCs/>
          <w:color w:val="auto"/>
          <w:sz w:val="28"/>
          <w:szCs w:val="28"/>
        </w:rPr>
      </w:pPr>
      <w:r>
        <w:rPr>
          <w:rFonts w:hint="eastAsia" w:cs="Times New Roman"/>
          <w:bCs/>
          <w:color w:val="auto"/>
          <w:sz w:val="28"/>
          <w:szCs w:val="28"/>
        </w:rPr>
        <w:t>生活用电过程中如果发生违章作业也可能产生触电事故的发生。</w:t>
      </w:r>
    </w:p>
    <w:p w14:paraId="008EEAC4">
      <w:pPr>
        <w:pStyle w:val="85"/>
        <w:numPr>
          <w:ilvl w:val="3"/>
          <w:numId w:val="0"/>
        </w:numPr>
        <w:ind w:firstLine="560" w:firstLineChars="200"/>
        <w:rPr>
          <w:rFonts w:cs="黑体"/>
          <w:b w:val="0"/>
          <w:bCs/>
          <w:color w:val="auto"/>
        </w:rPr>
      </w:pPr>
      <w:r>
        <w:rPr>
          <w:rFonts w:hint="eastAsia" w:cs="黑体"/>
          <w:b w:val="0"/>
          <w:bCs/>
          <w:color w:val="auto"/>
        </w:rPr>
        <w:t>3.5.1.3火灾</w:t>
      </w:r>
    </w:p>
    <w:p w14:paraId="328BD910">
      <w:pPr>
        <w:pStyle w:val="66"/>
        <w:ind w:firstLine="560"/>
        <w:rPr>
          <w:color w:val="auto"/>
        </w:rPr>
      </w:pPr>
      <w:r>
        <w:rPr>
          <w:rFonts w:hint="eastAsia"/>
          <w:color w:val="auto"/>
        </w:rPr>
        <w:t>该矿开采中机械设备大多使用柴油作动力，但建有一配电室，易引发火灾，生活区也是火灾常发区域。供配电设施引发火灾事故的主要原因：电源线路磨损、压破绝缘层使外壳带电，设备缺少漏电保护等防护装置。电气设备发生短路、漏电、接地、过负荷火灾事故。</w:t>
      </w:r>
    </w:p>
    <w:p w14:paraId="2FD8EC17">
      <w:pPr>
        <w:pStyle w:val="85"/>
        <w:numPr>
          <w:ilvl w:val="3"/>
          <w:numId w:val="0"/>
        </w:numPr>
        <w:ind w:firstLine="560" w:firstLineChars="200"/>
        <w:rPr>
          <w:rFonts w:cs="黑体"/>
          <w:b w:val="0"/>
          <w:bCs/>
          <w:color w:val="auto"/>
        </w:rPr>
      </w:pPr>
      <w:r>
        <w:rPr>
          <w:rFonts w:hint="eastAsia" w:cs="黑体"/>
          <w:b w:val="0"/>
          <w:bCs/>
          <w:color w:val="auto"/>
        </w:rPr>
        <w:t>3.5.1.4职业危害</w:t>
      </w:r>
    </w:p>
    <w:p w14:paraId="67D25BCC">
      <w:pPr>
        <w:pStyle w:val="73"/>
        <w:numPr>
          <w:ilvl w:val="0"/>
          <w:numId w:val="20"/>
        </w:numPr>
        <w:ind w:left="0" w:firstLine="560" w:firstLineChars="200"/>
        <w:rPr>
          <w:color w:val="auto"/>
        </w:rPr>
      </w:pPr>
      <w:r>
        <w:rPr>
          <w:rFonts w:hint="eastAsia"/>
          <w:color w:val="auto"/>
        </w:rPr>
        <w:t>噪声及振动危害</w:t>
      </w:r>
    </w:p>
    <w:p w14:paraId="43A374D2">
      <w:pPr>
        <w:snapToGrid w:val="0"/>
        <w:spacing w:line="360" w:lineRule="auto"/>
        <w:ind w:firstLine="560" w:firstLineChars="200"/>
        <w:jc w:val="left"/>
        <w:rPr>
          <w:rFonts w:cs="Times New Roman"/>
          <w:color w:val="auto"/>
          <w:kern w:val="0"/>
          <w:sz w:val="28"/>
          <w:szCs w:val="28"/>
        </w:rPr>
      </w:pPr>
      <w:r>
        <w:rPr>
          <w:rFonts w:hint="eastAsia" w:cs="Times New Roman"/>
          <w:color w:val="auto"/>
          <w:kern w:val="0"/>
          <w:sz w:val="28"/>
          <w:szCs w:val="28"/>
        </w:rPr>
        <w:t>该矿噪声与振动主要有供配电设备产生的机械噪声和气流的空气动力噪声。操作人员长时间在噪声环境下工作，可能引起职业性耳聋或引起神经衰弱、心血管疾病及消化系统等疾病的高发，同时也会使操作人员的失误率上升，严重的会导致事故的发生。有关供配电设施产生噪声和振动的设备和场所主要有：</w:t>
      </w:r>
    </w:p>
    <w:p w14:paraId="33860C84">
      <w:pPr>
        <w:pStyle w:val="66"/>
        <w:ind w:firstLine="560"/>
        <w:rPr>
          <w:color w:val="auto"/>
        </w:rPr>
      </w:pPr>
      <w:r>
        <w:rPr>
          <w:color w:val="auto"/>
        </w:rPr>
        <w:t>（1）穿孔作业；</w:t>
      </w:r>
    </w:p>
    <w:p w14:paraId="7A1BD9EA">
      <w:pPr>
        <w:pStyle w:val="66"/>
        <w:ind w:firstLine="560"/>
        <w:rPr>
          <w:color w:val="auto"/>
        </w:rPr>
      </w:pPr>
      <w:r>
        <w:rPr>
          <w:color w:val="auto"/>
        </w:rPr>
        <w:t>（2）空压机作业场所。</w:t>
      </w:r>
    </w:p>
    <w:p w14:paraId="2C3C5333">
      <w:pPr>
        <w:pStyle w:val="73"/>
        <w:numPr>
          <w:ilvl w:val="0"/>
          <w:numId w:val="20"/>
        </w:numPr>
        <w:ind w:left="0" w:firstLine="560" w:firstLineChars="200"/>
        <w:rPr>
          <w:color w:val="auto"/>
        </w:rPr>
      </w:pPr>
      <w:r>
        <w:rPr>
          <w:rFonts w:hint="eastAsia"/>
          <w:color w:val="auto"/>
        </w:rPr>
        <w:t>粉尘危害</w:t>
      </w:r>
    </w:p>
    <w:p w14:paraId="2DD42CEB">
      <w:pPr>
        <w:pStyle w:val="66"/>
        <w:ind w:firstLine="560"/>
        <w:rPr>
          <w:color w:val="auto"/>
        </w:rPr>
      </w:pPr>
      <w:r>
        <w:rPr>
          <w:color w:val="auto"/>
        </w:rPr>
        <w:t>该矿在钻孔环节</w:t>
      </w:r>
      <w:r>
        <w:rPr>
          <w:rFonts w:hint="eastAsia"/>
          <w:color w:val="auto"/>
        </w:rPr>
        <w:t>会</w:t>
      </w:r>
      <w:r>
        <w:rPr>
          <w:color w:val="auto"/>
        </w:rPr>
        <w:t>产生大量的岩尘，将对人体产生粉尘危害。</w:t>
      </w:r>
    </w:p>
    <w:p w14:paraId="7EE05321">
      <w:pPr>
        <w:pStyle w:val="5"/>
        <w:keepNext/>
        <w:keepLines/>
        <w:snapToGrid w:val="0"/>
        <w:spacing w:line="360" w:lineRule="auto"/>
        <w:ind w:firstLine="562" w:firstLineChars="200"/>
        <w:jc w:val="left"/>
        <w:rPr>
          <w:rFonts w:cs="Times New Roman"/>
          <w:b/>
          <w:color w:val="auto"/>
          <w:sz w:val="28"/>
          <w:szCs w:val="32"/>
          <w:lang w:val="en-GB"/>
        </w:rPr>
      </w:pPr>
      <w:bookmarkStart w:id="490" w:name="_Toc10812"/>
      <w:bookmarkStart w:id="491" w:name="_Toc21012"/>
      <w:bookmarkStart w:id="492" w:name="_Toc18634"/>
      <w:bookmarkStart w:id="493" w:name="_Toc13442"/>
      <w:bookmarkStart w:id="494" w:name="_Toc167252066"/>
      <w:bookmarkStart w:id="495" w:name="_Toc501120313"/>
      <w:bookmarkStart w:id="496" w:name="_Toc29873"/>
      <w:bookmarkStart w:id="497" w:name="_Toc24744"/>
      <w:bookmarkStart w:id="498" w:name="_Toc31040"/>
      <w:bookmarkStart w:id="499" w:name="_Toc189"/>
      <w:bookmarkStart w:id="500" w:name="_Toc167251288"/>
      <w:bookmarkStart w:id="501" w:name="_Toc13954"/>
      <w:r>
        <w:rPr>
          <w:rFonts w:hint="eastAsia" w:cs="Times New Roman"/>
          <w:b/>
          <w:color w:val="auto"/>
          <w:sz w:val="28"/>
          <w:szCs w:val="32"/>
          <w:lang w:val="en-GB"/>
        </w:rPr>
        <w:t>3.</w:t>
      </w:r>
      <w:r>
        <w:rPr>
          <w:rFonts w:hint="eastAsia" w:cs="Times New Roman"/>
          <w:b/>
          <w:color w:val="auto"/>
          <w:sz w:val="28"/>
          <w:szCs w:val="32"/>
        </w:rPr>
        <w:t>5</w:t>
      </w:r>
      <w:r>
        <w:rPr>
          <w:rFonts w:hint="eastAsia" w:cs="Times New Roman"/>
          <w:b/>
          <w:color w:val="auto"/>
          <w:sz w:val="28"/>
          <w:szCs w:val="32"/>
          <w:lang w:val="en-GB"/>
        </w:rPr>
        <w:t>.2预先危险性分析（PHA）</w:t>
      </w:r>
      <w:bookmarkEnd w:id="490"/>
      <w:bookmarkEnd w:id="491"/>
      <w:bookmarkEnd w:id="492"/>
      <w:bookmarkEnd w:id="493"/>
      <w:bookmarkEnd w:id="494"/>
      <w:bookmarkEnd w:id="495"/>
      <w:bookmarkEnd w:id="496"/>
      <w:bookmarkEnd w:id="497"/>
      <w:bookmarkEnd w:id="498"/>
      <w:bookmarkEnd w:id="499"/>
      <w:bookmarkEnd w:id="500"/>
      <w:bookmarkEnd w:id="501"/>
    </w:p>
    <w:p w14:paraId="3D6AF663">
      <w:pPr>
        <w:pStyle w:val="98"/>
        <w:rPr>
          <w:b w:val="0"/>
          <w:bCs/>
          <w:color w:val="auto"/>
          <w:sz w:val="21"/>
          <w:szCs w:val="21"/>
        </w:rPr>
      </w:pPr>
      <w:r>
        <w:rPr>
          <w:rFonts w:hint="eastAsia"/>
          <w:b w:val="0"/>
          <w:bCs/>
          <w:color w:val="auto"/>
          <w:sz w:val="21"/>
          <w:szCs w:val="21"/>
        </w:rPr>
        <w:t>表3.5-1  矿山电气单元预先危险性分析表</w:t>
      </w:r>
    </w:p>
    <w:p w14:paraId="08BDB2CB">
      <w:pPr>
        <w:pStyle w:val="101"/>
        <w:spacing w:line="240" w:lineRule="auto"/>
        <w:ind w:firstLine="560" w:firstLineChars="200"/>
        <w:rPr>
          <w:rFonts w:hint="default" w:ascii="Times New Roman" w:hAnsi="Times New Roman" w:eastAsia="宋体" w:cstheme="minorBidi"/>
          <w:color w:val="auto"/>
          <w:kern w:val="2"/>
          <w:sz w:val="28"/>
          <w:szCs w:val="28"/>
          <w:lang w:val="en-US" w:eastAsia="zh-CN" w:bidi="ar-SA"/>
        </w:rPr>
      </w:pPr>
      <w:bookmarkStart w:id="502" w:name="_Toc14176"/>
      <w:bookmarkStart w:id="503" w:name="_Toc26271"/>
      <w:bookmarkStart w:id="504" w:name="_Toc501120314"/>
      <w:bookmarkStart w:id="505" w:name="_Toc203481406"/>
      <w:bookmarkStart w:id="506" w:name="_Toc203481245"/>
      <w:r>
        <w:rPr>
          <w:rFonts w:hint="eastAsia" w:ascii="Times New Roman" w:hAnsi="Times New Roman" w:eastAsia="宋体" w:cstheme="minorBidi"/>
          <w:color w:val="auto"/>
          <w:kern w:val="2"/>
          <w:sz w:val="28"/>
          <w:szCs w:val="28"/>
          <w:lang w:val="en-US" w:eastAsia="zh-CN" w:bidi="ar-SA"/>
        </w:rPr>
        <w:t>XX。</w:t>
      </w:r>
    </w:p>
    <w:p w14:paraId="00D6F74C">
      <w:pPr>
        <w:pStyle w:val="5"/>
        <w:keepNext/>
        <w:keepLines/>
        <w:snapToGrid w:val="0"/>
        <w:spacing w:line="360" w:lineRule="auto"/>
        <w:ind w:firstLine="562" w:firstLineChars="200"/>
        <w:jc w:val="left"/>
        <w:rPr>
          <w:rFonts w:cs="Times New Roman"/>
          <w:b/>
          <w:color w:val="auto"/>
          <w:sz w:val="28"/>
          <w:szCs w:val="32"/>
          <w:lang w:val="en-GB"/>
        </w:rPr>
      </w:pPr>
      <w:bookmarkStart w:id="507" w:name="_Toc20514"/>
      <w:bookmarkStart w:id="508" w:name="_Toc2382"/>
      <w:bookmarkStart w:id="509" w:name="_Toc19432"/>
      <w:bookmarkStart w:id="510" w:name="_Toc22547"/>
      <w:bookmarkStart w:id="511" w:name="_Toc3377"/>
      <w:bookmarkStart w:id="512" w:name="_Toc1939"/>
      <w:bookmarkStart w:id="513" w:name="_Toc11087"/>
      <w:r>
        <w:rPr>
          <w:rFonts w:hint="eastAsia" w:cs="Times New Roman"/>
          <w:b/>
          <w:color w:val="auto"/>
          <w:sz w:val="28"/>
          <w:szCs w:val="32"/>
          <w:lang w:val="en-GB"/>
        </w:rPr>
        <w:t>3.</w:t>
      </w:r>
      <w:r>
        <w:rPr>
          <w:rFonts w:hint="eastAsia" w:cs="Times New Roman"/>
          <w:b/>
          <w:color w:val="auto"/>
          <w:sz w:val="28"/>
          <w:szCs w:val="32"/>
        </w:rPr>
        <w:t>5</w:t>
      </w:r>
      <w:r>
        <w:rPr>
          <w:rFonts w:hint="eastAsia" w:cs="Times New Roman"/>
          <w:b/>
          <w:color w:val="auto"/>
          <w:sz w:val="28"/>
          <w:szCs w:val="32"/>
          <w:lang w:val="en-GB"/>
        </w:rPr>
        <w:t>.3触电危险性评价</w:t>
      </w:r>
      <w:bookmarkEnd w:id="502"/>
      <w:bookmarkEnd w:id="503"/>
      <w:bookmarkEnd w:id="504"/>
      <w:bookmarkEnd w:id="505"/>
      <w:bookmarkEnd w:id="506"/>
      <w:bookmarkEnd w:id="507"/>
      <w:bookmarkEnd w:id="508"/>
      <w:bookmarkEnd w:id="509"/>
      <w:bookmarkEnd w:id="510"/>
      <w:bookmarkEnd w:id="511"/>
      <w:bookmarkEnd w:id="512"/>
      <w:bookmarkEnd w:id="513"/>
    </w:p>
    <w:p w14:paraId="2B6DFB28">
      <w:pPr>
        <w:snapToGrid w:val="0"/>
        <w:spacing w:line="360" w:lineRule="auto"/>
        <w:ind w:firstLine="560" w:firstLineChars="200"/>
        <w:rPr>
          <w:rFonts w:cs="Times New Roman"/>
          <w:color w:val="auto"/>
          <w:sz w:val="28"/>
          <w:szCs w:val="28"/>
        </w:rPr>
      </w:pPr>
      <w:r>
        <w:rPr>
          <w:rFonts w:hint="eastAsia" w:cs="Times New Roman"/>
          <w:color w:val="auto"/>
          <w:sz w:val="28"/>
          <w:szCs w:val="28"/>
        </w:rPr>
        <w:t>电气方面的危险有害因素按照电气事故的性质分为：触电（含电击、电伤）、电气火灾和爆炸、雷电等几类，针对本建设项目存在的危险性分析如下：</w:t>
      </w:r>
    </w:p>
    <w:p w14:paraId="3D908455">
      <w:pPr>
        <w:snapToGrid w:val="0"/>
        <w:spacing w:line="360" w:lineRule="auto"/>
        <w:ind w:firstLine="560" w:firstLineChars="200"/>
        <w:jc w:val="left"/>
        <w:rPr>
          <w:rFonts w:cs="Times New Roman"/>
          <w:color w:val="auto"/>
          <w:kern w:val="0"/>
          <w:sz w:val="28"/>
          <w:szCs w:val="28"/>
        </w:rPr>
      </w:pPr>
      <w:r>
        <w:rPr>
          <w:rFonts w:hint="eastAsia" w:cs="Times New Roman"/>
          <w:color w:val="auto"/>
          <w:kern w:val="0"/>
          <w:sz w:val="28"/>
          <w:szCs w:val="28"/>
        </w:rPr>
        <w:t>触电的危险部位分布在：变压器、配电室、办公生活区的各种电气设备、供电线路、照明线路及照明器具等。</w:t>
      </w:r>
    </w:p>
    <w:p w14:paraId="4FA87579">
      <w:pPr>
        <w:pStyle w:val="66"/>
        <w:ind w:firstLine="560"/>
        <w:rPr>
          <w:color w:val="auto"/>
        </w:rPr>
      </w:pPr>
      <w:r>
        <w:rPr>
          <w:color w:val="auto"/>
        </w:rPr>
        <w:t>矿山变压器、配电室、办公生活区内所有用电设备的金属外壳、底座、支架及电缆金属外皮等均应可靠接地，配电室要上锁，专人守护，存在的触电危险性是可接受的。</w:t>
      </w:r>
    </w:p>
    <w:p w14:paraId="141FA5A3">
      <w:pPr>
        <w:pStyle w:val="5"/>
        <w:keepNext/>
        <w:keepLines/>
        <w:snapToGrid w:val="0"/>
        <w:spacing w:line="360" w:lineRule="auto"/>
        <w:ind w:firstLine="562" w:firstLineChars="200"/>
        <w:jc w:val="left"/>
        <w:rPr>
          <w:rFonts w:cs="Times New Roman"/>
          <w:b/>
          <w:color w:val="auto"/>
          <w:sz w:val="28"/>
          <w:szCs w:val="32"/>
          <w:lang w:val="en-GB"/>
        </w:rPr>
      </w:pPr>
      <w:bookmarkStart w:id="514" w:name="_Toc19057"/>
      <w:bookmarkStart w:id="515" w:name="_Toc203481407"/>
      <w:bookmarkStart w:id="516" w:name="_Toc20888"/>
      <w:bookmarkStart w:id="517" w:name="_Toc22181"/>
      <w:bookmarkStart w:id="518" w:name="_Toc1401"/>
      <w:bookmarkStart w:id="519" w:name="_Toc15201"/>
      <w:bookmarkStart w:id="520" w:name="_Toc203481246"/>
      <w:bookmarkStart w:id="521" w:name="_Toc2564"/>
      <w:bookmarkStart w:id="522" w:name="_Toc4757"/>
      <w:bookmarkStart w:id="523" w:name="_Toc30280"/>
      <w:bookmarkStart w:id="524" w:name="_Toc21526"/>
      <w:bookmarkStart w:id="525" w:name="_Toc501120315"/>
      <w:r>
        <w:rPr>
          <w:rFonts w:hint="eastAsia" w:cs="Times New Roman"/>
          <w:b/>
          <w:color w:val="auto"/>
          <w:sz w:val="28"/>
          <w:szCs w:val="32"/>
          <w:lang w:val="en-GB"/>
        </w:rPr>
        <w:t>3.</w:t>
      </w:r>
      <w:r>
        <w:rPr>
          <w:rFonts w:hint="eastAsia" w:cs="Times New Roman"/>
          <w:b/>
          <w:color w:val="auto"/>
          <w:sz w:val="28"/>
          <w:szCs w:val="32"/>
        </w:rPr>
        <w:t>5</w:t>
      </w:r>
      <w:r>
        <w:rPr>
          <w:rFonts w:hint="eastAsia" w:cs="Times New Roman"/>
          <w:b/>
          <w:color w:val="auto"/>
          <w:sz w:val="28"/>
          <w:szCs w:val="32"/>
          <w:lang w:val="en-GB"/>
        </w:rPr>
        <w:t>.4电气火灾和爆炸危险性评价</w:t>
      </w:r>
      <w:bookmarkEnd w:id="514"/>
      <w:bookmarkEnd w:id="515"/>
      <w:bookmarkEnd w:id="516"/>
      <w:bookmarkEnd w:id="517"/>
      <w:bookmarkEnd w:id="518"/>
      <w:bookmarkEnd w:id="519"/>
      <w:bookmarkEnd w:id="520"/>
      <w:bookmarkEnd w:id="521"/>
      <w:bookmarkEnd w:id="522"/>
      <w:bookmarkEnd w:id="523"/>
      <w:bookmarkEnd w:id="524"/>
      <w:bookmarkEnd w:id="525"/>
    </w:p>
    <w:p w14:paraId="30B6CFD6">
      <w:pPr>
        <w:snapToGrid w:val="0"/>
        <w:spacing w:line="360" w:lineRule="auto"/>
        <w:ind w:firstLine="537" w:firstLineChars="192"/>
        <w:rPr>
          <w:rFonts w:cs="Times New Roman"/>
          <w:bCs/>
          <w:color w:val="auto"/>
          <w:sz w:val="28"/>
          <w:szCs w:val="28"/>
        </w:rPr>
      </w:pPr>
      <w:r>
        <w:rPr>
          <w:rFonts w:cs="Times New Roman"/>
          <w:bCs/>
          <w:color w:val="auto"/>
          <w:sz w:val="28"/>
          <w:szCs w:val="28"/>
        </w:rPr>
        <w:t>矿山供电系统中，在变压器、配电室、办公生活区配备有照明线路和用电器等，存在因漏电、短路、过载、过流引起的过热、电火花、电弧，雷电放电的电弧，静电火花等可能，引起电气线路火灾。</w:t>
      </w:r>
    </w:p>
    <w:p w14:paraId="4D85FE80">
      <w:pPr>
        <w:pStyle w:val="5"/>
        <w:keepNext/>
        <w:keepLines/>
        <w:snapToGrid w:val="0"/>
        <w:spacing w:line="360" w:lineRule="auto"/>
        <w:ind w:firstLine="562" w:firstLineChars="200"/>
        <w:jc w:val="left"/>
        <w:rPr>
          <w:rFonts w:cs="Times New Roman"/>
          <w:b/>
          <w:color w:val="auto"/>
          <w:sz w:val="28"/>
          <w:szCs w:val="32"/>
          <w:lang w:val="en-GB"/>
        </w:rPr>
      </w:pPr>
      <w:bookmarkStart w:id="526" w:name="_Toc203481247"/>
      <w:bookmarkStart w:id="527" w:name="_Toc25810"/>
      <w:bookmarkStart w:id="528" w:name="_Toc18061"/>
      <w:bookmarkStart w:id="529" w:name="_Toc501120316"/>
      <w:bookmarkStart w:id="530" w:name="_Toc27167"/>
      <w:bookmarkStart w:id="531" w:name="_Toc203481408"/>
      <w:bookmarkStart w:id="532" w:name="_Toc14267"/>
      <w:bookmarkStart w:id="533" w:name="_Toc23372"/>
      <w:bookmarkStart w:id="534" w:name="_Toc17439"/>
      <w:bookmarkStart w:id="535" w:name="_Toc25492"/>
      <w:bookmarkStart w:id="536" w:name="_Toc8094"/>
      <w:bookmarkStart w:id="537" w:name="_Toc8958"/>
      <w:r>
        <w:rPr>
          <w:rFonts w:hint="eastAsia" w:cs="Times New Roman"/>
          <w:b/>
          <w:color w:val="auto"/>
          <w:sz w:val="28"/>
          <w:szCs w:val="32"/>
          <w:lang w:val="en-GB"/>
        </w:rPr>
        <w:t>3.</w:t>
      </w:r>
      <w:r>
        <w:rPr>
          <w:rFonts w:hint="eastAsia" w:cs="Times New Roman"/>
          <w:b/>
          <w:color w:val="auto"/>
          <w:sz w:val="28"/>
          <w:szCs w:val="32"/>
        </w:rPr>
        <w:t>5</w:t>
      </w:r>
      <w:r>
        <w:rPr>
          <w:rFonts w:hint="eastAsia" w:cs="Times New Roman"/>
          <w:b/>
          <w:color w:val="auto"/>
          <w:sz w:val="28"/>
          <w:szCs w:val="32"/>
          <w:lang w:val="en-GB"/>
        </w:rPr>
        <w:t>.5雷电危险性评价</w:t>
      </w:r>
      <w:bookmarkEnd w:id="526"/>
      <w:bookmarkEnd w:id="527"/>
      <w:bookmarkEnd w:id="528"/>
      <w:bookmarkEnd w:id="529"/>
      <w:bookmarkEnd w:id="530"/>
      <w:bookmarkEnd w:id="531"/>
      <w:bookmarkEnd w:id="532"/>
      <w:bookmarkEnd w:id="533"/>
      <w:bookmarkEnd w:id="534"/>
      <w:bookmarkEnd w:id="535"/>
      <w:bookmarkEnd w:id="536"/>
      <w:bookmarkEnd w:id="537"/>
    </w:p>
    <w:p w14:paraId="7B1D713F">
      <w:pPr>
        <w:snapToGrid w:val="0"/>
        <w:spacing w:line="360" w:lineRule="auto"/>
        <w:ind w:firstLine="560" w:firstLineChars="200"/>
        <w:rPr>
          <w:rFonts w:cs="Times New Roman"/>
          <w:color w:val="auto"/>
          <w:sz w:val="28"/>
          <w:szCs w:val="20"/>
          <w:lang w:val="zh-TW"/>
        </w:rPr>
      </w:pPr>
      <w:r>
        <w:rPr>
          <w:rFonts w:cs="Times New Roman"/>
          <w:color w:val="auto"/>
          <w:sz w:val="28"/>
          <w:szCs w:val="20"/>
          <w:lang w:val="zh-TW"/>
        </w:rPr>
        <w:t>雷电危险评价主要是针对项目中建（构）筑物应设置的防雷接地设施而进行的，所采用的方法是根据《建筑物防雷设计规范》（GB50057</w:t>
      </w:r>
      <w:r>
        <w:rPr>
          <w:rFonts w:hint="eastAsia" w:cs="Times New Roman"/>
          <w:color w:val="auto"/>
          <w:sz w:val="28"/>
          <w:szCs w:val="20"/>
        </w:rPr>
        <w:t>-</w:t>
      </w:r>
      <w:r>
        <w:rPr>
          <w:rFonts w:cs="Times New Roman"/>
          <w:color w:val="auto"/>
          <w:sz w:val="28"/>
          <w:szCs w:val="20"/>
          <w:lang w:val="zh-TW"/>
        </w:rPr>
        <w:t>2010）等相关标准、规范，检查该项目建（构）筑物、设施的防雷分类、防雷设施措施是否正确。矿山作业人员在雷雨天要注意防雷，不要在树下、电杆下等易发生雷击伤害的地方停留。雷雨天禁止进行穿孔、装药、连线及起爆等爆破工作作业，禁止使用电力起爆方法进行露天爆破。</w:t>
      </w:r>
    </w:p>
    <w:bookmarkEnd w:id="473"/>
    <w:bookmarkEnd w:id="474"/>
    <w:bookmarkEnd w:id="475"/>
    <w:p w14:paraId="7E085C2E">
      <w:pPr>
        <w:pStyle w:val="81"/>
        <w:numPr>
          <w:ilvl w:val="1"/>
          <w:numId w:val="0"/>
        </w:numPr>
        <w:spacing w:before="0" w:after="0"/>
        <w:jc w:val="center"/>
        <w:rPr>
          <w:rFonts w:cs="黑体"/>
          <w:color w:val="auto"/>
          <w:sz w:val="30"/>
          <w:szCs w:val="30"/>
        </w:rPr>
      </w:pPr>
      <w:bookmarkStart w:id="538" w:name="_Toc6888"/>
      <w:bookmarkStart w:id="539" w:name="_Toc29342"/>
      <w:bookmarkStart w:id="540" w:name="_Toc8910"/>
      <w:bookmarkStart w:id="541" w:name="_Toc501120319"/>
      <w:bookmarkStart w:id="542" w:name="_Toc15125"/>
      <w:bookmarkStart w:id="543" w:name="_Toc8235"/>
      <w:r>
        <w:rPr>
          <w:rFonts w:hint="eastAsia" w:cs="黑体"/>
          <w:color w:val="auto"/>
          <w:sz w:val="30"/>
          <w:szCs w:val="30"/>
        </w:rPr>
        <w:t>3.6防排水单元</w:t>
      </w:r>
      <w:bookmarkEnd w:id="538"/>
      <w:bookmarkEnd w:id="539"/>
      <w:bookmarkEnd w:id="540"/>
      <w:bookmarkEnd w:id="541"/>
      <w:bookmarkEnd w:id="542"/>
      <w:bookmarkEnd w:id="543"/>
    </w:p>
    <w:p w14:paraId="41B1DCA1">
      <w:pPr>
        <w:pStyle w:val="5"/>
        <w:keepNext/>
        <w:keepLines/>
        <w:snapToGrid w:val="0"/>
        <w:spacing w:line="360" w:lineRule="auto"/>
        <w:ind w:firstLine="562" w:firstLineChars="200"/>
        <w:jc w:val="left"/>
        <w:rPr>
          <w:rFonts w:cs="Times New Roman"/>
          <w:b/>
          <w:color w:val="auto"/>
          <w:sz w:val="28"/>
          <w:szCs w:val="32"/>
          <w:lang w:val="en-GB"/>
        </w:rPr>
      </w:pPr>
      <w:bookmarkStart w:id="544" w:name="_Toc14457"/>
      <w:bookmarkStart w:id="545" w:name="_Toc469"/>
      <w:bookmarkStart w:id="546" w:name="_Toc9853"/>
      <w:bookmarkStart w:id="547" w:name="_Toc16958"/>
      <w:bookmarkStart w:id="548" w:name="_Toc22437"/>
      <w:bookmarkStart w:id="549" w:name="_Toc501120320"/>
      <w:bookmarkStart w:id="550" w:name="_Toc13558"/>
      <w:bookmarkStart w:id="551" w:name="_Toc6531"/>
      <w:bookmarkStart w:id="552" w:name="_Toc217735974"/>
      <w:bookmarkStart w:id="553" w:name="_Toc6861"/>
      <w:bookmarkStart w:id="554" w:name="_Toc30583"/>
      <w:r>
        <w:rPr>
          <w:rFonts w:hint="eastAsia" w:cs="Times New Roman"/>
          <w:b/>
          <w:color w:val="auto"/>
          <w:sz w:val="28"/>
          <w:szCs w:val="32"/>
          <w:lang w:val="en-GB"/>
        </w:rPr>
        <w:t>3.</w:t>
      </w:r>
      <w:r>
        <w:rPr>
          <w:rFonts w:hint="eastAsia" w:cs="Times New Roman"/>
          <w:b/>
          <w:color w:val="auto"/>
          <w:sz w:val="28"/>
          <w:szCs w:val="32"/>
        </w:rPr>
        <w:t>6</w:t>
      </w:r>
      <w:r>
        <w:rPr>
          <w:rFonts w:hint="eastAsia" w:cs="Times New Roman"/>
          <w:b/>
          <w:color w:val="auto"/>
          <w:sz w:val="28"/>
          <w:szCs w:val="32"/>
          <w:lang w:val="en-GB"/>
        </w:rPr>
        <w:t>.1预先危险性分析（PHA）</w:t>
      </w:r>
      <w:bookmarkEnd w:id="544"/>
      <w:bookmarkEnd w:id="545"/>
      <w:bookmarkEnd w:id="546"/>
      <w:bookmarkEnd w:id="547"/>
      <w:bookmarkEnd w:id="548"/>
      <w:bookmarkEnd w:id="549"/>
      <w:bookmarkEnd w:id="550"/>
      <w:bookmarkEnd w:id="551"/>
      <w:bookmarkEnd w:id="552"/>
      <w:bookmarkEnd w:id="553"/>
      <w:bookmarkEnd w:id="554"/>
    </w:p>
    <w:p w14:paraId="43581675">
      <w:pPr>
        <w:pStyle w:val="66"/>
        <w:ind w:firstLine="560"/>
        <w:rPr>
          <w:color w:val="auto"/>
        </w:rPr>
      </w:pPr>
      <w:r>
        <w:rPr>
          <w:color w:val="auto"/>
        </w:rPr>
        <w:t>本单元存在的主要危险、有害因素有：</w:t>
      </w:r>
      <w:r>
        <w:rPr>
          <w:rStyle w:val="325"/>
          <w:rFonts w:ascii="Times New Roman" w:hAnsi="Times New Roman" w:cs="Times New Roman"/>
          <w:color w:val="auto"/>
        </w:rPr>
        <w:t>泥石流</w:t>
      </w:r>
      <w:r>
        <w:rPr>
          <w:rStyle w:val="325"/>
          <w:rFonts w:hint="eastAsia" w:ascii="Times New Roman" w:hAnsi="Times New Roman" w:cs="Times New Roman"/>
          <w:color w:val="auto"/>
        </w:rPr>
        <w:t>、</w:t>
      </w:r>
      <w:r>
        <w:rPr>
          <w:color w:val="auto"/>
        </w:rPr>
        <w:t>滚石</w:t>
      </w:r>
      <w:r>
        <w:rPr>
          <w:rFonts w:hint="eastAsia"/>
          <w:color w:val="auto"/>
        </w:rPr>
        <w:t>、滑坡、</w:t>
      </w:r>
      <w:r>
        <w:rPr>
          <w:color w:val="auto"/>
        </w:rPr>
        <w:t>塌方</w:t>
      </w:r>
      <w:r>
        <w:rPr>
          <w:rFonts w:hint="eastAsia"/>
          <w:color w:val="auto"/>
        </w:rPr>
        <w:t>等。</w:t>
      </w:r>
    </w:p>
    <w:p w14:paraId="3E273994">
      <w:pPr>
        <w:snapToGrid w:val="0"/>
        <w:spacing w:line="360" w:lineRule="auto"/>
        <w:jc w:val="center"/>
        <w:rPr>
          <w:rFonts w:cs="Times New Roman"/>
          <w:bCs/>
          <w:color w:val="auto"/>
        </w:rPr>
      </w:pPr>
      <w:r>
        <w:rPr>
          <w:rFonts w:hint="eastAsia" w:cs="Times New Roman"/>
          <w:bCs/>
          <w:color w:val="auto"/>
        </w:rPr>
        <w:t>表3.6-1  防排水单元预先危险性分析表</w:t>
      </w:r>
    </w:p>
    <w:p w14:paraId="603FC5F6">
      <w:pPr>
        <w:pStyle w:val="66"/>
        <w:spacing w:line="240" w:lineRule="auto"/>
        <w:ind w:firstLine="420"/>
        <w:rPr>
          <w:rFonts w:hint="default" w:eastAsia="宋体"/>
          <w:color w:val="auto"/>
          <w:sz w:val="28"/>
          <w:szCs w:val="28"/>
          <w:lang w:val="en-US" w:eastAsia="zh-CN"/>
        </w:rPr>
      </w:pPr>
      <w:bookmarkStart w:id="555" w:name="_Toc11808"/>
      <w:bookmarkStart w:id="556" w:name="_Toc4000"/>
      <w:bookmarkStart w:id="557" w:name="_Toc501120321"/>
      <w:r>
        <w:rPr>
          <w:rFonts w:hint="eastAsia"/>
          <w:color w:val="auto"/>
          <w:sz w:val="28"/>
          <w:szCs w:val="28"/>
          <w:lang w:val="en-US" w:eastAsia="zh-CN"/>
        </w:rPr>
        <w:t>XX。</w:t>
      </w:r>
    </w:p>
    <w:p w14:paraId="0379E4E4">
      <w:pPr>
        <w:pStyle w:val="5"/>
        <w:keepNext/>
        <w:keepLines/>
        <w:snapToGrid w:val="0"/>
        <w:spacing w:line="360" w:lineRule="auto"/>
        <w:ind w:firstLine="562" w:firstLineChars="200"/>
        <w:jc w:val="left"/>
        <w:rPr>
          <w:rFonts w:cs="Times New Roman"/>
          <w:b/>
          <w:color w:val="auto"/>
          <w:sz w:val="28"/>
          <w:szCs w:val="32"/>
          <w:lang w:val="en-GB"/>
        </w:rPr>
      </w:pPr>
      <w:bookmarkStart w:id="558" w:name="_Toc7069"/>
      <w:bookmarkStart w:id="559" w:name="_Toc27336"/>
      <w:bookmarkStart w:id="560" w:name="_Toc25308"/>
      <w:bookmarkStart w:id="561" w:name="_Toc14445"/>
      <w:bookmarkStart w:id="562" w:name="_Toc13676"/>
      <w:bookmarkStart w:id="563" w:name="_Toc13414"/>
      <w:bookmarkStart w:id="564" w:name="_Toc6644"/>
      <w:r>
        <w:rPr>
          <w:rFonts w:hint="eastAsia" w:cs="Times New Roman"/>
          <w:b/>
          <w:color w:val="auto"/>
          <w:sz w:val="28"/>
          <w:szCs w:val="32"/>
          <w:lang w:val="en-GB"/>
        </w:rPr>
        <w:t>3.</w:t>
      </w:r>
      <w:r>
        <w:rPr>
          <w:rFonts w:hint="eastAsia" w:cs="Times New Roman"/>
          <w:b/>
          <w:color w:val="auto"/>
          <w:sz w:val="28"/>
          <w:szCs w:val="32"/>
        </w:rPr>
        <w:t>6</w:t>
      </w:r>
      <w:r>
        <w:rPr>
          <w:rFonts w:hint="eastAsia" w:cs="Times New Roman"/>
          <w:b/>
          <w:color w:val="auto"/>
          <w:sz w:val="28"/>
          <w:szCs w:val="32"/>
          <w:lang w:val="en-GB"/>
        </w:rPr>
        <w:t>.2安全检查表</w:t>
      </w:r>
      <w:bookmarkEnd w:id="555"/>
      <w:bookmarkEnd w:id="556"/>
      <w:bookmarkEnd w:id="557"/>
      <w:bookmarkEnd w:id="558"/>
      <w:bookmarkEnd w:id="559"/>
      <w:bookmarkEnd w:id="560"/>
      <w:bookmarkEnd w:id="561"/>
      <w:bookmarkEnd w:id="562"/>
      <w:bookmarkEnd w:id="563"/>
      <w:bookmarkEnd w:id="564"/>
    </w:p>
    <w:p w14:paraId="5642AA4C">
      <w:pPr>
        <w:snapToGrid w:val="0"/>
        <w:spacing w:line="360" w:lineRule="auto"/>
        <w:ind w:firstLine="560" w:firstLineChars="200"/>
        <w:rPr>
          <w:rFonts w:cs="Times New Roman"/>
          <w:color w:val="auto"/>
          <w:sz w:val="28"/>
          <w:szCs w:val="28"/>
          <w:lang w:val="zh-CN"/>
        </w:rPr>
      </w:pPr>
      <w:r>
        <w:rPr>
          <w:rFonts w:hint="eastAsia" w:cs="Times New Roman"/>
          <w:color w:val="auto"/>
          <w:sz w:val="28"/>
          <w:szCs w:val="28"/>
          <w:lang w:val="zh-CN"/>
        </w:rPr>
        <w:t>根据《金属非金属矿山安全规程》（GB16423</w:t>
      </w:r>
      <w:r>
        <w:rPr>
          <w:rFonts w:hint="eastAsia" w:cs="Times New Roman"/>
          <w:color w:val="auto"/>
          <w:sz w:val="28"/>
          <w:szCs w:val="28"/>
        </w:rPr>
        <w:t>-</w:t>
      </w:r>
      <w:r>
        <w:rPr>
          <w:rFonts w:hint="eastAsia" w:cs="Times New Roman"/>
          <w:color w:val="auto"/>
          <w:sz w:val="28"/>
          <w:szCs w:val="28"/>
          <w:lang w:val="zh-CN"/>
        </w:rPr>
        <w:t>2020）中的相关内容对该项目设计方案方案中的防排水系统进行对照检查，见表3</w:t>
      </w:r>
      <w:r>
        <w:rPr>
          <w:rFonts w:hint="eastAsia" w:cs="Times New Roman"/>
          <w:color w:val="auto"/>
          <w:sz w:val="28"/>
          <w:szCs w:val="28"/>
        </w:rPr>
        <w:t>.6</w:t>
      </w:r>
      <w:r>
        <w:rPr>
          <w:rFonts w:hint="eastAsia" w:cs="Times New Roman"/>
          <w:color w:val="auto"/>
          <w:sz w:val="28"/>
          <w:szCs w:val="28"/>
          <w:lang w:val="zh-CN"/>
        </w:rPr>
        <w:t>-2。</w:t>
      </w:r>
    </w:p>
    <w:p w14:paraId="0837DADC">
      <w:pPr>
        <w:snapToGrid w:val="0"/>
        <w:spacing w:line="360" w:lineRule="auto"/>
        <w:jc w:val="center"/>
        <w:rPr>
          <w:rFonts w:cs="Times New Roman"/>
          <w:bCs/>
          <w:color w:val="auto"/>
        </w:rPr>
      </w:pPr>
      <w:r>
        <w:rPr>
          <w:rFonts w:hint="eastAsia" w:cs="Times New Roman"/>
          <w:bCs/>
          <w:color w:val="auto"/>
        </w:rPr>
        <w:t>表3.6-2  防排水单元安全检查表</w:t>
      </w:r>
    </w:p>
    <w:p w14:paraId="5BE2B49F">
      <w:pPr>
        <w:pStyle w:val="66"/>
        <w:spacing w:line="240" w:lineRule="auto"/>
        <w:ind w:firstLine="420"/>
        <w:rPr>
          <w:rFonts w:hint="default" w:eastAsia="宋体"/>
          <w:color w:val="auto"/>
          <w:sz w:val="21"/>
          <w:szCs w:val="21"/>
          <w:lang w:val="en-US" w:eastAsia="zh-CN"/>
        </w:rPr>
      </w:pPr>
      <w:bookmarkStart w:id="565" w:name="_Toc24370"/>
      <w:bookmarkStart w:id="566" w:name="_Toc12879"/>
      <w:bookmarkStart w:id="567" w:name="_Toc501120322"/>
      <w:bookmarkStart w:id="568" w:name="_Toc21617"/>
      <w:bookmarkStart w:id="569" w:name="_Toc23125"/>
      <w:bookmarkStart w:id="570" w:name="_Toc17605"/>
      <w:bookmarkStart w:id="571" w:name="_Toc11988"/>
      <w:r>
        <w:rPr>
          <w:rFonts w:hint="eastAsia" w:ascii="Times New Roman" w:hAnsi="Times New Roman" w:eastAsia="宋体" w:cs="Times New Roman"/>
          <w:color w:val="auto"/>
          <w:kern w:val="2"/>
          <w:sz w:val="28"/>
          <w:szCs w:val="28"/>
          <w:lang w:val="en-US" w:eastAsia="zh-CN" w:bidi="ar-SA"/>
        </w:rPr>
        <w:t>XX。</w:t>
      </w:r>
    </w:p>
    <w:p w14:paraId="2AFC2EB1">
      <w:pPr>
        <w:pStyle w:val="5"/>
        <w:keepNext/>
        <w:keepLines/>
        <w:snapToGrid w:val="0"/>
        <w:spacing w:line="360" w:lineRule="auto"/>
        <w:ind w:firstLine="562" w:firstLineChars="200"/>
        <w:jc w:val="left"/>
        <w:rPr>
          <w:rFonts w:hint="eastAsia" w:cs="Times New Roman"/>
          <w:b/>
          <w:color w:val="auto"/>
          <w:sz w:val="28"/>
          <w:szCs w:val="32"/>
          <w:lang w:val="en-GB"/>
        </w:rPr>
      </w:pPr>
      <w:bookmarkStart w:id="572" w:name="_Toc1454"/>
      <w:bookmarkStart w:id="573" w:name="_Toc32209"/>
      <w:bookmarkStart w:id="574" w:name="_Toc31551"/>
      <w:r>
        <w:rPr>
          <w:rFonts w:hint="eastAsia" w:cs="Times New Roman"/>
          <w:b/>
          <w:color w:val="auto"/>
          <w:sz w:val="28"/>
          <w:szCs w:val="32"/>
          <w:lang w:val="en-GB"/>
        </w:rPr>
        <w:t>3.</w:t>
      </w:r>
      <w:r>
        <w:rPr>
          <w:rFonts w:hint="eastAsia" w:cs="Times New Roman"/>
          <w:b/>
          <w:color w:val="auto"/>
          <w:sz w:val="28"/>
          <w:szCs w:val="32"/>
        </w:rPr>
        <w:t>6</w:t>
      </w:r>
      <w:r>
        <w:rPr>
          <w:rFonts w:hint="eastAsia" w:cs="Times New Roman"/>
          <w:b/>
          <w:color w:val="auto"/>
          <w:sz w:val="28"/>
          <w:szCs w:val="32"/>
          <w:lang w:val="en-GB"/>
        </w:rPr>
        <w:t>.3防排水设计方案</w:t>
      </w:r>
      <w:bookmarkEnd w:id="565"/>
      <w:bookmarkEnd w:id="566"/>
      <w:bookmarkEnd w:id="567"/>
      <w:r>
        <w:rPr>
          <w:rFonts w:hint="eastAsia" w:cs="Times New Roman"/>
          <w:b/>
          <w:color w:val="auto"/>
          <w:sz w:val="28"/>
          <w:szCs w:val="32"/>
          <w:lang w:val="en-GB"/>
        </w:rPr>
        <w:t>评述</w:t>
      </w:r>
      <w:bookmarkEnd w:id="568"/>
      <w:bookmarkEnd w:id="569"/>
      <w:bookmarkEnd w:id="570"/>
      <w:bookmarkEnd w:id="571"/>
      <w:bookmarkEnd w:id="572"/>
      <w:bookmarkEnd w:id="573"/>
      <w:bookmarkEnd w:id="574"/>
    </w:p>
    <w:p w14:paraId="31A162D0">
      <w:pPr>
        <w:ind w:firstLine="560" w:firstLineChars="200"/>
        <w:rPr>
          <w:rFonts w:hint="default" w:eastAsia="宋体"/>
          <w:b w:val="0"/>
          <w:bCs/>
          <w:lang w:val="en-US" w:eastAsia="zh-CN"/>
        </w:rPr>
      </w:pPr>
      <w:r>
        <w:rPr>
          <w:rFonts w:hint="eastAsia" w:cs="Times New Roman"/>
          <w:b w:val="0"/>
          <w:bCs/>
          <w:color w:val="auto"/>
          <w:sz w:val="28"/>
          <w:szCs w:val="32"/>
          <w:lang w:val="en-US" w:eastAsia="zh-CN"/>
        </w:rPr>
        <w:t>XX。</w:t>
      </w:r>
    </w:p>
    <w:p w14:paraId="48E64A5F">
      <w:pPr>
        <w:pStyle w:val="81"/>
        <w:numPr>
          <w:ilvl w:val="1"/>
          <w:numId w:val="0"/>
        </w:numPr>
        <w:spacing w:before="0" w:after="0"/>
        <w:jc w:val="center"/>
        <w:rPr>
          <w:rFonts w:hint="eastAsia" w:cs="黑体"/>
          <w:color w:val="auto"/>
          <w:sz w:val="30"/>
          <w:szCs w:val="30"/>
        </w:rPr>
      </w:pPr>
      <w:bookmarkStart w:id="575" w:name="_Toc15061"/>
      <w:bookmarkStart w:id="576" w:name="_Toc97018979"/>
      <w:bookmarkStart w:id="577" w:name="_Toc28050"/>
      <w:bookmarkStart w:id="578" w:name="_Toc23845"/>
      <w:bookmarkStart w:id="579" w:name="_Toc25681"/>
    </w:p>
    <w:p w14:paraId="5B6F16CE">
      <w:pPr>
        <w:pStyle w:val="81"/>
        <w:numPr>
          <w:ilvl w:val="1"/>
          <w:numId w:val="0"/>
        </w:numPr>
        <w:spacing w:before="0" w:after="0"/>
        <w:jc w:val="center"/>
        <w:rPr>
          <w:rFonts w:cs="黑体"/>
          <w:color w:val="auto"/>
          <w:sz w:val="30"/>
          <w:szCs w:val="30"/>
        </w:rPr>
      </w:pPr>
      <w:r>
        <w:rPr>
          <w:rFonts w:hint="eastAsia" w:cs="黑体"/>
          <w:color w:val="auto"/>
          <w:sz w:val="30"/>
          <w:szCs w:val="30"/>
        </w:rPr>
        <w:t>3.7破碎系统单元</w:t>
      </w:r>
      <w:bookmarkEnd w:id="575"/>
      <w:bookmarkEnd w:id="576"/>
      <w:bookmarkEnd w:id="577"/>
      <w:bookmarkEnd w:id="578"/>
      <w:bookmarkEnd w:id="579"/>
    </w:p>
    <w:p w14:paraId="59249BC8">
      <w:pPr>
        <w:pStyle w:val="5"/>
        <w:keepNext/>
        <w:keepLines/>
        <w:snapToGrid w:val="0"/>
        <w:spacing w:line="360" w:lineRule="auto"/>
        <w:ind w:firstLine="562" w:firstLineChars="200"/>
        <w:jc w:val="left"/>
        <w:rPr>
          <w:rFonts w:cs="Times New Roman"/>
          <w:b/>
          <w:color w:val="auto"/>
          <w:sz w:val="28"/>
          <w:szCs w:val="32"/>
          <w:lang w:val="en-GB"/>
        </w:rPr>
      </w:pPr>
      <w:bookmarkStart w:id="580" w:name="_Toc21203"/>
      <w:bookmarkStart w:id="581" w:name="_Toc21495"/>
      <w:bookmarkStart w:id="582" w:name="_Toc10363"/>
      <w:bookmarkStart w:id="583" w:name="_Toc7018"/>
      <w:bookmarkStart w:id="584" w:name="_Toc27941"/>
      <w:bookmarkStart w:id="585" w:name="_Toc14593"/>
      <w:r>
        <w:rPr>
          <w:rFonts w:hint="eastAsia" w:cs="Times New Roman"/>
          <w:b/>
          <w:color w:val="auto"/>
          <w:sz w:val="28"/>
          <w:szCs w:val="32"/>
          <w:lang w:val="en-GB"/>
        </w:rPr>
        <w:t>3.</w:t>
      </w:r>
      <w:r>
        <w:rPr>
          <w:rFonts w:hint="eastAsia" w:cs="Times New Roman"/>
          <w:b/>
          <w:color w:val="auto"/>
          <w:sz w:val="28"/>
          <w:szCs w:val="32"/>
        </w:rPr>
        <w:t>7</w:t>
      </w:r>
      <w:r>
        <w:rPr>
          <w:rFonts w:hint="eastAsia" w:cs="Times New Roman"/>
          <w:b/>
          <w:color w:val="auto"/>
          <w:sz w:val="28"/>
          <w:szCs w:val="32"/>
          <w:lang w:val="en-GB"/>
        </w:rPr>
        <w:t>.1危险有害因素辨识</w:t>
      </w:r>
      <w:bookmarkEnd w:id="580"/>
      <w:bookmarkEnd w:id="581"/>
      <w:bookmarkEnd w:id="582"/>
      <w:bookmarkEnd w:id="583"/>
      <w:bookmarkEnd w:id="584"/>
      <w:bookmarkEnd w:id="585"/>
    </w:p>
    <w:p w14:paraId="5E1D8B2D">
      <w:pPr>
        <w:pStyle w:val="85"/>
        <w:numPr>
          <w:ilvl w:val="3"/>
          <w:numId w:val="0"/>
        </w:numPr>
        <w:ind w:firstLine="560" w:firstLineChars="200"/>
        <w:rPr>
          <w:rFonts w:cs="黑体"/>
          <w:b w:val="0"/>
          <w:bCs/>
          <w:color w:val="auto"/>
        </w:rPr>
      </w:pPr>
      <w:r>
        <w:rPr>
          <w:rFonts w:hint="eastAsia" w:cs="黑体"/>
          <w:b w:val="0"/>
          <w:bCs/>
          <w:color w:val="auto"/>
        </w:rPr>
        <w:t>3.7.1.1触电</w:t>
      </w:r>
    </w:p>
    <w:p w14:paraId="78252395">
      <w:pPr>
        <w:pStyle w:val="66"/>
        <w:ind w:firstLine="560"/>
        <w:rPr>
          <w:color w:val="auto"/>
        </w:rPr>
      </w:pPr>
      <w:r>
        <w:rPr>
          <w:rFonts w:hint="eastAsia"/>
          <w:color w:val="auto"/>
        </w:rPr>
        <w:t>1.危险性分析</w:t>
      </w:r>
    </w:p>
    <w:p w14:paraId="77B655D6">
      <w:pPr>
        <w:snapToGrid w:val="0"/>
        <w:spacing w:line="360" w:lineRule="auto"/>
        <w:ind w:firstLine="560" w:firstLineChars="200"/>
        <w:rPr>
          <w:rFonts w:cs="Times New Roman"/>
          <w:color w:val="auto"/>
          <w:sz w:val="28"/>
          <w:szCs w:val="28"/>
        </w:rPr>
      </w:pPr>
      <w:r>
        <w:rPr>
          <w:rFonts w:hint="eastAsia" w:cs="Times New Roman"/>
          <w:color w:val="auto"/>
          <w:sz w:val="28"/>
          <w:szCs w:val="28"/>
        </w:rPr>
        <w:t>如果破碎机、皮带机、振动筛等设备电机未接地，可能会因设备漏电造成触电，触电会导致人员伤亡的事故。设备启动开关、配电箱未接地、防雨水措施不到位，亦可能会因漏电造成触电。</w:t>
      </w:r>
    </w:p>
    <w:p w14:paraId="71E9F62A">
      <w:pPr>
        <w:pStyle w:val="66"/>
        <w:ind w:firstLine="560"/>
        <w:rPr>
          <w:color w:val="auto"/>
        </w:rPr>
      </w:pPr>
      <w:r>
        <w:rPr>
          <w:rFonts w:hint="eastAsia"/>
          <w:color w:val="auto"/>
        </w:rPr>
        <w:t>2.危险度评价</w:t>
      </w:r>
    </w:p>
    <w:p w14:paraId="19C12486">
      <w:pPr>
        <w:pStyle w:val="66"/>
        <w:ind w:firstLine="560"/>
        <w:rPr>
          <w:color w:val="auto"/>
        </w:rPr>
      </w:pPr>
      <w:r>
        <w:rPr>
          <w:rFonts w:hint="eastAsia"/>
          <w:color w:val="auto"/>
        </w:rPr>
        <w:t>采用LEC法对触电事故进行风险评价，结合设计情况及矿山现状，评价结果见表3.7-1。</w:t>
      </w:r>
    </w:p>
    <w:p w14:paraId="1EC972DD">
      <w:pPr>
        <w:snapToGrid w:val="0"/>
        <w:jc w:val="center"/>
        <w:rPr>
          <w:rFonts w:cs="Times New Roman"/>
          <w:bCs/>
          <w:color w:val="auto"/>
        </w:rPr>
      </w:pPr>
      <w:r>
        <w:rPr>
          <w:rFonts w:hint="eastAsia" w:cs="Times New Roman"/>
          <w:bCs/>
          <w:color w:val="auto"/>
        </w:rPr>
        <w:t>表3.7-1  触电LEC评价表</w:t>
      </w:r>
    </w:p>
    <w:p w14:paraId="20751CD6">
      <w:pPr>
        <w:snapToGrid w:val="0"/>
        <w:spacing w:line="360" w:lineRule="auto"/>
        <w:ind w:firstLine="560" w:firstLineChars="200"/>
        <w:rPr>
          <w:rFonts w:cs="Times New Roman"/>
          <w:color w:val="auto"/>
          <w:kern w:val="10"/>
          <w:sz w:val="28"/>
          <w:szCs w:val="28"/>
        </w:rPr>
      </w:pPr>
      <w:r>
        <w:rPr>
          <w:rFonts w:hint="eastAsia" w:ascii="Times New Roman" w:hAnsi="Times New Roman" w:eastAsia="宋体" w:cstheme="minorBidi"/>
          <w:color w:val="auto"/>
          <w:kern w:val="2"/>
          <w:sz w:val="28"/>
          <w:szCs w:val="28"/>
          <w:lang w:val="en-US" w:eastAsia="zh-CN" w:bidi="ar-SA"/>
        </w:rPr>
        <w:t>XX。</w:t>
      </w:r>
    </w:p>
    <w:p w14:paraId="4AFC8295">
      <w:pPr>
        <w:pStyle w:val="85"/>
        <w:numPr>
          <w:ilvl w:val="3"/>
          <w:numId w:val="0"/>
        </w:numPr>
        <w:ind w:firstLine="560" w:firstLineChars="200"/>
        <w:rPr>
          <w:rFonts w:cs="黑体"/>
          <w:b w:val="0"/>
          <w:bCs/>
          <w:color w:val="auto"/>
        </w:rPr>
      </w:pPr>
      <w:r>
        <w:rPr>
          <w:rFonts w:hint="eastAsia" w:cs="黑体"/>
          <w:b w:val="0"/>
          <w:bCs/>
          <w:color w:val="auto"/>
        </w:rPr>
        <w:t>3.7.1.2机械伤害</w:t>
      </w:r>
    </w:p>
    <w:p w14:paraId="279FF312">
      <w:pPr>
        <w:spacing w:line="360" w:lineRule="auto"/>
        <w:ind w:firstLine="560"/>
        <w:jc w:val="left"/>
        <w:rPr>
          <w:rFonts w:cs="Times New Roman"/>
          <w:color w:val="auto"/>
          <w:sz w:val="28"/>
          <w:szCs w:val="28"/>
        </w:rPr>
      </w:pPr>
      <w:r>
        <w:rPr>
          <w:rFonts w:hint="eastAsia" w:cs="Times New Roman"/>
          <w:color w:val="auto"/>
          <w:sz w:val="28"/>
          <w:szCs w:val="28"/>
        </w:rPr>
        <w:t>1.危险性分析</w:t>
      </w:r>
    </w:p>
    <w:p w14:paraId="009C2FCE">
      <w:pPr>
        <w:spacing w:line="360" w:lineRule="auto"/>
        <w:ind w:firstLine="560"/>
        <w:jc w:val="left"/>
        <w:rPr>
          <w:rFonts w:cs="Times New Roman"/>
          <w:color w:val="auto"/>
          <w:sz w:val="28"/>
          <w:szCs w:val="28"/>
        </w:rPr>
      </w:pPr>
      <w:r>
        <w:rPr>
          <w:rFonts w:hint="eastAsia" w:cs="Times New Roman"/>
          <w:color w:val="auto"/>
          <w:sz w:val="28"/>
          <w:szCs w:val="28"/>
        </w:rPr>
        <w:t>机械伤害是指机械设备运动（静止）部件、工具、加工件直接与人体接触引起的夹击、碰撞、剪切、卷入、绞、碾、割、刺等伤害，不包括车辆、起重机械引起的机械伤害。发生机械伤害的主要原因有：</w:t>
      </w:r>
    </w:p>
    <w:p w14:paraId="5429B928">
      <w:pPr>
        <w:spacing w:line="360" w:lineRule="auto"/>
        <w:ind w:firstLine="560"/>
        <w:jc w:val="left"/>
        <w:rPr>
          <w:rFonts w:cs="Times New Roman"/>
          <w:color w:val="auto"/>
          <w:sz w:val="28"/>
          <w:szCs w:val="28"/>
        </w:rPr>
      </w:pPr>
      <w:r>
        <w:rPr>
          <w:rFonts w:hint="eastAsia" w:cs="Times New Roman"/>
          <w:color w:val="auto"/>
          <w:sz w:val="28"/>
          <w:szCs w:val="28"/>
        </w:rPr>
        <w:t>（1）矿山作业人员违章操作及穿戴不符合安全规定的劳动防护用品进行操作；</w:t>
      </w:r>
    </w:p>
    <w:p w14:paraId="10997C0A">
      <w:pPr>
        <w:spacing w:line="360" w:lineRule="auto"/>
        <w:ind w:firstLine="560"/>
        <w:jc w:val="left"/>
        <w:rPr>
          <w:rFonts w:cs="Times New Roman"/>
          <w:color w:val="auto"/>
          <w:sz w:val="28"/>
          <w:szCs w:val="28"/>
        </w:rPr>
      </w:pPr>
      <w:r>
        <w:rPr>
          <w:rFonts w:hint="eastAsia" w:cs="Times New Roman"/>
          <w:color w:val="auto"/>
          <w:sz w:val="28"/>
          <w:szCs w:val="28"/>
        </w:rPr>
        <w:t>（2）破碎站安全设施缺失，如防火栏杆、防护罩等；</w:t>
      </w:r>
    </w:p>
    <w:p w14:paraId="785FE4E8">
      <w:pPr>
        <w:spacing w:line="360" w:lineRule="auto"/>
        <w:ind w:firstLine="560"/>
        <w:jc w:val="left"/>
        <w:rPr>
          <w:rFonts w:cs="Times New Roman"/>
          <w:color w:val="auto"/>
          <w:sz w:val="28"/>
          <w:szCs w:val="28"/>
        </w:rPr>
      </w:pPr>
      <w:r>
        <w:rPr>
          <w:rFonts w:hint="eastAsia" w:cs="Times New Roman"/>
          <w:color w:val="auto"/>
          <w:sz w:val="28"/>
          <w:szCs w:val="28"/>
        </w:rPr>
        <w:t>（3）机械设备安全防护装置缺乏或损坏或被拆除等，导致事故发生；</w:t>
      </w:r>
    </w:p>
    <w:p w14:paraId="71D62821">
      <w:pPr>
        <w:spacing w:line="360" w:lineRule="auto"/>
        <w:ind w:firstLine="560"/>
        <w:jc w:val="left"/>
        <w:rPr>
          <w:rFonts w:cs="Times New Roman"/>
          <w:color w:val="auto"/>
          <w:sz w:val="28"/>
          <w:szCs w:val="28"/>
        </w:rPr>
      </w:pPr>
      <w:r>
        <w:rPr>
          <w:rFonts w:hint="eastAsia" w:cs="Times New Roman"/>
          <w:color w:val="auto"/>
          <w:sz w:val="28"/>
          <w:szCs w:val="28"/>
        </w:rPr>
        <w:t>（4）在检修破碎机、筛分机、皮带机等设备时，未设置“正在检修、禁止启动”等安全标志，机器突然被别人启动，导致事故发生；</w:t>
      </w:r>
    </w:p>
    <w:p w14:paraId="07237506">
      <w:pPr>
        <w:spacing w:line="360" w:lineRule="auto"/>
        <w:ind w:firstLine="560"/>
        <w:jc w:val="left"/>
        <w:rPr>
          <w:rFonts w:cs="Times New Roman"/>
          <w:color w:val="auto"/>
          <w:sz w:val="28"/>
          <w:szCs w:val="28"/>
        </w:rPr>
      </w:pPr>
      <w:r>
        <w:rPr>
          <w:rFonts w:hint="eastAsia" w:cs="Times New Roman"/>
          <w:color w:val="auto"/>
          <w:sz w:val="28"/>
          <w:szCs w:val="28"/>
        </w:rPr>
        <w:t>（5）皮带运输过程中，由于皮带传动部位未安装机械防护罩或防护罩失效，有可能引起机械伤害事故。</w:t>
      </w:r>
    </w:p>
    <w:p w14:paraId="3B172C34">
      <w:pPr>
        <w:spacing w:line="360" w:lineRule="auto"/>
        <w:ind w:firstLine="560"/>
        <w:jc w:val="left"/>
        <w:rPr>
          <w:rFonts w:cs="Times New Roman"/>
          <w:color w:val="auto"/>
          <w:sz w:val="28"/>
          <w:szCs w:val="28"/>
        </w:rPr>
      </w:pPr>
      <w:r>
        <w:rPr>
          <w:rFonts w:hint="eastAsia" w:cs="Times New Roman"/>
          <w:color w:val="auto"/>
          <w:sz w:val="28"/>
          <w:szCs w:val="28"/>
        </w:rPr>
        <w:t>（6）破碎机皮带轮、飞轮，电机皮带轮等旋转部位未设防护罩，容易引起机械伤害；</w:t>
      </w:r>
    </w:p>
    <w:p w14:paraId="605C46AF">
      <w:pPr>
        <w:spacing w:line="360" w:lineRule="auto"/>
        <w:ind w:firstLine="560"/>
        <w:jc w:val="left"/>
        <w:rPr>
          <w:rFonts w:cs="Times New Roman"/>
          <w:color w:val="auto"/>
          <w:sz w:val="28"/>
          <w:szCs w:val="28"/>
        </w:rPr>
      </w:pPr>
      <w:r>
        <w:rPr>
          <w:rFonts w:hint="eastAsia" w:cs="Times New Roman"/>
          <w:color w:val="auto"/>
          <w:sz w:val="28"/>
          <w:szCs w:val="28"/>
        </w:rPr>
        <w:t>（7）跨越正在运行的设备，如皮带输送机等；</w:t>
      </w:r>
    </w:p>
    <w:p w14:paraId="51AD8347">
      <w:pPr>
        <w:spacing w:line="360" w:lineRule="auto"/>
        <w:ind w:firstLine="560"/>
        <w:jc w:val="left"/>
        <w:rPr>
          <w:rFonts w:cs="Times New Roman"/>
          <w:color w:val="auto"/>
          <w:sz w:val="28"/>
          <w:szCs w:val="28"/>
        </w:rPr>
      </w:pPr>
      <w:r>
        <w:rPr>
          <w:rFonts w:hint="eastAsia" w:cs="Times New Roman"/>
          <w:color w:val="auto"/>
          <w:sz w:val="28"/>
          <w:szCs w:val="28"/>
        </w:rPr>
        <w:t>（8）未按规定行走安全路线或通道，破碎站操作平台、人行通道宽度不足，安全警示标志不明显也容易造成机械伤害；</w:t>
      </w:r>
    </w:p>
    <w:p w14:paraId="7848A711">
      <w:pPr>
        <w:spacing w:line="360" w:lineRule="auto"/>
        <w:ind w:firstLine="560"/>
        <w:jc w:val="left"/>
        <w:rPr>
          <w:rFonts w:cs="Times New Roman"/>
          <w:color w:val="auto"/>
          <w:sz w:val="28"/>
          <w:szCs w:val="28"/>
        </w:rPr>
      </w:pPr>
      <w:r>
        <w:rPr>
          <w:rFonts w:hint="eastAsia" w:cs="Times New Roman"/>
          <w:color w:val="auto"/>
          <w:sz w:val="28"/>
          <w:szCs w:val="28"/>
        </w:rPr>
        <w:t>（9）违规对正在运行的设备进行检维修、保养、清扫等；</w:t>
      </w:r>
    </w:p>
    <w:p w14:paraId="3607B60B">
      <w:pPr>
        <w:spacing w:line="360" w:lineRule="auto"/>
        <w:ind w:firstLine="560"/>
        <w:jc w:val="left"/>
        <w:rPr>
          <w:rFonts w:cs="Times New Roman"/>
          <w:color w:val="auto"/>
          <w:sz w:val="28"/>
          <w:szCs w:val="28"/>
        </w:rPr>
      </w:pPr>
      <w:r>
        <w:rPr>
          <w:rFonts w:hint="eastAsia" w:cs="Times New Roman"/>
          <w:color w:val="auto"/>
          <w:sz w:val="28"/>
          <w:szCs w:val="28"/>
        </w:rPr>
        <w:t>（10）用手代替工具，如用手清堵、拔料、调整皮带等。</w:t>
      </w:r>
    </w:p>
    <w:p w14:paraId="5F34BCE8">
      <w:pPr>
        <w:spacing w:line="360" w:lineRule="auto"/>
        <w:ind w:firstLine="560"/>
        <w:jc w:val="left"/>
        <w:rPr>
          <w:rFonts w:cs="Times New Roman"/>
          <w:color w:val="auto"/>
          <w:sz w:val="28"/>
          <w:szCs w:val="28"/>
        </w:rPr>
      </w:pPr>
      <w:r>
        <w:rPr>
          <w:rFonts w:hint="eastAsia" w:cs="Times New Roman"/>
          <w:color w:val="auto"/>
          <w:sz w:val="28"/>
          <w:szCs w:val="28"/>
        </w:rPr>
        <w:t>2.危险度评价</w:t>
      </w:r>
    </w:p>
    <w:p w14:paraId="70E41D7A">
      <w:pPr>
        <w:spacing w:line="360" w:lineRule="auto"/>
        <w:ind w:firstLine="560"/>
        <w:jc w:val="left"/>
        <w:rPr>
          <w:rFonts w:cs="Times New Roman"/>
          <w:color w:val="auto"/>
          <w:sz w:val="28"/>
          <w:szCs w:val="28"/>
        </w:rPr>
      </w:pPr>
      <w:r>
        <w:rPr>
          <w:rFonts w:hint="eastAsia" w:cs="Times New Roman"/>
          <w:color w:val="auto"/>
          <w:sz w:val="28"/>
          <w:szCs w:val="28"/>
        </w:rPr>
        <w:t>采用LEC法对机械伤害进行风险评价，结合设计情况及矿山现状，评价结果见表3.7-2。</w:t>
      </w:r>
    </w:p>
    <w:p w14:paraId="4240243B">
      <w:pPr>
        <w:snapToGrid w:val="0"/>
        <w:jc w:val="center"/>
        <w:rPr>
          <w:rFonts w:cs="Times New Roman"/>
          <w:bCs/>
          <w:color w:val="auto"/>
        </w:rPr>
      </w:pPr>
      <w:r>
        <w:rPr>
          <w:rFonts w:hint="eastAsia" w:cs="Times New Roman"/>
          <w:bCs/>
          <w:color w:val="auto"/>
        </w:rPr>
        <w:t>表3.7-2  机械伤害LEC评价表</w:t>
      </w:r>
    </w:p>
    <w:p w14:paraId="351EAB04">
      <w:pPr>
        <w:pStyle w:val="66"/>
        <w:spacing w:line="240" w:lineRule="auto"/>
        <w:ind w:firstLine="420"/>
        <w:rPr>
          <w:color w:val="auto"/>
          <w:sz w:val="21"/>
          <w:szCs w:val="21"/>
        </w:rPr>
      </w:pPr>
    </w:p>
    <w:p w14:paraId="1C03C80B">
      <w:pPr>
        <w:spacing w:line="360" w:lineRule="auto"/>
        <w:ind w:firstLine="560"/>
        <w:jc w:val="left"/>
        <w:rPr>
          <w:rFonts w:cs="Times New Roman"/>
          <w:color w:val="auto"/>
          <w:sz w:val="28"/>
          <w:szCs w:val="28"/>
        </w:rPr>
      </w:pPr>
      <w:r>
        <w:rPr>
          <w:rFonts w:hint="eastAsia" w:cs="Times New Roman"/>
          <w:color w:val="auto"/>
          <w:sz w:val="28"/>
          <w:szCs w:val="28"/>
          <w:lang w:val="en-US" w:eastAsia="zh-CN"/>
        </w:rPr>
        <w:t>XX</w:t>
      </w:r>
      <w:r>
        <w:rPr>
          <w:rFonts w:hint="eastAsia" w:cs="Times New Roman"/>
          <w:color w:val="auto"/>
          <w:sz w:val="28"/>
          <w:szCs w:val="28"/>
        </w:rPr>
        <w:t>。</w:t>
      </w:r>
    </w:p>
    <w:p w14:paraId="3A621A81">
      <w:pPr>
        <w:pStyle w:val="85"/>
        <w:numPr>
          <w:ilvl w:val="3"/>
          <w:numId w:val="0"/>
        </w:numPr>
        <w:ind w:firstLine="560" w:firstLineChars="200"/>
        <w:rPr>
          <w:rFonts w:cs="黑体"/>
          <w:b w:val="0"/>
          <w:bCs/>
          <w:color w:val="auto"/>
        </w:rPr>
      </w:pPr>
      <w:r>
        <w:rPr>
          <w:rFonts w:hint="eastAsia" w:cs="黑体"/>
          <w:b w:val="0"/>
          <w:bCs/>
          <w:color w:val="auto"/>
        </w:rPr>
        <w:t>3.7.1.3高处坠落</w:t>
      </w:r>
    </w:p>
    <w:p w14:paraId="41A1D38A">
      <w:pPr>
        <w:spacing w:line="360" w:lineRule="auto"/>
        <w:ind w:firstLine="560"/>
        <w:jc w:val="left"/>
        <w:rPr>
          <w:rFonts w:cs="Times New Roman"/>
          <w:color w:val="auto"/>
          <w:sz w:val="28"/>
          <w:szCs w:val="28"/>
        </w:rPr>
      </w:pPr>
      <w:r>
        <w:rPr>
          <w:rFonts w:hint="eastAsia" w:cs="Times New Roman"/>
          <w:color w:val="auto"/>
          <w:sz w:val="28"/>
          <w:szCs w:val="28"/>
        </w:rPr>
        <w:t>1.危险性分析</w:t>
      </w:r>
    </w:p>
    <w:p w14:paraId="600C9288">
      <w:pPr>
        <w:spacing w:line="360" w:lineRule="auto"/>
        <w:ind w:firstLine="560"/>
        <w:jc w:val="left"/>
        <w:rPr>
          <w:rFonts w:cs="Times New Roman"/>
          <w:color w:val="auto"/>
          <w:sz w:val="28"/>
          <w:szCs w:val="28"/>
        </w:rPr>
      </w:pPr>
      <w:r>
        <w:rPr>
          <w:rFonts w:hint="eastAsia" w:cs="Times New Roman"/>
          <w:color w:val="auto"/>
          <w:sz w:val="28"/>
          <w:szCs w:val="28"/>
        </w:rPr>
        <w:t>高处坠落指在高处作业中发生坠落造成的伤亡事故，不包括触电坠落事故。造成高处坠落的主要原因有：</w:t>
      </w:r>
    </w:p>
    <w:p w14:paraId="2DB52244">
      <w:pPr>
        <w:spacing w:line="360" w:lineRule="auto"/>
        <w:ind w:firstLine="560"/>
        <w:jc w:val="left"/>
        <w:rPr>
          <w:rFonts w:cs="Times New Roman"/>
          <w:color w:val="auto"/>
          <w:sz w:val="28"/>
          <w:szCs w:val="28"/>
        </w:rPr>
      </w:pPr>
      <w:r>
        <w:rPr>
          <w:rFonts w:hint="eastAsia" w:cs="Times New Roman"/>
          <w:color w:val="auto"/>
          <w:sz w:val="28"/>
          <w:szCs w:val="28"/>
        </w:rPr>
        <w:t>（1）破碎站操作平台、人行过道（台阶、梯子）未设防护栏杆；</w:t>
      </w:r>
    </w:p>
    <w:p w14:paraId="5D5BDF8B">
      <w:pPr>
        <w:spacing w:line="360" w:lineRule="auto"/>
        <w:ind w:firstLine="560"/>
        <w:jc w:val="left"/>
        <w:rPr>
          <w:rFonts w:cs="Times New Roman"/>
          <w:color w:val="auto"/>
          <w:sz w:val="28"/>
          <w:szCs w:val="28"/>
        </w:rPr>
      </w:pPr>
      <w:r>
        <w:rPr>
          <w:rFonts w:hint="eastAsia" w:cs="Times New Roman"/>
          <w:color w:val="auto"/>
          <w:sz w:val="28"/>
          <w:szCs w:val="28"/>
        </w:rPr>
        <w:t>（2）破碎站卸料口未设车档设施。</w:t>
      </w:r>
    </w:p>
    <w:p w14:paraId="6B7F669B">
      <w:pPr>
        <w:spacing w:line="360" w:lineRule="auto"/>
        <w:ind w:firstLine="560"/>
        <w:jc w:val="left"/>
        <w:rPr>
          <w:rFonts w:cs="Times New Roman"/>
          <w:color w:val="auto"/>
          <w:sz w:val="28"/>
          <w:szCs w:val="28"/>
        </w:rPr>
      </w:pPr>
      <w:r>
        <w:rPr>
          <w:rFonts w:hint="eastAsia" w:cs="Times New Roman"/>
          <w:color w:val="auto"/>
          <w:sz w:val="28"/>
          <w:szCs w:val="28"/>
        </w:rPr>
        <w:t>2.危险度评价</w:t>
      </w:r>
    </w:p>
    <w:p w14:paraId="73476563">
      <w:pPr>
        <w:spacing w:line="360" w:lineRule="auto"/>
        <w:ind w:firstLine="560"/>
        <w:jc w:val="left"/>
        <w:rPr>
          <w:rFonts w:cs="Times New Roman"/>
          <w:color w:val="auto"/>
          <w:sz w:val="28"/>
          <w:szCs w:val="28"/>
        </w:rPr>
      </w:pPr>
      <w:r>
        <w:rPr>
          <w:rFonts w:hint="eastAsia" w:cs="Times New Roman"/>
          <w:color w:val="auto"/>
          <w:sz w:val="28"/>
          <w:szCs w:val="28"/>
        </w:rPr>
        <w:t>采用LEC法对高处坠落进行风险评价，结合设计情况及矿山现状，评价结果见表3.7-3。</w:t>
      </w:r>
    </w:p>
    <w:p w14:paraId="704A4FA0">
      <w:pPr>
        <w:snapToGrid w:val="0"/>
        <w:jc w:val="center"/>
        <w:rPr>
          <w:rFonts w:cs="Times New Roman"/>
          <w:bCs/>
          <w:color w:val="auto"/>
        </w:rPr>
      </w:pPr>
      <w:r>
        <w:rPr>
          <w:rFonts w:hint="eastAsia" w:cs="Times New Roman"/>
          <w:bCs/>
          <w:color w:val="auto"/>
        </w:rPr>
        <w:t>表3.7-3   高处坠落LEC评价表</w:t>
      </w:r>
    </w:p>
    <w:p w14:paraId="7B41D153">
      <w:pPr>
        <w:pStyle w:val="66"/>
        <w:spacing w:line="240" w:lineRule="auto"/>
        <w:ind w:firstLine="420"/>
        <w:rPr>
          <w:color w:val="auto"/>
          <w:sz w:val="21"/>
          <w:szCs w:val="21"/>
        </w:rPr>
      </w:pPr>
    </w:p>
    <w:p w14:paraId="2F92A3EE">
      <w:pPr>
        <w:spacing w:line="360" w:lineRule="auto"/>
        <w:ind w:firstLine="560"/>
        <w:jc w:val="left"/>
        <w:rPr>
          <w:rFonts w:cs="Times New Roman"/>
          <w:color w:val="auto"/>
          <w:sz w:val="28"/>
          <w:szCs w:val="28"/>
        </w:rPr>
      </w:pPr>
      <w:r>
        <w:rPr>
          <w:rFonts w:hint="eastAsia" w:cs="Times New Roman"/>
          <w:color w:val="auto"/>
          <w:sz w:val="28"/>
          <w:szCs w:val="28"/>
          <w:lang w:val="en-US" w:eastAsia="zh-CN"/>
        </w:rPr>
        <w:t>XX</w:t>
      </w:r>
      <w:r>
        <w:rPr>
          <w:rFonts w:hint="eastAsia" w:cs="Times New Roman"/>
          <w:color w:val="auto"/>
          <w:sz w:val="28"/>
          <w:szCs w:val="28"/>
        </w:rPr>
        <w:t>。</w:t>
      </w:r>
    </w:p>
    <w:p w14:paraId="72B560DA">
      <w:pPr>
        <w:pStyle w:val="85"/>
        <w:numPr>
          <w:ilvl w:val="3"/>
          <w:numId w:val="0"/>
        </w:numPr>
        <w:ind w:firstLine="560" w:firstLineChars="200"/>
        <w:rPr>
          <w:rFonts w:cs="黑体"/>
          <w:b w:val="0"/>
          <w:bCs/>
          <w:color w:val="auto"/>
        </w:rPr>
      </w:pPr>
      <w:r>
        <w:rPr>
          <w:rFonts w:hint="eastAsia" w:cs="黑体"/>
          <w:b w:val="0"/>
          <w:bCs/>
          <w:color w:val="auto"/>
        </w:rPr>
        <w:t>3.7.1.4物体打击</w:t>
      </w:r>
    </w:p>
    <w:p w14:paraId="42E50716">
      <w:pPr>
        <w:spacing w:line="360" w:lineRule="auto"/>
        <w:ind w:firstLine="560"/>
        <w:jc w:val="left"/>
        <w:rPr>
          <w:rFonts w:cs="Times New Roman"/>
          <w:color w:val="auto"/>
          <w:sz w:val="28"/>
          <w:szCs w:val="28"/>
        </w:rPr>
      </w:pPr>
      <w:r>
        <w:rPr>
          <w:rFonts w:hint="eastAsia" w:cs="Times New Roman"/>
          <w:color w:val="auto"/>
          <w:sz w:val="28"/>
          <w:szCs w:val="28"/>
        </w:rPr>
        <w:t>1.危险性分析</w:t>
      </w:r>
    </w:p>
    <w:p w14:paraId="174E1EBE">
      <w:pPr>
        <w:spacing w:line="360" w:lineRule="auto"/>
        <w:ind w:firstLine="560"/>
        <w:jc w:val="left"/>
        <w:rPr>
          <w:rFonts w:cs="Times New Roman"/>
          <w:color w:val="auto"/>
          <w:sz w:val="28"/>
          <w:szCs w:val="28"/>
        </w:rPr>
      </w:pPr>
      <w:r>
        <w:rPr>
          <w:rFonts w:hint="eastAsia" w:cs="Times New Roman"/>
          <w:color w:val="auto"/>
          <w:sz w:val="28"/>
          <w:szCs w:val="28"/>
        </w:rPr>
        <w:t>如果破碎机上方和给料机两侧未采取防止滚石的措施，运输车辆在卸料时可能会造成滚石落下砸到下方的操作人员。在破碎站的生产过程中，破碎机采用冲击的方式对矿石进行破碎，亦可能会因某种原因导致破碎机进料口产生飞石，飞石会造成人员受伤。</w:t>
      </w:r>
    </w:p>
    <w:p w14:paraId="05BA2E77">
      <w:pPr>
        <w:spacing w:line="360" w:lineRule="auto"/>
        <w:ind w:firstLine="560"/>
        <w:jc w:val="left"/>
        <w:rPr>
          <w:rFonts w:cs="Times New Roman"/>
          <w:color w:val="auto"/>
          <w:sz w:val="28"/>
          <w:szCs w:val="28"/>
        </w:rPr>
      </w:pPr>
      <w:r>
        <w:rPr>
          <w:rFonts w:hint="eastAsia" w:cs="Times New Roman"/>
          <w:color w:val="auto"/>
          <w:sz w:val="28"/>
          <w:szCs w:val="28"/>
        </w:rPr>
        <w:t>2.危险度评价</w:t>
      </w:r>
    </w:p>
    <w:p w14:paraId="71932FE6">
      <w:pPr>
        <w:spacing w:line="360" w:lineRule="auto"/>
        <w:ind w:firstLine="560"/>
        <w:jc w:val="left"/>
        <w:rPr>
          <w:rFonts w:cs="Times New Roman"/>
          <w:color w:val="auto"/>
          <w:sz w:val="28"/>
          <w:szCs w:val="28"/>
        </w:rPr>
      </w:pPr>
      <w:r>
        <w:rPr>
          <w:rFonts w:hint="eastAsia" w:cs="Times New Roman"/>
          <w:color w:val="auto"/>
          <w:sz w:val="28"/>
          <w:szCs w:val="28"/>
        </w:rPr>
        <w:t>采用LEC法对物体打击事故进行风险评价，结合设计情况及矿山现状，评价结果见表3.7-4。</w:t>
      </w:r>
    </w:p>
    <w:p w14:paraId="66383105">
      <w:pPr>
        <w:snapToGrid w:val="0"/>
        <w:spacing w:line="360" w:lineRule="auto"/>
        <w:jc w:val="center"/>
        <w:rPr>
          <w:rFonts w:cs="Times New Roman"/>
          <w:bCs/>
          <w:color w:val="auto"/>
        </w:rPr>
      </w:pPr>
      <w:r>
        <w:rPr>
          <w:rFonts w:hint="eastAsia" w:cs="Times New Roman"/>
          <w:bCs/>
          <w:color w:val="auto"/>
        </w:rPr>
        <w:t>表3.7-4  物体打击LEC评价表</w:t>
      </w:r>
    </w:p>
    <w:p w14:paraId="73DBC2FF">
      <w:pPr>
        <w:ind w:firstLine="560"/>
        <w:jc w:val="left"/>
        <w:rPr>
          <w:rFonts w:cs="Times New Roman"/>
          <w:color w:val="auto"/>
        </w:rPr>
      </w:pPr>
    </w:p>
    <w:p w14:paraId="4F8110B2">
      <w:pPr>
        <w:spacing w:line="360" w:lineRule="auto"/>
        <w:ind w:firstLine="560"/>
        <w:jc w:val="left"/>
        <w:rPr>
          <w:rFonts w:cs="Times New Roman"/>
          <w:color w:val="auto"/>
          <w:sz w:val="28"/>
          <w:szCs w:val="28"/>
        </w:rPr>
      </w:pPr>
      <w:r>
        <w:rPr>
          <w:rFonts w:hint="eastAsia" w:cs="Times New Roman"/>
          <w:color w:val="auto"/>
          <w:sz w:val="28"/>
          <w:szCs w:val="28"/>
          <w:lang w:val="en-US" w:eastAsia="zh-CN"/>
        </w:rPr>
        <w:t>XX</w:t>
      </w:r>
      <w:r>
        <w:rPr>
          <w:rFonts w:hint="eastAsia" w:cs="Times New Roman"/>
          <w:color w:val="auto"/>
          <w:sz w:val="28"/>
          <w:szCs w:val="28"/>
        </w:rPr>
        <w:t>。</w:t>
      </w:r>
    </w:p>
    <w:p w14:paraId="4FF08578">
      <w:pPr>
        <w:pStyle w:val="85"/>
        <w:numPr>
          <w:ilvl w:val="3"/>
          <w:numId w:val="0"/>
        </w:numPr>
        <w:ind w:firstLine="560" w:firstLineChars="200"/>
        <w:rPr>
          <w:rFonts w:cs="黑体"/>
          <w:b w:val="0"/>
          <w:bCs/>
          <w:color w:val="auto"/>
        </w:rPr>
      </w:pPr>
      <w:r>
        <w:rPr>
          <w:rFonts w:hint="eastAsia" w:cs="黑体"/>
          <w:b w:val="0"/>
          <w:bCs/>
          <w:color w:val="auto"/>
        </w:rPr>
        <w:t>3.7.1.5火灾</w:t>
      </w:r>
    </w:p>
    <w:p w14:paraId="6299B097">
      <w:pPr>
        <w:spacing w:line="360" w:lineRule="auto"/>
        <w:ind w:firstLine="560"/>
        <w:jc w:val="left"/>
        <w:rPr>
          <w:rFonts w:cs="Times New Roman"/>
          <w:color w:val="auto"/>
          <w:sz w:val="28"/>
          <w:szCs w:val="28"/>
        </w:rPr>
      </w:pPr>
      <w:r>
        <w:rPr>
          <w:rFonts w:hint="eastAsia" w:cs="Times New Roman"/>
          <w:color w:val="auto"/>
          <w:sz w:val="28"/>
          <w:szCs w:val="28"/>
        </w:rPr>
        <w:t>1.危险性分析</w:t>
      </w:r>
    </w:p>
    <w:p w14:paraId="1F6C6728">
      <w:pPr>
        <w:spacing w:line="360" w:lineRule="auto"/>
        <w:ind w:firstLine="560"/>
        <w:jc w:val="left"/>
        <w:rPr>
          <w:rFonts w:cs="Times New Roman"/>
          <w:color w:val="auto"/>
          <w:sz w:val="28"/>
          <w:szCs w:val="28"/>
        </w:rPr>
      </w:pPr>
      <w:r>
        <w:rPr>
          <w:rFonts w:hint="eastAsia" w:cs="Times New Roman"/>
          <w:color w:val="auto"/>
          <w:sz w:val="28"/>
          <w:szCs w:val="28"/>
        </w:rPr>
        <w:t>破碎站发生火灾的主要原因有：</w:t>
      </w:r>
    </w:p>
    <w:p w14:paraId="03763006">
      <w:pPr>
        <w:spacing w:line="360" w:lineRule="auto"/>
        <w:ind w:firstLine="560"/>
        <w:jc w:val="left"/>
        <w:rPr>
          <w:rFonts w:cs="Times New Roman"/>
          <w:color w:val="auto"/>
          <w:sz w:val="28"/>
          <w:szCs w:val="28"/>
        </w:rPr>
      </w:pPr>
      <w:r>
        <w:rPr>
          <w:rFonts w:hint="eastAsia" w:cs="Times New Roman"/>
          <w:color w:val="auto"/>
          <w:sz w:val="28"/>
          <w:szCs w:val="28"/>
        </w:rPr>
        <w:t>（1）电气设备和线路超负荷运行、短路，可能会引起电气火灾；</w:t>
      </w:r>
    </w:p>
    <w:p w14:paraId="31311785">
      <w:pPr>
        <w:spacing w:line="360" w:lineRule="auto"/>
        <w:ind w:firstLine="560"/>
        <w:jc w:val="left"/>
        <w:rPr>
          <w:rFonts w:cs="Times New Roman"/>
          <w:color w:val="auto"/>
          <w:sz w:val="28"/>
          <w:szCs w:val="28"/>
        </w:rPr>
      </w:pPr>
      <w:r>
        <w:rPr>
          <w:rFonts w:hint="eastAsia" w:cs="Times New Roman"/>
          <w:color w:val="auto"/>
          <w:sz w:val="28"/>
          <w:szCs w:val="28"/>
        </w:rPr>
        <w:t>（2）工业场地设有柴油桶、润滑油桶等，若使用明火或动火作业时未采取防护措施，可能会引起火灾事故；</w:t>
      </w:r>
    </w:p>
    <w:p w14:paraId="6E01DBDC">
      <w:pPr>
        <w:spacing w:line="360" w:lineRule="auto"/>
        <w:ind w:firstLine="560"/>
        <w:jc w:val="left"/>
        <w:rPr>
          <w:rFonts w:cs="Times New Roman"/>
          <w:color w:val="auto"/>
          <w:sz w:val="28"/>
          <w:szCs w:val="28"/>
        </w:rPr>
      </w:pPr>
      <w:r>
        <w:rPr>
          <w:rFonts w:hint="eastAsia" w:cs="Times New Roman"/>
          <w:color w:val="auto"/>
          <w:sz w:val="28"/>
          <w:szCs w:val="28"/>
        </w:rPr>
        <w:t>（3）配电房未配备灭火器，存放易燃可燃物，电气线路敷设不规范，电线乱拉乱接、空气开关安装在木板上等。</w:t>
      </w:r>
    </w:p>
    <w:p w14:paraId="3B784D9D">
      <w:pPr>
        <w:spacing w:line="360" w:lineRule="auto"/>
        <w:ind w:firstLine="560"/>
        <w:jc w:val="left"/>
        <w:rPr>
          <w:rFonts w:cs="Times New Roman"/>
          <w:color w:val="auto"/>
          <w:sz w:val="28"/>
          <w:szCs w:val="28"/>
        </w:rPr>
      </w:pPr>
      <w:r>
        <w:rPr>
          <w:rFonts w:hint="eastAsia" w:cs="Times New Roman"/>
          <w:color w:val="auto"/>
          <w:sz w:val="28"/>
          <w:szCs w:val="28"/>
        </w:rPr>
        <w:t>2.危险度评价</w:t>
      </w:r>
    </w:p>
    <w:p w14:paraId="5D729C46">
      <w:pPr>
        <w:spacing w:line="360" w:lineRule="auto"/>
        <w:ind w:firstLine="560"/>
        <w:jc w:val="left"/>
        <w:rPr>
          <w:rFonts w:cs="Times New Roman"/>
          <w:color w:val="auto"/>
          <w:sz w:val="28"/>
          <w:szCs w:val="28"/>
        </w:rPr>
      </w:pPr>
      <w:r>
        <w:rPr>
          <w:rFonts w:hint="eastAsia" w:cs="Times New Roman"/>
          <w:color w:val="auto"/>
          <w:sz w:val="28"/>
          <w:szCs w:val="28"/>
        </w:rPr>
        <w:t>采用LEC法对采剥作业过程中的火灾进行风险评价，结合设计情况及矿山现状，评价结果见表3.7-5。</w:t>
      </w:r>
    </w:p>
    <w:p w14:paraId="2F0E6BCC">
      <w:pPr>
        <w:snapToGrid w:val="0"/>
        <w:jc w:val="center"/>
        <w:rPr>
          <w:rFonts w:cs="Times New Roman"/>
          <w:bCs/>
          <w:color w:val="auto"/>
        </w:rPr>
      </w:pPr>
      <w:r>
        <w:rPr>
          <w:rFonts w:hint="eastAsia" w:cs="Times New Roman"/>
          <w:bCs/>
          <w:color w:val="auto"/>
        </w:rPr>
        <w:t>表3.7-5  矿山火灾LEC评价表</w:t>
      </w:r>
    </w:p>
    <w:p w14:paraId="54A9DF06">
      <w:pPr>
        <w:ind w:firstLine="560"/>
        <w:jc w:val="left"/>
        <w:rPr>
          <w:rFonts w:cs="Times New Roman"/>
          <w:color w:val="auto"/>
        </w:rPr>
      </w:pPr>
    </w:p>
    <w:p w14:paraId="13755CE0">
      <w:pPr>
        <w:spacing w:line="360" w:lineRule="auto"/>
        <w:ind w:firstLine="560"/>
        <w:jc w:val="left"/>
        <w:rPr>
          <w:rFonts w:cs="Times New Roman"/>
          <w:color w:val="auto"/>
          <w:sz w:val="28"/>
          <w:szCs w:val="28"/>
        </w:rPr>
      </w:pPr>
      <w:r>
        <w:rPr>
          <w:rFonts w:hint="eastAsia" w:cs="Times New Roman"/>
          <w:color w:val="auto"/>
          <w:sz w:val="28"/>
          <w:szCs w:val="28"/>
          <w:lang w:val="en-US" w:eastAsia="zh-CN"/>
        </w:rPr>
        <w:t>XX</w:t>
      </w:r>
      <w:r>
        <w:rPr>
          <w:rFonts w:hint="eastAsia" w:cs="Times New Roman"/>
          <w:color w:val="auto"/>
          <w:sz w:val="28"/>
          <w:szCs w:val="28"/>
        </w:rPr>
        <w:t>。</w:t>
      </w:r>
    </w:p>
    <w:p w14:paraId="417DE9AA">
      <w:pPr>
        <w:pStyle w:val="85"/>
        <w:numPr>
          <w:ilvl w:val="3"/>
          <w:numId w:val="0"/>
        </w:numPr>
        <w:ind w:firstLine="560" w:firstLineChars="200"/>
        <w:rPr>
          <w:rFonts w:cs="黑体"/>
          <w:b w:val="0"/>
          <w:bCs/>
          <w:color w:val="auto"/>
        </w:rPr>
      </w:pPr>
      <w:r>
        <w:rPr>
          <w:rFonts w:hint="eastAsia" w:cs="黑体"/>
          <w:b w:val="0"/>
          <w:bCs/>
          <w:color w:val="auto"/>
        </w:rPr>
        <w:t>3.7.1.6车辆伤害</w:t>
      </w:r>
    </w:p>
    <w:p w14:paraId="3D779D3F">
      <w:pPr>
        <w:spacing w:line="360" w:lineRule="auto"/>
        <w:ind w:firstLine="560"/>
        <w:jc w:val="left"/>
        <w:rPr>
          <w:rFonts w:cs="Times New Roman"/>
          <w:color w:val="auto"/>
          <w:sz w:val="28"/>
          <w:szCs w:val="28"/>
        </w:rPr>
      </w:pPr>
      <w:r>
        <w:rPr>
          <w:rFonts w:hint="eastAsia" w:cs="Times New Roman"/>
          <w:color w:val="auto"/>
          <w:sz w:val="28"/>
          <w:szCs w:val="28"/>
        </w:rPr>
        <w:t>1.危险性分析</w:t>
      </w:r>
    </w:p>
    <w:p w14:paraId="6508E132">
      <w:pPr>
        <w:spacing w:line="360" w:lineRule="auto"/>
        <w:ind w:firstLine="560"/>
        <w:jc w:val="left"/>
        <w:rPr>
          <w:rFonts w:cs="Times New Roman"/>
          <w:color w:val="auto"/>
          <w:sz w:val="28"/>
          <w:szCs w:val="28"/>
        </w:rPr>
      </w:pPr>
      <w:r>
        <w:rPr>
          <w:rFonts w:hint="eastAsia" w:cs="Times New Roman"/>
          <w:color w:val="auto"/>
          <w:sz w:val="28"/>
          <w:szCs w:val="28"/>
        </w:rPr>
        <w:t>（1）场内运输、装载设备有故障、操作失误或指挥不当，有造成车辆伤害的危险；</w:t>
      </w:r>
    </w:p>
    <w:p w14:paraId="625A853F">
      <w:pPr>
        <w:spacing w:line="360" w:lineRule="auto"/>
        <w:ind w:firstLine="560"/>
        <w:jc w:val="left"/>
        <w:rPr>
          <w:rFonts w:cs="Times New Roman"/>
          <w:color w:val="auto"/>
          <w:sz w:val="28"/>
          <w:szCs w:val="28"/>
        </w:rPr>
      </w:pPr>
      <w:r>
        <w:rPr>
          <w:rFonts w:hint="eastAsia" w:cs="Times New Roman"/>
          <w:color w:val="auto"/>
          <w:sz w:val="28"/>
          <w:szCs w:val="28"/>
        </w:rPr>
        <w:t>（2）作业场所噪声过高，行人、驾驶员注意力不集中，未注意到过往的行人和车辆，均有可能发生车辆伤害事故。</w:t>
      </w:r>
    </w:p>
    <w:p w14:paraId="7B8A3081">
      <w:pPr>
        <w:spacing w:line="360" w:lineRule="auto"/>
        <w:ind w:firstLine="560"/>
        <w:jc w:val="left"/>
        <w:rPr>
          <w:rFonts w:cs="Times New Roman"/>
          <w:color w:val="auto"/>
          <w:sz w:val="28"/>
          <w:szCs w:val="28"/>
        </w:rPr>
      </w:pPr>
      <w:r>
        <w:rPr>
          <w:rFonts w:hint="eastAsia" w:cs="Times New Roman"/>
          <w:color w:val="auto"/>
          <w:sz w:val="28"/>
          <w:szCs w:val="28"/>
        </w:rPr>
        <w:t>（3）破碎站站台宽度不足，工作场地狭小，人车混行，倒车时无人指挥、监督。</w:t>
      </w:r>
    </w:p>
    <w:p w14:paraId="441B6515">
      <w:pPr>
        <w:spacing w:line="360" w:lineRule="auto"/>
        <w:ind w:firstLine="560"/>
        <w:jc w:val="left"/>
        <w:rPr>
          <w:rFonts w:cs="Times New Roman"/>
          <w:color w:val="auto"/>
          <w:sz w:val="28"/>
          <w:szCs w:val="28"/>
        </w:rPr>
      </w:pPr>
      <w:r>
        <w:rPr>
          <w:rFonts w:hint="eastAsia" w:cs="Times New Roman"/>
          <w:color w:val="auto"/>
          <w:sz w:val="28"/>
          <w:szCs w:val="28"/>
        </w:rPr>
        <w:t>2.危险度评价</w:t>
      </w:r>
    </w:p>
    <w:p w14:paraId="6E80F4B8">
      <w:pPr>
        <w:spacing w:line="360" w:lineRule="auto"/>
        <w:ind w:firstLine="560"/>
        <w:jc w:val="left"/>
        <w:rPr>
          <w:rFonts w:cs="Times New Roman"/>
          <w:color w:val="auto"/>
          <w:sz w:val="28"/>
          <w:szCs w:val="28"/>
        </w:rPr>
      </w:pPr>
      <w:r>
        <w:rPr>
          <w:rFonts w:hint="eastAsia" w:cs="Times New Roman"/>
          <w:color w:val="auto"/>
          <w:sz w:val="28"/>
          <w:szCs w:val="28"/>
        </w:rPr>
        <w:t>采用LEC法对车辆伤害进行风险评价，结合设计情况及矿山现状，评价结果见表3.7-6。</w:t>
      </w:r>
    </w:p>
    <w:p w14:paraId="63B2AB9A">
      <w:pPr>
        <w:snapToGrid w:val="0"/>
        <w:jc w:val="center"/>
        <w:rPr>
          <w:rFonts w:cs="Times New Roman"/>
          <w:bCs/>
          <w:color w:val="auto"/>
        </w:rPr>
      </w:pPr>
      <w:r>
        <w:rPr>
          <w:rFonts w:hint="eastAsia" w:cs="Times New Roman"/>
          <w:bCs/>
          <w:color w:val="auto"/>
        </w:rPr>
        <w:t>表3.7-6  车辆伤害LEC评价表</w:t>
      </w:r>
    </w:p>
    <w:p w14:paraId="7391F0A7">
      <w:pPr>
        <w:ind w:firstLine="560"/>
        <w:jc w:val="left"/>
        <w:rPr>
          <w:rFonts w:cs="Times New Roman"/>
          <w:color w:val="auto"/>
        </w:rPr>
      </w:pPr>
    </w:p>
    <w:p w14:paraId="19E102F0">
      <w:pPr>
        <w:spacing w:line="360" w:lineRule="auto"/>
        <w:ind w:firstLine="560"/>
        <w:jc w:val="left"/>
        <w:rPr>
          <w:rFonts w:cs="Times New Roman"/>
          <w:color w:val="auto"/>
          <w:sz w:val="28"/>
          <w:szCs w:val="28"/>
        </w:rPr>
      </w:pPr>
      <w:r>
        <w:rPr>
          <w:rFonts w:hint="eastAsia" w:cs="Times New Roman"/>
          <w:color w:val="auto"/>
          <w:sz w:val="28"/>
          <w:szCs w:val="28"/>
          <w:lang w:val="en-US" w:eastAsia="zh-CN"/>
        </w:rPr>
        <w:t>XX</w:t>
      </w:r>
      <w:r>
        <w:rPr>
          <w:rFonts w:hint="eastAsia" w:cs="Times New Roman"/>
          <w:color w:val="auto"/>
          <w:sz w:val="28"/>
          <w:szCs w:val="28"/>
        </w:rPr>
        <w:t>。</w:t>
      </w:r>
    </w:p>
    <w:p w14:paraId="2037D4D5">
      <w:pPr>
        <w:pStyle w:val="5"/>
        <w:keepNext/>
        <w:keepLines/>
        <w:snapToGrid w:val="0"/>
        <w:spacing w:line="360" w:lineRule="auto"/>
        <w:ind w:firstLine="562" w:firstLineChars="200"/>
        <w:jc w:val="left"/>
        <w:rPr>
          <w:rFonts w:cs="Times New Roman"/>
          <w:b/>
          <w:color w:val="auto"/>
          <w:sz w:val="28"/>
          <w:szCs w:val="32"/>
          <w:lang w:val="en-GB"/>
        </w:rPr>
      </w:pPr>
      <w:bookmarkStart w:id="586" w:name="_Toc8963"/>
      <w:bookmarkStart w:id="587" w:name="_Toc30366"/>
      <w:bookmarkStart w:id="588" w:name="_Toc6677"/>
      <w:bookmarkStart w:id="589" w:name="_Toc7054"/>
      <w:bookmarkStart w:id="590" w:name="_Toc30609"/>
      <w:bookmarkStart w:id="591" w:name="_Toc32104"/>
      <w:r>
        <w:rPr>
          <w:rFonts w:hint="eastAsia" w:cs="Times New Roman"/>
          <w:b/>
          <w:color w:val="auto"/>
          <w:sz w:val="28"/>
          <w:szCs w:val="32"/>
          <w:lang w:val="en-GB"/>
        </w:rPr>
        <w:t>3.</w:t>
      </w:r>
      <w:r>
        <w:rPr>
          <w:rFonts w:hint="eastAsia" w:cs="Times New Roman"/>
          <w:b/>
          <w:color w:val="auto"/>
          <w:sz w:val="28"/>
          <w:szCs w:val="32"/>
        </w:rPr>
        <w:t>7</w:t>
      </w:r>
      <w:r>
        <w:rPr>
          <w:rFonts w:hint="eastAsia" w:cs="Times New Roman"/>
          <w:b/>
          <w:color w:val="auto"/>
          <w:sz w:val="28"/>
          <w:szCs w:val="32"/>
          <w:lang w:val="en-GB"/>
        </w:rPr>
        <w:t>.2预先危险性分析</w:t>
      </w:r>
      <w:bookmarkEnd w:id="586"/>
      <w:bookmarkEnd w:id="587"/>
      <w:bookmarkEnd w:id="588"/>
      <w:bookmarkEnd w:id="589"/>
      <w:bookmarkEnd w:id="590"/>
      <w:bookmarkEnd w:id="591"/>
    </w:p>
    <w:p w14:paraId="62FE8E1C">
      <w:pPr>
        <w:snapToGrid w:val="0"/>
        <w:spacing w:line="360" w:lineRule="auto"/>
        <w:jc w:val="center"/>
        <w:rPr>
          <w:rFonts w:cs="Times New Roman"/>
          <w:bCs/>
          <w:color w:val="auto"/>
        </w:rPr>
      </w:pPr>
      <w:r>
        <w:rPr>
          <w:rFonts w:hint="eastAsia" w:cs="Times New Roman"/>
          <w:bCs/>
          <w:color w:val="auto"/>
        </w:rPr>
        <w:t>表3.7-7  预先危险性分析表</w:t>
      </w:r>
    </w:p>
    <w:p w14:paraId="27DD981E">
      <w:pPr>
        <w:spacing w:line="360" w:lineRule="auto"/>
        <w:ind w:firstLine="560"/>
        <w:jc w:val="left"/>
        <w:rPr>
          <w:rFonts w:hint="default" w:eastAsia="宋体" w:cs="Times New Roman"/>
          <w:color w:val="auto"/>
          <w:lang w:val="en-US" w:eastAsia="zh-CN"/>
        </w:rPr>
      </w:pPr>
      <w:r>
        <w:rPr>
          <w:rFonts w:hint="eastAsia" w:cs="Times New Roman"/>
          <w:color w:val="auto"/>
          <w:sz w:val="28"/>
          <w:szCs w:val="28"/>
          <w:lang w:val="en-US" w:eastAsia="zh-CN"/>
        </w:rPr>
        <w:t>XX。</w:t>
      </w:r>
    </w:p>
    <w:p w14:paraId="07CFFB94">
      <w:pPr>
        <w:spacing w:line="360" w:lineRule="auto"/>
        <w:ind w:firstLine="560"/>
        <w:jc w:val="left"/>
        <w:rPr>
          <w:rFonts w:cs="Times New Roman"/>
          <w:color w:val="auto"/>
          <w:sz w:val="28"/>
          <w:szCs w:val="28"/>
        </w:rPr>
      </w:pPr>
      <w:r>
        <w:rPr>
          <w:rFonts w:hint="eastAsia" w:cs="Times New Roman"/>
          <w:color w:val="auto"/>
          <w:sz w:val="28"/>
          <w:szCs w:val="28"/>
        </w:rPr>
        <w:t>通过预先危险性分析，矿山破碎车间存在触电、机械伤害及高处坠落的风险因素，且危险等级较高，容易造成人员伤亡事故，需要采取措施进行预防。</w:t>
      </w:r>
    </w:p>
    <w:p w14:paraId="7A6A5363">
      <w:pPr>
        <w:pStyle w:val="81"/>
        <w:numPr>
          <w:ilvl w:val="1"/>
          <w:numId w:val="0"/>
        </w:numPr>
        <w:spacing w:before="0" w:after="0"/>
        <w:jc w:val="center"/>
        <w:rPr>
          <w:rFonts w:cs="黑体"/>
          <w:color w:val="auto"/>
          <w:sz w:val="30"/>
          <w:szCs w:val="30"/>
        </w:rPr>
      </w:pPr>
      <w:bookmarkStart w:id="592" w:name="_Toc11327773"/>
      <w:bookmarkStart w:id="593" w:name="_Toc10168"/>
      <w:bookmarkStart w:id="594" w:name="_Toc17965"/>
      <w:bookmarkStart w:id="595" w:name="_Toc13581"/>
      <w:bookmarkStart w:id="596" w:name="_Toc22068"/>
      <w:bookmarkStart w:id="597" w:name="_Toc1312"/>
      <w:bookmarkStart w:id="598" w:name="_Toc226963199"/>
      <w:bookmarkStart w:id="599" w:name="_Toc115120673"/>
      <w:bookmarkStart w:id="600" w:name="_Toc242849811"/>
      <w:bookmarkStart w:id="601" w:name="_Toc115120279"/>
      <w:bookmarkStart w:id="602" w:name="_Toc19613"/>
      <w:r>
        <w:rPr>
          <w:rFonts w:hint="eastAsia" w:cs="黑体"/>
          <w:color w:val="auto"/>
          <w:sz w:val="30"/>
          <w:szCs w:val="30"/>
        </w:rPr>
        <w:t>3.8排土场单元</w:t>
      </w:r>
      <w:bookmarkEnd w:id="592"/>
      <w:bookmarkEnd w:id="593"/>
      <w:bookmarkEnd w:id="594"/>
      <w:bookmarkEnd w:id="595"/>
      <w:bookmarkEnd w:id="596"/>
      <w:bookmarkEnd w:id="597"/>
    </w:p>
    <w:p w14:paraId="40A8F727">
      <w:pPr>
        <w:pStyle w:val="5"/>
        <w:keepNext/>
        <w:keepLines/>
        <w:snapToGrid w:val="0"/>
        <w:spacing w:line="360" w:lineRule="auto"/>
        <w:ind w:firstLine="562" w:firstLineChars="200"/>
        <w:jc w:val="left"/>
        <w:rPr>
          <w:rFonts w:cs="Times New Roman"/>
          <w:b/>
          <w:color w:val="auto"/>
          <w:sz w:val="28"/>
          <w:szCs w:val="32"/>
          <w:lang w:val="en-GB"/>
        </w:rPr>
      </w:pPr>
      <w:bookmarkStart w:id="603" w:name="_Toc25124"/>
      <w:bookmarkStart w:id="604" w:name="_Toc5638"/>
      <w:bookmarkStart w:id="605" w:name="_Toc9125"/>
      <w:bookmarkStart w:id="606" w:name="_Toc11327774"/>
      <w:bookmarkStart w:id="607" w:name="_Toc27742"/>
      <w:bookmarkStart w:id="608" w:name="_Toc23596"/>
      <w:bookmarkStart w:id="609" w:name="_Toc1717"/>
      <w:bookmarkStart w:id="610" w:name="_Toc3747"/>
      <w:r>
        <w:rPr>
          <w:rFonts w:hint="eastAsia" w:cs="Times New Roman"/>
          <w:b/>
          <w:color w:val="auto"/>
          <w:sz w:val="28"/>
          <w:szCs w:val="32"/>
          <w:lang w:val="en-GB"/>
        </w:rPr>
        <w:t>3.8.1</w:t>
      </w:r>
      <w:bookmarkEnd w:id="603"/>
      <w:bookmarkEnd w:id="604"/>
      <w:bookmarkEnd w:id="605"/>
      <w:bookmarkEnd w:id="606"/>
      <w:bookmarkEnd w:id="607"/>
      <w:bookmarkEnd w:id="608"/>
      <w:bookmarkEnd w:id="609"/>
      <w:bookmarkEnd w:id="610"/>
      <w:r>
        <w:rPr>
          <w:rFonts w:hint="eastAsia" w:cs="Times New Roman"/>
          <w:b/>
          <w:color w:val="auto"/>
          <w:sz w:val="28"/>
          <w:szCs w:val="32"/>
          <w:lang w:val="en-US" w:eastAsia="zh-CN"/>
        </w:rPr>
        <w:t>排土场</w:t>
      </w:r>
      <w:r>
        <w:rPr>
          <w:rFonts w:hint="eastAsia" w:cs="Times New Roman"/>
          <w:b/>
          <w:color w:val="auto"/>
          <w:sz w:val="28"/>
          <w:szCs w:val="32"/>
          <w:lang w:val="en-GB"/>
        </w:rPr>
        <w:t>危险有害因素辨识与分析</w:t>
      </w:r>
    </w:p>
    <w:p w14:paraId="220500CA">
      <w:pPr>
        <w:pStyle w:val="66"/>
        <w:ind w:firstLine="560"/>
        <w:rPr>
          <w:rFonts w:hint="eastAsia"/>
          <w:color w:val="auto"/>
          <w:lang w:val="en-US" w:eastAsia="zh-CN"/>
        </w:rPr>
      </w:pPr>
      <w:r>
        <w:rPr>
          <w:rFonts w:hint="eastAsia"/>
          <w:color w:val="auto"/>
          <w:lang w:val="en-US" w:eastAsia="zh-CN"/>
        </w:rPr>
        <w:t>排土场的危险有害因素包括：</w:t>
      </w:r>
    </w:p>
    <w:p w14:paraId="113CF77C">
      <w:pPr>
        <w:pStyle w:val="66"/>
        <w:ind w:firstLine="560"/>
        <w:rPr>
          <w:color w:val="auto"/>
          <w:lang w:val="en-GB"/>
        </w:rPr>
      </w:pPr>
      <w:r>
        <w:rPr>
          <w:rFonts w:hint="eastAsia"/>
          <w:color w:val="auto"/>
          <w:lang w:val="en-US" w:eastAsia="zh-CN"/>
        </w:rPr>
        <w:t>1.</w:t>
      </w:r>
      <w:r>
        <w:rPr>
          <w:color w:val="auto"/>
          <w:lang w:val="en-GB"/>
        </w:rPr>
        <w:t>滑坡</w:t>
      </w:r>
    </w:p>
    <w:p w14:paraId="5443E219">
      <w:pPr>
        <w:pStyle w:val="66"/>
        <w:ind w:firstLine="560"/>
        <w:rPr>
          <w:rFonts w:hint="eastAsia"/>
          <w:color w:val="auto"/>
          <w:lang w:val="en-GB" w:eastAsia="zh-CN"/>
        </w:rPr>
      </w:pPr>
      <w:r>
        <w:rPr>
          <w:rFonts w:hint="eastAsia"/>
          <w:color w:val="auto"/>
          <w:lang w:val="en-GB"/>
        </w:rPr>
        <w:t>排土场由于地形地貌、自然环境、矿岩构造等原因的制约，在实行排土生产过程中使岩体稳定应力受到破坏，存在着滑坡危险。大面积岩体坡不仅能导致生产人员的意外伤害，并且还会对排土场导致严重破坏。排土场滑坡产生的原因</w:t>
      </w:r>
      <w:r>
        <w:rPr>
          <w:rFonts w:hint="eastAsia"/>
          <w:color w:val="auto"/>
          <w:lang w:val="en-GB" w:eastAsia="zh-CN"/>
        </w:rPr>
        <w:t>：</w:t>
      </w:r>
    </w:p>
    <w:p w14:paraId="081F9C02">
      <w:pPr>
        <w:pStyle w:val="66"/>
        <w:ind w:firstLine="560"/>
        <w:rPr>
          <w:rFonts w:hint="eastAsia"/>
          <w:color w:val="auto"/>
          <w:lang w:val="en-GB" w:eastAsia="zh-CN"/>
        </w:rPr>
      </w:pPr>
      <w:r>
        <w:rPr>
          <w:rFonts w:hint="eastAsia"/>
          <w:color w:val="auto"/>
          <w:lang w:val="en-US" w:eastAsia="zh-CN"/>
        </w:rPr>
        <w:t>（1）</w:t>
      </w:r>
      <w:r>
        <w:rPr>
          <w:rFonts w:hint="eastAsia"/>
          <w:color w:val="auto"/>
          <w:lang w:val="en-GB"/>
        </w:rPr>
        <w:t>未全面掌握该地区岩石的性质、产状、边坡岩石性质、水文地质条件等导致确定的台阶及边坡参数不合理</w:t>
      </w:r>
      <w:r>
        <w:rPr>
          <w:rFonts w:hint="eastAsia"/>
          <w:color w:val="auto"/>
          <w:lang w:val="en-GB" w:eastAsia="zh-CN"/>
        </w:rPr>
        <w:t>；</w:t>
      </w:r>
    </w:p>
    <w:p w14:paraId="613D7ABF">
      <w:pPr>
        <w:spacing w:line="360" w:lineRule="auto"/>
        <w:ind w:firstLine="560"/>
        <w:jc w:val="left"/>
        <w:rPr>
          <w:rFonts w:hint="eastAsia" w:cs="Times New Roman"/>
          <w:color w:val="auto"/>
          <w:sz w:val="28"/>
          <w:szCs w:val="28"/>
          <w:lang w:val="en-GB"/>
        </w:rPr>
      </w:pPr>
      <w:r>
        <w:rPr>
          <w:rFonts w:hint="eastAsia" w:cs="Times New Roman"/>
          <w:color w:val="auto"/>
          <w:sz w:val="28"/>
          <w:szCs w:val="28"/>
          <w:lang w:val="en-US" w:eastAsia="zh-CN"/>
        </w:rPr>
        <w:t>（2）</w:t>
      </w:r>
      <w:r>
        <w:rPr>
          <w:rFonts w:hint="eastAsia" w:cs="Times New Roman"/>
          <w:color w:val="auto"/>
          <w:sz w:val="28"/>
          <w:szCs w:val="28"/>
          <w:lang w:val="en-GB"/>
        </w:rPr>
        <w:t>建设初期设计、建设考虑不周。重视不够，排土场不搞工程地质勘查，设计中波及排土场建设质量的许多方面被忽视，底部清理软弱层不砌底等留下滑坡隐患。</w:t>
      </w:r>
    </w:p>
    <w:p w14:paraId="325E841E">
      <w:pPr>
        <w:spacing w:line="360" w:lineRule="auto"/>
        <w:ind w:firstLine="560"/>
        <w:jc w:val="left"/>
        <w:rPr>
          <w:rFonts w:hint="eastAsia" w:cs="Times New Roman"/>
          <w:color w:val="auto"/>
          <w:sz w:val="28"/>
          <w:szCs w:val="28"/>
          <w:lang w:val="en-GB"/>
        </w:rPr>
      </w:pPr>
      <w:r>
        <w:rPr>
          <w:rFonts w:hint="eastAsia" w:cs="Times New Roman"/>
          <w:color w:val="auto"/>
          <w:sz w:val="28"/>
          <w:szCs w:val="28"/>
          <w:lang w:val="en-US" w:eastAsia="zh-CN"/>
        </w:rPr>
        <w:t>（3）</w:t>
      </w:r>
      <w:r>
        <w:rPr>
          <w:rFonts w:hint="eastAsia" w:cs="Times New Roman"/>
          <w:color w:val="auto"/>
          <w:sz w:val="28"/>
          <w:szCs w:val="28"/>
          <w:lang w:val="en-GB"/>
        </w:rPr>
        <w:t>生产中排土不科学，未按设计推荐的台阶及边坡参数施工，台阶高度过高、安全平台宽度局限性等</w:t>
      </w:r>
      <w:r>
        <w:rPr>
          <w:rFonts w:hint="eastAsia" w:cs="Times New Roman"/>
          <w:color w:val="auto"/>
          <w:sz w:val="28"/>
          <w:szCs w:val="28"/>
          <w:lang w:val="en-GB" w:eastAsia="zh-CN"/>
        </w:rPr>
        <w:t>；</w:t>
      </w:r>
      <w:r>
        <w:rPr>
          <w:rFonts w:hint="eastAsia" w:cs="Times New Roman"/>
          <w:color w:val="auto"/>
          <w:sz w:val="28"/>
          <w:szCs w:val="28"/>
          <w:lang w:val="en-GB"/>
        </w:rPr>
        <w:t>未坚持设计排土次序，无计划、无条理的排土，导致排土次序和推进方向错误，例如底部疏水性块石厚度不够平时岩土混排，人为地在排土场内部形成了软弱面，伴随排土场废石堆积高度的加大，当剪应力超过其抗剪强度时，便会沿此弱面发生滑坡。</w:t>
      </w:r>
    </w:p>
    <w:p w14:paraId="7C103E39">
      <w:pPr>
        <w:pStyle w:val="66"/>
        <w:ind w:firstLine="560"/>
        <w:rPr>
          <w:rFonts w:hint="eastAsia"/>
          <w:color w:val="auto"/>
          <w:lang w:val="en-GB"/>
        </w:rPr>
      </w:pPr>
      <w:r>
        <w:rPr>
          <w:rFonts w:hint="eastAsia"/>
          <w:color w:val="auto"/>
          <w:lang w:val="en-US" w:eastAsia="zh-CN"/>
        </w:rPr>
        <w:t>（4）</w:t>
      </w:r>
      <w:r>
        <w:rPr>
          <w:rFonts w:hint="eastAsia"/>
          <w:color w:val="auto"/>
          <w:lang w:val="en-GB"/>
        </w:rPr>
        <w:t>排水设施不健全、疏于管理，大气降雨和地表水对台阶边坡的不停冲刷、浸入，是导致滑坡的另一重要原因。如暴雨时排水不及时，大量地表水汇入排土场，充水饱和，首先增长了排土场重量，同步减少了排士场内部潜在滑动面的摩擦力，从而形成排土场滑坡。</w:t>
      </w:r>
    </w:p>
    <w:p w14:paraId="3A838FBF">
      <w:pPr>
        <w:pStyle w:val="66"/>
        <w:ind w:firstLine="560"/>
        <w:rPr>
          <w:rFonts w:hint="eastAsia"/>
          <w:color w:val="auto"/>
          <w:lang w:val="en-GB"/>
        </w:rPr>
      </w:pPr>
      <w:r>
        <w:rPr>
          <w:rFonts w:hint="eastAsia"/>
          <w:color w:val="auto"/>
          <w:lang w:val="en-US" w:eastAsia="zh-CN"/>
        </w:rPr>
        <w:t>（5）</w:t>
      </w:r>
      <w:r>
        <w:rPr>
          <w:rFonts w:hint="eastAsia"/>
          <w:color w:val="auto"/>
          <w:lang w:val="en-GB"/>
        </w:rPr>
        <w:t>人为原因。附近村民缺乏环境保护意识，滥采滥挖现象严重。在靠近排土场的坡底和两侧进行采石、取土、开矿再运用，坡脚掏空，致使边坡变陡，都会影响排土场的稳定性，也也许引起排土场滑坡。</w:t>
      </w:r>
    </w:p>
    <w:p w14:paraId="006E1E55">
      <w:pPr>
        <w:pStyle w:val="66"/>
        <w:ind w:firstLine="560"/>
        <w:rPr>
          <w:rFonts w:hint="eastAsia"/>
          <w:color w:val="auto"/>
          <w:lang w:val="en-GB"/>
        </w:rPr>
      </w:pPr>
      <w:r>
        <w:rPr>
          <w:rFonts w:hint="eastAsia"/>
          <w:color w:val="auto"/>
          <w:lang w:val="en-US" w:eastAsia="zh-CN"/>
        </w:rPr>
        <w:t>（6）</w:t>
      </w:r>
      <w:r>
        <w:rPr>
          <w:rFonts w:hint="eastAsia"/>
          <w:color w:val="auto"/>
          <w:lang w:val="en-GB"/>
        </w:rPr>
        <w:t>其他人力不可抗拒的原因。如地震以及大暴雨等。</w:t>
      </w:r>
    </w:p>
    <w:p w14:paraId="4E807D03">
      <w:pPr>
        <w:pStyle w:val="66"/>
        <w:ind w:firstLine="560"/>
        <w:rPr>
          <w:color w:val="auto"/>
        </w:rPr>
      </w:pPr>
      <w:r>
        <w:rPr>
          <w:rFonts w:hint="eastAsia"/>
          <w:color w:val="auto"/>
          <w:lang w:val="en-GB"/>
        </w:rPr>
        <w:t>滑坡对乡村最重要的危害是摧毁农田、房舍、伤害人畜、毁坏森林、道路以及农业机械设施和水利水电设施等，有时甚至给乡村导致消灭性灾害。</w:t>
      </w:r>
    </w:p>
    <w:p w14:paraId="0CCA8A81">
      <w:pPr>
        <w:pStyle w:val="66"/>
        <w:ind w:firstLine="560"/>
        <w:rPr>
          <w:rFonts w:hint="eastAsia"/>
          <w:color w:val="auto"/>
          <w:lang w:eastAsia="zh-CN"/>
        </w:rPr>
      </w:pPr>
      <w:r>
        <w:rPr>
          <w:rFonts w:hint="eastAsia"/>
          <w:color w:val="auto"/>
          <w:lang w:val="en-US" w:eastAsia="zh-CN"/>
        </w:rPr>
        <w:t>2</w:t>
      </w:r>
      <w:r>
        <w:rPr>
          <w:rFonts w:hint="eastAsia"/>
          <w:color w:val="auto"/>
          <w:lang w:eastAsia="zh-CN"/>
        </w:rPr>
        <w:t>.</w:t>
      </w:r>
      <w:r>
        <w:rPr>
          <w:rFonts w:hint="eastAsia"/>
          <w:color w:val="auto"/>
          <w:lang w:val="en-US" w:eastAsia="zh-CN"/>
        </w:rPr>
        <w:t>泥石流</w:t>
      </w:r>
    </w:p>
    <w:p w14:paraId="1E286524">
      <w:pPr>
        <w:pStyle w:val="66"/>
        <w:ind w:firstLine="560"/>
        <w:rPr>
          <w:rFonts w:hint="eastAsia"/>
          <w:color w:val="auto"/>
          <w:lang w:val="en-GB"/>
        </w:rPr>
      </w:pPr>
      <w:r>
        <w:rPr>
          <w:rFonts w:hint="eastAsia"/>
          <w:color w:val="auto"/>
          <w:lang w:val="en-US" w:eastAsia="zh-CN"/>
        </w:rPr>
        <w:t>（1）</w:t>
      </w:r>
      <w:r>
        <w:rPr>
          <w:rFonts w:hint="eastAsia"/>
          <w:color w:val="auto"/>
          <w:lang w:val="en-GB"/>
        </w:rPr>
        <w:t>矿山泥石流从成因上一般分为水动成因泥石流和重力成因泥石流。</w:t>
      </w:r>
    </w:p>
    <w:p w14:paraId="51315B2C">
      <w:pPr>
        <w:pStyle w:val="66"/>
        <w:ind w:firstLine="560"/>
        <w:rPr>
          <w:rFonts w:hint="eastAsia"/>
          <w:color w:val="auto"/>
          <w:lang w:val="en-GB"/>
        </w:rPr>
      </w:pPr>
      <w:r>
        <w:rPr>
          <w:rFonts w:hint="eastAsia"/>
          <w:color w:val="auto"/>
          <w:lang w:val="en-US" w:eastAsia="zh-CN"/>
        </w:rPr>
        <w:t>1）</w:t>
      </w:r>
      <w:r>
        <w:rPr>
          <w:rFonts w:hint="eastAsia"/>
          <w:color w:val="auto"/>
          <w:lang w:val="en-GB"/>
        </w:rPr>
        <w:t>水动力成因泥石流是大量松散的固体物料堆积在汇水面积大的山谷地带，在动水冲刷作用下沿陡坡地形急速流动。重要是受发达的地表水系影响而成的。</w:t>
      </w:r>
    </w:p>
    <w:p w14:paraId="2245774C">
      <w:pPr>
        <w:pStyle w:val="66"/>
        <w:ind w:firstLine="560"/>
        <w:rPr>
          <w:rFonts w:hint="eastAsia"/>
          <w:color w:val="auto"/>
        </w:rPr>
      </w:pPr>
      <w:r>
        <w:rPr>
          <w:rFonts w:hint="eastAsia"/>
          <w:color w:val="auto"/>
          <w:lang w:val="en-US" w:eastAsia="zh-CN"/>
        </w:rPr>
        <w:t>2）</w:t>
      </w:r>
      <w:r>
        <w:rPr>
          <w:rFonts w:hint="eastAsia"/>
          <w:color w:val="auto"/>
        </w:rPr>
        <w:t>重力成因泥石流是吸水岩土遇水软化，当含水量达一定期，便转化为黏稠状流体。亦也许由坍塌、滑坡体直接转变为泥石流。被水软化成似液态的泥化母岩</w:t>
      </w:r>
      <w:r>
        <w:rPr>
          <w:rFonts w:hint="eastAsia"/>
          <w:color w:val="auto"/>
          <w:lang w:eastAsia="zh-CN"/>
        </w:rPr>
        <w:t>（</w:t>
      </w:r>
      <w:r>
        <w:rPr>
          <w:rFonts w:hint="eastAsia"/>
          <w:color w:val="auto"/>
        </w:rPr>
        <w:t>如粘土、风化岩</w:t>
      </w:r>
      <w:r>
        <w:rPr>
          <w:rFonts w:hint="eastAsia"/>
          <w:color w:val="auto"/>
          <w:lang w:eastAsia="zh-CN"/>
        </w:rPr>
        <w:t>）</w:t>
      </w:r>
      <w:r>
        <w:rPr>
          <w:rFonts w:hint="eastAsia"/>
          <w:color w:val="auto"/>
        </w:rPr>
        <w:t>与岩土块及水混合成浆体</w:t>
      </w:r>
      <w:r>
        <w:rPr>
          <w:rFonts w:hint="eastAsia"/>
          <w:color w:val="auto"/>
          <w:lang w:eastAsia="zh-CN"/>
        </w:rPr>
        <w:t>（</w:t>
      </w:r>
      <w:r>
        <w:rPr>
          <w:rFonts w:hint="eastAsia"/>
          <w:color w:val="auto"/>
        </w:rPr>
        <w:t>液固</w:t>
      </w:r>
      <w:r>
        <w:rPr>
          <w:rFonts w:hint="eastAsia"/>
          <w:color w:val="auto"/>
          <w:lang w:eastAsia="zh-CN"/>
        </w:rPr>
        <w:t>）</w:t>
      </w:r>
      <w:r>
        <w:rPr>
          <w:rFonts w:hint="eastAsia"/>
          <w:color w:val="auto"/>
        </w:rPr>
        <w:t>在滑坡势能转化来的动能作用下，促使滑体向流动转化，酿成泥石流。</w:t>
      </w:r>
    </w:p>
    <w:p w14:paraId="6498800E">
      <w:pPr>
        <w:pStyle w:val="66"/>
        <w:ind w:firstLine="560"/>
        <w:rPr>
          <w:rFonts w:hint="eastAsia"/>
          <w:color w:val="auto"/>
          <w:lang w:eastAsia="zh-CN"/>
        </w:rPr>
      </w:pPr>
      <w:r>
        <w:rPr>
          <w:rFonts w:hint="eastAsia"/>
          <w:color w:val="auto"/>
          <w:lang w:val="en-US" w:eastAsia="zh-CN"/>
        </w:rPr>
        <w:t>（2）</w:t>
      </w:r>
      <w:r>
        <w:rPr>
          <w:rFonts w:hint="eastAsia"/>
          <w:color w:val="auto"/>
        </w:rPr>
        <w:t>形成泥石流的三个基本条件</w:t>
      </w:r>
      <w:r>
        <w:rPr>
          <w:rFonts w:hint="eastAsia"/>
          <w:color w:val="auto"/>
          <w:lang w:eastAsia="zh-CN"/>
        </w:rPr>
        <w:t>：</w:t>
      </w:r>
    </w:p>
    <w:p w14:paraId="3BEF6A99">
      <w:pPr>
        <w:pStyle w:val="66"/>
        <w:ind w:firstLine="560"/>
        <w:rPr>
          <w:rFonts w:hint="eastAsia"/>
          <w:color w:val="auto"/>
          <w:lang w:eastAsia="zh-CN"/>
        </w:rPr>
      </w:pPr>
      <w:r>
        <w:rPr>
          <w:rFonts w:hint="eastAsia"/>
          <w:color w:val="auto"/>
          <w:lang w:val="en-US" w:eastAsia="zh-CN"/>
        </w:rPr>
        <w:t>1）</w:t>
      </w:r>
      <w:r>
        <w:rPr>
          <w:rFonts w:hint="eastAsia"/>
          <w:color w:val="auto"/>
        </w:rPr>
        <w:t>泥石流区内具有丰富的松散岩土</w:t>
      </w:r>
      <w:r>
        <w:rPr>
          <w:rFonts w:hint="eastAsia"/>
          <w:color w:val="auto"/>
          <w:lang w:eastAsia="zh-CN"/>
        </w:rPr>
        <w:t>；</w:t>
      </w:r>
    </w:p>
    <w:p w14:paraId="49058BAF">
      <w:pPr>
        <w:pStyle w:val="66"/>
        <w:ind w:firstLine="560"/>
        <w:rPr>
          <w:rFonts w:hint="eastAsia"/>
          <w:color w:val="auto"/>
          <w:lang w:eastAsia="zh-CN"/>
        </w:rPr>
      </w:pPr>
      <w:r>
        <w:rPr>
          <w:rFonts w:hint="eastAsia"/>
          <w:color w:val="auto"/>
          <w:lang w:val="en-US" w:eastAsia="zh-CN"/>
        </w:rPr>
        <w:t>2）</w:t>
      </w:r>
      <w:r>
        <w:rPr>
          <w:rFonts w:hint="eastAsia"/>
          <w:color w:val="auto"/>
        </w:rPr>
        <w:t>山坡地形陡峻，具有较大的沟床纵坡</w:t>
      </w:r>
      <w:r>
        <w:rPr>
          <w:rFonts w:hint="eastAsia"/>
          <w:color w:val="auto"/>
          <w:lang w:eastAsia="zh-CN"/>
        </w:rPr>
        <w:t>：</w:t>
      </w:r>
    </w:p>
    <w:p w14:paraId="515020CF">
      <w:pPr>
        <w:pStyle w:val="66"/>
        <w:ind w:firstLine="560"/>
        <w:rPr>
          <w:rFonts w:hint="eastAsia"/>
          <w:color w:val="auto"/>
        </w:rPr>
      </w:pPr>
      <w:r>
        <w:rPr>
          <w:rFonts w:hint="eastAsia"/>
          <w:color w:val="auto"/>
          <w:lang w:val="en-US" w:eastAsia="zh-CN"/>
        </w:rPr>
        <w:t>3）</w:t>
      </w:r>
      <w:r>
        <w:rPr>
          <w:rFonts w:hint="eastAsia"/>
          <w:color w:val="auto"/>
        </w:rPr>
        <w:t>泥石流区的上中游有较大的汇水面积和充足的水源。</w:t>
      </w:r>
    </w:p>
    <w:p w14:paraId="33B0EEDB">
      <w:pPr>
        <w:pStyle w:val="66"/>
        <w:ind w:firstLine="560"/>
        <w:rPr>
          <w:rFonts w:hint="eastAsia"/>
          <w:color w:val="auto"/>
          <w:lang w:eastAsia="zh-CN"/>
        </w:rPr>
      </w:pPr>
      <w:r>
        <w:rPr>
          <w:rFonts w:hint="eastAsia"/>
          <w:color w:val="auto"/>
        </w:rPr>
        <w:t>排土场泥石流的重要危害是冲毁乡村，导致人畜伤亡，破坏房屋及其他工程设施，破坏农作物、林木及耕地。此外，泥石流有时也会淤塞河道</w:t>
      </w:r>
      <w:r>
        <w:rPr>
          <w:rFonts w:hint="eastAsia"/>
          <w:color w:val="auto"/>
          <w:lang w:eastAsia="zh-CN"/>
        </w:rPr>
        <w:t>。</w:t>
      </w:r>
    </w:p>
    <w:p w14:paraId="0F2E2BA2">
      <w:pPr>
        <w:pStyle w:val="66"/>
        <w:ind w:firstLine="560"/>
        <w:rPr>
          <w:rFonts w:hint="default"/>
          <w:color w:val="auto"/>
          <w:lang w:val="en-US" w:eastAsia="zh-CN"/>
        </w:rPr>
      </w:pPr>
      <w:r>
        <w:rPr>
          <w:rFonts w:hint="eastAsia"/>
          <w:color w:val="auto"/>
          <w:lang w:val="en-US" w:eastAsia="zh-CN"/>
        </w:rPr>
        <w:t>3.坍塌</w:t>
      </w:r>
    </w:p>
    <w:p w14:paraId="237823E4">
      <w:pPr>
        <w:pStyle w:val="66"/>
        <w:ind w:firstLine="560"/>
        <w:rPr>
          <w:rFonts w:hint="eastAsia"/>
          <w:color w:val="auto"/>
        </w:rPr>
      </w:pPr>
      <w:r>
        <w:rPr>
          <w:rFonts w:hint="eastAsia"/>
          <w:color w:val="auto"/>
          <w:lang w:val="en-US" w:eastAsia="zh-CN"/>
        </w:rPr>
        <w:t>（1）</w:t>
      </w:r>
      <w:r>
        <w:rPr>
          <w:rFonts w:hint="eastAsia"/>
          <w:color w:val="auto"/>
        </w:rPr>
        <w:t>排土场坍塌的重要原因</w:t>
      </w:r>
    </w:p>
    <w:p w14:paraId="1835303B">
      <w:pPr>
        <w:pStyle w:val="66"/>
        <w:ind w:firstLine="560"/>
        <w:rPr>
          <w:rFonts w:hint="eastAsia"/>
          <w:color w:val="auto"/>
          <w:lang w:eastAsia="zh-CN"/>
        </w:rPr>
      </w:pPr>
      <w:r>
        <w:rPr>
          <w:rFonts w:hint="eastAsia"/>
          <w:color w:val="auto"/>
        </w:rPr>
        <w:t>重要是由于基底坡度较陡、地基承载力差和水文条件复杂，分析原因重要有</w:t>
      </w:r>
      <w:r>
        <w:rPr>
          <w:rFonts w:hint="eastAsia"/>
          <w:color w:val="auto"/>
          <w:lang w:eastAsia="zh-CN"/>
        </w:rPr>
        <w:t>：</w:t>
      </w:r>
    </w:p>
    <w:p w14:paraId="3EE29CF3">
      <w:pPr>
        <w:pStyle w:val="66"/>
        <w:ind w:firstLine="560"/>
        <w:rPr>
          <w:rFonts w:hint="eastAsia"/>
          <w:color w:val="auto"/>
          <w:lang w:eastAsia="zh-CN"/>
        </w:rPr>
      </w:pPr>
      <w:r>
        <w:rPr>
          <w:rFonts w:hint="eastAsia"/>
          <w:color w:val="auto"/>
          <w:lang w:val="en-US" w:eastAsia="zh-CN"/>
        </w:rPr>
        <w:t>1）</w:t>
      </w:r>
      <w:r>
        <w:rPr>
          <w:rFonts w:hint="eastAsia"/>
          <w:color w:val="auto"/>
        </w:rPr>
        <w:t>基础不稳固</w:t>
      </w:r>
      <w:r>
        <w:rPr>
          <w:rFonts w:hint="eastAsia"/>
          <w:color w:val="auto"/>
          <w:lang w:eastAsia="zh-CN"/>
        </w:rPr>
        <w:t>；</w:t>
      </w:r>
    </w:p>
    <w:p w14:paraId="1E9EE74F">
      <w:pPr>
        <w:pStyle w:val="66"/>
        <w:ind w:firstLine="560"/>
        <w:rPr>
          <w:rFonts w:hint="eastAsia"/>
          <w:color w:val="auto"/>
          <w:lang w:eastAsia="zh-CN"/>
        </w:rPr>
      </w:pPr>
      <w:r>
        <w:rPr>
          <w:rFonts w:hint="eastAsia"/>
          <w:color w:val="auto"/>
          <w:lang w:val="en-US" w:eastAsia="zh-CN"/>
        </w:rPr>
        <w:t>2）</w:t>
      </w:r>
      <w:r>
        <w:rPr>
          <w:rFonts w:hint="eastAsia"/>
          <w:color w:val="auto"/>
        </w:rPr>
        <w:t>设计不合理，或未按设计规定排土</w:t>
      </w:r>
      <w:r>
        <w:rPr>
          <w:rFonts w:hint="eastAsia"/>
          <w:color w:val="auto"/>
          <w:lang w:eastAsia="zh-CN"/>
        </w:rPr>
        <w:t>；</w:t>
      </w:r>
    </w:p>
    <w:p w14:paraId="71516E87">
      <w:pPr>
        <w:pStyle w:val="66"/>
        <w:ind w:firstLine="560"/>
        <w:rPr>
          <w:rFonts w:hint="eastAsia"/>
          <w:color w:val="auto"/>
          <w:lang w:eastAsia="zh-CN"/>
        </w:rPr>
      </w:pPr>
      <w:r>
        <w:rPr>
          <w:rFonts w:hint="eastAsia"/>
          <w:color w:val="auto"/>
          <w:lang w:val="en-US" w:eastAsia="zh-CN"/>
        </w:rPr>
        <w:t>3）</w:t>
      </w:r>
      <w:r>
        <w:rPr>
          <w:rFonts w:hint="eastAsia"/>
          <w:color w:val="auto"/>
        </w:rPr>
        <w:t>排土前未对山肩、岸坡进行彻底清理，或未对泉眼、洞穴等做可靠处理</w:t>
      </w:r>
      <w:r>
        <w:rPr>
          <w:rFonts w:hint="eastAsia"/>
          <w:color w:val="auto"/>
          <w:lang w:eastAsia="zh-CN"/>
        </w:rPr>
        <w:t>；</w:t>
      </w:r>
    </w:p>
    <w:p w14:paraId="1E567AE6">
      <w:pPr>
        <w:pStyle w:val="66"/>
        <w:ind w:firstLine="560"/>
        <w:rPr>
          <w:rFonts w:hint="eastAsia"/>
          <w:color w:val="auto"/>
          <w:lang w:eastAsia="zh-CN"/>
        </w:rPr>
      </w:pPr>
      <w:r>
        <w:rPr>
          <w:rFonts w:hint="eastAsia"/>
          <w:color w:val="auto"/>
          <w:lang w:val="en-US" w:eastAsia="zh-CN"/>
        </w:rPr>
        <w:t>4）</w:t>
      </w:r>
      <w:r>
        <w:rPr>
          <w:rFonts w:hint="eastAsia"/>
          <w:color w:val="auto"/>
        </w:rPr>
        <w:t>排土场构造尺寸不合理，或高度过高，或地基或坝顶过窄，或排土场外坡度过陡</w:t>
      </w:r>
      <w:r>
        <w:rPr>
          <w:rFonts w:hint="eastAsia"/>
          <w:color w:val="auto"/>
          <w:lang w:eastAsia="zh-CN"/>
        </w:rPr>
        <w:t>；</w:t>
      </w:r>
    </w:p>
    <w:p w14:paraId="38B6FF70">
      <w:pPr>
        <w:pStyle w:val="66"/>
        <w:ind w:firstLine="560"/>
        <w:rPr>
          <w:rFonts w:hint="eastAsia"/>
          <w:color w:val="auto"/>
          <w:lang w:eastAsia="zh-CN"/>
        </w:rPr>
      </w:pPr>
      <w:r>
        <w:rPr>
          <w:rFonts w:hint="eastAsia"/>
          <w:color w:val="auto"/>
          <w:lang w:val="en-US" w:eastAsia="zh-CN"/>
        </w:rPr>
        <w:t>5）</w:t>
      </w:r>
      <w:r>
        <w:rPr>
          <w:rFonts w:hint="eastAsia"/>
          <w:color w:val="auto"/>
        </w:rPr>
        <w:t>排土不规范、不合理</w:t>
      </w:r>
      <w:r>
        <w:rPr>
          <w:rFonts w:hint="eastAsia"/>
          <w:color w:val="auto"/>
          <w:lang w:eastAsia="zh-CN"/>
        </w:rPr>
        <w:t>：</w:t>
      </w:r>
    </w:p>
    <w:p w14:paraId="18BE770C">
      <w:pPr>
        <w:pStyle w:val="66"/>
        <w:ind w:firstLine="560"/>
        <w:rPr>
          <w:rFonts w:hint="eastAsia"/>
          <w:color w:val="auto"/>
          <w:lang w:eastAsia="zh-CN"/>
        </w:rPr>
      </w:pPr>
      <w:r>
        <w:rPr>
          <w:rFonts w:hint="eastAsia"/>
          <w:color w:val="auto"/>
          <w:lang w:val="en-US" w:eastAsia="zh-CN"/>
        </w:rPr>
        <w:t>6）</w:t>
      </w:r>
      <w:r>
        <w:rPr>
          <w:rFonts w:hint="eastAsia"/>
          <w:color w:val="auto"/>
        </w:rPr>
        <w:t>排渗设施设计不合理，或未按设计规定施工</w:t>
      </w:r>
      <w:r>
        <w:rPr>
          <w:rFonts w:hint="eastAsia"/>
          <w:color w:val="auto"/>
          <w:lang w:eastAsia="zh-CN"/>
        </w:rPr>
        <w:t>；</w:t>
      </w:r>
    </w:p>
    <w:p w14:paraId="2C6B34A1">
      <w:pPr>
        <w:pStyle w:val="66"/>
        <w:ind w:firstLine="560"/>
        <w:rPr>
          <w:rFonts w:hint="eastAsia"/>
          <w:color w:val="auto"/>
          <w:lang w:eastAsia="zh-CN"/>
        </w:rPr>
      </w:pPr>
      <w:r>
        <w:rPr>
          <w:rFonts w:hint="eastAsia"/>
          <w:color w:val="auto"/>
          <w:lang w:val="en-US" w:eastAsia="zh-CN"/>
        </w:rPr>
        <w:t>7）</w:t>
      </w:r>
      <w:r>
        <w:rPr>
          <w:rFonts w:hint="eastAsia"/>
          <w:color w:val="auto"/>
        </w:rPr>
        <w:t>排洪能力设计局限性或排洪构筑物未达设计规定的质量、能力</w:t>
      </w:r>
      <w:r>
        <w:rPr>
          <w:rFonts w:hint="eastAsia"/>
          <w:color w:val="auto"/>
          <w:lang w:eastAsia="zh-CN"/>
        </w:rPr>
        <w:t>；</w:t>
      </w:r>
    </w:p>
    <w:p w14:paraId="2DA50080">
      <w:pPr>
        <w:pStyle w:val="66"/>
        <w:ind w:firstLine="560"/>
        <w:rPr>
          <w:rFonts w:hint="eastAsia"/>
          <w:color w:val="auto"/>
          <w:lang w:eastAsia="zh-CN"/>
        </w:rPr>
      </w:pPr>
      <w:r>
        <w:rPr>
          <w:rFonts w:hint="eastAsia"/>
          <w:color w:val="auto"/>
          <w:lang w:val="en-US" w:eastAsia="zh-CN"/>
        </w:rPr>
        <w:t>8）</w:t>
      </w:r>
      <w:r>
        <w:rPr>
          <w:rFonts w:hint="eastAsia"/>
          <w:color w:val="auto"/>
        </w:rPr>
        <w:t>排洪构筑物、排渗设施遭损坏，又未及时修复，使排洪、排渗的功能不能满足规定</w:t>
      </w:r>
      <w:r>
        <w:rPr>
          <w:rFonts w:hint="eastAsia"/>
          <w:color w:val="auto"/>
          <w:lang w:eastAsia="zh-CN"/>
        </w:rPr>
        <w:t>：</w:t>
      </w:r>
    </w:p>
    <w:p w14:paraId="0A7C87DB">
      <w:pPr>
        <w:pStyle w:val="66"/>
        <w:ind w:firstLine="560"/>
        <w:rPr>
          <w:rFonts w:hint="eastAsia"/>
          <w:color w:val="auto"/>
          <w:lang w:eastAsia="zh-CN"/>
        </w:rPr>
      </w:pPr>
      <w:r>
        <w:rPr>
          <w:rFonts w:hint="eastAsia"/>
          <w:color w:val="auto"/>
          <w:lang w:val="en-US" w:eastAsia="zh-CN"/>
        </w:rPr>
        <w:t>9）</w:t>
      </w:r>
      <w:r>
        <w:rPr>
          <w:rFonts w:hint="eastAsia"/>
          <w:color w:val="auto"/>
        </w:rPr>
        <w:t>废石粒度构成发生变化，矿泥增多，又未采用措施，使排土场稳固性受到较大影响</w:t>
      </w:r>
      <w:r>
        <w:rPr>
          <w:rFonts w:hint="eastAsia"/>
          <w:color w:val="auto"/>
          <w:lang w:eastAsia="zh-CN"/>
        </w:rPr>
        <w:t>；</w:t>
      </w:r>
    </w:p>
    <w:p w14:paraId="092CE850">
      <w:pPr>
        <w:pStyle w:val="66"/>
        <w:ind w:firstLine="560"/>
        <w:rPr>
          <w:rFonts w:hint="eastAsia"/>
          <w:color w:val="auto"/>
        </w:rPr>
      </w:pPr>
      <w:r>
        <w:rPr>
          <w:rFonts w:hint="eastAsia"/>
          <w:color w:val="auto"/>
          <w:lang w:val="en-US" w:eastAsia="zh-CN"/>
        </w:rPr>
        <w:t>10）</w:t>
      </w:r>
      <w:r>
        <w:rPr>
          <w:rFonts w:hint="eastAsia"/>
          <w:color w:val="auto"/>
        </w:rPr>
        <w:t>管理不善，麻痹大意，未能及时发现问题，或发现问题后，没有及时采用措施治理等。</w:t>
      </w:r>
    </w:p>
    <w:p w14:paraId="0C35A340">
      <w:pPr>
        <w:pStyle w:val="66"/>
        <w:ind w:firstLine="560"/>
        <w:rPr>
          <w:color w:val="auto"/>
        </w:rPr>
      </w:pPr>
      <w:r>
        <w:rPr>
          <w:rFonts w:hint="eastAsia"/>
          <w:color w:val="auto"/>
          <w:lang w:val="en-US" w:eastAsia="zh-CN"/>
        </w:rPr>
        <w:t>（2）</w:t>
      </w:r>
      <w:r>
        <w:rPr>
          <w:rFonts w:hint="eastAsia"/>
          <w:color w:val="auto"/>
        </w:rPr>
        <w:t>严重后果</w:t>
      </w:r>
    </w:p>
    <w:p w14:paraId="3BCDC8EF">
      <w:pPr>
        <w:pStyle w:val="66"/>
        <w:ind w:firstLine="560"/>
        <w:rPr>
          <w:rFonts w:hint="eastAsia"/>
          <w:color w:val="auto"/>
          <w:lang w:eastAsia="zh-CN"/>
        </w:rPr>
      </w:pPr>
      <w:r>
        <w:rPr>
          <w:rFonts w:hint="eastAsia"/>
          <w:color w:val="auto"/>
        </w:rPr>
        <w:t>排土场坍塌后果十分严重，重要是</w:t>
      </w:r>
      <w:r>
        <w:rPr>
          <w:rFonts w:hint="eastAsia"/>
          <w:color w:val="auto"/>
          <w:lang w:eastAsia="zh-CN"/>
        </w:rPr>
        <w:t>：</w:t>
      </w:r>
    </w:p>
    <w:p w14:paraId="758BAF7C">
      <w:pPr>
        <w:pStyle w:val="66"/>
        <w:ind w:firstLine="560"/>
        <w:rPr>
          <w:rFonts w:hint="eastAsia"/>
          <w:color w:val="auto"/>
        </w:rPr>
      </w:pPr>
      <w:r>
        <w:rPr>
          <w:rFonts w:hint="eastAsia"/>
          <w:color w:val="auto"/>
          <w:lang w:val="en-US" w:eastAsia="zh-CN"/>
        </w:rPr>
        <w:t>1</w:t>
      </w:r>
      <w:r>
        <w:rPr>
          <w:rFonts w:hint="eastAsia"/>
          <w:color w:val="auto"/>
          <w:lang w:eastAsia="zh-CN"/>
        </w:rPr>
        <w:t>）</w:t>
      </w:r>
      <w:r>
        <w:rPr>
          <w:rFonts w:hint="eastAsia"/>
          <w:color w:val="auto"/>
        </w:rPr>
        <w:t>给下游工业、农业、村庄和居民的人身安全和财产导致严重危害</w:t>
      </w:r>
    </w:p>
    <w:p w14:paraId="1343F875">
      <w:pPr>
        <w:pStyle w:val="66"/>
        <w:ind w:firstLine="560"/>
        <w:rPr>
          <w:rFonts w:hint="eastAsia"/>
          <w:color w:val="auto"/>
          <w:lang w:eastAsia="zh-CN"/>
        </w:rPr>
      </w:pPr>
      <w:r>
        <w:rPr>
          <w:rFonts w:hint="eastAsia"/>
          <w:color w:val="auto"/>
        </w:rPr>
        <w:t>和损失</w:t>
      </w:r>
      <w:r>
        <w:rPr>
          <w:rFonts w:hint="eastAsia"/>
          <w:color w:val="auto"/>
          <w:lang w:eastAsia="zh-CN"/>
        </w:rPr>
        <w:t>；</w:t>
      </w:r>
    </w:p>
    <w:p w14:paraId="05FD2BF9">
      <w:pPr>
        <w:pStyle w:val="66"/>
        <w:ind w:firstLine="560"/>
        <w:rPr>
          <w:rFonts w:hint="eastAsia"/>
          <w:color w:val="auto"/>
          <w:lang w:eastAsia="zh-CN"/>
        </w:rPr>
      </w:pPr>
      <w:r>
        <w:rPr>
          <w:rFonts w:hint="eastAsia"/>
          <w:color w:val="auto"/>
          <w:lang w:val="en-US" w:eastAsia="zh-CN"/>
        </w:rPr>
        <w:t>2）</w:t>
      </w:r>
      <w:r>
        <w:rPr>
          <w:rFonts w:hint="eastAsia"/>
          <w:color w:val="auto"/>
        </w:rPr>
        <w:t>严重污染下游环境，影响工农业生产和人们的健康</w:t>
      </w:r>
      <w:r>
        <w:rPr>
          <w:rFonts w:hint="eastAsia"/>
          <w:color w:val="auto"/>
          <w:lang w:eastAsia="zh-CN"/>
        </w:rPr>
        <w:t>：</w:t>
      </w:r>
    </w:p>
    <w:p w14:paraId="7BE96EB3">
      <w:pPr>
        <w:pStyle w:val="66"/>
        <w:ind w:firstLine="560"/>
        <w:rPr>
          <w:rFonts w:hint="eastAsia"/>
          <w:color w:val="auto"/>
          <w:lang w:eastAsia="zh-CN"/>
        </w:rPr>
      </w:pPr>
      <w:r>
        <w:rPr>
          <w:rFonts w:hint="eastAsia"/>
          <w:color w:val="auto"/>
          <w:lang w:val="en-US" w:eastAsia="zh-CN"/>
        </w:rPr>
        <w:t>3）</w:t>
      </w:r>
      <w:r>
        <w:rPr>
          <w:rFonts w:hint="eastAsia"/>
          <w:color w:val="auto"/>
        </w:rPr>
        <w:t>导致矿山停产</w:t>
      </w:r>
      <w:r>
        <w:rPr>
          <w:rFonts w:hint="eastAsia"/>
          <w:color w:val="auto"/>
          <w:lang w:eastAsia="zh-CN"/>
        </w:rPr>
        <w:t>；</w:t>
      </w:r>
    </w:p>
    <w:p w14:paraId="331530BA">
      <w:pPr>
        <w:pStyle w:val="66"/>
        <w:ind w:firstLine="560"/>
        <w:rPr>
          <w:rFonts w:hint="eastAsia"/>
          <w:color w:val="auto"/>
          <w:lang w:eastAsia="zh-CN"/>
        </w:rPr>
      </w:pPr>
      <w:r>
        <w:rPr>
          <w:rFonts w:hint="eastAsia"/>
          <w:color w:val="auto"/>
          <w:lang w:val="en-US" w:eastAsia="zh-CN"/>
        </w:rPr>
        <w:t>4）</w:t>
      </w:r>
      <w:r>
        <w:rPr>
          <w:rFonts w:hint="eastAsia"/>
          <w:color w:val="auto"/>
        </w:rPr>
        <w:t>直接和间接的经济损失严重</w:t>
      </w:r>
      <w:r>
        <w:rPr>
          <w:rFonts w:hint="eastAsia"/>
          <w:color w:val="auto"/>
          <w:lang w:eastAsia="zh-CN"/>
        </w:rPr>
        <w:t>；</w:t>
      </w:r>
    </w:p>
    <w:p w14:paraId="3D56C09D">
      <w:pPr>
        <w:pStyle w:val="66"/>
        <w:ind w:firstLine="560"/>
        <w:rPr>
          <w:rFonts w:hint="eastAsia"/>
          <w:color w:val="auto"/>
        </w:rPr>
      </w:pPr>
      <w:r>
        <w:rPr>
          <w:rFonts w:hint="eastAsia"/>
          <w:color w:val="auto"/>
          <w:lang w:val="en-US" w:eastAsia="zh-CN"/>
        </w:rPr>
        <w:t>5）</w:t>
      </w:r>
      <w:r>
        <w:rPr>
          <w:rFonts w:hint="eastAsia"/>
          <w:color w:val="auto"/>
        </w:rPr>
        <w:t>其他危害，如有时会破坏公路，中断运送等。</w:t>
      </w:r>
    </w:p>
    <w:p w14:paraId="64C4C106">
      <w:pPr>
        <w:pStyle w:val="66"/>
        <w:ind w:firstLine="560"/>
        <w:rPr>
          <w:rFonts w:hint="default"/>
          <w:color w:val="auto"/>
          <w:lang w:val="en-US" w:eastAsia="zh-CN"/>
        </w:rPr>
      </w:pPr>
      <w:r>
        <w:rPr>
          <w:rFonts w:hint="eastAsia"/>
          <w:color w:val="auto"/>
          <w:lang w:val="en-US" w:eastAsia="zh-CN"/>
        </w:rPr>
        <w:t>4.排水、排洪构筑物破坏</w:t>
      </w:r>
    </w:p>
    <w:p w14:paraId="68B43A99">
      <w:pPr>
        <w:pStyle w:val="66"/>
        <w:ind w:firstLine="560"/>
        <w:rPr>
          <w:rFonts w:hint="eastAsia"/>
          <w:color w:val="auto"/>
          <w:lang w:val="en-US" w:eastAsia="zh-CN"/>
        </w:rPr>
      </w:pPr>
      <w:r>
        <w:rPr>
          <w:rFonts w:hint="eastAsia"/>
          <w:color w:val="auto"/>
          <w:lang w:val="en-US" w:eastAsia="zh-CN"/>
        </w:rPr>
        <w:t>排水、排洪构筑物堵塞、错动、断裂等破坏，导致排洪能力急剧下降；排水构筑物错动、断裂常常导致大量排土场垮塌导致堵塞，直接危及排土场安全。</w:t>
      </w:r>
    </w:p>
    <w:p w14:paraId="194CD567">
      <w:pPr>
        <w:pStyle w:val="66"/>
        <w:ind w:firstLine="560"/>
        <w:rPr>
          <w:rFonts w:hint="eastAsia"/>
          <w:color w:val="auto"/>
          <w:lang w:val="en-US" w:eastAsia="zh-CN"/>
        </w:rPr>
      </w:pPr>
      <w:r>
        <w:rPr>
          <w:rFonts w:hint="eastAsia"/>
          <w:color w:val="auto"/>
          <w:lang w:val="en-US" w:eastAsia="zh-CN"/>
        </w:rPr>
        <w:t>（1）排洪构筑物堵塞重要原因有：</w:t>
      </w:r>
    </w:p>
    <w:p w14:paraId="1889C540">
      <w:pPr>
        <w:pStyle w:val="66"/>
        <w:ind w:firstLine="560"/>
        <w:rPr>
          <w:rFonts w:hint="eastAsia"/>
          <w:color w:val="auto"/>
          <w:lang w:val="en-US" w:eastAsia="zh-CN"/>
        </w:rPr>
      </w:pPr>
      <w:r>
        <w:rPr>
          <w:rFonts w:hint="eastAsia"/>
          <w:color w:val="auto"/>
          <w:lang w:val="en-US" w:eastAsia="zh-CN"/>
        </w:rPr>
        <w:t>1）杂物淤积；</w:t>
      </w:r>
    </w:p>
    <w:p w14:paraId="38E3D56C">
      <w:pPr>
        <w:pStyle w:val="66"/>
        <w:ind w:firstLine="560"/>
        <w:rPr>
          <w:rFonts w:hint="eastAsia"/>
          <w:color w:val="auto"/>
          <w:lang w:val="en-US" w:eastAsia="zh-CN"/>
        </w:rPr>
      </w:pPr>
      <w:r>
        <w:rPr>
          <w:rFonts w:hint="eastAsia"/>
          <w:color w:val="auto"/>
          <w:lang w:val="en-US" w:eastAsia="zh-CN"/>
        </w:rPr>
        <w:t>2）构物垮塌。</w:t>
      </w:r>
    </w:p>
    <w:p w14:paraId="66D5FCD9">
      <w:pPr>
        <w:pStyle w:val="66"/>
        <w:ind w:firstLine="560"/>
        <w:rPr>
          <w:rFonts w:hint="eastAsia"/>
          <w:color w:val="auto"/>
          <w:lang w:val="en-US" w:eastAsia="zh-CN"/>
        </w:rPr>
      </w:pPr>
      <w:r>
        <w:rPr>
          <w:rFonts w:hint="eastAsia"/>
          <w:color w:val="auto"/>
          <w:lang w:val="en-US" w:eastAsia="zh-CN"/>
        </w:rPr>
        <w:t>3）长期对排洪构筑物不进行检查、维修，致使堵塞、露筋、塌陷等隐患未能及时发现。</w:t>
      </w:r>
    </w:p>
    <w:p w14:paraId="0EC48CCA">
      <w:pPr>
        <w:pStyle w:val="66"/>
        <w:ind w:firstLine="560"/>
        <w:rPr>
          <w:rFonts w:hint="eastAsia"/>
          <w:color w:val="auto"/>
          <w:lang w:val="en-US" w:eastAsia="zh-CN"/>
        </w:rPr>
      </w:pPr>
      <w:r>
        <w:rPr>
          <w:rFonts w:hint="eastAsia"/>
          <w:color w:val="auto"/>
          <w:lang w:val="en-US" w:eastAsia="zh-CN"/>
        </w:rPr>
        <w:t>（2）排洪构筑物断裂、垮塌常由下列原因引起:</w:t>
      </w:r>
    </w:p>
    <w:p w14:paraId="3ACF79E8">
      <w:pPr>
        <w:pStyle w:val="66"/>
        <w:ind w:firstLine="560"/>
        <w:rPr>
          <w:rFonts w:hint="eastAsia"/>
          <w:color w:val="auto"/>
          <w:lang w:val="en-US" w:eastAsia="zh-CN"/>
        </w:rPr>
      </w:pPr>
      <w:r>
        <w:rPr>
          <w:rFonts w:hint="eastAsia"/>
          <w:color w:val="auto"/>
          <w:lang w:val="en-US" w:eastAsia="zh-CN"/>
        </w:rPr>
        <w:t>1）基础资料不确切、设计方案及技术论证措施不妥、不遵照设计规范、对库水位及浸润线深度的控制规定不明确，或规定不切实际等方面；</w:t>
      </w:r>
    </w:p>
    <w:p w14:paraId="5CF9932D">
      <w:pPr>
        <w:pStyle w:val="66"/>
        <w:ind w:firstLine="560"/>
        <w:rPr>
          <w:rFonts w:hint="eastAsia"/>
          <w:color w:val="auto"/>
          <w:lang w:val="en-US" w:eastAsia="zh-CN"/>
        </w:rPr>
      </w:pPr>
      <w:r>
        <w:rPr>
          <w:rFonts w:hint="eastAsia"/>
          <w:color w:val="auto"/>
          <w:lang w:val="en-US" w:eastAsia="zh-CN"/>
        </w:rPr>
        <w:t>2）设计人员技术不高或经验局限性所导致；</w:t>
      </w:r>
    </w:p>
    <w:p w14:paraId="7CB1AC19">
      <w:pPr>
        <w:pStyle w:val="66"/>
        <w:ind w:firstLine="560"/>
        <w:rPr>
          <w:rFonts w:hint="eastAsia"/>
          <w:color w:val="auto"/>
          <w:lang w:val="en-US" w:eastAsia="zh-CN"/>
        </w:rPr>
      </w:pPr>
      <w:r>
        <w:rPr>
          <w:rFonts w:hint="eastAsia"/>
          <w:color w:val="auto"/>
          <w:lang w:val="en-US" w:eastAsia="zh-CN"/>
        </w:rPr>
        <w:t>3）未按设计规定施工；</w:t>
      </w:r>
    </w:p>
    <w:p w14:paraId="48A0728A">
      <w:pPr>
        <w:pStyle w:val="66"/>
        <w:ind w:firstLine="560"/>
        <w:rPr>
          <w:rFonts w:hint="eastAsia"/>
          <w:color w:val="auto"/>
          <w:lang w:val="en-US" w:eastAsia="zh-CN"/>
        </w:rPr>
      </w:pPr>
      <w:r>
        <w:rPr>
          <w:rFonts w:hint="eastAsia"/>
          <w:color w:val="auto"/>
          <w:lang w:val="en-US" w:eastAsia="zh-CN"/>
        </w:rPr>
        <w:t>4）排洪管线等处的不良地质条件未能查明，地基不均匀沉陷；出现不均匀或集中荷载；水流流态变化等。</w:t>
      </w:r>
    </w:p>
    <w:p w14:paraId="1F4EA0AF">
      <w:pPr>
        <w:pStyle w:val="66"/>
        <w:ind w:firstLine="560"/>
        <w:rPr>
          <w:rFonts w:hint="eastAsia"/>
          <w:color w:val="auto"/>
          <w:lang w:val="en-US" w:eastAsia="zh-CN"/>
        </w:rPr>
      </w:pPr>
      <w:r>
        <w:rPr>
          <w:rFonts w:hint="eastAsia"/>
          <w:color w:val="auto"/>
          <w:lang w:val="en-US" w:eastAsia="zh-CN"/>
        </w:rPr>
        <w:t>5）排洪构筑物有蜂窝、麻面或强度不达标，当负荷逐渐增大时，会导致掉块、漏筋、断裂、甚至倒塌等病害。</w:t>
      </w:r>
    </w:p>
    <w:p w14:paraId="4D5D31E8">
      <w:pPr>
        <w:pStyle w:val="66"/>
        <w:ind w:firstLine="560"/>
        <w:rPr>
          <w:rFonts w:hint="eastAsia"/>
          <w:color w:val="auto"/>
          <w:lang w:val="en-US" w:eastAsia="zh-CN"/>
        </w:rPr>
      </w:pPr>
      <w:r>
        <w:rPr>
          <w:rFonts w:hint="eastAsia"/>
          <w:color w:val="auto"/>
          <w:lang w:val="en-US" w:eastAsia="zh-CN"/>
        </w:rPr>
        <w:t>（3）严重后果</w:t>
      </w:r>
    </w:p>
    <w:p w14:paraId="703EB1EF">
      <w:pPr>
        <w:pStyle w:val="66"/>
        <w:ind w:firstLine="560"/>
        <w:rPr>
          <w:rFonts w:hint="eastAsia"/>
          <w:color w:val="auto"/>
        </w:rPr>
      </w:pPr>
      <w:r>
        <w:rPr>
          <w:rFonts w:hint="eastAsia"/>
          <w:color w:val="auto"/>
          <w:lang w:val="en-US" w:eastAsia="zh-CN"/>
        </w:rPr>
        <w:t>排水排洪构筑物堵塞、断裂、垮塌，导致排土场污染下游环境。</w:t>
      </w:r>
    </w:p>
    <w:p w14:paraId="1CCB20D4">
      <w:pPr>
        <w:pStyle w:val="5"/>
        <w:keepNext/>
        <w:keepLines/>
        <w:snapToGrid w:val="0"/>
        <w:spacing w:line="360" w:lineRule="auto"/>
        <w:ind w:firstLine="562" w:firstLineChars="200"/>
        <w:jc w:val="left"/>
        <w:rPr>
          <w:rFonts w:cs="Times New Roman"/>
          <w:b/>
          <w:color w:val="auto"/>
          <w:sz w:val="28"/>
          <w:szCs w:val="32"/>
          <w:lang w:val="en-GB"/>
        </w:rPr>
      </w:pPr>
      <w:bookmarkStart w:id="611" w:name="_Toc9667"/>
      <w:bookmarkStart w:id="612" w:name="_Toc28903"/>
      <w:bookmarkStart w:id="613" w:name="_Toc16203"/>
      <w:bookmarkStart w:id="614" w:name="_Toc21811"/>
      <w:bookmarkStart w:id="615" w:name="_Toc11327775"/>
      <w:bookmarkStart w:id="616" w:name="_Toc16434"/>
      <w:bookmarkStart w:id="617" w:name="_Toc14002"/>
      <w:bookmarkStart w:id="618" w:name="_Toc23628"/>
      <w:r>
        <w:rPr>
          <w:rFonts w:hint="eastAsia" w:cs="Times New Roman"/>
          <w:b/>
          <w:color w:val="auto"/>
          <w:sz w:val="28"/>
          <w:szCs w:val="32"/>
          <w:lang w:val="en-GB"/>
        </w:rPr>
        <w:t>3.</w:t>
      </w:r>
      <w:r>
        <w:rPr>
          <w:rFonts w:hint="eastAsia" w:cs="Times New Roman"/>
          <w:b/>
          <w:color w:val="auto"/>
          <w:sz w:val="28"/>
          <w:szCs w:val="32"/>
        </w:rPr>
        <w:t>8</w:t>
      </w:r>
      <w:r>
        <w:rPr>
          <w:rFonts w:hint="eastAsia" w:cs="Times New Roman"/>
          <w:b/>
          <w:color w:val="auto"/>
          <w:sz w:val="28"/>
          <w:szCs w:val="32"/>
          <w:lang w:val="en-GB"/>
        </w:rPr>
        <w:t>.2预先危险性分析（PHA）</w:t>
      </w:r>
      <w:bookmarkEnd w:id="611"/>
      <w:bookmarkEnd w:id="612"/>
      <w:bookmarkEnd w:id="613"/>
      <w:bookmarkEnd w:id="614"/>
      <w:bookmarkEnd w:id="615"/>
      <w:bookmarkEnd w:id="616"/>
      <w:bookmarkEnd w:id="617"/>
      <w:bookmarkEnd w:id="618"/>
    </w:p>
    <w:p w14:paraId="56BB5F01">
      <w:pPr>
        <w:pStyle w:val="66"/>
        <w:ind w:firstLine="560"/>
        <w:rPr>
          <w:color w:val="auto"/>
        </w:rPr>
      </w:pPr>
      <w:r>
        <w:rPr>
          <w:color w:val="auto"/>
        </w:rPr>
        <w:t>本单元存在的主要危险、有害因素有：边坡失稳、滚石、坍塌</w:t>
      </w:r>
      <w:r>
        <w:rPr>
          <w:rFonts w:hint="eastAsia"/>
          <w:color w:val="auto"/>
        </w:rPr>
        <w:t>（</w:t>
      </w:r>
      <w:r>
        <w:rPr>
          <w:color w:val="auto"/>
        </w:rPr>
        <w:t>滑坡</w:t>
      </w:r>
      <w:r>
        <w:rPr>
          <w:rFonts w:hint="eastAsia"/>
          <w:color w:val="auto"/>
        </w:rPr>
        <w:t>）</w:t>
      </w:r>
      <w:r>
        <w:rPr>
          <w:color w:val="auto"/>
        </w:rPr>
        <w:t>、泥石流</w:t>
      </w:r>
      <w:r>
        <w:rPr>
          <w:rFonts w:hint="eastAsia"/>
          <w:color w:val="auto"/>
        </w:rPr>
        <w:t>、溃</w:t>
      </w:r>
      <w:r>
        <w:rPr>
          <w:color w:val="auto"/>
        </w:rPr>
        <w:t>坝、坝坡失稳</w:t>
      </w:r>
      <w:r>
        <w:rPr>
          <w:rFonts w:hint="eastAsia"/>
          <w:color w:val="auto"/>
        </w:rPr>
        <w:t>、</w:t>
      </w:r>
      <w:r>
        <w:rPr>
          <w:color w:val="auto"/>
        </w:rPr>
        <w:t>车辆伤害</w:t>
      </w:r>
      <w:r>
        <w:rPr>
          <w:rFonts w:hint="eastAsia"/>
          <w:color w:val="auto"/>
        </w:rPr>
        <w:t>、</w:t>
      </w:r>
      <w:r>
        <w:rPr>
          <w:color w:val="auto"/>
        </w:rPr>
        <w:t>高处坠落</w:t>
      </w:r>
      <w:r>
        <w:rPr>
          <w:rFonts w:hint="eastAsia"/>
          <w:color w:val="auto"/>
        </w:rPr>
        <w:t>等。</w:t>
      </w:r>
    </w:p>
    <w:p w14:paraId="306634F0">
      <w:pPr>
        <w:snapToGrid w:val="0"/>
        <w:spacing w:line="360" w:lineRule="auto"/>
        <w:jc w:val="center"/>
        <w:rPr>
          <w:rFonts w:cs="Times New Roman"/>
          <w:bCs/>
          <w:color w:val="auto"/>
        </w:rPr>
      </w:pPr>
      <w:r>
        <w:rPr>
          <w:rFonts w:hint="eastAsia" w:cs="Times New Roman"/>
          <w:bCs/>
          <w:color w:val="auto"/>
        </w:rPr>
        <w:t>表3.8-1  排土场单元预先危险性分析表</w:t>
      </w:r>
    </w:p>
    <w:p w14:paraId="43E9CBD3">
      <w:pPr>
        <w:ind w:firstLine="560"/>
        <w:jc w:val="left"/>
        <w:rPr>
          <w:rFonts w:hint="default" w:ascii="Times New Roman" w:hAnsi="Times New Roman" w:eastAsia="宋体" w:cstheme="minorBidi"/>
          <w:color w:val="auto"/>
          <w:kern w:val="2"/>
          <w:sz w:val="28"/>
          <w:szCs w:val="28"/>
          <w:lang w:val="en-US" w:eastAsia="zh-CN" w:bidi="ar-SA"/>
        </w:rPr>
      </w:pPr>
      <w:r>
        <w:rPr>
          <w:rFonts w:hint="eastAsia" w:ascii="Times New Roman" w:hAnsi="Times New Roman" w:eastAsia="宋体" w:cstheme="minorBidi"/>
          <w:color w:val="auto"/>
          <w:kern w:val="2"/>
          <w:sz w:val="28"/>
          <w:szCs w:val="28"/>
          <w:lang w:val="en-US" w:eastAsia="zh-CN" w:bidi="ar-SA"/>
        </w:rPr>
        <w:t>XX。</w:t>
      </w:r>
    </w:p>
    <w:p w14:paraId="18FFF1D4">
      <w:pPr>
        <w:spacing w:line="360" w:lineRule="auto"/>
        <w:ind w:firstLine="560"/>
        <w:jc w:val="left"/>
        <w:rPr>
          <w:rFonts w:hint="eastAsia" w:cs="Times New Roman"/>
          <w:color w:val="auto"/>
          <w:sz w:val="28"/>
          <w:szCs w:val="28"/>
          <w:lang w:val="zh-CN"/>
        </w:rPr>
      </w:pPr>
      <w:r>
        <w:rPr>
          <w:rFonts w:hint="eastAsia" w:cs="Times New Roman"/>
          <w:color w:val="auto"/>
          <w:sz w:val="28"/>
          <w:szCs w:val="28"/>
          <w:lang w:val="zh-CN"/>
        </w:rPr>
        <w:t>通过PHA分析，本单元无重大危险有害因素，但对存在的危险有害因素仍须引起重视和采取措施加以防范。</w:t>
      </w:r>
    </w:p>
    <w:p w14:paraId="7E4D3070">
      <w:pPr>
        <w:pStyle w:val="5"/>
        <w:keepNext/>
        <w:keepLines/>
        <w:snapToGrid w:val="0"/>
        <w:spacing w:line="360" w:lineRule="auto"/>
        <w:ind w:firstLine="562" w:firstLineChars="200"/>
        <w:jc w:val="left"/>
        <w:rPr>
          <w:rFonts w:cs="Times New Roman"/>
          <w:b/>
          <w:color w:val="auto"/>
          <w:sz w:val="28"/>
          <w:szCs w:val="32"/>
        </w:rPr>
      </w:pPr>
      <w:bookmarkStart w:id="619" w:name="_Toc738"/>
      <w:r>
        <w:rPr>
          <w:rFonts w:hint="eastAsia" w:cs="Times New Roman"/>
          <w:b/>
          <w:color w:val="auto"/>
          <w:sz w:val="28"/>
          <w:szCs w:val="32"/>
          <w:lang w:val="en-GB"/>
        </w:rPr>
        <w:t>3.</w:t>
      </w:r>
      <w:r>
        <w:rPr>
          <w:rFonts w:hint="eastAsia" w:cs="Times New Roman"/>
          <w:b/>
          <w:color w:val="auto"/>
          <w:sz w:val="28"/>
          <w:szCs w:val="32"/>
        </w:rPr>
        <w:t>8.</w:t>
      </w:r>
      <w:r>
        <w:rPr>
          <w:rFonts w:hint="eastAsia" w:cs="Times New Roman"/>
          <w:b/>
          <w:color w:val="auto"/>
          <w:sz w:val="28"/>
          <w:szCs w:val="32"/>
          <w:lang w:val="en-US" w:eastAsia="zh-CN"/>
        </w:rPr>
        <w:t>3</w:t>
      </w:r>
      <w:r>
        <w:rPr>
          <w:rFonts w:hint="eastAsia" w:cs="Times New Roman"/>
          <w:b/>
          <w:color w:val="auto"/>
          <w:sz w:val="28"/>
          <w:szCs w:val="32"/>
        </w:rPr>
        <w:t>排土场</w:t>
      </w:r>
      <w:r>
        <w:rPr>
          <w:rFonts w:hint="eastAsia" w:cs="Times New Roman"/>
          <w:b/>
          <w:color w:val="auto"/>
          <w:sz w:val="28"/>
          <w:szCs w:val="32"/>
          <w:lang w:val="en-GB"/>
        </w:rPr>
        <w:t>单元</w:t>
      </w:r>
      <w:r>
        <w:rPr>
          <w:rFonts w:hint="eastAsia" w:cs="Times New Roman"/>
          <w:b/>
          <w:color w:val="auto"/>
          <w:sz w:val="28"/>
          <w:szCs w:val="32"/>
        </w:rPr>
        <w:t>安全检查表</w:t>
      </w:r>
      <w:bookmarkEnd w:id="619"/>
    </w:p>
    <w:p w14:paraId="700BA070">
      <w:pPr>
        <w:spacing w:line="360" w:lineRule="auto"/>
        <w:ind w:firstLine="560"/>
        <w:jc w:val="left"/>
        <w:rPr>
          <w:rFonts w:cs="Times New Roman"/>
          <w:color w:val="auto"/>
          <w:sz w:val="28"/>
          <w:szCs w:val="28"/>
        </w:rPr>
      </w:pPr>
      <w:r>
        <w:rPr>
          <w:rFonts w:hint="eastAsia" w:cs="Times New Roman"/>
          <w:color w:val="auto"/>
          <w:sz w:val="28"/>
          <w:szCs w:val="28"/>
          <w:lang w:val="zh-CN"/>
        </w:rPr>
        <w:t>依据《金属非金属矿山排土场安全生产规则》（AQ 2005-2005）及的相关条款对</w:t>
      </w:r>
      <w:r>
        <w:rPr>
          <w:rFonts w:hint="eastAsia" w:cs="Times New Roman"/>
          <w:color w:val="auto"/>
          <w:sz w:val="28"/>
          <w:szCs w:val="28"/>
        </w:rPr>
        <w:t>排土场</w:t>
      </w:r>
      <w:r>
        <w:rPr>
          <w:rFonts w:hint="eastAsia" w:cs="Times New Roman"/>
          <w:color w:val="auto"/>
          <w:sz w:val="28"/>
          <w:szCs w:val="28"/>
          <w:lang w:val="zh-CN"/>
        </w:rPr>
        <w:t>进行安全检查</w:t>
      </w:r>
      <w:r>
        <w:rPr>
          <w:rFonts w:hint="eastAsia" w:cs="Times New Roman"/>
          <w:color w:val="auto"/>
          <w:sz w:val="28"/>
          <w:szCs w:val="28"/>
        </w:rPr>
        <w:t>表分析</w:t>
      </w:r>
      <w:r>
        <w:rPr>
          <w:rFonts w:hint="eastAsia" w:cs="Times New Roman"/>
          <w:color w:val="auto"/>
          <w:sz w:val="28"/>
          <w:szCs w:val="28"/>
          <w:lang w:val="zh-CN"/>
        </w:rPr>
        <w:t>，见表3.</w:t>
      </w:r>
      <w:r>
        <w:rPr>
          <w:rFonts w:hint="eastAsia" w:cs="Times New Roman"/>
          <w:color w:val="auto"/>
          <w:sz w:val="28"/>
          <w:szCs w:val="28"/>
        </w:rPr>
        <w:t>6-2</w:t>
      </w:r>
      <w:r>
        <w:rPr>
          <w:rFonts w:hint="eastAsia" w:cs="Times New Roman"/>
          <w:color w:val="auto"/>
          <w:sz w:val="28"/>
          <w:szCs w:val="28"/>
          <w:lang w:val="zh-CN"/>
        </w:rPr>
        <w:t>。</w:t>
      </w:r>
    </w:p>
    <w:p w14:paraId="45DB725D">
      <w:pPr>
        <w:spacing w:line="360" w:lineRule="auto"/>
        <w:ind w:firstLine="420" w:firstLineChars="200"/>
        <w:jc w:val="center"/>
        <w:rPr>
          <w:bCs/>
          <w:color w:val="auto"/>
        </w:rPr>
      </w:pPr>
      <w:r>
        <w:rPr>
          <w:bCs/>
          <w:color w:val="auto"/>
        </w:rPr>
        <w:t>表3.</w:t>
      </w:r>
      <w:r>
        <w:rPr>
          <w:rFonts w:hint="eastAsia"/>
          <w:bCs/>
          <w:color w:val="auto"/>
        </w:rPr>
        <w:t>6</w:t>
      </w:r>
      <w:r>
        <w:rPr>
          <w:bCs/>
          <w:color w:val="auto"/>
        </w:rPr>
        <w:t>-</w:t>
      </w:r>
      <w:r>
        <w:rPr>
          <w:rFonts w:hint="eastAsia"/>
          <w:bCs/>
          <w:color w:val="auto"/>
        </w:rPr>
        <w:t>2</w:t>
      </w:r>
      <w:r>
        <w:rPr>
          <w:bCs/>
          <w:color w:val="auto"/>
        </w:rPr>
        <w:t xml:space="preserve">  </w:t>
      </w:r>
      <w:r>
        <w:rPr>
          <w:rFonts w:hint="eastAsia"/>
          <w:bCs/>
          <w:color w:val="auto"/>
        </w:rPr>
        <w:t>排土场</w:t>
      </w:r>
      <w:r>
        <w:rPr>
          <w:bCs/>
          <w:color w:val="auto"/>
        </w:rPr>
        <w:t>单元</w:t>
      </w:r>
      <w:r>
        <w:rPr>
          <w:rFonts w:hint="eastAsia"/>
          <w:bCs/>
          <w:color w:val="auto"/>
        </w:rPr>
        <w:t>安全检查</w:t>
      </w:r>
      <w:r>
        <w:rPr>
          <w:bCs/>
          <w:color w:val="auto"/>
        </w:rPr>
        <w:t>表</w:t>
      </w:r>
    </w:p>
    <w:p w14:paraId="1C196ECC">
      <w:pPr>
        <w:spacing w:line="360" w:lineRule="auto"/>
        <w:ind w:firstLine="560"/>
        <w:jc w:val="left"/>
        <w:rPr>
          <w:rFonts w:hint="default" w:cs="Times New Roman"/>
          <w:color w:val="auto"/>
          <w:sz w:val="28"/>
          <w:szCs w:val="28"/>
          <w:lang w:val="en-US" w:eastAsia="zh-CN"/>
        </w:rPr>
      </w:pPr>
      <w:bookmarkStart w:id="620" w:name="_Toc11327778"/>
      <w:bookmarkStart w:id="621" w:name="_Toc28402"/>
      <w:bookmarkStart w:id="622" w:name="_Toc32315"/>
      <w:bookmarkStart w:id="623" w:name="_Toc2250"/>
      <w:bookmarkStart w:id="624" w:name="_Toc9427"/>
      <w:bookmarkStart w:id="625" w:name="_Toc17169"/>
      <w:bookmarkStart w:id="626" w:name="_Toc11102"/>
      <w:bookmarkStart w:id="627" w:name="_Toc18584"/>
      <w:r>
        <w:rPr>
          <w:rFonts w:hint="eastAsia" w:cs="Times New Roman"/>
          <w:color w:val="auto"/>
          <w:sz w:val="28"/>
          <w:szCs w:val="28"/>
          <w:lang w:val="en-US" w:eastAsia="zh-CN"/>
        </w:rPr>
        <w:t>XX。</w:t>
      </w:r>
    </w:p>
    <w:p w14:paraId="1F737809">
      <w:pPr>
        <w:pStyle w:val="5"/>
        <w:keepNext/>
        <w:keepLines/>
        <w:snapToGrid w:val="0"/>
        <w:spacing w:line="360" w:lineRule="auto"/>
        <w:ind w:firstLine="562" w:firstLineChars="200"/>
        <w:jc w:val="left"/>
        <w:rPr>
          <w:rFonts w:cs="Times New Roman"/>
          <w:b/>
          <w:color w:val="auto"/>
          <w:sz w:val="28"/>
          <w:szCs w:val="32"/>
          <w:lang w:val="en-GB"/>
        </w:rPr>
      </w:pPr>
      <w:r>
        <w:rPr>
          <w:rFonts w:hint="eastAsia" w:cs="Times New Roman"/>
          <w:b/>
          <w:color w:val="auto"/>
          <w:sz w:val="28"/>
          <w:szCs w:val="32"/>
          <w:lang w:val="en-GB"/>
        </w:rPr>
        <w:t>3.</w:t>
      </w:r>
      <w:r>
        <w:rPr>
          <w:rFonts w:hint="eastAsia" w:cs="Times New Roman"/>
          <w:b/>
          <w:color w:val="auto"/>
          <w:sz w:val="28"/>
          <w:szCs w:val="32"/>
        </w:rPr>
        <w:t>8</w:t>
      </w:r>
      <w:r>
        <w:rPr>
          <w:rFonts w:hint="eastAsia" w:cs="Times New Roman"/>
          <w:b/>
          <w:color w:val="auto"/>
          <w:sz w:val="28"/>
          <w:szCs w:val="32"/>
          <w:lang w:val="en-GB"/>
        </w:rPr>
        <w:t>.</w:t>
      </w:r>
      <w:r>
        <w:rPr>
          <w:rFonts w:hint="eastAsia" w:cs="Times New Roman"/>
          <w:b/>
          <w:color w:val="auto"/>
          <w:sz w:val="28"/>
          <w:szCs w:val="32"/>
          <w:lang w:val="en-US" w:eastAsia="zh-CN"/>
        </w:rPr>
        <w:t>4</w:t>
      </w:r>
      <w:r>
        <w:rPr>
          <w:rFonts w:hint="eastAsia" w:cs="Times New Roman"/>
          <w:b/>
          <w:color w:val="auto"/>
          <w:sz w:val="28"/>
          <w:szCs w:val="32"/>
          <w:lang w:val="en-GB"/>
        </w:rPr>
        <w:t>存在主要问题及建议</w:t>
      </w:r>
      <w:bookmarkEnd w:id="620"/>
      <w:bookmarkEnd w:id="621"/>
      <w:bookmarkEnd w:id="622"/>
      <w:bookmarkEnd w:id="623"/>
      <w:bookmarkEnd w:id="624"/>
      <w:bookmarkEnd w:id="625"/>
      <w:bookmarkEnd w:id="626"/>
      <w:bookmarkEnd w:id="627"/>
    </w:p>
    <w:p w14:paraId="4D79A3EA">
      <w:pPr>
        <w:spacing w:line="360" w:lineRule="auto"/>
        <w:ind w:firstLine="560"/>
        <w:jc w:val="left"/>
        <w:rPr>
          <w:rFonts w:hint="default" w:cs="Times New Roman"/>
          <w:color w:val="auto"/>
          <w:sz w:val="28"/>
          <w:szCs w:val="28"/>
          <w:lang w:val="en-US" w:eastAsia="zh-CN"/>
        </w:rPr>
      </w:pPr>
      <w:r>
        <w:rPr>
          <w:rFonts w:hint="eastAsia" w:cs="Times New Roman"/>
          <w:color w:val="auto"/>
          <w:sz w:val="28"/>
          <w:szCs w:val="28"/>
          <w:lang w:val="en-US" w:eastAsia="zh-CN"/>
        </w:rPr>
        <w:t xml:space="preserve">XX。 </w:t>
      </w:r>
    </w:p>
    <w:p w14:paraId="277EA1F3">
      <w:pPr>
        <w:pStyle w:val="81"/>
        <w:numPr>
          <w:ilvl w:val="1"/>
          <w:numId w:val="0"/>
        </w:numPr>
        <w:spacing w:before="0" w:after="0"/>
        <w:jc w:val="center"/>
        <w:rPr>
          <w:rFonts w:cs="黑体"/>
          <w:color w:val="auto"/>
          <w:sz w:val="30"/>
          <w:szCs w:val="30"/>
        </w:rPr>
      </w:pPr>
      <w:bookmarkStart w:id="628" w:name="_Toc3946"/>
      <w:bookmarkStart w:id="629" w:name="_Toc17711"/>
      <w:bookmarkStart w:id="630" w:name="_Toc22993"/>
      <w:bookmarkStart w:id="631" w:name="_Toc17437"/>
      <w:bookmarkStart w:id="632" w:name="_Toc39"/>
      <w:bookmarkStart w:id="633" w:name="_Toc501120331"/>
      <w:bookmarkStart w:id="634" w:name="_Toc9059"/>
      <w:r>
        <w:rPr>
          <w:rFonts w:cs="黑体"/>
          <w:color w:val="auto"/>
          <w:sz w:val="30"/>
          <w:szCs w:val="30"/>
        </w:rPr>
        <w:t>3.</w:t>
      </w:r>
      <w:r>
        <w:rPr>
          <w:rFonts w:hint="eastAsia" w:cs="黑体"/>
          <w:color w:val="auto"/>
          <w:sz w:val="30"/>
          <w:szCs w:val="30"/>
        </w:rPr>
        <w:t>9</w:t>
      </w:r>
      <w:r>
        <w:rPr>
          <w:rFonts w:cs="黑体"/>
          <w:color w:val="auto"/>
          <w:sz w:val="30"/>
          <w:szCs w:val="30"/>
        </w:rPr>
        <w:t>安全管理单元</w:t>
      </w:r>
      <w:bookmarkEnd w:id="628"/>
      <w:bookmarkEnd w:id="629"/>
      <w:bookmarkEnd w:id="630"/>
      <w:bookmarkEnd w:id="631"/>
    </w:p>
    <w:p w14:paraId="40037849">
      <w:pPr>
        <w:pStyle w:val="5"/>
        <w:keepNext/>
        <w:keepLines/>
        <w:snapToGrid w:val="0"/>
        <w:spacing w:line="360" w:lineRule="auto"/>
        <w:ind w:firstLine="562" w:firstLineChars="200"/>
        <w:jc w:val="left"/>
        <w:rPr>
          <w:rFonts w:cs="Times New Roman"/>
          <w:b/>
          <w:color w:val="auto"/>
          <w:sz w:val="28"/>
          <w:szCs w:val="32"/>
        </w:rPr>
      </w:pPr>
      <w:bookmarkStart w:id="635" w:name="_Toc5648"/>
      <w:bookmarkStart w:id="636" w:name="_Toc11994"/>
      <w:bookmarkStart w:id="637" w:name="_Toc15579"/>
      <w:bookmarkStart w:id="638" w:name="_Toc4309"/>
      <w:bookmarkStart w:id="639" w:name="_Toc13785"/>
      <w:bookmarkStart w:id="640" w:name="_Toc23946"/>
      <w:bookmarkStart w:id="641" w:name="_Toc14371"/>
      <w:bookmarkStart w:id="642" w:name="_Toc15654"/>
      <w:bookmarkStart w:id="643" w:name="_Toc268"/>
      <w:r>
        <w:rPr>
          <w:rFonts w:cs="Times New Roman"/>
          <w:b/>
          <w:color w:val="auto"/>
          <w:sz w:val="28"/>
          <w:szCs w:val="32"/>
        </w:rPr>
        <w:t>3.</w:t>
      </w:r>
      <w:r>
        <w:rPr>
          <w:rFonts w:hint="eastAsia" w:cs="Times New Roman"/>
          <w:b/>
          <w:color w:val="auto"/>
          <w:sz w:val="28"/>
          <w:szCs w:val="32"/>
        </w:rPr>
        <w:t>9</w:t>
      </w:r>
      <w:r>
        <w:rPr>
          <w:rFonts w:cs="Times New Roman"/>
          <w:b/>
          <w:color w:val="auto"/>
          <w:sz w:val="28"/>
          <w:szCs w:val="32"/>
        </w:rPr>
        <w:t>.1安全管理危险有害因素</w:t>
      </w:r>
      <w:bookmarkEnd w:id="635"/>
      <w:bookmarkEnd w:id="636"/>
      <w:bookmarkEnd w:id="637"/>
      <w:bookmarkEnd w:id="638"/>
      <w:bookmarkEnd w:id="639"/>
      <w:bookmarkEnd w:id="640"/>
      <w:bookmarkEnd w:id="641"/>
    </w:p>
    <w:p w14:paraId="65E3ECA6">
      <w:pPr>
        <w:spacing w:line="360" w:lineRule="auto"/>
        <w:ind w:firstLine="560"/>
        <w:jc w:val="left"/>
        <w:rPr>
          <w:rFonts w:cs="Times New Roman"/>
          <w:color w:val="auto"/>
          <w:sz w:val="28"/>
          <w:szCs w:val="28"/>
        </w:rPr>
      </w:pPr>
      <w:r>
        <w:rPr>
          <w:rFonts w:cs="Times New Roman"/>
          <w:color w:val="auto"/>
          <w:sz w:val="28"/>
          <w:szCs w:val="28"/>
        </w:rPr>
        <w:t>各类事故的发生都与安全生产管理有关，管理的缺失、不到位等安全管理因素一般是导致各类事故发生的间接原因。本单元安全管理的危险有害因素包括：</w:t>
      </w:r>
    </w:p>
    <w:p w14:paraId="7CCC7AAB">
      <w:pPr>
        <w:spacing w:line="360" w:lineRule="auto"/>
        <w:ind w:firstLine="560"/>
        <w:jc w:val="left"/>
        <w:rPr>
          <w:rFonts w:cs="Times New Roman"/>
          <w:color w:val="auto"/>
          <w:sz w:val="28"/>
          <w:szCs w:val="28"/>
        </w:rPr>
      </w:pPr>
      <w:r>
        <w:rPr>
          <w:rFonts w:cs="Times New Roman"/>
          <w:color w:val="auto"/>
          <w:sz w:val="28"/>
          <w:szCs w:val="28"/>
        </w:rPr>
        <w:t>1</w:t>
      </w:r>
      <w:r>
        <w:rPr>
          <w:rFonts w:hint="eastAsia" w:cs="Times New Roman"/>
          <w:color w:val="auto"/>
          <w:sz w:val="28"/>
          <w:szCs w:val="28"/>
        </w:rPr>
        <w:t>.</w:t>
      </w:r>
      <w:r>
        <w:rPr>
          <w:rFonts w:cs="Times New Roman"/>
          <w:color w:val="auto"/>
          <w:sz w:val="28"/>
          <w:szCs w:val="28"/>
        </w:rPr>
        <w:t>未设置安全管理机构，造成安全管理工作衔接不当、管理空白、专业不全等，从而造成安全管理上的漏洞；</w:t>
      </w:r>
    </w:p>
    <w:p w14:paraId="3685A864">
      <w:pPr>
        <w:spacing w:line="360" w:lineRule="auto"/>
        <w:ind w:firstLine="560"/>
        <w:jc w:val="left"/>
        <w:rPr>
          <w:rFonts w:cs="Times New Roman"/>
          <w:color w:val="auto"/>
          <w:sz w:val="28"/>
          <w:szCs w:val="28"/>
        </w:rPr>
      </w:pPr>
      <w:r>
        <w:rPr>
          <w:rFonts w:cs="Times New Roman"/>
          <w:color w:val="auto"/>
          <w:sz w:val="28"/>
          <w:szCs w:val="28"/>
        </w:rPr>
        <w:t>2</w:t>
      </w:r>
      <w:r>
        <w:rPr>
          <w:rFonts w:hint="eastAsia" w:cs="Times New Roman"/>
          <w:color w:val="auto"/>
          <w:sz w:val="28"/>
          <w:szCs w:val="28"/>
        </w:rPr>
        <w:t>.</w:t>
      </w:r>
      <w:r>
        <w:rPr>
          <w:rFonts w:cs="Times New Roman"/>
          <w:color w:val="auto"/>
          <w:sz w:val="28"/>
          <w:szCs w:val="28"/>
        </w:rPr>
        <w:t>未健全和落实安全生产责任制、安全生产管理制度，安全操作规程，容易造成生产过程中责任不落实，任务不明确，工作中无章可循，造成生产次序混乱，诱发各类安全生产事故；</w:t>
      </w:r>
    </w:p>
    <w:p w14:paraId="2EA7AAEE">
      <w:pPr>
        <w:spacing w:line="360" w:lineRule="auto"/>
        <w:ind w:firstLine="560"/>
        <w:jc w:val="left"/>
        <w:rPr>
          <w:rFonts w:cs="Times New Roman"/>
          <w:color w:val="auto"/>
          <w:sz w:val="28"/>
          <w:szCs w:val="28"/>
        </w:rPr>
      </w:pPr>
      <w:r>
        <w:rPr>
          <w:rFonts w:hint="eastAsia" w:cs="Times New Roman"/>
          <w:color w:val="auto"/>
          <w:sz w:val="28"/>
          <w:szCs w:val="28"/>
        </w:rPr>
        <w:t>3.矿山未按要求配备相应的</w:t>
      </w:r>
      <w:r>
        <w:rPr>
          <w:rFonts w:hint="eastAsia" w:cs="Times New Roman"/>
          <w:color w:val="auto"/>
          <w:sz w:val="28"/>
          <w:szCs w:val="28"/>
          <w:lang w:eastAsia="zh-Hans"/>
        </w:rPr>
        <w:t>工程技术人员</w:t>
      </w:r>
      <w:r>
        <w:rPr>
          <w:rFonts w:cs="Times New Roman"/>
          <w:color w:val="auto"/>
          <w:sz w:val="28"/>
          <w:szCs w:val="28"/>
          <w:lang w:eastAsia="zh-Hans"/>
        </w:rPr>
        <w:t>、</w:t>
      </w:r>
      <w:r>
        <w:rPr>
          <w:rFonts w:hint="eastAsia" w:cs="Times New Roman"/>
          <w:color w:val="auto"/>
          <w:sz w:val="28"/>
          <w:szCs w:val="28"/>
          <w:lang w:eastAsia="zh-Hans"/>
        </w:rPr>
        <w:t>注册安全工程师</w:t>
      </w:r>
      <w:r>
        <w:rPr>
          <w:rFonts w:hint="eastAsia" w:cs="Times New Roman"/>
          <w:color w:val="auto"/>
          <w:sz w:val="28"/>
          <w:szCs w:val="28"/>
        </w:rPr>
        <w:t>，</w:t>
      </w:r>
      <w:r>
        <w:rPr>
          <w:rFonts w:cs="Times New Roman"/>
          <w:color w:val="auto"/>
          <w:sz w:val="28"/>
          <w:szCs w:val="28"/>
        </w:rPr>
        <w:t>造成安全管理</w:t>
      </w:r>
      <w:r>
        <w:rPr>
          <w:rFonts w:hint="eastAsia" w:cs="Times New Roman"/>
          <w:color w:val="auto"/>
          <w:sz w:val="28"/>
          <w:szCs w:val="28"/>
        </w:rPr>
        <w:t>不当，</w:t>
      </w:r>
      <w:r>
        <w:rPr>
          <w:rFonts w:cs="Times New Roman"/>
          <w:color w:val="auto"/>
          <w:sz w:val="28"/>
          <w:szCs w:val="28"/>
        </w:rPr>
        <w:t>从而</w:t>
      </w:r>
      <w:r>
        <w:rPr>
          <w:rFonts w:hint="eastAsia" w:cs="Times New Roman"/>
          <w:color w:val="auto"/>
          <w:sz w:val="28"/>
          <w:szCs w:val="28"/>
        </w:rPr>
        <w:t>存在</w:t>
      </w:r>
      <w:r>
        <w:rPr>
          <w:rFonts w:cs="Times New Roman"/>
          <w:color w:val="auto"/>
          <w:sz w:val="28"/>
          <w:szCs w:val="28"/>
        </w:rPr>
        <w:t>安全管理上的漏洞</w:t>
      </w:r>
      <w:r>
        <w:rPr>
          <w:rFonts w:hint="eastAsia" w:cs="Times New Roman"/>
          <w:color w:val="auto"/>
          <w:sz w:val="28"/>
          <w:szCs w:val="28"/>
        </w:rPr>
        <w:t>，</w:t>
      </w:r>
      <w:r>
        <w:rPr>
          <w:rFonts w:cs="Times New Roman"/>
          <w:color w:val="auto"/>
          <w:sz w:val="28"/>
          <w:szCs w:val="28"/>
        </w:rPr>
        <w:t>诱发各类安全生产事故；</w:t>
      </w:r>
    </w:p>
    <w:p w14:paraId="6F42F833">
      <w:pPr>
        <w:spacing w:line="360" w:lineRule="auto"/>
        <w:ind w:firstLine="560"/>
        <w:jc w:val="left"/>
        <w:rPr>
          <w:rFonts w:cs="Times New Roman"/>
          <w:color w:val="auto"/>
          <w:sz w:val="28"/>
          <w:szCs w:val="28"/>
        </w:rPr>
      </w:pPr>
      <w:r>
        <w:rPr>
          <w:rFonts w:hint="eastAsia" w:cs="Times New Roman"/>
          <w:color w:val="auto"/>
          <w:sz w:val="28"/>
          <w:szCs w:val="28"/>
        </w:rPr>
        <w:t>4.</w:t>
      </w:r>
      <w:r>
        <w:rPr>
          <w:rFonts w:cs="Times New Roman"/>
          <w:color w:val="auto"/>
          <w:sz w:val="28"/>
          <w:szCs w:val="28"/>
        </w:rPr>
        <w:t>矿山对职工的安全教育、培训不完全</w:t>
      </w:r>
      <w:r>
        <w:rPr>
          <w:rFonts w:hint="eastAsia" w:cs="Times New Roman"/>
          <w:color w:val="auto"/>
          <w:sz w:val="28"/>
          <w:szCs w:val="28"/>
        </w:rPr>
        <w:t>，</w:t>
      </w:r>
      <w:r>
        <w:rPr>
          <w:rFonts w:cs="Times New Roman"/>
          <w:color w:val="auto"/>
          <w:sz w:val="28"/>
          <w:szCs w:val="28"/>
        </w:rPr>
        <w:t>造成职工在作业中，因不了解安全责任或安全规定，造成安全生产事故</w:t>
      </w:r>
      <w:r>
        <w:rPr>
          <w:rFonts w:hint="eastAsia" w:cs="Times New Roman"/>
          <w:color w:val="auto"/>
          <w:sz w:val="28"/>
          <w:szCs w:val="28"/>
        </w:rPr>
        <w:t>；</w:t>
      </w:r>
    </w:p>
    <w:p w14:paraId="16F55B4E">
      <w:pPr>
        <w:spacing w:line="360" w:lineRule="auto"/>
        <w:ind w:firstLine="560"/>
        <w:jc w:val="left"/>
        <w:rPr>
          <w:rFonts w:cs="Times New Roman"/>
          <w:color w:val="auto"/>
          <w:sz w:val="28"/>
          <w:szCs w:val="28"/>
        </w:rPr>
      </w:pPr>
      <w:r>
        <w:rPr>
          <w:rFonts w:hint="eastAsia" w:cs="Times New Roman"/>
          <w:color w:val="auto"/>
          <w:sz w:val="28"/>
          <w:szCs w:val="28"/>
        </w:rPr>
        <w:t>5.</w:t>
      </w:r>
      <w:r>
        <w:rPr>
          <w:rFonts w:cs="Times New Roman"/>
          <w:color w:val="auto"/>
          <w:sz w:val="28"/>
          <w:szCs w:val="28"/>
        </w:rPr>
        <w:t>矿山的安全管理人员及特种作业人员如果未按要求培训取证，安全管理人员和特种作业人员没有相应的操作技术及经验，将导致巨大的安全事故；</w:t>
      </w:r>
    </w:p>
    <w:p w14:paraId="4E8790D5">
      <w:pPr>
        <w:spacing w:line="360" w:lineRule="auto"/>
        <w:ind w:firstLine="560"/>
        <w:jc w:val="left"/>
        <w:rPr>
          <w:rFonts w:cs="Times New Roman"/>
          <w:color w:val="auto"/>
          <w:sz w:val="28"/>
          <w:szCs w:val="28"/>
        </w:rPr>
      </w:pPr>
      <w:r>
        <w:rPr>
          <w:rFonts w:hint="eastAsia" w:cs="Times New Roman"/>
          <w:color w:val="auto"/>
          <w:sz w:val="28"/>
          <w:szCs w:val="28"/>
        </w:rPr>
        <w:t>6.</w:t>
      </w:r>
      <w:r>
        <w:rPr>
          <w:rFonts w:cs="Times New Roman"/>
          <w:color w:val="auto"/>
          <w:sz w:val="28"/>
          <w:szCs w:val="28"/>
        </w:rPr>
        <w:t>未编制应急预案，对突发事故无预见性，事故发生后无法及时组织救援，导致事故扩大，造成重大损失。</w:t>
      </w:r>
    </w:p>
    <w:p w14:paraId="174D11EC">
      <w:pPr>
        <w:pStyle w:val="5"/>
        <w:keepNext/>
        <w:keepLines/>
        <w:snapToGrid w:val="0"/>
        <w:spacing w:line="360" w:lineRule="auto"/>
        <w:ind w:firstLine="562" w:firstLineChars="200"/>
        <w:jc w:val="left"/>
        <w:rPr>
          <w:rFonts w:cs="Times New Roman"/>
          <w:b/>
          <w:color w:val="auto"/>
          <w:sz w:val="28"/>
          <w:szCs w:val="32"/>
        </w:rPr>
      </w:pPr>
      <w:bookmarkStart w:id="644" w:name="_Toc31970"/>
      <w:bookmarkStart w:id="645" w:name="_Toc3613"/>
      <w:bookmarkStart w:id="646" w:name="_Toc17326"/>
      <w:bookmarkStart w:id="647" w:name="_Toc9158"/>
      <w:bookmarkStart w:id="648" w:name="_Toc8481"/>
      <w:bookmarkStart w:id="649" w:name="_Toc13110"/>
      <w:bookmarkStart w:id="650" w:name="_Toc24567"/>
      <w:r>
        <w:rPr>
          <w:rFonts w:cs="Times New Roman"/>
          <w:b/>
          <w:color w:val="auto"/>
          <w:sz w:val="28"/>
          <w:szCs w:val="32"/>
        </w:rPr>
        <w:t>3.</w:t>
      </w:r>
      <w:r>
        <w:rPr>
          <w:rFonts w:hint="eastAsia" w:cs="Times New Roman"/>
          <w:b/>
          <w:color w:val="auto"/>
          <w:sz w:val="28"/>
          <w:szCs w:val="32"/>
        </w:rPr>
        <w:t>9</w:t>
      </w:r>
      <w:r>
        <w:rPr>
          <w:rFonts w:cs="Times New Roman"/>
          <w:b/>
          <w:color w:val="auto"/>
          <w:sz w:val="28"/>
          <w:szCs w:val="32"/>
        </w:rPr>
        <w:t>.2安全管理</w:t>
      </w:r>
      <w:bookmarkEnd w:id="642"/>
      <w:r>
        <w:rPr>
          <w:rFonts w:cs="Times New Roman"/>
          <w:b/>
          <w:color w:val="auto"/>
          <w:sz w:val="28"/>
          <w:szCs w:val="32"/>
        </w:rPr>
        <w:t>单元预先危险性分析</w:t>
      </w:r>
      <w:bookmarkEnd w:id="643"/>
      <w:bookmarkEnd w:id="644"/>
      <w:bookmarkEnd w:id="645"/>
      <w:bookmarkEnd w:id="646"/>
      <w:bookmarkEnd w:id="647"/>
      <w:bookmarkEnd w:id="648"/>
      <w:bookmarkEnd w:id="649"/>
      <w:bookmarkEnd w:id="650"/>
    </w:p>
    <w:p w14:paraId="78200196">
      <w:pPr>
        <w:snapToGrid w:val="0"/>
        <w:spacing w:line="360" w:lineRule="auto"/>
        <w:jc w:val="center"/>
        <w:rPr>
          <w:rFonts w:cs="Times New Roman"/>
          <w:bCs/>
          <w:color w:val="auto"/>
        </w:rPr>
      </w:pPr>
      <w:r>
        <w:rPr>
          <w:rFonts w:hint="eastAsia" w:cs="Times New Roman"/>
          <w:bCs/>
          <w:color w:val="auto"/>
        </w:rPr>
        <w:t xml:space="preserve">表3.9-1  </w:t>
      </w:r>
      <w:r>
        <w:rPr>
          <w:rFonts w:cs="Times New Roman"/>
          <w:bCs/>
          <w:color w:val="auto"/>
        </w:rPr>
        <w:t>安全管理预先危险分析表</w:t>
      </w:r>
    </w:p>
    <w:p w14:paraId="03580944">
      <w:pPr>
        <w:ind w:firstLine="560"/>
        <w:jc w:val="left"/>
        <w:rPr>
          <w:rFonts w:hint="default" w:eastAsia="宋体" w:cs="Times New Roman"/>
          <w:color w:val="auto"/>
          <w:lang w:val="en-US" w:eastAsia="zh-CN"/>
        </w:rPr>
      </w:pPr>
      <w:bookmarkStart w:id="651" w:name="_Toc25280"/>
      <w:bookmarkStart w:id="652" w:name="_Toc10944"/>
      <w:bookmarkStart w:id="653" w:name="_Toc23444"/>
      <w:bookmarkStart w:id="654" w:name="_Toc3281"/>
      <w:bookmarkStart w:id="655" w:name="_Toc1620"/>
      <w:bookmarkStart w:id="656" w:name="_Toc5705"/>
      <w:bookmarkStart w:id="657" w:name="_Toc24520"/>
      <w:bookmarkStart w:id="658" w:name="_Toc12145"/>
      <w:bookmarkStart w:id="659" w:name="_Toc13457"/>
      <w:r>
        <w:rPr>
          <w:rFonts w:hint="eastAsia" w:cs="Times New Roman"/>
          <w:color w:val="auto"/>
          <w:lang w:val="en-US" w:eastAsia="zh-CN"/>
        </w:rPr>
        <w:t>XX。</w:t>
      </w:r>
    </w:p>
    <w:p w14:paraId="418C72B6">
      <w:pPr>
        <w:pStyle w:val="5"/>
        <w:keepNext/>
        <w:keepLines/>
        <w:snapToGrid w:val="0"/>
        <w:spacing w:line="360" w:lineRule="auto"/>
        <w:ind w:firstLine="562" w:firstLineChars="200"/>
        <w:jc w:val="left"/>
        <w:rPr>
          <w:rFonts w:cs="Times New Roman"/>
          <w:b/>
          <w:color w:val="auto"/>
          <w:sz w:val="28"/>
          <w:szCs w:val="32"/>
        </w:rPr>
      </w:pPr>
      <w:r>
        <w:rPr>
          <w:rFonts w:cs="Times New Roman"/>
          <w:b/>
          <w:color w:val="auto"/>
          <w:sz w:val="28"/>
          <w:szCs w:val="32"/>
        </w:rPr>
        <w:t>3.</w:t>
      </w:r>
      <w:r>
        <w:rPr>
          <w:rFonts w:hint="eastAsia" w:cs="Times New Roman"/>
          <w:b/>
          <w:color w:val="auto"/>
          <w:sz w:val="28"/>
          <w:szCs w:val="32"/>
        </w:rPr>
        <w:t>9</w:t>
      </w:r>
      <w:r>
        <w:rPr>
          <w:rFonts w:cs="Times New Roman"/>
          <w:b/>
          <w:color w:val="auto"/>
          <w:sz w:val="28"/>
          <w:szCs w:val="32"/>
        </w:rPr>
        <w:t>.3安全管理</w:t>
      </w:r>
      <w:bookmarkEnd w:id="651"/>
      <w:r>
        <w:rPr>
          <w:rFonts w:cs="Times New Roman"/>
          <w:b/>
          <w:color w:val="auto"/>
          <w:sz w:val="28"/>
          <w:szCs w:val="32"/>
        </w:rPr>
        <w:t>单元符合性分析</w:t>
      </w:r>
      <w:bookmarkEnd w:id="652"/>
      <w:r>
        <w:rPr>
          <w:rFonts w:cs="Times New Roman"/>
          <w:b/>
          <w:color w:val="auto"/>
          <w:sz w:val="28"/>
          <w:szCs w:val="32"/>
        </w:rPr>
        <w:t>评价</w:t>
      </w:r>
      <w:bookmarkEnd w:id="653"/>
      <w:bookmarkEnd w:id="654"/>
      <w:bookmarkEnd w:id="655"/>
      <w:bookmarkEnd w:id="656"/>
      <w:bookmarkEnd w:id="657"/>
      <w:bookmarkEnd w:id="658"/>
      <w:bookmarkEnd w:id="659"/>
    </w:p>
    <w:p w14:paraId="5C88E75B">
      <w:pPr>
        <w:spacing w:line="360" w:lineRule="auto"/>
        <w:ind w:firstLine="560" w:firstLineChars="200"/>
        <w:rPr>
          <w:rFonts w:cs="Times New Roman"/>
          <w:b/>
          <w:color w:val="auto"/>
          <w:sz w:val="28"/>
          <w:szCs w:val="28"/>
        </w:rPr>
      </w:pPr>
      <w:r>
        <w:rPr>
          <w:rFonts w:hint="eastAsia" w:cs="Times New Roman"/>
          <w:color w:val="auto"/>
          <w:sz w:val="28"/>
          <w:szCs w:val="28"/>
          <w:lang w:val="en-US" w:eastAsia="zh-CN"/>
        </w:rPr>
        <w:t>XX</w:t>
      </w:r>
      <w:r>
        <w:rPr>
          <w:rFonts w:cs="Times New Roman"/>
          <w:color w:val="auto"/>
          <w:sz w:val="28"/>
          <w:szCs w:val="28"/>
        </w:rPr>
        <w:t>。</w:t>
      </w:r>
      <w:r>
        <w:rPr>
          <w:rFonts w:cs="Times New Roman"/>
          <w:b/>
          <w:color w:val="auto"/>
          <w:sz w:val="28"/>
          <w:szCs w:val="28"/>
        </w:rPr>
        <w:t xml:space="preserve"> </w:t>
      </w:r>
    </w:p>
    <w:bookmarkEnd w:id="632"/>
    <w:bookmarkEnd w:id="633"/>
    <w:bookmarkEnd w:id="634"/>
    <w:p w14:paraId="2F0B5316">
      <w:pPr>
        <w:pStyle w:val="81"/>
        <w:numPr>
          <w:ilvl w:val="1"/>
          <w:numId w:val="0"/>
        </w:numPr>
        <w:spacing w:before="0" w:after="0"/>
        <w:jc w:val="center"/>
        <w:rPr>
          <w:rFonts w:cs="黑体"/>
          <w:color w:val="auto"/>
          <w:sz w:val="30"/>
          <w:szCs w:val="30"/>
        </w:rPr>
      </w:pPr>
      <w:bookmarkStart w:id="660" w:name="_Toc13754"/>
      <w:bookmarkStart w:id="661" w:name="_Toc12033"/>
      <w:bookmarkStart w:id="662" w:name="_Toc15879"/>
      <w:bookmarkStart w:id="663" w:name="_Toc501120336"/>
      <w:r>
        <w:rPr>
          <w:rFonts w:hint="eastAsia" w:cs="黑体"/>
          <w:color w:val="auto"/>
          <w:sz w:val="30"/>
          <w:szCs w:val="30"/>
        </w:rPr>
        <w:t>3.10重大危险源辨识单元</w:t>
      </w:r>
      <w:bookmarkEnd w:id="660"/>
      <w:bookmarkEnd w:id="661"/>
      <w:bookmarkEnd w:id="662"/>
      <w:bookmarkEnd w:id="663"/>
    </w:p>
    <w:p w14:paraId="1C3670DB">
      <w:pPr>
        <w:snapToGrid w:val="0"/>
        <w:spacing w:line="360" w:lineRule="auto"/>
        <w:ind w:firstLine="560" w:firstLineChars="200"/>
        <w:rPr>
          <w:color w:val="auto"/>
          <w:sz w:val="28"/>
          <w:szCs w:val="28"/>
        </w:rPr>
      </w:pPr>
      <w:bookmarkStart w:id="664" w:name="_Toc115119138"/>
      <w:bookmarkStart w:id="665" w:name="_Toc115118950"/>
      <w:bookmarkStart w:id="666" w:name="_Toc203480413"/>
      <w:bookmarkStart w:id="667" w:name="_Toc88941925"/>
      <w:bookmarkStart w:id="668" w:name="_Toc167252039"/>
      <w:bookmarkStart w:id="669" w:name="_Toc88296803"/>
      <w:bookmarkStart w:id="670" w:name="_Toc87589415"/>
      <w:bookmarkStart w:id="671" w:name="_Toc122749767"/>
      <w:bookmarkStart w:id="672" w:name="_Toc86631530"/>
      <w:bookmarkStart w:id="673" w:name="_Toc89665718"/>
      <w:bookmarkStart w:id="674" w:name="_Toc167251261"/>
      <w:bookmarkStart w:id="675" w:name="_Toc84909177"/>
      <w:bookmarkStart w:id="676" w:name="_Toc84829722"/>
      <w:bookmarkStart w:id="677" w:name="_Toc84838509"/>
      <w:r>
        <w:rPr>
          <w:color w:val="auto"/>
          <w:sz w:val="28"/>
          <w:szCs w:val="28"/>
        </w:rPr>
        <w:t>根据《危险化学品重大危险源辨识》（GB18218-2018），危险化学品重大危险源为长期或临时生产、储存或使用和经营危险化学品，且危险化学品的数量等于或超过临界量的单元。危险化学品应依据其危险特性及其数量进行重大危险源辨识。危险化学品重大危险源可分为生产单元危险化学品重大危险源和储存单元危险化学品重大危险源。</w:t>
      </w:r>
    </w:p>
    <w:p w14:paraId="6855CDBC">
      <w:pPr>
        <w:snapToGrid w:val="0"/>
        <w:spacing w:line="360" w:lineRule="auto"/>
        <w:ind w:firstLine="560" w:firstLineChars="200"/>
        <w:rPr>
          <w:color w:val="auto"/>
          <w:sz w:val="28"/>
          <w:szCs w:val="28"/>
        </w:rPr>
      </w:pPr>
      <w:r>
        <w:rPr>
          <w:color w:val="auto"/>
          <w:sz w:val="28"/>
          <w:szCs w:val="28"/>
        </w:rPr>
        <w:t>单元内存在的危险化学品的数量根据危险化学品种类的多少区分为以下两种情况：</w:t>
      </w:r>
    </w:p>
    <w:p w14:paraId="6065C0B1">
      <w:pPr>
        <w:snapToGrid w:val="0"/>
        <w:spacing w:line="360" w:lineRule="auto"/>
        <w:ind w:firstLine="560" w:firstLineChars="200"/>
        <w:rPr>
          <w:color w:val="auto"/>
          <w:sz w:val="28"/>
          <w:szCs w:val="28"/>
        </w:rPr>
      </w:pPr>
      <w:r>
        <w:rPr>
          <w:color w:val="auto"/>
          <w:sz w:val="28"/>
          <w:szCs w:val="28"/>
        </w:rPr>
        <w:t>1.生产单元、储存单元内存在的危险化学品为单</w:t>
      </w:r>
      <w:r>
        <w:rPr>
          <w:rFonts w:hint="eastAsia"/>
          <w:color w:val="auto"/>
          <w:sz w:val="28"/>
          <w:szCs w:val="28"/>
        </w:rPr>
        <w:t>一</w:t>
      </w:r>
      <w:r>
        <w:rPr>
          <w:color w:val="auto"/>
          <w:sz w:val="28"/>
          <w:szCs w:val="28"/>
        </w:rPr>
        <w:t>品种，该危险化学品的数量即为单元内危险化学品的总量，若等于或超过相应的临界量，则定为重大危险源。</w:t>
      </w:r>
    </w:p>
    <w:p w14:paraId="1B26DAD9">
      <w:pPr>
        <w:snapToGrid w:val="0"/>
        <w:spacing w:line="360" w:lineRule="auto"/>
        <w:ind w:firstLine="560" w:firstLineChars="200"/>
        <w:rPr>
          <w:color w:val="auto"/>
          <w:sz w:val="28"/>
          <w:szCs w:val="28"/>
        </w:rPr>
      </w:pPr>
      <w:r>
        <w:rPr>
          <w:color w:val="auto"/>
          <w:sz w:val="28"/>
          <w:szCs w:val="28"/>
        </w:rPr>
        <w:t>2.生产单元、储存单元存在的危险化学品为多品种时，则按下式计算，若满足下面公式，则定为重大危险源：</w:t>
      </w:r>
    </w:p>
    <w:p w14:paraId="5DD314B9">
      <w:pPr>
        <w:snapToGrid w:val="0"/>
        <w:spacing w:line="360" w:lineRule="auto"/>
        <w:ind w:firstLine="560" w:firstLineChars="200"/>
        <w:rPr>
          <w:color w:val="auto"/>
          <w:sz w:val="28"/>
          <w:szCs w:val="28"/>
        </w:rPr>
      </w:pP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n</w:t>
      </w:r>
      <w:r>
        <w:rPr>
          <w:color w:val="auto"/>
          <w:sz w:val="28"/>
          <w:szCs w:val="28"/>
        </w:rPr>
        <w:t>/Q</w:t>
      </w:r>
      <w:r>
        <w:rPr>
          <w:color w:val="auto"/>
          <w:sz w:val="28"/>
          <w:szCs w:val="28"/>
          <w:vertAlign w:val="subscript"/>
        </w:rPr>
        <w:t>n≥1</w:t>
      </w:r>
    </w:p>
    <w:p w14:paraId="1D3F2CC5">
      <w:pPr>
        <w:pStyle w:val="20"/>
        <w:snapToGrid w:val="0"/>
        <w:spacing w:after="0" w:line="360" w:lineRule="auto"/>
        <w:ind w:firstLine="560" w:firstLineChars="200"/>
        <w:rPr>
          <w:color w:val="auto"/>
          <w:sz w:val="28"/>
          <w:szCs w:val="28"/>
        </w:rPr>
      </w:pPr>
      <w:r>
        <w:rPr>
          <w:color w:val="auto"/>
          <w:sz w:val="28"/>
          <w:szCs w:val="28"/>
        </w:rPr>
        <w:t>式中：q</w:t>
      </w:r>
      <w:r>
        <w:rPr>
          <w:color w:val="auto"/>
          <w:sz w:val="28"/>
          <w:szCs w:val="28"/>
          <w:vertAlign w:val="subscript"/>
        </w:rPr>
        <w:t>1</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n</w:t>
      </w:r>
      <w:r>
        <w:rPr>
          <w:rFonts w:cs="Times New Roman"/>
          <w:color w:val="auto"/>
          <w:sz w:val="28"/>
          <w:szCs w:val="40"/>
        </w:rPr>
        <w:t>－</w:t>
      </w:r>
      <w:r>
        <w:rPr>
          <w:color w:val="auto"/>
          <w:sz w:val="28"/>
          <w:szCs w:val="28"/>
        </w:rPr>
        <w:t>每种危险化学品实际存在量，t。</w:t>
      </w:r>
    </w:p>
    <w:p w14:paraId="31B6D77A">
      <w:pPr>
        <w:pStyle w:val="20"/>
        <w:snapToGrid w:val="0"/>
        <w:spacing w:after="0" w:line="360" w:lineRule="auto"/>
        <w:ind w:firstLine="560" w:firstLineChars="200"/>
        <w:rPr>
          <w:color w:val="auto"/>
          <w:sz w:val="28"/>
          <w:szCs w:val="28"/>
        </w:rPr>
      </w:pPr>
      <w:r>
        <w:rPr>
          <w:color w:val="auto"/>
          <w:sz w:val="28"/>
          <w:szCs w:val="28"/>
        </w:rPr>
        <w:t>Q</w:t>
      </w:r>
      <w:r>
        <w:rPr>
          <w:color w:val="auto"/>
          <w:sz w:val="28"/>
          <w:szCs w:val="28"/>
          <w:vertAlign w:val="subscript"/>
        </w:rPr>
        <w:t>1</w:t>
      </w:r>
      <w:r>
        <w:rPr>
          <w:color w:val="auto"/>
          <w:sz w:val="28"/>
          <w:szCs w:val="28"/>
        </w:rPr>
        <w:t>，Q</w:t>
      </w:r>
      <w:r>
        <w:rPr>
          <w:color w:val="auto"/>
          <w:sz w:val="28"/>
          <w:szCs w:val="28"/>
          <w:vertAlign w:val="subscript"/>
        </w:rPr>
        <w:t>2</w:t>
      </w:r>
      <w:r>
        <w:rPr>
          <w:color w:val="auto"/>
          <w:sz w:val="28"/>
          <w:szCs w:val="28"/>
        </w:rPr>
        <w:t>，…，Q</w:t>
      </w:r>
      <w:r>
        <w:rPr>
          <w:color w:val="auto"/>
          <w:sz w:val="28"/>
          <w:szCs w:val="28"/>
          <w:vertAlign w:val="subscript"/>
        </w:rPr>
        <w:t>n</w:t>
      </w:r>
      <w:r>
        <w:rPr>
          <w:rFonts w:cs="Times New Roman"/>
          <w:color w:val="auto"/>
          <w:sz w:val="28"/>
          <w:szCs w:val="40"/>
        </w:rPr>
        <w:t>－</w:t>
      </w:r>
      <w:r>
        <w:rPr>
          <w:color w:val="auto"/>
          <w:sz w:val="28"/>
          <w:szCs w:val="28"/>
        </w:rPr>
        <w:t>各危险化学品相对应的临界量。</w:t>
      </w:r>
      <w:bookmarkEnd w:id="664"/>
      <w:bookmarkEnd w:id="665"/>
      <w:bookmarkEnd w:id="666"/>
    </w:p>
    <w:p w14:paraId="100835D7">
      <w:pPr>
        <w:snapToGrid w:val="0"/>
        <w:spacing w:line="360" w:lineRule="auto"/>
        <w:ind w:firstLine="560" w:firstLineChars="200"/>
        <w:rPr>
          <w:color w:val="auto"/>
          <w:sz w:val="28"/>
          <w:szCs w:val="28"/>
        </w:rPr>
      </w:pPr>
      <w:r>
        <w:rPr>
          <w:rFonts w:hint="eastAsia"/>
          <w:color w:val="auto"/>
          <w:sz w:val="28"/>
          <w:szCs w:val="28"/>
          <w:lang w:val="en-US" w:eastAsia="zh-CN"/>
        </w:rPr>
        <w:t>XX</w:t>
      </w:r>
      <w:r>
        <w:rPr>
          <w:color w:val="auto"/>
          <w:sz w:val="28"/>
          <w:szCs w:val="28"/>
        </w:rPr>
        <w:t>。</w:t>
      </w:r>
    </w:p>
    <w:bookmarkEnd w:id="667"/>
    <w:bookmarkEnd w:id="668"/>
    <w:bookmarkEnd w:id="669"/>
    <w:bookmarkEnd w:id="670"/>
    <w:bookmarkEnd w:id="671"/>
    <w:bookmarkEnd w:id="672"/>
    <w:bookmarkEnd w:id="673"/>
    <w:bookmarkEnd w:id="674"/>
    <w:bookmarkEnd w:id="675"/>
    <w:bookmarkEnd w:id="676"/>
    <w:bookmarkEnd w:id="677"/>
    <w:p w14:paraId="38DA8D41">
      <w:pPr>
        <w:pStyle w:val="66"/>
        <w:ind w:firstLine="560"/>
        <w:rPr>
          <w:color w:val="auto"/>
          <w:sz w:val="32"/>
          <w:szCs w:val="32"/>
        </w:rPr>
      </w:pPr>
      <w:r>
        <w:rPr>
          <w:color w:val="auto"/>
        </w:rPr>
        <w:br w:type="page"/>
      </w:r>
    </w:p>
    <w:p w14:paraId="3847F0AD">
      <w:pPr>
        <w:pStyle w:val="77"/>
        <w:numPr>
          <w:ilvl w:val="0"/>
          <w:numId w:val="0"/>
        </w:numPr>
        <w:spacing w:before="0" w:after="0"/>
        <w:rPr>
          <w:rFonts w:cs="黑体"/>
          <w:color w:val="auto"/>
          <w:sz w:val="32"/>
          <w:szCs w:val="16"/>
        </w:rPr>
      </w:pPr>
      <w:bookmarkStart w:id="678" w:name="_Toc25148"/>
      <w:bookmarkStart w:id="679" w:name="_Toc501120337"/>
      <w:bookmarkStart w:id="680" w:name="_Toc17750"/>
      <w:r>
        <w:rPr>
          <w:rFonts w:hint="eastAsia" w:cs="黑体"/>
          <w:color w:val="auto"/>
          <w:sz w:val="32"/>
          <w:szCs w:val="16"/>
        </w:rPr>
        <w:t>4.安全对策措施及建议</w:t>
      </w:r>
      <w:bookmarkEnd w:id="598"/>
      <w:bookmarkEnd w:id="599"/>
      <w:bookmarkEnd w:id="600"/>
      <w:bookmarkEnd w:id="601"/>
      <w:bookmarkEnd w:id="602"/>
      <w:bookmarkEnd w:id="678"/>
      <w:bookmarkEnd w:id="679"/>
      <w:bookmarkEnd w:id="680"/>
    </w:p>
    <w:p w14:paraId="22968F1A">
      <w:pPr>
        <w:pStyle w:val="81"/>
        <w:numPr>
          <w:ilvl w:val="1"/>
          <w:numId w:val="0"/>
        </w:numPr>
        <w:spacing w:before="0" w:after="0"/>
        <w:jc w:val="center"/>
        <w:rPr>
          <w:rFonts w:cs="黑体"/>
          <w:color w:val="auto"/>
          <w:sz w:val="30"/>
          <w:szCs w:val="30"/>
        </w:rPr>
      </w:pPr>
      <w:bookmarkStart w:id="681" w:name="_Toc21497"/>
      <w:bookmarkStart w:id="682" w:name="_Toc217115765"/>
      <w:bookmarkStart w:id="683" w:name="_Toc357685758"/>
      <w:bookmarkStart w:id="684" w:name="_Toc115120674"/>
      <w:bookmarkStart w:id="685" w:name="_Toc501120338"/>
      <w:bookmarkStart w:id="686" w:name="_Toc32321"/>
      <w:bookmarkStart w:id="687" w:name="_Toc115120280"/>
      <w:bookmarkStart w:id="688" w:name="_Toc8086"/>
      <w:bookmarkStart w:id="689" w:name="_Toc435691209"/>
      <w:r>
        <w:rPr>
          <w:rFonts w:hint="eastAsia" w:cs="黑体"/>
          <w:color w:val="auto"/>
          <w:sz w:val="30"/>
          <w:szCs w:val="30"/>
        </w:rPr>
        <w:t>4.1安全对策措施建议的依据</w:t>
      </w:r>
      <w:bookmarkEnd w:id="681"/>
      <w:bookmarkEnd w:id="682"/>
      <w:bookmarkEnd w:id="683"/>
      <w:bookmarkEnd w:id="684"/>
      <w:bookmarkEnd w:id="685"/>
      <w:bookmarkEnd w:id="686"/>
      <w:bookmarkEnd w:id="687"/>
      <w:bookmarkEnd w:id="688"/>
      <w:bookmarkEnd w:id="689"/>
    </w:p>
    <w:p w14:paraId="678AD6F3">
      <w:pPr>
        <w:pStyle w:val="73"/>
        <w:numPr>
          <w:ilvl w:val="0"/>
          <w:numId w:val="0"/>
        </w:numPr>
        <w:ind w:left="0" w:leftChars="0" w:firstLine="560" w:firstLineChars="200"/>
        <w:rPr>
          <w:color w:val="auto"/>
        </w:rPr>
      </w:pPr>
      <w:bookmarkStart w:id="690" w:name="_Toc115120691"/>
      <w:bookmarkStart w:id="691" w:name="_Toc226963212"/>
      <w:bookmarkStart w:id="692" w:name="_Toc115120297"/>
      <w:bookmarkStart w:id="693" w:name="_Toc115141968"/>
      <w:bookmarkStart w:id="694" w:name="_Toc242849824"/>
      <w:r>
        <w:rPr>
          <w:rFonts w:hint="eastAsia"/>
          <w:color w:val="auto"/>
          <w:lang w:val="en-US" w:eastAsia="zh-CN"/>
        </w:rPr>
        <w:t>XX</w:t>
      </w:r>
      <w:r>
        <w:rPr>
          <w:rFonts w:hint="eastAsia"/>
          <w:color w:val="auto"/>
        </w:rPr>
        <w:t>。</w:t>
      </w:r>
    </w:p>
    <w:p w14:paraId="70854E7A">
      <w:pPr>
        <w:widowControl/>
        <w:jc w:val="left"/>
        <w:rPr>
          <w:color w:val="auto"/>
          <w:sz w:val="32"/>
          <w:szCs w:val="32"/>
        </w:rPr>
      </w:pPr>
      <w:bookmarkStart w:id="695" w:name="_Toc17203"/>
      <w:r>
        <w:rPr>
          <w:color w:val="auto"/>
        </w:rPr>
        <w:br w:type="page"/>
      </w:r>
    </w:p>
    <w:p w14:paraId="6D6EE5AE">
      <w:pPr>
        <w:pStyle w:val="77"/>
        <w:numPr>
          <w:ilvl w:val="0"/>
          <w:numId w:val="0"/>
        </w:numPr>
        <w:spacing w:before="0" w:after="0"/>
        <w:rPr>
          <w:rFonts w:cs="黑体"/>
          <w:color w:val="auto"/>
          <w:sz w:val="32"/>
          <w:szCs w:val="16"/>
        </w:rPr>
      </w:pPr>
      <w:bookmarkStart w:id="696" w:name="_Toc31592"/>
      <w:bookmarkStart w:id="697" w:name="_Toc501120351"/>
      <w:bookmarkStart w:id="698" w:name="_Toc19417"/>
      <w:r>
        <w:rPr>
          <w:rFonts w:hint="eastAsia" w:cs="黑体"/>
          <w:color w:val="auto"/>
          <w:sz w:val="32"/>
          <w:szCs w:val="16"/>
        </w:rPr>
        <w:t>5.评价结论</w:t>
      </w:r>
      <w:bookmarkEnd w:id="690"/>
      <w:bookmarkEnd w:id="691"/>
      <w:bookmarkEnd w:id="692"/>
      <w:bookmarkEnd w:id="693"/>
      <w:bookmarkEnd w:id="694"/>
      <w:bookmarkEnd w:id="695"/>
      <w:bookmarkEnd w:id="696"/>
      <w:bookmarkEnd w:id="697"/>
      <w:bookmarkEnd w:id="698"/>
    </w:p>
    <w:p w14:paraId="49C42B52">
      <w:pPr>
        <w:pStyle w:val="81"/>
        <w:numPr>
          <w:ilvl w:val="1"/>
          <w:numId w:val="0"/>
        </w:numPr>
        <w:spacing w:before="0" w:after="0"/>
        <w:jc w:val="center"/>
        <w:rPr>
          <w:rFonts w:cs="黑体"/>
          <w:color w:val="auto"/>
          <w:sz w:val="30"/>
          <w:szCs w:val="30"/>
        </w:rPr>
      </w:pPr>
      <w:bookmarkStart w:id="699" w:name="_Toc501120352"/>
      <w:bookmarkStart w:id="700" w:name="_Toc226963213"/>
      <w:bookmarkStart w:id="701" w:name="_Toc115141969"/>
      <w:bookmarkStart w:id="702" w:name="_Toc20077"/>
      <w:bookmarkStart w:id="703" w:name="_Toc115120692"/>
      <w:bookmarkStart w:id="704" w:name="_Toc22438"/>
      <w:bookmarkStart w:id="705" w:name="_Toc242849825"/>
      <w:bookmarkStart w:id="706" w:name="_Toc964"/>
      <w:bookmarkStart w:id="707" w:name="_Toc115120298"/>
      <w:r>
        <w:rPr>
          <w:rFonts w:hint="eastAsia" w:cs="黑体"/>
          <w:color w:val="auto"/>
          <w:sz w:val="30"/>
          <w:szCs w:val="30"/>
        </w:rPr>
        <w:t>5.1主要危险、有害因素评价结果</w:t>
      </w:r>
      <w:bookmarkEnd w:id="699"/>
      <w:bookmarkEnd w:id="700"/>
      <w:bookmarkEnd w:id="701"/>
      <w:bookmarkEnd w:id="702"/>
      <w:bookmarkEnd w:id="703"/>
      <w:bookmarkEnd w:id="704"/>
      <w:bookmarkEnd w:id="705"/>
      <w:bookmarkEnd w:id="706"/>
      <w:bookmarkEnd w:id="707"/>
    </w:p>
    <w:p w14:paraId="5DE5061F">
      <w:pPr>
        <w:pStyle w:val="5"/>
        <w:keepNext/>
        <w:keepLines/>
        <w:snapToGrid w:val="0"/>
        <w:spacing w:line="360" w:lineRule="auto"/>
        <w:ind w:firstLine="562" w:firstLineChars="200"/>
        <w:jc w:val="left"/>
        <w:rPr>
          <w:rFonts w:cs="Times New Roman"/>
          <w:b/>
          <w:color w:val="auto"/>
          <w:sz w:val="28"/>
          <w:szCs w:val="32"/>
          <w:lang w:val="en-GB"/>
        </w:rPr>
      </w:pPr>
      <w:bookmarkStart w:id="708" w:name="_Toc9744"/>
      <w:bookmarkStart w:id="709" w:name="_Toc242849826"/>
      <w:bookmarkStart w:id="710" w:name="_Toc501120353"/>
      <w:bookmarkStart w:id="711" w:name="_Toc115120693"/>
      <w:bookmarkStart w:id="712" w:name="_Toc7672"/>
      <w:bookmarkStart w:id="713" w:name="_Toc115141970"/>
      <w:bookmarkStart w:id="714" w:name="_Toc115120299"/>
      <w:bookmarkStart w:id="715" w:name="_Toc25568"/>
      <w:bookmarkStart w:id="716" w:name="_Toc24852"/>
      <w:bookmarkStart w:id="717" w:name="_Toc20534"/>
      <w:bookmarkStart w:id="718" w:name="_Toc226963214"/>
      <w:bookmarkStart w:id="719" w:name="_Toc9305"/>
      <w:bookmarkStart w:id="720" w:name="_Toc16890"/>
      <w:bookmarkStart w:id="721" w:name="_Toc7094"/>
      <w:r>
        <w:rPr>
          <w:rFonts w:hint="eastAsia" w:cs="Times New Roman"/>
          <w:b/>
          <w:color w:val="auto"/>
          <w:sz w:val="28"/>
          <w:szCs w:val="32"/>
          <w:lang w:val="en-GB"/>
        </w:rPr>
        <w:t>5.1.1本项目存在的主要危险、有害因素</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57A82BC6">
      <w:pPr>
        <w:pStyle w:val="66"/>
        <w:ind w:firstLine="560"/>
        <w:rPr>
          <w:color w:val="auto"/>
        </w:rPr>
      </w:pPr>
      <w:r>
        <w:rPr>
          <w:color w:val="auto"/>
        </w:rPr>
        <w:t>本项目存在的主要危险、有害因素为：坍塌、滑坡、滚石、泥石流、高处坠落、物体打击、机械伤害、车辆伤害、触电伤害、火灾、容器爆炸、</w:t>
      </w:r>
      <w:r>
        <w:rPr>
          <w:rFonts w:hint="eastAsia"/>
          <w:color w:val="auto"/>
        </w:rPr>
        <w:t>爆破</w:t>
      </w:r>
      <w:r>
        <w:rPr>
          <w:color w:val="auto"/>
        </w:rPr>
        <w:t>伤害、火药爆炸、粉尘等。</w:t>
      </w:r>
    </w:p>
    <w:p w14:paraId="3D650D42">
      <w:pPr>
        <w:pStyle w:val="5"/>
        <w:keepNext/>
        <w:keepLines/>
        <w:snapToGrid w:val="0"/>
        <w:spacing w:line="360" w:lineRule="auto"/>
        <w:ind w:firstLine="562" w:firstLineChars="200"/>
        <w:jc w:val="left"/>
        <w:rPr>
          <w:rFonts w:cs="Times New Roman"/>
          <w:b/>
          <w:color w:val="auto"/>
          <w:sz w:val="28"/>
          <w:szCs w:val="32"/>
          <w:lang w:val="en-GB"/>
        </w:rPr>
      </w:pPr>
      <w:bookmarkStart w:id="722" w:name="_Toc7337"/>
      <w:bookmarkStart w:id="723" w:name="_Toc16018"/>
      <w:bookmarkStart w:id="724" w:name="_Toc28306"/>
      <w:bookmarkStart w:id="725" w:name="_Toc242849827"/>
      <w:bookmarkStart w:id="726" w:name="_Toc26235"/>
      <w:bookmarkStart w:id="727" w:name="_Toc501120354"/>
      <w:bookmarkStart w:id="728" w:name="_Toc18316"/>
      <w:bookmarkStart w:id="729" w:name="_Toc226963215"/>
      <w:bookmarkStart w:id="730" w:name="_Toc16146"/>
      <w:bookmarkStart w:id="731" w:name="_Toc10850"/>
      <w:bookmarkStart w:id="732" w:name="_Toc13449"/>
      <w:bookmarkStart w:id="733" w:name="_Toc115141971"/>
      <w:bookmarkStart w:id="734" w:name="_Toc115120300"/>
      <w:bookmarkStart w:id="735" w:name="_Toc115120694"/>
      <w:r>
        <w:rPr>
          <w:rFonts w:hint="eastAsia" w:cs="Times New Roman"/>
          <w:b/>
          <w:color w:val="auto"/>
          <w:sz w:val="28"/>
          <w:szCs w:val="32"/>
          <w:lang w:val="en-GB"/>
        </w:rPr>
        <w:t>5.1.2本项目存在的主要危险、有害因素存在的部位</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14:paraId="7642CA2E">
      <w:pPr>
        <w:snapToGrid w:val="0"/>
        <w:spacing w:line="360" w:lineRule="auto"/>
        <w:jc w:val="center"/>
        <w:rPr>
          <w:rFonts w:cs="Times New Roman"/>
          <w:bCs/>
          <w:color w:val="auto"/>
        </w:rPr>
      </w:pPr>
      <w:r>
        <w:rPr>
          <w:rFonts w:hint="eastAsia" w:cs="Times New Roman"/>
          <w:bCs/>
          <w:color w:val="auto"/>
        </w:rPr>
        <w:t>表 5.1-1  矿山主要存在的危险、有害因素分布表</w:t>
      </w:r>
    </w:p>
    <w:p w14:paraId="69BDD67F">
      <w:pPr>
        <w:snapToGrid w:val="0"/>
        <w:ind w:firstLine="420" w:firstLineChars="200"/>
        <w:rPr>
          <w:rFonts w:hint="default" w:eastAsia="宋体" w:cs="Times New Roman"/>
          <w:color w:val="auto"/>
          <w:lang w:val="en-US" w:eastAsia="zh-CN"/>
        </w:rPr>
      </w:pPr>
      <w:bookmarkStart w:id="736" w:name="_Toc501120355"/>
      <w:bookmarkStart w:id="737" w:name="_Toc115141972"/>
      <w:bookmarkStart w:id="738" w:name="_Toc5161"/>
      <w:bookmarkStart w:id="739" w:name="_Toc115120695"/>
      <w:bookmarkStart w:id="740" w:name="_Toc115120301"/>
      <w:bookmarkStart w:id="741" w:name="_Toc242849828"/>
      <w:bookmarkStart w:id="742" w:name="_Toc226963216"/>
      <w:r>
        <w:rPr>
          <w:rFonts w:hint="eastAsia" w:cs="Times New Roman"/>
          <w:color w:val="auto"/>
          <w:lang w:val="en-US" w:eastAsia="zh-CN"/>
        </w:rPr>
        <w:t>XX。</w:t>
      </w:r>
    </w:p>
    <w:p w14:paraId="03873697">
      <w:pPr>
        <w:pStyle w:val="81"/>
        <w:numPr>
          <w:ilvl w:val="1"/>
          <w:numId w:val="0"/>
        </w:numPr>
        <w:spacing w:before="0" w:after="0"/>
        <w:jc w:val="center"/>
        <w:rPr>
          <w:rFonts w:cs="黑体"/>
          <w:color w:val="auto"/>
          <w:sz w:val="30"/>
          <w:szCs w:val="30"/>
        </w:rPr>
      </w:pPr>
      <w:bookmarkStart w:id="743" w:name="_Toc28615"/>
      <w:bookmarkStart w:id="744" w:name="_Toc22666"/>
      <w:r>
        <w:rPr>
          <w:rFonts w:hint="eastAsia" w:cs="黑体"/>
          <w:color w:val="auto"/>
          <w:sz w:val="30"/>
          <w:szCs w:val="30"/>
        </w:rPr>
        <w:t>5.2本项目应重点防范的危险、有害因素</w:t>
      </w:r>
      <w:bookmarkEnd w:id="736"/>
      <w:bookmarkEnd w:id="737"/>
      <w:bookmarkEnd w:id="738"/>
      <w:bookmarkEnd w:id="739"/>
      <w:bookmarkEnd w:id="740"/>
      <w:bookmarkEnd w:id="741"/>
      <w:bookmarkEnd w:id="742"/>
      <w:bookmarkEnd w:id="743"/>
      <w:bookmarkEnd w:id="744"/>
    </w:p>
    <w:p w14:paraId="7830A235">
      <w:pPr>
        <w:snapToGrid w:val="0"/>
        <w:spacing w:line="360" w:lineRule="auto"/>
        <w:ind w:firstLine="560" w:firstLineChars="200"/>
        <w:rPr>
          <w:rFonts w:cs="Times New Roman"/>
          <w:color w:val="auto"/>
          <w:sz w:val="28"/>
          <w:szCs w:val="28"/>
        </w:rPr>
      </w:pPr>
      <w:r>
        <w:rPr>
          <w:rFonts w:hint="eastAsia" w:cs="Times New Roman"/>
          <w:color w:val="auto"/>
          <w:sz w:val="28"/>
          <w:szCs w:val="28"/>
        </w:rPr>
        <w:t>采场作业中的边坡失稳（滑坡）、爆破伤害、火药爆炸、高处坠落、物体打击、机械伤害、车辆伤害。</w:t>
      </w:r>
    </w:p>
    <w:p w14:paraId="124A5884">
      <w:pPr>
        <w:pStyle w:val="81"/>
        <w:numPr>
          <w:ilvl w:val="1"/>
          <w:numId w:val="0"/>
        </w:numPr>
        <w:spacing w:before="0" w:after="0"/>
        <w:jc w:val="center"/>
        <w:rPr>
          <w:rFonts w:cs="黑体"/>
          <w:color w:val="auto"/>
          <w:sz w:val="30"/>
          <w:szCs w:val="30"/>
        </w:rPr>
      </w:pPr>
      <w:bookmarkStart w:id="745" w:name="_Toc23651"/>
      <w:bookmarkStart w:id="746" w:name="_Toc501120356"/>
      <w:bookmarkStart w:id="747" w:name="_Toc115120696"/>
      <w:bookmarkStart w:id="748" w:name="_Toc115120302"/>
      <w:bookmarkStart w:id="749" w:name="_Toc21254"/>
      <w:bookmarkStart w:id="750" w:name="_Toc242849829"/>
      <w:bookmarkStart w:id="751" w:name="_Toc3753"/>
      <w:bookmarkStart w:id="752" w:name="_Toc115141973"/>
      <w:bookmarkStart w:id="753" w:name="_Toc226963217"/>
      <w:r>
        <w:rPr>
          <w:rFonts w:hint="eastAsia" w:cs="黑体"/>
          <w:color w:val="auto"/>
          <w:sz w:val="30"/>
          <w:szCs w:val="30"/>
        </w:rPr>
        <w:t>5.3本项目应重视的安全对策措施建议</w:t>
      </w:r>
      <w:bookmarkEnd w:id="745"/>
      <w:bookmarkEnd w:id="746"/>
      <w:bookmarkEnd w:id="747"/>
      <w:bookmarkEnd w:id="748"/>
      <w:bookmarkEnd w:id="749"/>
      <w:bookmarkEnd w:id="750"/>
      <w:bookmarkEnd w:id="751"/>
      <w:bookmarkEnd w:id="752"/>
      <w:bookmarkEnd w:id="753"/>
    </w:p>
    <w:p w14:paraId="78D98B8D">
      <w:pPr>
        <w:pStyle w:val="73"/>
        <w:numPr>
          <w:ilvl w:val="0"/>
          <w:numId w:val="0"/>
        </w:numPr>
        <w:ind w:left="0" w:leftChars="0" w:firstLine="560" w:firstLineChars="200"/>
        <w:rPr>
          <w:color w:val="auto"/>
        </w:rPr>
      </w:pPr>
      <w:bookmarkStart w:id="754" w:name="_Toc226963218"/>
      <w:bookmarkStart w:id="755" w:name="_Toc115120303"/>
      <w:bookmarkStart w:id="756" w:name="_Toc242849830"/>
      <w:bookmarkStart w:id="757" w:name="_Toc31417"/>
      <w:bookmarkStart w:id="758" w:name="_Toc10844"/>
      <w:bookmarkStart w:id="759" w:name="_Toc115120697"/>
      <w:bookmarkStart w:id="760" w:name="_Toc501120357"/>
      <w:bookmarkStart w:id="761" w:name="_Toc115141974"/>
      <w:bookmarkStart w:id="762" w:name="_Toc29360"/>
      <w:r>
        <w:rPr>
          <w:rFonts w:hint="eastAsia" w:cstheme="minorBidi"/>
          <w:color w:val="auto"/>
          <w:kern w:val="2"/>
          <w:sz w:val="28"/>
          <w:szCs w:val="28"/>
          <w:lang w:val="en-US" w:eastAsia="zh-CN" w:bidi="ar-SA"/>
        </w:rPr>
        <w:t>XX</w:t>
      </w:r>
      <w:r>
        <w:rPr>
          <w:color w:val="auto"/>
        </w:rPr>
        <w:t>。</w:t>
      </w:r>
    </w:p>
    <w:p w14:paraId="268F48C1">
      <w:pPr>
        <w:pStyle w:val="81"/>
        <w:numPr>
          <w:ilvl w:val="1"/>
          <w:numId w:val="0"/>
        </w:numPr>
        <w:spacing w:before="0" w:after="0"/>
        <w:jc w:val="center"/>
        <w:rPr>
          <w:rFonts w:cs="黑体"/>
          <w:color w:val="auto"/>
          <w:sz w:val="30"/>
          <w:szCs w:val="30"/>
        </w:rPr>
      </w:pPr>
      <w:r>
        <w:rPr>
          <w:rFonts w:hint="eastAsia" w:cs="黑体"/>
          <w:color w:val="auto"/>
          <w:sz w:val="30"/>
          <w:szCs w:val="30"/>
        </w:rPr>
        <w:t>5.4安全预评价结论</w:t>
      </w:r>
      <w:bookmarkEnd w:id="754"/>
      <w:bookmarkEnd w:id="755"/>
      <w:bookmarkEnd w:id="756"/>
      <w:bookmarkEnd w:id="757"/>
      <w:bookmarkEnd w:id="758"/>
      <w:bookmarkEnd w:id="759"/>
      <w:bookmarkEnd w:id="760"/>
      <w:bookmarkEnd w:id="761"/>
      <w:bookmarkEnd w:id="762"/>
    </w:p>
    <w:p w14:paraId="1847EEB0">
      <w:pPr>
        <w:pStyle w:val="66"/>
        <w:ind w:firstLine="560"/>
        <w:rPr>
          <w:color w:val="auto"/>
        </w:rPr>
      </w:pPr>
      <w:r>
        <w:rPr>
          <w:color w:val="auto"/>
        </w:rPr>
        <w:t>评价组根据对评价项目的现场调查和相关资料的分析，完成了项目主要危险、有害因素的辨识和分析，对项目进行了较为科学合理的单元划分，并按照所选择的评价方法，对项目中存在的危险、有害因素进行了全面的定性评价，提出了合理可行的安全对策措施。</w:t>
      </w:r>
    </w:p>
    <w:p w14:paraId="0DA78944">
      <w:pPr>
        <w:pStyle w:val="66"/>
        <w:ind w:firstLine="560"/>
        <w:rPr>
          <w:color w:val="auto"/>
        </w:rPr>
      </w:pPr>
      <w:r>
        <w:rPr>
          <w:color w:val="auto"/>
        </w:rPr>
        <w:t>按照评价要求和各单元的分析评价结论，对</w:t>
      </w:r>
      <w:r>
        <w:rPr>
          <w:rFonts w:hint="eastAsia" w:cs="Times New Roman"/>
          <w:color w:val="auto"/>
        </w:rPr>
        <w:t>玉龙县吉余砂石料厂建筑石料用灰岩矿</w:t>
      </w:r>
      <w:r>
        <w:rPr>
          <w:color w:val="auto"/>
        </w:rPr>
        <w:t>建设项目形成以下预评价结论：</w:t>
      </w:r>
    </w:p>
    <w:p w14:paraId="20D71991">
      <w:pPr>
        <w:pStyle w:val="73"/>
        <w:numPr>
          <w:ilvl w:val="0"/>
          <w:numId w:val="21"/>
        </w:numPr>
        <w:ind w:left="0" w:firstLine="560" w:firstLineChars="200"/>
        <w:rPr>
          <w:bCs/>
          <w:color w:val="auto"/>
        </w:rPr>
      </w:pPr>
      <w:r>
        <w:rPr>
          <w:rFonts w:hint="eastAsia" w:cs="Times New Roman"/>
          <w:color w:val="auto"/>
        </w:rPr>
        <w:t>玉龙县吉余砂石料厂建筑石料用灰岩矿</w:t>
      </w:r>
      <w:r>
        <w:rPr>
          <w:bCs/>
          <w:color w:val="auto"/>
        </w:rPr>
        <w:t>建设项目证照齐全、有效，建设项目建设程序合法。</w:t>
      </w:r>
    </w:p>
    <w:p w14:paraId="76DFF21B">
      <w:pPr>
        <w:pStyle w:val="73"/>
        <w:numPr>
          <w:ilvl w:val="0"/>
          <w:numId w:val="21"/>
        </w:numPr>
        <w:ind w:left="0" w:firstLine="560" w:firstLineChars="200"/>
        <w:rPr>
          <w:bCs/>
          <w:color w:val="auto"/>
        </w:rPr>
      </w:pPr>
      <w:r>
        <w:rPr>
          <w:rFonts w:hint="eastAsia" w:cs="Times New Roman"/>
          <w:color w:val="auto"/>
        </w:rPr>
        <w:t>玉龙县吉余砂石料厂建筑石料用灰岩矿</w:t>
      </w:r>
      <w:r>
        <w:rPr>
          <w:bCs/>
          <w:color w:val="auto"/>
        </w:rPr>
        <w:t>建设项目的选址合理，符合有关法律、法规、标准和规程的规定。</w:t>
      </w:r>
    </w:p>
    <w:p w14:paraId="22CC2F05">
      <w:pPr>
        <w:pStyle w:val="73"/>
        <w:numPr>
          <w:ilvl w:val="0"/>
          <w:numId w:val="21"/>
        </w:numPr>
        <w:ind w:left="0" w:firstLine="560" w:firstLineChars="200"/>
        <w:rPr>
          <w:bCs/>
          <w:color w:val="auto"/>
        </w:rPr>
      </w:pPr>
      <w:r>
        <w:rPr>
          <w:rFonts w:hint="eastAsia" w:cs="Times New Roman"/>
          <w:color w:val="auto"/>
        </w:rPr>
        <w:t>玉龙县吉余砂石料厂建筑石料用灰岩矿</w:t>
      </w:r>
      <w:r>
        <w:rPr>
          <w:bCs/>
          <w:color w:val="auto"/>
        </w:rPr>
        <w:t>设计方案中的采矿工艺设计总体上符合《金属非金属矿山安全规程》（GB16423</w:t>
      </w:r>
      <w:r>
        <w:rPr>
          <w:rFonts w:hint="eastAsia"/>
          <w:bCs/>
          <w:color w:val="auto"/>
        </w:rPr>
        <w:t>-</w:t>
      </w:r>
      <w:r>
        <w:rPr>
          <w:bCs/>
          <w:color w:val="auto"/>
        </w:rPr>
        <w:t>20</w:t>
      </w:r>
      <w:bookmarkStart w:id="792" w:name="_GoBack"/>
      <w:bookmarkEnd w:id="792"/>
      <w:r>
        <w:rPr>
          <w:rFonts w:hint="eastAsia"/>
          <w:bCs/>
          <w:color w:val="auto"/>
        </w:rPr>
        <w:t>20</w:t>
      </w:r>
      <w:r>
        <w:rPr>
          <w:bCs/>
          <w:color w:val="auto"/>
        </w:rPr>
        <w:t>）等有关规定，露天开采各工艺参数符合相关规范要求。</w:t>
      </w:r>
    </w:p>
    <w:p w14:paraId="5DADA08A">
      <w:pPr>
        <w:pStyle w:val="73"/>
        <w:numPr>
          <w:ilvl w:val="0"/>
          <w:numId w:val="21"/>
        </w:numPr>
        <w:ind w:left="0" w:firstLine="560" w:firstLineChars="200"/>
        <w:rPr>
          <w:color w:val="auto"/>
        </w:rPr>
      </w:pPr>
      <w:r>
        <w:rPr>
          <w:color w:val="auto"/>
        </w:rPr>
        <w:t>项目中虽然存在滑坡、坍塌、泥石流、滚石、高处坠落、物体打击、车辆伤害、机械伤害、火灾、</w:t>
      </w:r>
      <w:r>
        <w:rPr>
          <w:rFonts w:hint="eastAsia"/>
          <w:color w:val="auto"/>
        </w:rPr>
        <w:t>爆破</w:t>
      </w:r>
      <w:r>
        <w:rPr>
          <w:color w:val="auto"/>
        </w:rPr>
        <w:t>伤害、火药爆炸、触电伤害等潜在的危险和有害因素，但在项目建设施工和生产过程中，通过落实设计方案中的安全对策措施和本次安全预评价报告补充的安全对策措施，切实针对项目中危险、有害因素对设计和生产设施进一步优化和完善，认真落实国家相关安全生产的法规、标准、规程、规范，加强事故预防和安全管理工作，即可为满足本项目安全生产的要求奠定基础，该项目潜在的危险、有害因素能得到控制，在可接受的范围内。</w:t>
      </w:r>
    </w:p>
    <w:p w14:paraId="6E400397">
      <w:pPr>
        <w:pStyle w:val="66"/>
        <w:rPr>
          <w:b/>
          <w:color w:val="auto"/>
        </w:rPr>
      </w:pPr>
      <w:r>
        <w:rPr>
          <w:b/>
          <w:color w:val="auto"/>
        </w:rPr>
        <w:t>经评价</w:t>
      </w:r>
      <w:r>
        <w:rPr>
          <w:rFonts w:hint="eastAsia"/>
          <w:b/>
          <w:color w:val="auto"/>
          <w:lang w:val="zh-TW"/>
        </w:rPr>
        <w:t>认为：</w:t>
      </w:r>
      <w:r>
        <w:rPr>
          <w:rFonts w:hint="eastAsia"/>
          <w:b/>
          <w:color w:val="auto"/>
        </w:rPr>
        <w:t>玉龙县吉余砂石料厂建筑石料用灰岩矿30</w:t>
      </w:r>
      <w:r>
        <w:rPr>
          <w:rFonts w:hint="eastAsia"/>
          <w:b/>
          <w:color w:val="auto"/>
          <w:lang w:val="zh-TW"/>
        </w:rPr>
        <w:t>万t/a</w:t>
      </w:r>
      <w:r>
        <w:rPr>
          <w:b/>
          <w:color w:val="auto"/>
          <w:lang w:val="zh-TW"/>
        </w:rPr>
        <w:t>露天采矿工程</w:t>
      </w:r>
      <w:r>
        <w:rPr>
          <w:b/>
          <w:color w:val="auto"/>
        </w:rPr>
        <w:t>项目从安全生产角度符合国家有关法律、法规、标准和规范的要求。</w:t>
      </w:r>
    </w:p>
    <w:p w14:paraId="41AF4C22">
      <w:pPr>
        <w:adjustRightInd/>
        <w:spacing w:line="360" w:lineRule="auto"/>
        <w:ind w:firstLine="560" w:firstLineChars="200"/>
        <w:rPr>
          <w:rFonts w:cs="Times New Roman"/>
          <w:color w:val="auto"/>
          <w:sz w:val="28"/>
          <w:szCs w:val="28"/>
          <w:lang w:val="zh-CN"/>
        </w:rPr>
      </w:pPr>
      <w:r>
        <w:rPr>
          <w:rFonts w:cs="Times New Roman"/>
          <w:color w:val="auto"/>
          <w:sz w:val="28"/>
          <w:szCs w:val="28"/>
          <w:lang w:val="zh-CN"/>
        </w:rPr>
        <w:t>在今后的安全设施设计、施工和生产过程中，建设单位应按有关法规和标准的要求，认真落实各项安全措施和预防手段，确保该新建项目的安全设施与主体工程同时设计、同时施工、同时投入生产和使用。根据本安全预评价报告中提出的安全对策措施，该建设项目应在下一步安全设施设计中进行补充完善，以保证该项目建成投产后能安全运行。</w:t>
      </w:r>
    </w:p>
    <w:p w14:paraId="1FB9E657">
      <w:pPr>
        <w:adjustRightInd/>
        <w:spacing w:line="360" w:lineRule="auto"/>
        <w:ind w:firstLine="560" w:firstLineChars="200"/>
        <w:rPr>
          <w:rFonts w:cs="Times New Roman"/>
          <w:color w:val="auto"/>
          <w:sz w:val="28"/>
          <w:szCs w:val="28"/>
          <w:lang w:val="zh-CN"/>
        </w:rPr>
      </w:pPr>
      <w:r>
        <w:rPr>
          <w:rFonts w:cs="Times New Roman"/>
          <w:color w:val="auto"/>
          <w:sz w:val="28"/>
          <w:szCs w:val="28"/>
          <w:lang w:val="zh-CN"/>
        </w:rPr>
        <w:t>总之，安全生产是一个不断完善的过程，企业应按照本报告提出的对策措施和建议进行整改完善。在今后的生产过程中，建设单位应根据安全生产条件的变化和国家法规的进一步要求，不断完善安全技术措施和管理措施，提升安全技术水平，防止安全事故的发生，切实保障人民生命和企业财产的安全。</w:t>
      </w:r>
    </w:p>
    <w:p w14:paraId="1D73AFAC">
      <w:pPr>
        <w:pStyle w:val="87"/>
        <w:spacing w:before="0" w:after="0"/>
        <w:rPr>
          <w:color w:val="auto"/>
          <w:sz w:val="32"/>
          <w:szCs w:val="32"/>
        </w:rPr>
      </w:pPr>
      <w:bookmarkStart w:id="763" w:name="_Toc160616806"/>
      <w:bookmarkStart w:id="764" w:name="_Toc141065368"/>
      <w:bookmarkStart w:id="765" w:name="_Toc112663868"/>
      <w:bookmarkStart w:id="766" w:name="_Toc181177182"/>
      <w:bookmarkStart w:id="767" w:name="_Toc142190198"/>
      <w:bookmarkStart w:id="768" w:name="_Toc123639274"/>
      <w:bookmarkStart w:id="769" w:name="_Toc160268405"/>
      <w:bookmarkStart w:id="770" w:name="_Toc184528242"/>
      <w:bookmarkStart w:id="771" w:name="_Toc152845750"/>
      <w:bookmarkStart w:id="772" w:name="_Toc115120305"/>
      <w:bookmarkStart w:id="773" w:name="_Toc186627182"/>
      <w:bookmarkStart w:id="774" w:name="_Toc150833484"/>
      <w:bookmarkStart w:id="775" w:name="_Toc187730141"/>
      <w:bookmarkStart w:id="776" w:name="_Toc115120699"/>
      <w:bookmarkStart w:id="777" w:name="_Toc186525303"/>
      <w:r>
        <w:rPr>
          <w:bCs/>
          <w:snapToGrid w:val="0"/>
          <w:color w:val="auto"/>
          <w:sz w:val="24"/>
          <w:szCs w:val="24"/>
        </w:rPr>
        <w:br w:type="page"/>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Start w:id="778" w:name="_Toc2116"/>
      <w:bookmarkStart w:id="779" w:name="_Toc27964"/>
      <w:bookmarkStart w:id="780" w:name="_Toc313096618"/>
      <w:bookmarkStart w:id="781" w:name="_Toc313096771"/>
      <w:bookmarkStart w:id="782" w:name="_Toc30488"/>
      <w:bookmarkStart w:id="783" w:name="_Toc501120358"/>
      <w:bookmarkStart w:id="784" w:name="_Toc329899608"/>
      <w:r>
        <w:rPr>
          <w:rFonts w:hint="eastAsia" w:cs="黑体"/>
          <w:color w:val="auto"/>
          <w:sz w:val="32"/>
          <w:szCs w:val="16"/>
        </w:rPr>
        <w:t>6.附件及附图</w:t>
      </w:r>
      <w:bookmarkEnd w:id="778"/>
      <w:bookmarkEnd w:id="779"/>
    </w:p>
    <w:p w14:paraId="317515FB">
      <w:pPr>
        <w:pStyle w:val="81"/>
        <w:numPr>
          <w:ilvl w:val="1"/>
          <w:numId w:val="0"/>
        </w:numPr>
        <w:spacing w:before="0" w:after="0"/>
        <w:jc w:val="center"/>
        <w:rPr>
          <w:rFonts w:cs="黑体"/>
          <w:color w:val="auto"/>
          <w:sz w:val="30"/>
          <w:szCs w:val="30"/>
        </w:rPr>
      </w:pPr>
      <w:bookmarkStart w:id="785" w:name="_Toc14208"/>
      <w:bookmarkStart w:id="786" w:name="_Toc5605"/>
      <w:r>
        <w:rPr>
          <w:rFonts w:hint="eastAsia" w:cs="黑体"/>
          <w:color w:val="auto"/>
          <w:sz w:val="30"/>
          <w:szCs w:val="30"/>
        </w:rPr>
        <w:t>6.1附</w:t>
      </w:r>
      <w:bookmarkEnd w:id="780"/>
      <w:bookmarkEnd w:id="781"/>
      <w:r>
        <w:rPr>
          <w:rFonts w:hint="eastAsia" w:cs="黑体"/>
          <w:color w:val="auto"/>
          <w:sz w:val="30"/>
          <w:szCs w:val="30"/>
        </w:rPr>
        <w:t>件</w:t>
      </w:r>
      <w:bookmarkEnd w:id="782"/>
      <w:bookmarkEnd w:id="783"/>
      <w:bookmarkEnd w:id="784"/>
      <w:bookmarkEnd w:id="785"/>
      <w:bookmarkEnd w:id="786"/>
    </w:p>
    <w:p w14:paraId="3292EA02">
      <w:pPr>
        <w:pStyle w:val="94"/>
        <w:numPr>
          <w:ilvl w:val="0"/>
          <w:numId w:val="22"/>
        </w:numPr>
        <w:rPr>
          <w:color w:val="auto"/>
        </w:rPr>
      </w:pPr>
      <w:r>
        <w:rPr>
          <w:color w:val="auto"/>
        </w:rPr>
        <w:t>安全</w:t>
      </w:r>
      <w:r>
        <w:rPr>
          <w:rFonts w:hint="eastAsia"/>
          <w:color w:val="auto"/>
        </w:rPr>
        <w:t>评价</w:t>
      </w:r>
      <w:r>
        <w:rPr>
          <w:color w:val="auto"/>
        </w:rPr>
        <w:t>委托书</w:t>
      </w:r>
      <w:r>
        <w:rPr>
          <w:rFonts w:hint="eastAsia"/>
          <w:color w:val="auto"/>
        </w:rPr>
        <w:t>；</w:t>
      </w:r>
    </w:p>
    <w:p w14:paraId="1DB71C1A">
      <w:pPr>
        <w:pStyle w:val="94"/>
        <w:rPr>
          <w:color w:val="auto"/>
        </w:rPr>
      </w:pPr>
      <w:r>
        <w:rPr>
          <w:color w:val="auto"/>
        </w:rPr>
        <w:t>提供资料真实性承诺</w:t>
      </w:r>
      <w:r>
        <w:rPr>
          <w:rFonts w:hint="eastAsia"/>
          <w:color w:val="auto"/>
        </w:rPr>
        <w:t>；</w:t>
      </w:r>
    </w:p>
    <w:p w14:paraId="534ED693">
      <w:pPr>
        <w:pStyle w:val="94"/>
        <w:rPr>
          <w:color w:val="auto"/>
        </w:rPr>
      </w:pPr>
      <w:r>
        <w:rPr>
          <w:rFonts w:cs="Times New Roman"/>
          <w:color w:val="auto"/>
        </w:rPr>
        <w:t>营业执照</w:t>
      </w:r>
      <w:r>
        <w:rPr>
          <w:rFonts w:hint="eastAsia" w:cs="Times New Roman"/>
          <w:color w:val="auto"/>
        </w:rPr>
        <w:t>，</w:t>
      </w:r>
      <w:r>
        <w:rPr>
          <w:rFonts w:cs="Times New Roman"/>
          <w:bCs/>
          <w:color w:val="auto"/>
        </w:rPr>
        <w:t>统一社会信用代码</w:t>
      </w:r>
      <w:r>
        <w:rPr>
          <w:rFonts w:hint="eastAsia" w:cs="Times New Roman"/>
          <w:color w:val="auto"/>
        </w:rPr>
        <w:t>91530721MAC965193J</w:t>
      </w:r>
      <w:r>
        <w:rPr>
          <w:rFonts w:hint="eastAsia"/>
          <w:color w:val="auto"/>
        </w:rPr>
        <w:t>；</w:t>
      </w:r>
    </w:p>
    <w:p w14:paraId="78FA5FE2">
      <w:pPr>
        <w:pStyle w:val="94"/>
        <w:rPr>
          <w:color w:val="auto"/>
        </w:rPr>
      </w:pPr>
      <w:r>
        <w:rPr>
          <w:rFonts w:cs="Times New Roman"/>
          <w:color w:val="auto"/>
        </w:rPr>
        <w:t>采矿许可证</w:t>
      </w:r>
      <w:r>
        <w:rPr>
          <w:rFonts w:hint="eastAsia" w:cs="Times New Roman"/>
          <w:color w:val="auto"/>
        </w:rPr>
        <w:t>，</w:t>
      </w:r>
      <w:r>
        <w:rPr>
          <w:rFonts w:cs="Times New Roman"/>
          <w:color w:val="auto"/>
        </w:rPr>
        <w:t>证号</w:t>
      </w:r>
      <w:r>
        <w:rPr>
          <w:rFonts w:hint="eastAsia" w:cs="Times New Roman"/>
          <w:color w:val="auto"/>
        </w:rPr>
        <w:t>C5307212011087130117197</w:t>
      </w:r>
      <w:r>
        <w:rPr>
          <w:rFonts w:hint="eastAsia"/>
          <w:color w:val="auto"/>
        </w:rPr>
        <w:t>；</w:t>
      </w:r>
    </w:p>
    <w:p w14:paraId="6B22B230">
      <w:pPr>
        <w:pStyle w:val="94"/>
        <w:rPr>
          <w:color w:val="auto"/>
        </w:rPr>
      </w:pPr>
      <w:r>
        <w:rPr>
          <w:rFonts w:cs="Times New Roman"/>
          <w:color w:val="auto"/>
        </w:rPr>
        <w:t>《</w:t>
      </w:r>
      <w:r>
        <w:rPr>
          <w:rStyle w:val="56"/>
          <w:rFonts w:hint="eastAsia"/>
          <w:color w:val="auto"/>
          <w:u w:val="none"/>
        </w:rPr>
        <w:t>云南省玉龙县吉余砂石料厂建筑石料用灰岩矿地质勘查报告（2019年）</w:t>
      </w:r>
      <w:r>
        <w:rPr>
          <w:rFonts w:cs="Times New Roman"/>
          <w:color w:val="auto"/>
        </w:rPr>
        <w:t>》</w:t>
      </w:r>
      <w:r>
        <w:rPr>
          <w:rFonts w:hint="eastAsia" w:cs="宋体"/>
          <w:color w:val="auto"/>
        </w:rPr>
        <w:t>矿产资源储量评审备案证明</w:t>
      </w:r>
      <w:r>
        <w:rPr>
          <w:rStyle w:val="56"/>
          <w:rFonts w:hint="eastAsia"/>
          <w:color w:val="auto"/>
          <w:u w:val="none"/>
        </w:rPr>
        <w:t>（</w:t>
      </w:r>
      <w:r>
        <w:rPr>
          <w:rFonts w:hint="eastAsia"/>
          <w:snapToGrid w:val="0"/>
          <w:color w:val="auto"/>
          <w:kern w:val="0"/>
        </w:rPr>
        <w:t>云丽自然资储备字【2019】16号</w:t>
      </w:r>
      <w:r>
        <w:rPr>
          <w:rStyle w:val="56"/>
          <w:rFonts w:hint="eastAsia"/>
          <w:color w:val="auto"/>
          <w:u w:val="none"/>
        </w:rPr>
        <w:t>）</w:t>
      </w:r>
      <w:r>
        <w:rPr>
          <w:rFonts w:hint="eastAsia" w:cs="宋体"/>
          <w:color w:val="auto"/>
        </w:rPr>
        <w:t>及</w:t>
      </w:r>
      <w:r>
        <w:rPr>
          <w:rFonts w:hint="eastAsia" w:cs="Times New Roman"/>
          <w:color w:val="auto"/>
        </w:rPr>
        <w:t>评审意见书</w:t>
      </w:r>
      <w:r>
        <w:rPr>
          <w:rFonts w:hint="eastAsia"/>
          <w:snapToGrid w:val="0"/>
          <w:color w:val="auto"/>
          <w:kern w:val="0"/>
        </w:rPr>
        <w:t>（丽展华评储字【2019】009号）</w:t>
      </w:r>
      <w:r>
        <w:rPr>
          <w:rFonts w:hint="eastAsia" w:cs="Times New Roman"/>
          <w:snapToGrid w:val="0"/>
          <w:color w:val="auto"/>
          <w:kern w:val="0"/>
        </w:rPr>
        <w:t>；</w:t>
      </w:r>
    </w:p>
    <w:p w14:paraId="43861844">
      <w:pPr>
        <w:pStyle w:val="94"/>
        <w:rPr>
          <w:color w:val="auto"/>
        </w:rPr>
      </w:pPr>
      <w:r>
        <w:rPr>
          <w:rStyle w:val="56"/>
          <w:rFonts w:hint="eastAsia"/>
          <w:color w:val="auto"/>
          <w:u w:val="none"/>
        </w:rPr>
        <w:t>丽江市人民政府办公室关于印发丽江市非煤矿山转型升级</w:t>
      </w:r>
      <w:r>
        <w:rPr>
          <w:rStyle w:val="56"/>
          <w:rFonts w:hint="eastAsia" w:cs="Times New Roman"/>
          <w:color w:val="auto"/>
          <w:u w:val="none"/>
        </w:rPr>
        <w:t>实施方案的通知（丽政办发[2016]51号）；</w:t>
      </w:r>
    </w:p>
    <w:p w14:paraId="7627465D">
      <w:pPr>
        <w:pStyle w:val="94"/>
        <w:rPr>
          <w:color w:val="auto"/>
        </w:rPr>
      </w:pPr>
      <w:r>
        <w:rPr>
          <w:rStyle w:val="56"/>
          <w:rFonts w:hint="eastAsia" w:cs="宋体"/>
          <w:color w:val="auto"/>
          <w:u w:val="none"/>
        </w:rPr>
        <w:t>电力设施</w:t>
      </w:r>
      <w:r>
        <w:rPr>
          <w:rFonts w:hint="eastAsia" w:cs="Times New Roman"/>
          <w:color w:val="auto"/>
        </w:rPr>
        <w:t>保护</w:t>
      </w:r>
      <w:r>
        <w:rPr>
          <w:rStyle w:val="56"/>
          <w:rFonts w:hint="eastAsia" w:cs="宋体"/>
          <w:color w:val="auto"/>
          <w:u w:val="none"/>
        </w:rPr>
        <w:t>爆破安全协议</w:t>
      </w:r>
      <w:r>
        <w:rPr>
          <w:rFonts w:hint="eastAsia" w:cs="Times New Roman"/>
          <w:color w:val="auto"/>
        </w:rPr>
        <w:t>；</w:t>
      </w:r>
    </w:p>
    <w:p w14:paraId="62B95974">
      <w:pPr>
        <w:pStyle w:val="94"/>
        <w:rPr>
          <w:rStyle w:val="56"/>
          <w:rFonts w:cs="宋体"/>
          <w:color w:val="auto"/>
          <w:u w:val="none"/>
        </w:rPr>
      </w:pPr>
      <w:r>
        <w:rPr>
          <w:rStyle w:val="56"/>
          <w:rFonts w:hint="eastAsia" w:cs="宋体"/>
          <w:color w:val="auto"/>
          <w:u w:val="none"/>
        </w:rPr>
        <w:t>云南省林业和草原局准予行政许可决定书－使用林地审核同意书（云林许准〔2023〕1338号）；</w:t>
      </w:r>
    </w:p>
    <w:p w14:paraId="5D23E843">
      <w:pPr>
        <w:pStyle w:val="94"/>
        <w:rPr>
          <w:color w:val="auto"/>
        </w:rPr>
      </w:pPr>
      <w:r>
        <w:rPr>
          <w:rStyle w:val="56"/>
          <w:rFonts w:hint="eastAsia" w:cs="宋体"/>
          <w:color w:val="auto"/>
          <w:u w:val="none"/>
        </w:rPr>
        <w:t>玉龙县自然资源局停产证明</w:t>
      </w:r>
    </w:p>
    <w:p w14:paraId="4F60F21A">
      <w:pPr>
        <w:pStyle w:val="94"/>
        <w:rPr>
          <w:rStyle w:val="56"/>
          <w:color w:val="auto"/>
          <w:u w:val="none"/>
        </w:rPr>
      </w:pPr>
      <w:r>
        <w:rPr>
          <w:rStyle w:val="56"/>
          <w:rFonts w:hint="eastAsia" w:cs="Times New Roman"/>
          <w:color w:val="auto"/>
          <w:u w:val="none"/>
        </w:rPr>
        <w:t>《</w:t>
      </w:r>
      <w:r>
        <w:rPr>
          <w:rFonts w:hint="eastAsia" w:cs="Times New Roman"/>
          <w:color w:val="auto"/>
        </w:rPr>
        <w:t>玉龙县鼎康建材有限责任公司</w:t>
      </w:r>
      <w:r>
        <w:rPr>
          <w:rStyle w:val="56"/>
          <w:rFonts w:hint="eastAsia"/>
          <w:color w:val="auto"/>
          <w:u w:val="none"/>
        </w:rPr>
        <w:t>玉龙县吉余砂石料厂建筑石料用灰岩矿3</w:t>
      </w:r>
      <w:r>
        <w:rPr>
          <w:rStyle w:val="56"/>
          <w:rFonts w:hint="eastAsia" w:cs="Times New Roman"/>
          <w:color w:val="auto"/>
          <w:u w:val="none"/>
        </w:rPr>
        <w:t>0</w:t>
      </w:r>
      <w:r>
        <w:rPr>
          <w:rStyle w:val="56"/>
          <w:rFonts w:hint="eastAsia" w:cs="Times New Roman"/>
          <w:color w:val="auto"/>
          <w:u w:val="none"/>
          <w:lang w:val="zh-TW"/>
        </w:rPr>
        <w:t>万t/a露</w:t>
      </w:r>
      <w:r>
        <w:rPr>
          <w:rStyle w:val="56"/>
          <w:rFonts w:cs="Times New Roman"/>
          <w:color w:val="auto"/>
          <w:u w:val="none"/>
          <w:lang w:val="zh-TW"/>
        </w:rPr>
        <w:t>天</w:t>
      </w:r>
      <w:r>
        <w:rPr>
          <w:rStyle w:val="56"/>
          <w:color w:val="auto"/>
          <w:u w:val="none"/>
          <w:lang w:val="zh-TW"/>
        </w:rPr>
        <w:t>采矿工程</w:t>
      </w:r>
      <w:r>
        <w:rPr>
          <w:rStyle w:val="56"/>
          <w:rFonts w:hint="eastAsia"/>
          <w:color w:val="auto"/>
          <w:u w:val="none"/>
        </w:rPr>
        <w:t>初步设计（代可研）》封面、扉页、资质。</w:t>
      </w:r>
    </w:p>
    <w:p w14:paraId="3B42ECC8">
      <w:pPr>
        <w:widowControl/>
        <w:adjustRightInd/>
        <w:jc w:val="left"/>
        <w:rPr>
          <w:b/>
          <w:snapToGrid w:val="0"/>
          <w:color w:val="auto"/>
          <w:sz w:val="44"/>
          <w:szCs w:val="44"/>
        </w:rPr>
      </w:pPr>
      <w:bookmarkStart w:id="787" w:name="_Toc501120359"/>
      <w:bookmarkStart w:id="788" w:name="_Toc1667"/>
      <w:bookmarkStart w:id="789" w:name="_Toc329899609"/>
      <w:r>
        <w:rPr>
          <w:snapToGrid w:val="0"/>
          <w:color w:val="auto"/>
        </w:rPr>
        <w:br w:type="page"/>
      </w:r>
    </w:p>
    <w:p w14:paraId="758AE422">
      <w:pPr>
        <w:pStyle w:val="81"/>
        <w:numPr>
          <w:ilvl w:val="1"/>
          <w:numId w:val="0"/>
        </w:numPr>
        <w:spacing w:before="0" w:after="0"/>
        <w:jc w:val="center"/>
        <w:rPr>
          <w:rFonts w:cs="黑体"/>
          <w:color w:val="auto"/>
          <w:sz w:val="30"/>
          <w:szCs w:val="30"/>
        </w:rPr>
      </w:pPr>
      <w:bookmarkStart w:id="790" w:name="_Toc31512"/>
      <w:bookmarkStart w:id="791" w:name="_Toc9279"/>
      <w:r>
        <w:rPr>
          <w:rFonts w:hint="eastAsia" w:cs="黑体"/>
          <w:color w:val="auto"/>
          <w:sz w:val="30"/>
          <w:szCs w:val="30"/>
        </w:rPr>
        <w:t>6.2附图</w:t>
      </w:r>
      <w:bookmarkEnd w:id="787"/>
      <w:bookmarkEnd w:id="788"/>
      <w:bookmarkEnd w:id="789"/>
      <w:bookmarkEnd w:id="790"/>
      <w:bookmarkEnd w:id="791"/>
    </w:p>
    <w:p w14:paraId="2F9C896C">
      <w:pPr>
        <w:pStyle w:val="95"/>
        <w:rPr>
          <w:rFonts w:cs="Times New Roman"/>
          <w:color w:val="auto"/>
        </w:rPr>
      </w:pPr>
      <w:r>
        <w:rPr>
          <w:rFonts w:cs="Times New Roman"/>
          <w:color w:val="auto"/>
        </w:rPr>
        <w:t>地形地质</w:t>
      </w:r>
      <w:r>
        <w:rPr>
          <w:rFonts w:hint="eastAsia" w:cs="Times New Roman"/>
          <w:color w:val="auto"/>
        </w:rPr>
        <w:t>及矿区范围</w:t>
      </w:r>
      <w:r>
        <w:rPr>
          <w:rFonts w:cs="Times New Roman"/>
          <w:color w:val="auto"/>
        </w:rPr>
        <w:t>图</w:t>
      </w:r>
      <w:r>
        <w:rPr>
          <w:rFonts w:hint="eastAsia" w:cs="Times New Roman"/>
          <w:color w:val="auto"/>
        </w:rPr>
        <w:t>；</w:t>
      </w:r>
    </w:p>
    <w:p w14:paraId="7C1938C6">
      <w:pPr>
        <w:pStyle w:val="95"/>
        <w:rPr>
          <w:rFonts w:cs="Times New Roman"/>
          <w:color w:val="auto"/>
        </w:rPr>
      </w:pPr>
      <w:r>
        <w:rPr>
          <w:rFonts w:hint="eastAsia" w:cs="Times New Roman"/>
          <w:color w:val="auto"/>
        </w:rPr>
        <w:t>开采现状图；</w:t>
      </w:r>
    </w:p>
    <w:p w14:paraId="52CAD658">
      <w:pPr>
        <w:pStyle w:val="95"/>
        <w:rPr>
          <w:rFonts w:cs="Times New Roman"/>
          <w:color w:val="auto"/>
        </w:rPr>
      </w:pPr>
      <w:r>
        <w:rPr>
          <w:rFonts w:cs="Times New Roman"/>
          <w:color w:val="auto"/>
        </w:rPr>
        <w:t>总平面布置图；</w:t>
      </w:r>
    </w:p>
    <w:p w14:paraId="26F64605">
      <w:pPr>
        <w:pStyle w:val="95"/>
        <w:rPr>
          <w:rFonts w:cs="Times New Roman"/>
          <w:color w:val="auto"/>
        </w:rPr>
      </w:pPr>
      <w:r>
        <w:rPr>
          <w:rFonts w:cs="Times New Roman"/>
          <w:color w:val="auto"/>
        </w:rPr>
        <w:t>开拓</w:t>
      </w:r>
      <w:r>
        <w:rPr>
          <w:rFonts w:hint="eastAsia" w:cs="Times New Roman"/>
          <w:color w:val="auto"/>
        </w:rPr>
        <w:t>系统</w:t>
      </w:r>
      <w:r>
        <w:rPr>
          <w:rFonts w:cs="Times New Roman"/>
          <w:color w:val="auto"/>
        </w:rPr>
        <w:t>图；</w:t>
      </w:r>
    </w:p>
    <w:p w14:paraId="2E87EF97">
      <w:pPr>
        <w:pStyle w:val="95"/>
        <w:rPr>
          <w:rFonts w:cs="Times New Roman"/>
          <w:color w:val="auto"/>
        </w:rPr>
      </w:pPr>
      <w:r>
        <w:rPr>
          <w:rFonts w:hint="eastAsia" w:cs="Times New Roman"/>
          <w:color w:val="auto"/>
        </w:rPr>
        <w:t>开采</w:t>
      </w:r>
      <w:r>
        <w:rPr>
          <w:rFonts w:cs="Times New Roman"/>
          <w:color w:val="auto"/>
        </w:rPr>
        <w:t>终了平面图</w:t>
      </w:r>
      <w:r>
        <w:rPr>
          <w:rFonts w:hint="eastAsia" w:cs="Times New Roman"/>
          <w:color w:val="auto"/>
        </w:rPr>
        <w:t>；</w:t>
      </w:r>
    </w:p>
    <w:p w14:paraId="6A28265D">
      <w:pPr>
        <w:pStyle w:val="95"/>
        <w:rPr>
          <w:rFonts w:cs="Times New Roman"/>
          <w:color w:val="auto"/>
        </w:rPr>
      </w:pPr>
      <w:r>
        <w:rPr>
          <w:rFonts w:hint="eastAsia" w:cs="Times New Roman"/>
          <w:color w:val="auto"/>
        </w:rPr>
        <w:t>台阶布置剖面图；</w:t>
      </w:r>
    </w:p>
    <w:p w14:paraId="6440E413">
      <w:pPr>
        <w:pStyle w:val="95"/>
        <w:rPr>
          <w:rFonts w:cs="Times New Roman"/>
          <w:color w:val="auto"/>
        </w:rPr>
      </w:pPr>
      <w:r>
        <w:rPr>
          <w:rFonts w:cs="Times New Roman"/>
          <w:color w:val="auto"/>
        </w:rPr>
        <w:t>露天中深孔爆破示意图；</w:t>
      </w:r>
    </w:p>
    <w:p w14:paraId="37C00999">
      <w:pPr>
        <w:pStyle w:val="95"/>
        <w:rPr>
          <w:rFonts w:cs="Times New Roman"/>
          <w:color w:val="auto"/>
        </w:rPr>
      </w:pPr>
      <w:r>
        <w:rPr>
          <w:rFonts w:cs="Times New Roman"/>
          <w:color w:val="auto"/>
        </w:rPr>
        <w:t>露天开采采</w:t>
      </w:r>
      <w:r>
        <w:rPr>
          <w:rFonts w:hint="eastAsia" w:cs="Times New Roman"/>
          <w:color w:val="auto"/>
        </w:rPr>
        <w:t>剥</w:t>
      </w:r>
      <w:r>
        <w:rPr>
          <w:rFonts w:cs="Times New Roman"/>
          <w:color w:val="auto"/>
        </w:rPr>
        <w:t>工艺图</w:t>
      </w:r>
      <w:r>
        <w:rPr>
          <w:rFonts w:hint="eastAsia" w:cs="Times New Roman"/>
          <w:color w:val="auto"/>
        </w:rPr>
        <w:t>；</w:t>
      </w:r>
    </w:p>
    <w:p w14:paraId="79648CEC">
      <w:pPr>
        <w:pStyle w:val="95"/>
        <w:rPr>
          <w:rFonts w:cs="Times New Roman"/>
          <w:color w:val="auto"/>
        </w:rPr>
      </w:pPr>
      <w:r>
        <w:rPr>
          <w:rFonts w:cs="Times New Roman"/>
          <w:color w:val="auto"/>
        </w:rPr>
        <w:t xml:space="preserve">开拓运输道路纵、横剖面图 </w:t>
      </w:r>
      <w:r>
        <w:rPr>
          <w:rFonts w:hint="eastAsia" w:cs="Times New Roman"/>
          <w:color w:val="auto"/>
        </w:rPr>
        <w:t>；</w:t>
      </w:r>
    </w:p>
    <w:p w14:paraId="507A5D98">
      <w:pPr>
        <w:pStyle w:val="95"/>
        <w:rPr>
          <w:rFonts w:cs="Times New Roman"/>
          <w:color w:val="auto"/>
        </w:rPr>
      </w:pPr>
      <w:r>
        <w:rPr>
          <w:rFonts w:hint="eastAsia" w:cs="Times New Roman"/>
          <w:color w:val="auto"/>
        </w:rPr>
        <w:t>破碎系统生产示意图；</w:t>
      </w:r>
    </w:p>
    <w:p w14:paraId="350DEFA9">
      <w:pPr>
        <w:pStyle w:val="95"/>
        <w:rPr>
          <w:rFonts w:cs="Times New Roman"/>
          <w:color w:val="auto"/>
        </w:rPr>
      </w:pPr>
      <w:r>
        <w:rPr>
          <w:rFonts w:hint="eastAsia" w:cs="Times New Roman"/>
          <w:color w:val="auto"/>
        </w:rPr>
        <w:t>排土场设计</w:t>
      </w:r>
      <w:r>
        <w:rPr>
          <w:rFonts w:cs="Times New Roman"/>
          <w:color w:val="auto"/>
        </w:rPr>
        <w:t>图</w:t>
      </w:r>
      <w:r>
        <w:rPr>
          <w:rFonts w:hint="eastAsia" w:cs="Times New Roman"/>
          <w:color w:val="auto"/>
        </w:rPr>
        <w:t>；</w:t>
      </w:r>
    </w:p>
    <w:p w14:paraId="7C6B4290">
      <w:pPr>
        <w:pStyle w:val="95"/>
        <w:rPr>
          <w:rFonts w:cs="Times New Roman"/>
          <w:color w:val="auto"/>
        </w:rPr>
      </w:pPr>
      <w:r>
        <w:rPr>
          <w:rFonts w:cs="Times New Roman"/>
          <w:color w:val="auto"/>
        </w:rPr>
        <w:t>防排水系统图</w:t>
      </w:r>
      <w:r>
        <w:rPr>
          <w:rFonts w:hint="eastAsia" w:cs="Times New Roman"/>
          <w:color w:val="auto"/>
        </w:rPr>
        <w:t>；</w:t>
      </w:r>
    </w:p>
    <w:p w14:paraId="48F6E3B1">
      <w:pPr>
        <w:pStyle w:val="95"/>
        <w:rPr>
          <w:rFonts w:cs="Times New Roman"/>
          <w:color w:val="auto"/>
        </w:rPr>
      </w:pPr>
      <w:r>
        <w:rPr>
          <w:rFonts w:hint="eastAsia" w:cs="Times New Roman"/>
          <w:color w:val="auto"/>
        </w:rPr>
        <w:t>凹陷采坑排水设施设计图；</w:t>
      </w:r>
    </w:p>
    <w:p w14:paraId="4A892F04">
      <w:pPr>
        <w:pStyle w:val="95"/>
        <w:rPr>
          <w:rFonts w:cs="Times New Roman"/>
          <w:color w:val="auto"/>
        </w:rPr>
      </w:pPr>
      <w:r>
        <w:rPr>
          <w:rFonts w:cs="Times New Roman"/>
          <w:color w:val="auto"/>
        </w:rPr>
        <w:t>供电系统图</w:t>
      </w:r>
      <w:r>
        <w:rPr>
          <w:rFonts w:hint="eastAsia" w:cs="Times New Roman"/>
          <w:color w:val="auto"/>
        </w:rPr>
        <w:t>；</w:t>
      </w:r>
    </w:p>
    <w:p w14:paraId="71075138">
      <w:pPr>
        <w:pStyle w:val="95"/>
        <w:rPr>
          <w:rFonts w:cs="Times New Roman"/>
          <w:color w:val="auto"/>
        </w:rPr>
      </w:pPr>
      <w:r>
        <w:rPr>
          <w:rFonts w:hint="eastAsia" w:cs="Times New Roman"/>
          <w:color w:val="auto"/>
        </w:rPr>
        <w:t>设计开采境界资源量估算剖面图；</w:t>
      </w:r>
    </w:p>
    <w:p w14:paraId="0138DB45">
      <w:pPr>
        <w:pStyle w:val="95"/>
        <w:rPr>
          <w:rFonts w:cs="Times New Roman"/>
          <w:color w:val="auto"/>
        </w:rPr>
      </w:pPr>
      <w:r>
        <w:rPr>
          <w:rFonts w:hint="eastAsia" w:cs="Times New Roman"/>
          <w:color w:val="auto"/>
        </w:rPr>
        <w:t>资源量估算平面图。</w:t>
      </w:r>
    </w:p>
    <w:p w14:paraId="782B96CB">
      <w:pPr>
        <w:pStyle w:val="95"/>
        <w:numPr>
          <w:ilvl w:val="0"/>
          <w:numId w:val="0"/>
        </w:numPr>
        <w:ind w:left="561"/>
        <w:rPr>
          <w:color w:val="auto"/>
        </w:rPr>
      </w:pPr>
    </w:p>
    <w:sectPr>
      <w:footerReference r:id="rId7" w:type="default"/>
      <w:pgSz w:w="11906" w:h="16838"/>
      <w:pgMar w:top="1417" w:right="1134" w:bottom="1134" w:left="1587" w:header="851" w:footer="850" w:gutter="0"/>
      <w:pgNumType w:start="1"/>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体-10Point">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Roman PS">
    <w:altName w:val="GENISO"/>
    <w:panose1 w:val="00000000000000000000"/>
    <w:charset w:val="00"/>
    <w:family w:val="roman"/>
    <w:pitch w:val="default"/>
    <w:sig w:usb0="00000000" w:usb1="00000000" w:usb2="00000000" w:usb3="00000000" w:csb0="00000001" w:csb1="00000000"/>
  </w:font>
  <w:font w:name="GENISO">
    <w:panose1 w:val="02000400000000000000"/>
    <w:charset w:val="00"/>
    <w:family w:val="auto"/>
    <w:pitch w:val="default"/>
    <w:sig w:usb0="00000003" w:usb1="00000000" w:usb2="00000040" w:usb3="00000000" w:csb0="000001FF" w:csb1="00000000"/>
  </w:font>
  <w:font w:name="仿宋_GB2312">
    <w:altName w:val="仿宋"/>
    <w:panose1 w:val="00000000000000000000"/>
    <w:charset w:val="86"/>
    <w:family w:val="auto"/>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Arail">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4F81">
    <w:pPr>
      <w:pStyle w:val="32"/>
      <w:rPr>
        <w:sz w:val="21"/>
        <w:szCs w:val="21"/>
      </w:rPr>
    </w:pPr>
    <w:r>
      <w:rPr>
        <w:rFonts w:hint="eastAsia" w:ascii="楷体" w:hAnsi="楷体" w:eastAsia="楷体" w:cs="楷体"/>
      </w:rPr>
      <w:drawing>
        <wp:inline distT="0" distB="0" distL="114300" distR="114300">
          <wp:extent cx="363855" cy="136525"/>
          <wp:effectExtent l="0" t="0" r="0" b="15875"/>
          <wp:docPr id="4"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color w:val="000000"/>
        <w:kern w:val="0"/>
        <w:sz w:val="21"/>
        <w:szCs w:val="21"/>
        <w:lang w:bidi="zh-CN"/>
      </w:rPr>
      <w:t>辽宁诺诚安全科技有限公司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DBB0">
    <w:pPr>
      <w:pStyle w:val="32"/>
      <w:rPr>
        <w:sz w:val="21"/>
        <w:szCs w:val="21"/>
      </w:rPr>
    </w:pPr>
    <w:r>
      <w:rPr>
        <w:rFonts w:hint="eastAsia" w:ascii="楷体" w:hAnsi="楷体" w:eastAsia="楷体" w:cs="楷体"/>
      </w:rPr>
      <w:drawing>
        <wp:inline distT="0" distB="0" distL="114300" distR="114300">
          <wp:extent cx="363855" cy="136525"/>
          <wp:effectExtent l="0" t="0" r="0" b="15875"/>
          <wp:docPr id="82"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color w:val="000000"/>
        <w:kern w:val="0"/>
        <w:sz w:val="21"/>
        <w:szCs w:val="21"/>
        <w:lang w:bidi="zh-CN"/>
      </w:rPr>
      <w:t>辽宁诺诚安全科技有限公司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B78C4">
    <w:pPr>
      <w:pStyle w:val="32"/>
      <w:rPr>
        <w:sz w:val="21"/>
        <w:szCs w:val="21"/>
      </w:rPr>
    </w:pPr>
    <w:r>
      <w:rPr>
        <w:rFonts w:hint="eastAsia" w:ascii="楷体" w:hAnsi="楷体" w:eastAsia="楷体" w:cs="楷体"/>
      </w:rPr>
      <w:drawing>
        <wp:inline distT="0" distB="0" distL="114300" distR="114300">
          <wp:extent cx="363855" cy="136525"/>
          <wp:effectExtent l="0" t="0" r="0" b="15875"/>
          <wp:docPr id="10" name="图片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 descr="2"/>
                  <pic:cNvPicPr>
                    <a:picLocks noChangeAspect="1"/>
                  </pic:cNvPicPr>
                </pic:nvPicPr>
                <pic:blipFill>
                  <a:blip r:embed="rId1"/>
                  <a:srcRect t="9578" b="16475"/>
                  <a:stretch>
                    <a:fillRect/>
                  </a:stretch>
                </pic:blipFill>
                <pic:spPr>
                  <a:xfrm>
                    <a:off x="0" y="0"/>
                    <a:ext cx="363855" cy="136525"/>
                  </a:xfrm>
                  <a:prstGeom prst="rect">
                    <a:avLst/>
                  </a:prstGeom>
                  <a:noFill/>
                  <a:ln>
                    <a:noFill/>
                  </a:ln>
                </pic:spPr>
              </pic:pic>
            </a:graphicData>
          </a:graphic>
        </wp:inline>
      </w:drawing>
    </w:r>
    <w:r>
      <w:rPr>
        <w:rFonts w:hint="eastAsia" w:ascii="楷体" w:hAnsi="楷体" w:eastAsia="楷体" w:cs="楷体"/>
        <w:color w:val="000000"/>
        <w:kern w:val="0"/>
        <w:sz w:val="21"/>
        <w:szCs w:val="21"/>
        <w:lang w:bidi="zh-CN"/>
      </w:rPr>
      <w:t>辽宁诺诚安全科技有限公司</w:t>
    </w: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0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247107">
                          <w:pPr>
                            <w:pStyle w:val="32"/>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kI1DM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kKFg3fc4sjPP3+cf/05//5O&#10;llmgPkCNeXcBM9PwwQ+YPPsBnZn3oKLNX2REMI7yni7yyiERkR+tlqtVhSGBsfmC+OzpeYiQPkpv&#10;STYaGnF+RVZ+/AxpTJ1TcjXnb7UxZYbG/eVAzOxhufexx2ylYTdMhHa+PSGfHkffUIebTon55FDZ&#10;vCWzEWdjNxm5BoT3h4SFSz8ZdYSaiuGcCqNpp/IiPL+XrKf/aPMI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ZCNQzCAQAAjwMAAA4AAAAAAAAAAQAgAAAAHgEAAGRycy9lMm9Eb2MueG1sUEsF&#10;BgAAAAAGAAYAWQEAAFIFAAAAAA==&#10;">
              <v:fill on="f" focussize="0,0"/>
              <v:stroke on="f"/>
              <v:imagedata o:title=""/>
              <o:lock v:ext="edit" aspectratio="f"/>
              <v:textbox inset="0mm,0mm,0mm,0mm" style="mso-fit-shape-to-text:t;">
                <w:txbxContent>
                  <w:p w14:paraId="71247107">
                    <w:pPr>
                      <w:pStyle w:val="3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1351A">
    <w:pPr>
      <w:pStyle w:val="32"/>
      <w:pBdr>
        <w:top w:val="single" w:color="auto" w:sz="4" w:space="1"/>
        <w:left w:val="none" w:color="auto" w:sz="0" w:space="4"/>
        <w:bottom w:val="none" w:color="auto" w:sz="0" w:space="1"/>
        <w:right w:val="none" w:color="auto" w:sz="0" w:space="4"/>
      </w:pBdr>
      <w:jc w:val="both"/>
      <w:rPr>
        <w:rFonts w:ascii="楷体" w:hAnsi="楷体" w:eastAsia="楷体" w:cs="楷体"/>
        <w:sz w:val="21"/>
        <w:szCs w:val="21"/>
      </w:rPr>
    </w:pPr>
    <w:r>
      <w:rPr>
        <w:rFonts w:hint="eastAsia"/>
      </w:rPr>
      <w:drawing>
        <wp:inline distT="0" distB="0" distL="114300" distR="114300">
          <wp:extent cx="361315" cy="136525"/>
          <wp:effectExtent l="0" t="0" r="0" b="15875"/>
          <wp:docPr id="5" name="图片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descr="2"/>
                  <pic:cNvPicPr>
                    <a:picLocks noChangeAspect="1"/>
                  </pic:cNvPicPr>
                </pic:nvPicPr>
                <pic:blipFill>
                  <a:blip r:embed="rId1"/>
                  <a:srcRect t="9578" b="16475"/>
                  <a:stretch>
                    <a:fillRect/>
                  </a:stretch>
                </pic:blipFill>
                <pic:spPr>
                  <a:xfrm>
                    <a:off x="0" y="0"/>
                    <a:ext cx="361315" cy="136525"/>
                  </a:xfrm>
                  <a:prstGeom prst="rect">
                    <a:avLst/>
                  </a:prstGeom>
                  <a:noFill/>
                  <a:ln>
                    <a:noFill/>
                  </a:ln>
                </pic:spPr>
              </pic:pic>
            </a:graphicData>
          </a:graphic>
        </wp:inline>
      </w:drawing>
    </w:r>
    <w:r>
      <w:rPr>
        <w:rFonts w:hint="eastAsia" w:ascii="楷体" w:hAnsi="楷体" w:eastAsia="楷体" w:cs="楷体"/>
        <w:sz w:val="21"/>
        <w:szCs w:val="21"/>
      </w:rPr>
      <mc:AlternateContent>
        <mc:Choice Requires="wps">
          <w:drawing>
            <wp:anchor distT="0" distB="0" distL="114300" distR="114300" simplePos="0" relativeHeight="251660288" behindDoc="0" locked="0" layoutInCell="1" allowOverlap="1">
              <wp:simplePos x="0" y="0"/>
              <wp:positionH relativeFrom="margin">
                <wp:posOffset>5579110</wp:posOffset>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99FF3B7">
                          <w:pPr>
                            <w:pStyle w:val="32"/>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left:439.3pt;margin-top:0pt;height:144pt;width:144pt;mso-position-horizontal-relative:margin;mso-wrap-style:none;z-index:251660288;mso-width-relative:page;mso-height-relative:page;" filled="f" stroked="f" coordsize="21600,21600" o:gfxdata="UEsDBAoAAAAAAIdO4kAAAAAAAAAAAAAAAAAEAAAAZHJzL1BLAwQUAAAACACHTuJAMfy1ddUAAAAJ&#10;AQAADwAAAGRycy9kb3ducmV2LnhtbE2PMU/DMBSEdyT+g/WQ2KidgoIV4lSiIoxINB0Y3fiRpI2f&#10;I9tNw7/HnWA83enuu3Kz2JHN6MPgSEG2EsCQWmcG6hTsm/pBAgtRk9GjI1TwgwE21e1NqQvjLvSJ&#10;8y52LJVQKLSCPsap4Dy0PVodVm5CSt6381bHJH3HjdeXVG5HvhYi51YPlBZ6PeG2x/a0O1sF27pp&#10;/IzBj1/4Xj8eP16f8G1R6v4uEy/AIi7xLwxX/IQOVWI6uDOZwEYF8lnmKaogPbraWZ4nfVCwllIA&#10;r0r+/0H1C1BLAwQUAAAACACHTuJAD72vNcsBAACWAwAADgAAAGRycy9lMm9Eb2MueG1srVPNjtMw&#10;EL4j8Q6W7zTZInarqO4KVC1CQoC0ywO4jt1Y8p88bpO+ALwBJy7cea4+B2Mn6aLlsgcuzoxn/M18&#10;30zWt4M15CgjaO8YvVrUlEgnfKvdntGvD3evVpRA4q7lxjvJ6EkCvd28fLHuQyOXvvOmlZEgiIOm&#10;D4x2KYWmqkB00nJY+CAdBpWPlid0475qI+8R3ZpqWdfXVe9jG6IXEgBvt2OQTojxOYBeKS3k1ouD&#10;lS6NqFEanpASdDoA3ZRulZIifVYKZCKGUWSayolF0N7ls9qsebOPPHRaTC3w57TwhJPl2mHRC9SW&#10;J04OUf8DZbWIHrxKC+FtNRIpiiCLq/qJNvcdD7JwQakhXESH/wcrPh2/RKJbRm8ocdziwM8/vp9/&#10;/j7/+kZusjx9gAaz7gPmpeGdH3Bp5nvAy8x6UNHmL/IhGEdxTxdx5ZCIyI9Wy9WqxpDA2OwgfvX4&#10;PERI76W3JBuMRpxeEZUfP0IaU+eUXM35O21MmaBxpGf0+vWbujy4RBDcOKyRSYzNZisNu2FitvPt&#10;CYn1uAGMOlx4SswHhwLnZZmNOBu7ycjVIbw9JOygNJZRR6ipGI6rUJtWK+/D337JevydN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fy1ddUAAAAJAQAADwAAAAAAAAABACAAAAAiAAAAZHJzL2Rv&#10;d25yZXYueG1sUEsBAhQAFAAAAAgAh07iQA+9rzXLAQAAlgMAAA4AAAAAAAAAAQAgAAAAJAEAAGRy&#10;cy9lMm9Eb2MueG1sUEsFBgAAAAAGAAYAWQEAAGEFAAAAAA==&#10;">
              <v:fill on="f" focussize="0,0"/>
              <v:stroke on="f" weight="0.5pt"/>
              <v:imagedata o:title=""/>
              <o:lock v:ext="edit" aspectratio="f"/>
              <v:textbox inset="0mm,0mm,0mm,0mm" style="mso-fit-shape-to-text:t;">
                <w:txbxContent>
                  <w:p w14:paraId="599FF3B7">
                    <w:pPr>
                      <w:pStyle w:val="32"/>
                    </w:pPr>
                    <w:r>
                      <w:rPr>
                        <w:rFonts w:hint="eastAsia"/>
                      </w:rPr>
                      <w:fldChar w:fldCharType="begin"/>
                    </w:r>
                    <w:r>
                      <w:rPr>
                        <w:rFonts w:hint="eastAsia"/>
                      </w:rPr>
                      <w:instrText xml:space="preserve"> PAGE  \* MERGEFORMAT </w:instrText>
                    </w:r>
                    <w:r>
                      <w:rPr>
                        <w:rFonts w:hint="eastAsia"/>
                      </w:rPr>
                      <w:fldChar w:fldCharType="separate"/>
                    </w:r>
                    <w:r>
                      <w:t>I</w:t>
                    </w:r>
                    <w:r>
                      <w:rPr>
                        <w:rFonts w:hint="eastAsia"/>
                      </w:rPr>
                      <w:fldChar w:fldCharType="end"/>
                    </w:r>
                  </w:p>
                </w:txbxContent>
              </v:textbox>
            </v:shape>
          </w:pict>
        </mc:Fallback>
      </mc:AlternateContent>
    </w:r>
    <w:r>
      <w:rPr>
        <w:rFonts w:hint="eastAsia" w:ascii="楷体" w:hAnsi="楷体" w:eastAsia="楷体" w:cs="楷体"/>
        <w:sz w:val="21"/>
        <w:szCs w:val="21"/>
      </w:rPr>
      <w:t>辽宁诺诚安全科技有限公司</w:t>
    </w:r>
  </w:p>
  <w:p w14:paraId="158370B5">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1ACAE">
    <w:pPr>
      <w:pBdr>
        <w:bottom w:val="single" w:color="auto" w:sz="4" w:space="0"/>
      </w:pBdr>
      <w:autoSpaceDE w:val="0"/>
      <w:autoSpaceDN w:val="0"/>
      <w:snapToGrid w:val="0"/>
      <w:jc w:val="center"/>
      <w:rPr>
        <w:rFonts w:ascii="楷体" w:hAnsi="楷体" w:eastAsia="楷体" w:cs="楷体"/>
        <w:color w:val="000000"/>
        <w:spacing w:val="-11"/>
        <w:kern w:val="0"/>
        <w:lang w:val="zh-TW" w:bidi="zh-CN"/>
      </w:rPr>
    </w:pPr>
    <w:r>
      <w:rPr>
        <w:rFonts w:hint="eastAsia" w:ascii="楷体" w:hAnsi="楷体" w:eastAsia="楷体" w:cs="楷体"/>
        <w:color w:val="000000"/>
        <w:spacing w:val="-11"/>
        <w:kern w:val="0"/>
        <w:lang w:bidi="zh-CN"/>
      </w:rPr>
      <w:t>玉龙县鼎康建材有限责任公司玉龙县吉余砂石料厂建筑石料用灰岩矿30</w:t>
    </w:r>
    <w:r>
      <w:rPr>
        <w:rFonts w:hint="eastAsia" w:ascii="楷体" w:hAnsi="楷体" w:eastAsia="楷体" w:cs="楷体"/>
        <w:color w:val="000000"/>
        <w:spacing w:val="-11"/>
        <w:kern w:val="0"/>
        <w:lang w:val="zh-TW" w:bidi="zh-CN"/>
      </w:rPr>
      <w:t>万t/a</w:t>
    </w:r>
    <w:r>
      <w:rPr>
        <w:rFonts w:ascii="楷体" w:hAnsi="楷体" w:eastAsia="楷体" w:cs="楷体"/>
        <w:color w:val="000000"/>
        <w:spacing w:val="-11"/>
        <w:kern w:val="0"/>
        <w:lang w:val="zh-TW" w:bidi="zh-CN"/>
      </w:rPr>
      <w:t>露天采矿工程安全</w:t>
    </w:r>
    <w:r>
      <w:rPr>
        <w:rFonts w:hint="eastAsia" w:ascii="楷体" w:hAnsi="楷体" w:eastAsia="楷体" w:cs="楷体"/>
        <w:color w:val="000000"/>
        <w:spacing w:val="-11"/>
        <w:kern w:val="0"/>
        <w:lang w:val="zh-TW" w:bidi="zh-CN"/>
      </w:rPr>
      <w:t>预评价报告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4A6F3"/>
    <w:multiLevelType w:val="singleLevel"/>
    <w:tmpl w:val="80E4A6F3"/>
    <w:lvl w:ilvl="0" w:tentative="0">
      <w:start w:val="1"/>
      <w:numFmt w:val="decimal"/>
      <w:pStyle w:val="240"/>
      <w:lvlText w:val="%1."/>
      <w:lvlJc w:val="left"/>
      <w:pPr>
        <w:ind w:left="425" w:hanging="425"/>
      </w:pPr>
      <w:rPr>
        <w:rFonts w:hint="default"/>
      </w:rPr>
    </w:lvl>
  </w:abstractNum>
  <w:abstractNum w:abstractNumId="1">
    <w:nsid w:val="914DC52A"/>
    <w:multiLevelType w:val="singleLevel"/>
    <w:tmpl w:val="914DC52A"/>
    <w:lvl w:ilvl="0" w:tentative="0">
      <w:start w:val="1"/>
      <w:numFmt w:val="decimal"/>
      <w:lvlText w:val="%1."/>
      <w:lvlJc w:val="left"/>
      <w:pPr>
        <w:ind w:left="425" w:hanging="425"/>
      </w:pPr>
      <w:rPr>
        <w:rFonts w:hint="default"/>
      </w:rPr>
    </w:lvl>
  </w:abstractNum>
  <w:abstractNum w:abstractNumId="2">
    <w:nsid w:val="B6B37AB5"/>
    <w:multiLevelType w:val="singleLevel"/>
    <w:tmpl w:val="B6B37AB5"/>
    <w:lvl w:ilvl="0" w:tentative="0">
      <w:start w:val="1"/>
      <w:numFmt w:val="decimal"/>
      <w:lvlText w:val="%1."/>
      <w:lvlJc w:val="left"/>
      <w:pPr>
        <w:ind w:left="425" w:hanging="425"/>
      </w:pPr>
      <w:rPr>
        <w:rFonts w:hint="default"/>
      </w:rPr>
    </w:lvl>
  </w:abstractNum>
  <w:abstractNum w:abstractNumId="3">
    <w:nsid w:val="C5897DBC"/>
    <w:multiLevelType w:val="singleLevel"/>
    <w:tmpl w:val="C5897DBC"/>
    <w:lvl w:ilvl="0" w:tentative="0">
      <w:start w:val="1"/>
      <w:numFmt w:val="decimal"/>
      <w:lvlText w:val="%1."/>
      <w:lvlJc w:val="left"/>
      <w:pPr>
        <w:ind w:left="425" w:hanging="425"/>
      </w:pPr>
      <w:rPr>
        <w:rFonts w:hint="default"/>
      </w:rPr>
    </w:lvl>
  </w:abstractNum>
  <w:abstractNum w:abstractNumId="4">
    <w:nsid w:val="CFEB63D4"/>
    <w:multiLevelType w:val="singleLevel"/>
    <w:tmpl w:val="CFEB63D4"/>
    <w:lvl w:ilvl="0" w:tentative="0">
      <w:start w:val="1"/>
      <w:numFmt w:val="decimal"/>
      <w:lvlText w:val="%1."/>
      <w:lvlJc w:val="left"/>
      <w:pPr>
        <w:ind w:left="425" w:hanging="425"/>
      </w:pPr>
      <w:rPr>
        <w:rFonts w:hint="default"/>
      </w:rPr>
    </w:lvl>
  </w:abstractNum>
  <w:abstractNum w:abstractNumId="5">
    <w:nsid w:val="D085C052"/>
    <w:multiLevelType w:val="singleLevel"/>
    <w:tmpl w:val="D085C052"/>
    <w:lvl w:ilvl="0" w:tentative="0">
      <w:start w:val="1"/>
      <w:numFmt w:val="decimal"/>
      <w:lvlText w:val="%1."/>
      <w:lvlJc w:val="left"/>
      <w:pPr>
        <w:ind w:left="425" w:hanging="425"/>
      </w:pPr>
      <w:rPr>
        <w:rFonts w:hint="default"/>
      </w:rPr>
    </w:lvl>
  </w:abstractNum>
  <w:abstractNum w:abstractNumId="6">
    <w:nsid w:val="D66FBDA8"/>
    <w:multiLevelType w:val="singleLevel"/>
    <w:tmpl w:val="D66FBDA8"/>
    <w:lvl w:ilvl="0" w:tentative="0">
      <w:start w:val="1"/>
      <w:numFmt w:val="decimal"/>
      <w:lvlText w:val="%1."/>
      <w:lvlJc w:val="left"/>
      <w:pPr>
        <w:ind w:left="425" w:hanging="425"/>
      </w:pPr>
      <w:rPr>
        <w:rFonts w:hint="default"/>
      </w:rPr>
    </w:lvl>
  </w:abstractNum>
  <w:abstractNum w:abstractNumId="7">
    <w:nsid w:val="E523FE4C"/>
    <w:multiLevelType w:val="singleLevel"/>
    <w:tmpl w:val="E523FE4C"/>
    <w:lvl w:ilvl="0" w:tentative="0">
      <w:start w:val="1"/>
      <w:numFmt w:val="decimal"/>
      <w:lvlText w:val="%1."/>
      <w:lvlJc w:val="left"/>
      <w:pPr>
        <w:ind w:left="425" w:hanging="425"/>
      </w:pPr>
      <w:rPr>
        <w:rFonts w:hint="default"/>
      </w:rPr>
    </w:lvl>
  </w:abstractNum>
  <w:abstractNum w:abstractNumId="8">
    <w:nsid w:val="E6061E8D"/>
    <w:multiLevelType w:val="singleLevel"/>
    <w:tmpl w:val="E6061E8D"/>
    <w:lvl w:ilvl="0" w:tentative="0">
      <w:start w:val="1"/>
      <w:numFmt w:val="decimal"/>
      <w:lvlText w:val="%1."/>
      <w:lvlJc w:val="left"/>
      <w:pPr>
        <w:ind w:left="285" w:hanging="425"/>
      </w:pPr>
      <w:rPr>
        <w:rFonts w:hint="default"/>
      </w:rPr>
    </w:lvl>
  </w:abstractNum>
  <w:abstractNum w:abstractNumId="9">
    <w:nsid w:val="FE45F1D5"/>
    <w:multiLevelType w:val="singleLevel"/>
    <w:tmpl w:val="FE45F1D5"/>
    <w:lvl w:ilvl="0" w:tentative="0">
      <w:start w:val="1"/>
      <w:numFmt w:val="decimal"/>
      <w:lvlText w:val="%1."/>
      <w:lvlJc w:val="left"/>
      <w:pPr>
        <w:ind w:left="425" w:hanging="425"/>
      </w:pPr>
      <w:rPr>
        <w:rFonts w:hint="default"/>
      </w:rPr>
    </w:lvl>
  </w:abstractNum>
  <w:abstractNum w:abstractNumId="10">
    <w:nsid w:val="071ED07C"/>
    <w:multiLevelType w:val="singleLevel"/>
    <w:tmpl w:val="071ED07C"/>
    <w:lvl w:ilvl="0" w:tentative="0">
      <w:start w:val="1"/>
      <w:numFmt w:val="decimal"/>
      <w:lvlText w:val="%1."/>
      <w:lvlJc w:val="left"/>
      <w:pPr>
        <w:ind w:left="425" w:hanging="425"/>
      </w:pPr>
      <w:rPr>
        <w:rFonts w:hint="default"/>
      </w:rPr>
    </w:lvl>
  </w:abstractNum>
  <w:abstractNum w:abstractNumId="11">
    <w:nsid w:val="181048B2"/>
    <w:multiLevelType w:val="multilevel"/>
    <w:tmpl w:val="181048B2"/>
    <w:lvl w:ilvl="0" w:tentative="0">
      <w:start w:val="1"/>
      <w:numFmt w:val="chineseCountingThousand"/>
      <w:pStyle w:val="77"/>
      <w:isLgl/>
      <w:suff w:val="nothing"/>
      <w:lvlText w:val="第%1章"/>
      <w:lvlJc w:val="left"/>
      <w:pPr>
        <w:ind w:left="0" w:firstLine="0"/>
      </w:pPr>
      <w:rPr>
        <w:rFonts w:hint="default" w:ascii="Times New Roman" w:hAnsi="Times New Roman" w:eastAsia="宋体"/>
        <w:b/>
        <w:bCs w:val="0"/>
        <w:i w:val="0"/>
        <w:iCs w:val="0"/>
        <w:caps w:val="0"/>
        <w:smallCaps w:val="0"/>
        <w:strike w:val="0"/>
        <w:dstrike w:val="0"/>
        <w:outline w:val="0"/>
        <w:shadow w:val="0"/>
        <w:emboss w:val="0"/>
        <w:imprint w:val="0"/>
        <w:vanish w:val="0"/>
        <w:color w:val="000000"/>
        <w:spacing w:val="0"/>
        <w:kern w:val="0"/>
        <w:position w:val="0"/>
        <w:sz w:val="44"/>
        <w:u w:val="none"/>
        <w:vertAlign w:val="baseline"/>
      </w:rPr>
    </w:lvl>
    <w:lvl w:ilvl="1" w:tentative="0">
      <w:start w:val="1"/>
      <w:numFmt w:val="decimal"/>
      <w:pStyle w:val="81"/>
      <w:isLgl/>
      <w:suff w:val="nothing"/>
      <w:lvlText w:val="%1.%2"/>
      <w:lvlJc w:val="left"/>
      <w:pPr>
        <w:ind w:left="0" w:firstLine="0"/>
      </w:pPr>
      <w:rPr>
        <w:rFonts w:hint="default" w:ascii="Times New Roman" w:hAnsi="Times New Roman" w:eastAsia="宋体"/>
        <w:b/>
        <w:bCs w:val="0"/>
        <w:i w:val="0"/>
        <w:iCs w:val="0"/>
        <w:caps w:val="0"/>
        <w:smallCaps w:val="0"/>
        <w:strike w:val="0"/>
        <w:dstrike w:val="0"/>
        <w:outline w:val="0"/>
        <w:shadow w:val="0"/>
        <w:emboss w:val="0"/>
        <w:imprint w:val="0"/>
        <w:vanish w:val="0"/>
        <w:color w:val="000000"/>
        <w:spacing w:val="0"/>
        <w:kern w:val="0"/>
        <w:position w:val="0"/>
        <w:sz w:val="32"/>
        <w:u w:val="none"/>
        <w:vertAlign w:val="baseline"/>
      </w:rPr>
    </w:lvl>
    <w:lvl w:ilvl="2" w:tentative="0">
      <w:start w:val="1"/>
      <w:numFmt w:val="decimal"/>
      <w:pStyle w:val="82"/>
      <w:isLgl/>
      <w:suff w:val="nothing"/>
      <w:lvlText w:val="%1.%2.%3"/>
      <w:lvlJc w:val="left"/>
      <w:pPr>
        <w:ind w:left="0" w:firstLine="0"/>
      </w:pPr>
      <w:rPr>
        <w:rFonts w:hint="default" w:ascii="Times New Roman" w:hAnsi="Times New Roman" w:eastAsia="宋体"/>
        <w:b/>
        <w:bCs w:val="0"/>
        <w:i w:val="0"/>
        <w:iCs w:val="0"/>
        <w:caps w:val="0"/>
        <w:smallCaps w:val="0"/>
        <w:strike w:val="0"/>
        <w:dstrike w:val="0"/>
        <w:outline w:val="0"/>
        <w:shadow w:val="0"/>
        <w:emboss w:val="0"/>
        <w:imprint w:val="0"/>
        <w:vanish w:val="0"/>
        <w:color w:val="000000"/>
        <w:spacing w:val="0"/>
        <w:kern w:val="0"/>
        <w:position w:val="0"/>
        <w:sz w:val="32"/>
        <w:u w:val="none"/>
        <w:vertAlign w:val="baseline"/>
      </w:rPr>
    </w:lvl>
    <w:lvl w:ilvl="3" w:tentative="0">
      <w:start w:val="1"/>
      <w:numFmt w:val="decimal"/>
      <w:pStyle w:val="85"/>
      <w:isLgl/>
      <w:suff w:val="nothing"/>
      <w:lvlText w:val="%1.%2.%3.%4"/>
      <w:lvlJc w:val="left"/>
      <w:pPr>
        <w:ind w:left="1135" w:firstLine="0"/>
      </w:pPr>
      <w:rPr>
        <w:rFonts w:hint="default" w:ascii="Times New Roman" w:hAnsi="Times New Roman" w:eastAsia="宋体"/>
        <w:b/>
        <w:bCs w:val="0"/>
        <w:i w:val="0"/>
        <w:iCs w:val="0"/>
        <w:caps w:val="0"/>
        <w:smallCaps w:val="0"/>
        <w:strike w:val="0"/>
        <w:dstrike w:val="0"/>
        <w:outline w:val="0"/>
        <w:shadow w:val="0"/>
        <w:emboss w:val="0"/>
        <w:imprint w:val="0"/>
        <w:vanish w:val="0"/>
        <w:color w:val="000000"/>
        <w:spacing w:val="0"/>
        <w:kern w:val="0"/>
        <w:position w:val="0"/>
        <w:sz w:val="28"/>
        <w:u w:val="none"/>
        <w:vertAlign w:val="baseline"/>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2">
    <w:nsid w:val="1EA969CA"/>
    <w:multiLevelType w:val="multilevel"/>
    <w:tmpl w:val="1EA969CA"/>
    <w:lvl w:ilvl="0" w:tentative="0">
      <w:start w:val="1"/>
      <w:numFmt w:val="decimal"/>
      <w:pStyle w:val="95"/>
      <w:lvlText w:val="附图%1、"/>
      <w:lvlJc w:val="left"/>
      <w:pPr>
        <w:tabs>
          <w:tab w:val="left" w:pos="561"/>
        </w:tabs>
        <w:ind w:left="0" w:firstLine="561"/>
      </w:pPr>
      <w:rPr>
        <w:rFonts w:hint="default" w:ascii="Times New Roman" w:hAnsi="Times New Roman" w:eastAsia="宋体"/>
        <w:b w:val="0"/>
        <w:i w:val="0"/>
        <w:sz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3B0A414C"/>
    <w:multiLevelType w:val="multilevel"/>
    <w:tmpl w:val="3B0A414C"/>
    <w:lvl w:ilvl="0" w:tentative="0">
      <w:start w:val="1"/>
      <w:numFmt w:val="decimal"/>
      <w:pStyle w:val="89"/>
      <w:lvlText w:val="%1）"/>
      <w:lvlJc w:val="left"/>
      <w:pPr>
        <w:ind w:left="0" w:firstLine="56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4">
    <w:nsid w:val="3D2C140D"/>
    <w:multiLevelType w:val="multilevel"/>
    <w:tmpl w:val="3D2C140D"/>
    <w:lvl w:ilvl="0" w:tentative="0">
      <w:start w:val="1"/>
      <w:numFmt w:val="decimal"/>
      <w:pStyle w:val="73"/>
      <w:suff w:val="nothing"/>
      <w:lvlText w:val="%1、"/>
      <w:lvlJc w:val="left"/>
      <w:pPr>
        <w:ind w:left="69" w:firstLine="561"/>
      </w:pPr>
      <w:rPr>
        <w:rFonts w:hint="default" w:ascii="Times New Roman" w:hAnsi="Times New Roman" w:eastAsia="宋体"/>
        <w:b w:val="0"/>
        <w:i w:val="0"/>
        <w:sz w:val="28"/>
      </w:rPr>
    </w:lvl>
    <w:lvl w:ilvl="1" w:tentative="0">
      <w:start w:val="1"/>
      <w:numFmt w:val="lowerLetter"/>
      <w:lvlText w:val="%2)"/>
      <w:lvlJc w:val="left"/>
      <w:pPr>
        <w:ind w:left="1469" w:hanging="420"/>
      </w:pPr>
    </w:lvl>
    <w:lvl w:ilvl="2" w:tentative="0">
      <w:start w:val="1"/>
      <w:numFmt w:val="lowerRoman"/>
      <w:lvlText w:val="%3."/>
      <w:lvlJc w:val="right"/>
      <w:pPr>
        <w:ind w:left="1889" w:hanging="420"/>
      </w:pPr>
    </w:lvl>
    <w:lvl w:ilvl="3" w:tentative="0">
      <w:start w:val="1"/>
      <w:numFmt w:val="decimal"/>
      <w:lvlText w:val="%4."/>
      <w:lvlJc w:val="left"/>
      <w:pPr>
        <w:ind w:left="2309" w:hanging="420"/>
      </w:pPr>
    </w:lvl>
    <w:lvl w:ilvl="4" w:tentative="0">
      <w:start w:val="1"/>
      <w:numFmt w:val="lowerLetter"/>
      <w:lvlText w:val="%5)"/>
      <w:lvlJc w:val="left"/>
      <w:pPr>
        <w:ind w:left="2729" w:hanging="420"/>
      </w:pPr>
    </w:lvl>
    <w:lvl w:ilvl="5" w:tentative="0">
      <w:start w:val="1"/>
      <w:numFmt w:val="lowerRoman"/>
      <w:lvlText w:val="%6."/>
      <w:lvlJc w:val="right"/>
      <w:pPr>
        <w:ind w:left="3149" w:hanging="420"/>
      </w:pPr>
    </w:lvl>
    <w:lvl w:ilvl="6" w:tentative="0">
      <w:start w:val="1"/>
      <w:numFmt w:val="decimal"/>
      <w:lvlText w:val="%7."/>
      <w:lvlJc w:val="left"/>
      <w:pPr>
        <w:ind w:left="3569" w:hanging="420"/>
      </w:pPr>
    </w:lvl>
    <w:lvl w:ilvl="7" w:tentative="0">
      <w:start w:val="1"/>
      <w:numFmt w:val="lowerLetter"/>
      <w:lvlText w:val="%8)"/>
      <w:lvlJc w:val="left"/>
      <w:pPr>
        <w:ind w:left="3989" w:hanging="420"/>
      </w:pPr>
    </w:lvl>
    <w:lvl w:ilvl="8" w:tentative="0">
      <w:start w:val="1"/>
      <w:numFmt w:val="lowerRoman"/>
      <w:lvlText w:val="%9."/>
      <w:lvlJc w:val="right"/>
      <w:pPr>
        <w:ind w:left="4409" w:hanging="420"/>
      </w:pPr>
    </w:lvl>
  </w:abstractNum>
  <w:abstractNum w:abstractNumId="15">
    <w:nsid w:val="41D2B197"/>
    <w:multiLevelType w:val="singleLevel"/>
    <w:tmpl w:val="41D2B197"/>
    <w:lvl w:ilvl="0" w:tentative="0">
      <w:start w:val="1"/>
      <w:numFmt w:val="decimal"/>
      <w:lvlText w:val="%1."/>
      <w:lvlJc w:val="left"/>
      <w:pPr>
        <w:ind w:left="425" w:hanging="425"/>
      </w:pPr>
      <w:rPr>
        <w:rFonts w:hint="default"/>
      </w:rPr>
    </w:lvl>
  </w:abstractNum>
  <w:abstractNum w:abstractNumId="16">
    <w:nsid w:val="49DEE5AC"/>
    <w:multiLevelType w:val="singleLevel"/>
    <w:tmpl w:val="49DEE5AC"/>
    <w:lvl w:ilvl="0" w:tentative="0">
      <w:start w:val="1"/>
      <w:numFmt w:val="bullet"/>
      <w:pStyle w:val="27"/>
      <w:lvlText w:val=""/>
      <w:lvlJc w:val="left"/>
      <w:pPr>
        <w:tabs>
          <w:tab w:val="left" w:pos="2040"/>
        </w:tabs>
        <w:ind w:left="2040" w:hanging="360"/>
      </w:pPr>
      <w:rPr>
        <w:rFonts w:hint="default" w:ascii="Wingdings" w:hAnsi="Wingdings"/>
      </w:rPr>
    </w:lvl>
  </w:abstractNum>
  <w:abstractNum w:abstractNumId="17">
    <w:nsid w:val="51EB5858"/>
    <w:multiLevelType w:val="multilevel"/>
    <w:tmpl w:val="51EB5858"/>
    <w:lvl w:ilvl="0" w:tentative="0">
      <w:start w:val="1"/>
      <w:numFmt w:val="decimal"/>
      <w:pStyle w:val="94"/>
      <w:lvlText w:val="附件%1、"/>
      <w:lvlJc w:val="left"/>
      <w:pPr>
        <w:tabs>
          <w:tab w:val="left" w:pos="0"/>
        </w:tabs>
        <w:ind w:left="0" w:firstLine="560"/>
      </w:pPr>
      <w:rPr>
        <w:rFonts w:hint="eastAsia" w:ascii="Times New Roman" w:hAnsi="Times New Roman"/>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8">
    <w:nsid w:val="52C7756F"/>
    <w:multiLevelType w:val="multilevel"/>
    <w:tmpl w:val="52C7756F"/>
    <w:lvl w:ilvl="0" w:tentative="0">
      <w:start w:val="1"/>
      <w:numFmt w:val="decimal"/>
      <w:pStyle w:val="68"/>
      <w:suff w:val="nothing"/>
      <w:lvlText w:val="（%1）"/>
      <w:lvlJc w:val="left"/>
      <w:pPr>
        <w:ind w:left="0" w:firstLine="420"/>
      </w:pPr>
      <w:rPr>
        <w:rFonts w:ascii="Times New Roman" w:hAnsi="Times New Roman"/>
        <w:b w:val="0"/>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68F42A03"/>
    <w:multiLevelType w:val="multilevel"/>
    <w:tmpl w:val="68F42A03"/>
    <w:lvl w:ilvl="0" w:tentative="0">
      <w:start w:val="1"/>
      <w:numFmt w:val="chineseCountingThousand"/>
      <w:pStyle w:val="65"/>
      <w:lvlText w:val="%1、"/>
      <w:lvlJc w:val="left"/>
      <w:pPr>
        <w:ind w:left="0" w:firstLine="561"/>
      </w:pPr>
      <w:rPr>
        <w:rFonts w:hint="eastAsia"/>
        <w:b/>
        <w:bCs w:val="0"/>
        <w:i w:val="0"/>
        <w:iCs w:val="0"/>
        <w:caps w:val="0"/>
        <w:smallCaps w:val="0"/>
        <w:strike w:val="0"/>
        <w:dstrike w:val="0"/>
        <w:outline w:val="0"/>
        <w:shadow w:val="0"/>
        <w:emboss w:val="0"/>
        <w:imprint w:val="0"/>
        <w:vanish w:val="0"/>
        <w:spacing w:val="0"/>
        <w:position w:val="0"/>
        <w:u w:val="none"/>
        <w:vertAlign w:val="baseline"/>
      </w:rPr>
    </w:lvl>
    <w:lvl w:ilvl="1" w:tentative="0">
      <w:start w:val="1"/>
      <w:numFmt w:val="decimal"/>
      <w:lvlText w:val="%1.%2."/>
      <w:lvlJc w:val="left"/>
      <w:pPr>
        <w:ind w:left="1" w:firstLine="0"/>
      </w:pPr>
      <w:rPr>
        <w:rFonts w:hint="eastAsia"/>
      </w:rPr>
    </w:lvl>
    <w:lvl w:ilvl="2" w:tentative="0">
      <w:start w:val="1"/>
      <w:numFmt w:val="decimal"/>
      <w:lvlText w:val="%1.%2.%3."/>
      <w:lvlJc w:val="left"/>
      <w:pPr>
        <w:ind w:left="1" w:firstLine="0"/>
      </w:pPr>
      <w:rPr>
        <w:rFonts w:hint="eastAsia"/>
      </w:rPr>
    </w:lvl>
    <w:lvl w:ilvl="3" w:tentative="0">
      <w:start w:val="1"/>
      <w:numFmt w:val="decimal"/>
      <w:lvlText w:val="%1.%2.%3.%4."/>
      <w:lvlJc w:val="left"/>
      <w:pPr>
        <w:ind w:left="1" w:firstLine="0"/>
      </w:pPr>
      <w:rPr>
        <w:rFonts w:hint="eastAsia"/>
      </w:rPr>
    </w:lvl>
    <w:lvl w:ilvl="4" w:tentative="0">
      <w:start w:val="1"/>
      <w:numFmt w:val="decimal"/>
      <w:lvlText w:val="%1.%2.%3.%4.%5."/>
      <w:lvlJc w:val="left"/>
      <w:pPr>
        <w:ind w:left="1" w:firstLine="0"/>
      </w:pPr>
      <w:rPr>
        <w:rFonts w:hint="eastAsia"/>
      </w:rPr>
    </w:lvl>
    <w:lvl w:ilvl="5" w:tentative="0">
      <w:start w:val="1"/>
      <w:numFmt w:val="decimal"/>
      <w:lvlText w:val="%1.%2.%3.%4.%5.%6."/>
      <w:lvlJc w:val="left"/>
      <w:pPr>
        <w:ind w:left="1" w:firstLine="0"/>
      </w:pPr>
      <w:rPr>
        <w:rFonts w:hint="eastAsia"/>
      </w:rPr>
    </w:lvl>
    <w:lvl w:ilvl="6" w:tentative="0">
      <w:start w:val="1"/>
      <w:numFmt w:val="decimal"/>
      <w:lvlText w:val="%1.%2.%3.%4.%5.%6.%7."/>
      <w:lvlJc w:val="left"/>
      <w:pPr>
        <w:ind w:left="1" w:firstLine="0"/>
      </w:pPr>
      <w:rPr>
        <w:rFonts w:hint="eastAsia"/>
      </w:rPr>
    </w:lvl>
    <w:lvl w:ilvl="7" w:tentative="0">
      <w:start w:val="1"/>
      <w:numFmt w:val="decimal"/>
      <w:lvlText w:val="%1.%2.%3.%4.%5.%6.%7.%8."/>
      <w:lvlJc w:val="left"/>
      <w:pPr>
        <w:ind w:left="1" w:firstLine="0"/>
      </w:pPr>
      <w:rPr>
        <w:rFonts w:hint="eastAsia"/>
      </w:rPr>
    </w:lvl>
    <w:lvl w:ilvl="8" w:tentative="0">
      <w:start w:val="1"/>
      <w:numFmt w:val="decimal"/>
      <w:lvlText w:val="%1.%2.%3.%4.%5.%6.%7.%8.%9."/>
      <w:lvlJc w:val="left"/>
      <w:pPr>
        <w:ind w:left="1" w:firstLine="0"/>
      </w:pPr>
      <w:rPr>
        <w:rFonts w:hint="eastAsia"/>
      </w:rPr>
    </w:lvl>
  </w:abstractNum>
  <w:abstractNum w:abstractNumId="20">
    <w:nsid w:val="7A1ED082"/>
    <w:multiLevelType w:val="singleLevel"/>
    <w:tmpl w:val="7A1ED082"/>
    <w:lvl w:ilvl="0" w:tentative="0">
      <w:start w:val="1"/>
      <w:numFmt w:val="decimal"/>
      <w:lvlText w:val="%1."/>
      <w:lvlJc w:val="left"/>
      <w:pPr>
        <w:ind w:left="425" w:hanging="425"/>
      </w:pPr>
      <w:rPr>
        <w:rFonts w:hint="default"/>
      </w:rPr>
    </w:lvl>
  </w:abstractNum>
  <w:num w:numId="1">
    <w:abstractNumId w:val="16"/>
  </w:num>
  <w:num w:numId="2">
    <w:abstractNumId w:val="19"/>
  </w:num>
  <w:num w:numId="3">
    <w:abstractNumId w:val="18"/>
  </w:num>
  <w:num w:numId="4">
    <w:abstractNumId w:val="14"/>
  </w:num>
  <w:num w:numId="5">
    <w:abstractNumId w:val="11"/>
  </w:num>
  <w:num w:numId="6">
    <w:abstractNumId w:val="13"/>
  </w:num>
  <w:num w:numId="7">
    <w:abstractNumId w:val="17"/>
  </w:num>
  <w:num w:numId="8">
    <w:abstractNumId w:val="12"/>
  </w:num>
  <w:num w:numId="9">
    <w:abstractNumId w:val="0"/>
  </w:num>
  <w:num w:numId="10">
    <w:abstractNumId w:val="15"/>
  </w:num>
  <w:num w:numId="11">
    <w:abstractNumId w:val="9"/>
  </w:num>
  <w:num w:numId="12">
    <w:abstractNumId w:val="6"/>
  </w:num>
  <w:num w:numId="13">
    <w:abstractNumId w:val="20"/>
  </w:num>
  <w:num w:numId="14">
    <w:abstractNumId w:val="4"/>
  </w:num>
  <w:num w:numId="15">
    <w:abstractNumId w:val="5"/>
  </w:num>
  <w:num w:numId="16">
    <w:abstractNumId w:val="8"/>
  </w:num>
  <w:num w:numId="17">
    <w:abstractNumId w:val="1"/>
  </w:num>
  <w:num w:numId="18">
    <w:abstractNumId w:val="7"/>
  </w:num>
  <w:num w:numId="19">
    <w:abstractNumId w:val="2"/>
  </w:num>
  <w:num w:numId="20">
    <w:abstractNumId w:val="10"/>
  </w:num>
  <w:num w:numId="21">
    <w:abstractNumId w:val="3"/>
  </w:num>
  <w:num w:numId="22">
    <w:abstractNumId w:val="1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hideSpellingErrors/>
  <w:documentProtection w:enforcement="0"/>
  <w:defaultTabStop w:val="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ZTZkMzdmZGZjNGU4ZWRjYzgyYzdjMzIxOGI3NWQifQ=="/>
  </w:docVars>
  <w:rsids>
    <w:rsidRoot w:val="00172A27"/>
    <w:rsid w:val="00017CBA"/>
    <w:rsid w:val="0003407B"/>
    <w:rsid w:val="00050A30"/>
    <w:rsid w:val="00061238"/>
    <w:rsid w:val="00074365"/>
    <w:rsid w:val="00075EBC"/>
    <w:rsid w:val="00093330"/>
    <w:rsid w:val="000A27C1"/>
    <w:rsid w:val="000A5F3F"/>
    <w:rsid w:val="000A7A40"/>
    <w:rsid w:val="000C1B8F"/>
    <w:rsid w:val="000C5877"/>
    <w:rsid w:val="000D3385"/>
    <w:rsid w:val="000D458C"/>
    <w:rsid w:val="000F7F87"/>
    <w:rsid w:val="001232D4"/>
    <w:rsid w:val="00123584"/>
    <w:rsid w:val="00124039"/>
    <w:rsid w:val="00124B80"/>
    <w:rsid w:val="0013266D"/>
    <w:rsid w:val="0013388C"/>
    <w:rsid w:val="00134AAC"/>
    <w:rsid w:val="00150A01"/>
    <w:rsid w:val="00172A27"/>
    <w:rsid w:val="001821E9"/>
    <w:rsid w:val="00186A98"/>
    <w:rsid w:val="00191748"/>
    <w:rsid w:val="00192668"/>
    <w:rsid w:val="001A1C74"/>
    <w:rsid w:val="001B2171"/>
    <w:rsid w:val="001B33A3"/>
    <w:rsid w:val="001C0551"/>
    <w:rsid w:val="001C0AF9"/>
    <w:rsid w:val="001C1008"/>
    <w:rsid w:val="001C29B6"/>
    <w:rsid w:val="001C314F"/>
    <w:rsid w:val="001C5E70"/>
    <w:rsid w:val="001D10AC"/>
    <w:rsid w:val="001D3A98"/>
    <w:rsid w:val="001D416E"/>
    <w:rsid w:val="001D4920"/>
    <w:rsid w:val="001D631E"/>
    <w:rsid w:val="001E4675"/>
    <w:rsid w:val="001F7B50"/>
    <w:rsid w:val="00201D39"/>
    <w:rsid w:val="00205015"/>
    <w:rsid w:val="00206B03"/>
    <w:rsid w:val="002132DE"/>
    <w:rsid w:val="0021383B"/>
    <w:rsid w:val="00213F7C"/>
    <w:rsid w:val="00222F58"/>
    <w:rsid w:val="002236CC"/>
    <w:rsid w:val="0022431D"/>
    <w:rsid w:val="00227364"/>
    <w:rsid w:val="00230E74"/>
    <w:rsid w:val="002375F5"/>
    <w:rsid w:val="002443E6"/>
    <w:rsid w:val="0025180E"/>
    <w:rsid w:val="00256957"/>
    <w:rsid w:val="00267821"/>
    <w:rsid w:val="00274229"/>
    <w:rsid w:val="00280055"/>
    <w:rsid w:val="002851DC"/>
    <w:rsid w:val="00290A9A"/>
    <w:rsid w:val="002A3C5C"/>
    <w:rsid w:val="002B0D3F"/>
    <w:rsid w:val="002C3D35"/>
    <w:rsid w:val="002C6511"/>
    <w:rsid w:val="002C6FBB"/>
    <w:rsid w:val="002D3AA2"/>
    <w:rsid w:val="002E4484"/>
    <w:rsid w:val="002E5C23"/>
    <w:rsid w:val="002F7AD1"/>
    <w:rsid w:val="00305F34"/>
    <w:rsid w:val="003060C6"/>
    <w:rsid w:val="00311B94"/>
    <w:rsid w:val="0031667A"/>
    <w:rsid w:val="00316BC6"/>
    <w:rsid w:val="00320C00"/>
    <w:rsid w:val="003351E6"/>
    <w:rsid w:val="00346483"/>
    <w:rsid w:val="003475E1"/>
    <w:rsid w:val="0035628B"/>
    <w:rsid w:val="0035637C"/>
    <w:rsid w:val="00362676"/>
    <w:rsid w:val="003664D5"/>
    <w:rsid w:val="00366519"/>
    <w:rsid w:val="00377F4B"/>
    <w:rsid w:val="00383E07"/>
    <w:rsid w:val="00384281"/>
    <w:rsid w:val="00390057"/>
    <w:rsid w:val="00392A16"/>
    <w:rsid w:val="003B3FB3"/>
    <w:rsid w:val="003B552E"/>
    <w:rsid w:val="003B63A3"/>
    <w:rsid w:val="003C18CE"/>
    <w:rsid w:val="003C4F18"/>
    <w:rsid w:val="003C635C"/>
    <w:rsid w:val="003E49BA"/>
    <w:rsid w:val="003F1F0D"/>
    <w:rsid w:val="00400D34"/>
    <w:rsid w:val="004027AE"/>
    <w:rsid w:val="004057CC"/>
    <w:rsid w:val="00407029"/>
    <w:rsid w:val="00413AE8"/>
    <w:rsid w:val="00420E45"/>
    <w:rsid w:val="0042100B"/>
    <w:rsid w:val="004267EA"/>
    <w:rsid w:val="00433827"/>
    <w:rsid w:val="00437ECC"/>
    <w:rsid w:val="00441FFB"/>
    <w:rsid w:val="00444319"/>
    <w:rsid w:val="0044720B"/>
    <w:rsid w:val="00453914"/>
    <w:rsid w:val="0045618E"/>
    <w:rsid w:val="00471019"/>
    <w:rsid w:val="00483047"/>
    <w:rsid w:val="00490CD7"/>
    <w:rsid w:val="00491E8F"/>
    <w:rsid w:val="004A1691"/>
    <w:rsid w:val="004A5E1E"/>
    <w:rsid w:val="004B2770"/>
    <w:rsid w:val="004B3424"/>
    <w:rsid w:val="004C0BA5"/>
    <w:rsid w:val="004C38FE"/>
    <w:rsid w:val="004E14F0"/>
    <w:rsid w:val="004E5476"/>
    <w:rsid w:val="005068F4"/>
    <w:rsid w:val="00506DEF"/>
    <w:rsid w:val="00514C4D"/>
    <w:rsid w:val="00530705"/>
    <w:rsid w:val="00541F14"/>
    <w:rsid w:val="00547EAD"/>
    <w:rsid w:val="00555DA3"/>
    <w:rsid w:val="0055722D"/>
    <w:rsid w:val="00567C0F"/>
    <w:rsid w:val="00573D17"/>
    <w:rsid w:val="00585F9F"/>
    <w:rsid w:val="00595737"/>
    <w:rsid w:val="005963B2"/>
    <w:rsid w:val="005B28DD"/>
    <w:rsid w:val="005B73EE"/>
    <w:rsid w:val="005C4CCC"/>
    <w:rsid w:val="005C6D6A"/>
    <w:rsid w:val="005E6B96"/>
    <w:rsid w:val="005F2704"/>
    <w:rsid w:val="005F3074"/>
    <w:rsid w:val="00607F4F"/>
    <w:rsid w:val="006270BD"/>
    <w:rsid w:val="00627745"/>
    <w:rsid w:val="006409F5"/>
    <w:rsid w:val="00641033"/>
    <w:rsid w:val="0064585E"/>
    <w:rsid w:val="006471E6"/>
    <w:rsid w:val="006508C2"/>
    <w:rsid w:val="00670E40"/>
    <w:rsid w:val="006800F2"/>
    <w:rsid w:val="00683B74"/>
    <w:rsid w:val="006A1B9E"/>
    <w:rsid w:val="006B1D78"/>
    <w:rsid w:val="006B64AD"/>
    <w:rsid w:val="006C1904"/>
    <w:rsid w:val="006C2F6D"/>
    <w:rsid w:val="006C3253"/>
    <w:rsid w:val="006D1D3D"/>
    <w:rsid w:val="006D498B"/>
    <w:rsid w:val="006D4DFD"/>
    <w:rsid w:val="006D4FD5"/>
    <w:rsid w:val="006E1854"/>
    <w:rsid w:val="006E462E"/>
    <w:rsid w:val="006E6951"/>
    <w:rsid w:val="006E7FB2"/>
    <w:rsid w:val="006F67C9"/>
    <w:rsid w:val="00702296"/>
    <w:rsid w:val="00714D19"/>
    <w:rsid w:val="00723FB8"/>
    <w:rsid w:val="00726C50"/>
    <w:rsid w:val="00727009"/>
    <w:rsid w:val="00734CC9"/>
    <w:rsid w:val="007373C8"/>
    <w:rsid w:val="00740C4F"/>
    <w:rsid w:val="007457C5"/>
    <w:rsid w:val="00751FCD"/>
    <w:rsid w:val="00764EFA"/>
    <w:rsid w:val="007714A7"/>
    <w:rsid w:val="007733F5"/>
    <w:rsid w:val="00780B10"/>
    <w:rsid w:val="00787E43"/>
    <w:rsid w:val="00791D05"/>
    <w:rsid w:val="00792027"/>
    <w:rsid w:val="00796833"/>
    <w:rsid w:val="007A0127"/>
    <w:rsid w:val="007A319E"/>
    <w:rsid w:val="007A3DF0"/>
    <w:rsid w:val="007A78F7"/>
    <w:rsid w:val="007B3230"/>
    <w:rsid w:val="007B57B5"/>
    <w:rsid w:val="007C6FC2"/>
    <w:rsid w:val="007D445E"/>
    <w:rsid w:val="007E403D"/>
    <w:rsid w:val="007E5FB6"/>
    <w:rsid w:val="007F4298"/>
    <w:rsid w:val="008008EC"/>
    <w:rsid w:val="008056BB"/>
    <w:rsid w:val="008402EE"/>
    <w:rsid w:val="00850B63"/>
    <w:rsid w:val="0085421D"/>
    <w:rsid w:val="0086593D"/>
    <w:rsid w:val="00873C30"/>
    <w:rsid w:val="00876B67"/>
    <w:rsid w:val="0088133E"/>
    <w:rsid w:val="0089280B"/>
    <w:rsid w:val="008931D3"/>
    <w:rsid w:val="00895A4F"/>
    <w:rsid w:val="008978C7"/>
    <w:rsid w:val="008B3B7E"/>
    <w:rsid w:val="008B52B8"/>
    <w:rsid w:val="008D7014"/>
    <w:rsid w:val="008E1A5C"/>
    <w:rsid w:val="008E39DC"/>
    <w:rsid w:val="008F0554"/>
    <w:rsid w:val="008F1E2C"/>
    <w:rsid w:val="008F4751"/>
    <w:rsid w:val="008F544B"/>
    <w:rsid w:val="00901BDB"/>
    <w:rsid w:val="0090586E"/>
    <w:rsid w:val="00916B16"/>
    <w:rsid w:val="00927CEE"/>
    <w:rsid w:val="00930273"/>
    <w:rsid w:val="00935C07"/>
    <w:rsid w:val="00941DB0"/>
    <w:rsid w:val="00972DAF"/>
    <w:rsid w:val="00977C61"/>
    <w:rsid w:val="00983ED5"/>
    <w:rsid w:val="0098545A"/>
    <w:rsid w:val="00987398"/>
    <w:rsid w:val="0099089A"/>
    <w:rsid w:val="00992FEE"/>
    <w:rsid w:val="009A016D"/>
    <w:rsid w:val="009A4DDB"/>
    <w:rsid w:val="009A5B62"/>
    <w:rsid w:val="009B0B7F"/>
    <w:rsid w:val="009B4191"/>
    <w:rsid w:val="009B5EFD"/>
    <w:rsid w:val="009C117F"/>
    <w:rsid w:val="009C3882"/>
    <w:rsid w:val="009D0740"/>
    <w:rsid w:val="009D1D75"/>
    <w:rsid w:val="009D2642"/>
    <w:rsid w:val="009D413B"/>
    <w:rsid w:val="009D5CAF"/>
    <w:rsid w:val="009D6031"/>
    <w:rsid w:val="009D73EB"/>
    <w:rsid w:val="009E195A"/>
    <w:rsid w:val="009F14BE"/>
    <w:rsid w:val="009F14E3"/>
    <w:rsid w:val="00A1017A"/>
    <w:rsid w:val="00A135AF"/>
    <w:rsid w:val="00A1671E"/>
    <w:rsid w:val="00A20DA5"/>
    <w:rsid w:val="00A251FB"/>
    <w:rsid w:val="00A334AE"/>
    <w:rsid w:val="00A406F6"/>
    <w:rsid w:val="00A43100"/>
    <w:rsid w:val="00A438A6"/>
    <w:rsid w:val="00A52316"/>
    <w:rsid w:val="00A5458B"/>
    <w:rsid w:val="00A55A25"/>
    <w:rsid w:val="00A65C8B"/>
    <w:rsid w:val="00A671EC"/>
    <w:rsid w:val="00A90BCB"/>
    <w:rsid w:val="00A90D46"/>
    <w:rsid w:val="00A92BA0"/>
    <w:rsid w:val="00A92C36"/>
    <w:rsid w:val="00AC5CED"/>
    <w:rsid w:val="00AD5993"/>
    <w:rsid w:val="00AF5325"/>
    <w:rsid w:val="00B037BC"/>
    <w:rsid w:val="00B065BD"/>
    <w:rsid w:val="00B164D0"/>
    <w:rsid w:val="00B33909"/>
    <w:rsid w:val="00B34108"/>
    <w:rsid w:val="00B3624E"/>
    <w:rsid w:val="00B4326C"/>
    <w:rsid w:val="00B52059"/>
    <w:rsid w:val="00B53C0B"/>
    <w:rsid w:val="00B67BBD"/>
    <w:rsid w:val="00B7287D"/>
    <w:rsid w:val="00B755B3"/>
    <w:rsid w:val="00B8335B"/>
    <w:rsid w:val="00B873B1"/>
    <w:rsid w:val="00B9543F"/>
    <w:rsid w:val="00B955C8"/>
    <w:rsid w:val="00B96A93"/>
    <w:rsid w:val="00BA03D6"/>
    <w:rsid w:val="00BA35F7"/>
    <w:rsid w:val="00BA70D6"/>
    <w:rsid w:val="00BA74FD"/>
    <w:rsid w:val="00BC371F"/>
    <w:rsid w:val="00BE0408"/>
    <w:rsid w:val="00BE48A5"/>
    <w:rsid w:val="00C0318B"/>
    <w:rsid w:val="00C14ABA"/>
    <w:rsid w:val="00C17E13"/>
    <w:rsid w:val="00C2407B"/>
    <w:rsid w:val="00C3092A"/>
    <w:rsid w:val="00C31DD0"/>
    <w:rsid w:val="00C5519A"/>
    <w:rsid w:val="00C57568"/>
    <w:rsid w:val="00C6372A"/>
    <w:rsid w:val="00C65D55"/>
    <w:rsid w:val="00C74240"/>
    <w:rsid w:val="00C82F59"/>
    <w:rsid w:val="00CA1752"/>
    <w:rsid w:val="00CA55F2"/>
    <w:rsid w:val="00CD254B"/>
    <w:rsid w:val="00CE5860"/>
    <w:rsid w:val="00CE7839"/>
    <w:rsid w:val="00CF6108"/>
    <w:rsid w:val="00D139B3"/>
    <w:rsid w:val="00D15D1E"/>
    <w:rsid w:val="00D21F57"/>
    <w:rsid w:val="00D24293"/>
    <w:rsid w:val="00D3244D"/>
    <w:rsid w:val="00D34CE4"/>
    <w:rsid w:val="00D4004D"/>
    <w:rsid w:val="00D4208A"/>
    <w:rsid w:val="00D45538"/>
    <w:rsid w:val="00D46A9C"/>
    <w:rsid w:val="00D559B7"/>
    <w:rsid w:val="00D64990"/>
    <w:rsid w:val="00D64F89"/>
    <w:rsid w:val="00D75AB4"/>
    <w:rsid w:val="00D7718E"/>
    <w:rsid w:val="00D85364"/>
    <w:rsid w:val="00D91DE0"/>
    <w:rsid w:val="00D94914"/>
    <w:rsid w:val="00DA5836"/>
    <w:rsid w:val="00DB33B7"/>
    <w:rsid w:val="00DB6687"/>
    <w:rsid w:val="00DC0048"/>
    <w:rsid w:val="00DC36DC"/>
    <w:rsid w:val="00DD1588"/>
    <w:rsid w:val="00DD302E"/>
    <w:rsid w:val="00DE0871"/>
    <w:rsid w:val="00DE2B1C"/>
    <w:rsid w:val="00DE680F"/>
    <w:rsid w:val="00DF7CB1"/>
    <w:rsid w:val="00E016C2"/>
    <w:rsid w:val="00E02717"/>
    <w:rsid w:val="00E051EE"/>
    <w:rsid w:val="00E05612"/>
    <w:rsid w:val="00E120AB"/>
    <w:rsid w:val="00E14595"/>
    <w:rsid w:val="00E151C2"/>
    <w:rsid w:val="00E157E0"/>
    <w:rsid w:val="00E26CB1"/>
    <w:rsid w:val="00E30E1F"/>
    <w:rsid w:val="00E366C5"/>
    <w:rsid w:val="00E44AB3"/>
    <w:rsid w:val="00E46C93"/>
    <w:rsid w:val="00E47E82"/>
    <w:rsid w:val="00E56F45"/>
    <w:rsid w:val="00E62813"/>
    <w:rsid w:val="00E93110"/>
    <w:rsid w:val="00E9397A"/>
    <w:rsid w:val="00EA4B36"/>
    <w:rsid w:val="00EA73CA"/>
    <w:rsid w:val="00EB43DF"/>
    <w:rsid w:val="00EB711E"/>
    <w:rsid w:val="00EB7491"/>
    <w:rsid w:val="00ED1A21"/>
    <w:rsid w:val="00ED702F"/>
    <w:rsid w:val="00EE35AF"/>
    <w:rsid w:val="00EE78A3"/>
    <w:rsid w:val="00EE78A8"/>
    <w:rsid w:val="00EF36A6"/>
    <w:rsid w:val="00EF51E0"/>
    <w:rsid w:val="00EF53FD"/>
    <w:rsid w:val="00EF626D"/>
    <w:rsid w:val="00F048BE"/>
    <w:rsid w:val="00F15956"/>
    <w:rsid w:val="00F2524D"/>
    <w:rsid w:val="00F26D1A"/>
    <w:rsid w:val="00F32797"/>
    <w:rsid w:val="00F52A42"/>
    <w:rsid w:val="00F57BB4"/>
    <w:rsid w:val="00F63CD1"/>
    <w:rsid w:val="00F66535"/>
    <w:rsid w:val="00F7361B"/>
    <w:rsid w:val="00F83519"/>
    <w:rsid w:val="00FA3B70"/>
    <w:rsid w:val="00FB4BE4"/>
    <w:rsid w:val="00FC5C5D"/>
    <w:rsid w:val="00FD52D5"/>
    <w:rsid w:val="00FD6104"/>
    <w:rsid w:val="00FD6EA7"/>
    <w:rsid w:val="00FE5DAF"/>
    <w:rsid w:val="00FF75BB"/>
    <w:rsid w:val="010D2B0F"/>
    <w:rsid w:val="019610F3"/>
    <w:rsid w:val="021A4DFF"/>
    <w:rsid w:val="02271F96"/>
    <w:rsid w:val="030D7D87"/>
    <w:rsid w:val="031135F4"/>
    <w:rsid w:val="036D4FBD"/>
    <w:rsid w:val="0372765D"/>
    <w:rsid w:val="04726971"/>
    <w:rsid w:val="04B00560"/>
    <w:rsid w:val="052067AA"/>
    <w:rsid w:val="0555102A"/>
    <w:rsid w:val="055C132D"/>
    <w:rsid w:val="058A5E9A"/>
    <w:rsid w:val="05DD246D"/>
    <w:rsid w:val="05E4397A"/>
    <w:rsid w:val="06A0572A"/>
    <w:rsid w:val="06B93BF8"/>
    <w:rsid w:val="0707734D"/>
    <w:rsid w:val="07A74D5E"/>
    <w:rsid w:val="07B03288"/>
    <w:rsid w:val="082C6C29"/>
    <w:rsid w:val="082E09B6"/>
    <w:rsid w:val="08793944"/>
    <w:rsid w:val="089600C3"/>
    <w:rsid w:val="0A296CB3"/>
    <w:rsid w:val="0A87638F"/>
    <w:rsid w:val="0B8213C1"/>
    <w:rsid w:val="0BD259DA"/>
    <w:rsid w:val="0C252478"/>
    <w:rsid w:val="0C4F46C7"/>
    <w:rsid w:val="0CB30CF5"/>
    <w:rsid w:val="0CE43A1D"/>
    <w:rsid w:val="0CF4325E"/>
    <w:rsid w:val="0D415D54"/>
    <w:rsid w:val="0E1B3351"/>
    <w:rsid w:val="0F1021CD"/>
    <w:rsid w:val="0F8B02F2"/>
    <w:rsid w:val="0FDF5034"/>
    <w:rsid w:val="0FFA7AD9"/>
    <w:rsid w:val="10687692"/>
    <w:rsid w:val="10B85FB1"/>
    <w:rsid w:val="1144609A"/>
    <w:rsid w:val="115D63BF"/>
    <w:rsid w:val="115E45A5"/>
    <w:rsid w:val="116B404A"/>
    <w:rsid w:val="11A54810"/>
    <w:rsid w:val="11A60C23"/>
    <w:rsid w:val="11B36DBC"/>
    <w:rsid w:val="12464BD2"/>
    <w:rsid w:val="12F25E2D"/>
    <w:rsid w:val="13530717"/>
    <w:rsid w:val="1383763F"/>
    <w:rsid w:val="139D4129"/>
    <w:rsid w:val="13D94E70"/>
    <w:rsid w:val="147F6F70"/>
    <w:rsid w:val="14D71C32"/>
    <w:rsid w:val="15FA3429"/>
    <w:rsid w:val="16140DE6"/>
    <w:rsid w:val="17612CA2"/>
    <w:rsid w:val="180B5540"/>
    <w:rsid w:val="18176C90"/>
    <w:rsid w:val="188843A3"/>
    <w:rsid w:val="19B357A2"/>
    <w:rsid w:val="19B71DA5"/>
    <w:rsid w:val="1C510A96"/>
    <w:rsid w:val="1CFC5477"/>
    <w:rsid w:val="1D0553CE"/>
    <w:rsid w:val="1D0A539A"/>
    <w:rsid w:val="1D3970D8"/>
    <w:rsid w:val="1E1D5055"/>
    <w:rsid w:val="1E5858D4"/>
    <w:rsid w:val="1E5F7506"/>
    <w:rsid w:val="1FD86BA8"/>
    <w:rsid w:val="1FFC6335"/>
    <w:rsid w:val="201D39A0"/>
    <w:rsid w:val="215C0107"/>
    <w:rsid w:val="21787096"/>
    <w:rsid w:val="219E17BD"/>
    <w:rsid w:val="21CD7A35"/>
    <w:rsid w:val="22196DAF"/>
    <w:rsid w:val="23154952"/>
    <w:rsid w:val="231E7F65"/>
    <w:rsid w:val="23F63485"/>
    <w:rsid w:val="2473658A"/>
    <w:rsid w:val="25465C53"/>
    <w:rsid w:val="25E0610F"/>
    <w:rsid w:val="263135A5"/>
    <w:rsid w:val="2712441B"/>
    <w:rsid w:val="27275590"/>
    <w:rsid w:val="276A079B"/>
    <w:rsid w:val="27E6515F"/>
    <w:rsid w:val="28564C7A"/>
    <w:rsid w:val="29385D57"/>
    <w:rsid w:val="29454815"/>
    <w:rsid w:val="29A053DC"/>
    <w:rsid w:val="29B3171A"/>
    <w:rsid w:val="2A9D7511"/>
    <w:rsid w:val="2B3109E2"/>
    <w:rsid w:val="2B475193"/>
    <w:rsid w:val="2B4926C8"/>
    <w:rsid w:val="2B777D97"/>
    <w:rsid w:val="2C114CB3"/>
    <w:rsid w:val="2C263F91"/>
    <w:rsid w:val="2D053ED4"/>
    <w:rsid w:val="2D362397"/>
    <w:rsid w:val="2D502C75"/>
    <w:rsid w:val="2DBDB647"/>
    <w:rsid w:val="2DEB420F"/>
    <w:rsid w:val="2DFC3238"/>
    <w:rsid w:val="2E0F18BE"/>
    <w:rsid w:val="2E6208EE"/>
    <w:rsid w:val="2E6F2C34"/>
    <w:rsid w:val="2F05722B"/>
    <w:rsid w:val="2FAD2601"/>
    <w:rsid w:val="2FE67C06"/>
    <w:rsid w:val="2FFF788B"/>
    <w:rsid w:val="302613A0"/>
    <w:rsid w:val="30674D6D"/>
    <w:rsid w:val="30F36059"/>
    <w:rsid w:val="3118561D"/>
    <w:rsid w:val="314D6B10"/>
    <w:rsid w:val="31501496"/>
    <w:rsid w:val="31715EDB"/>
    <w:rsid w:val="32116AE8"/>
    <w:rsid w:val="32681292"/>
    <w:rsid w:val="339C48BD"/>
    <w:rsid w:val="33D96CCF"/>
    <w:rsid w:val="34092287"/>
    <w:rsid w:val="341463C5"/>
    <w:rsid w:val="34DD41B0"/>
    <w:rsid w:val="35954963"/>
    <w:rsid w:val="35CC6DE3"/>
    <w:rsid w:val="36D67238"/>
    <w:rsid w:val="376822D6"/>
    <w:rsid w:val="37AB32A2"/>
    <w:rsid w:val="38AD4424"/>
    <w:rsid w:val="390F6D7C"/>
    <w:rsid w:val="39442EF0"/>
    <w:rsid w:val="39600583"/>
    <w:rsid w:val="3A1E5C99"/>
    <w:rsid w:val="3A8521B0"/>
    <w:rsid w:val="3B5D596C"/>
    <w:rsid w:val="3B950F63"/>
    <w:rsid w:val="3B983BDF"/>
    <w:rsid w:val="3BAA4BC6"/>
    <w:rsid w:val="3BD816F4"/>
    <w:rsid w:val="3C193A96"/>
    <w:rsid w:val="3C233D26"/>
    <w:rsid w:val="3CF958A8"/>
    <w:rsid w:val="3D8F2111"/>
    <w:rsid w:val="3F332FF5"/>
    <w:rsid w:val="3F94760C"/>
    <w:rsid w:val="3FCE45FA"/>
    <w:rsid w:val="40655A90"/>
    <w:rsid w:val="40E13EB9"/>
    <w:rsid w:val="40EE5969"/>
    <w:rsid w:val="412E06AC"/>
    <w:rsid w:val="42003175"/>
    <w:rsid w:val="42394E6D"/>
    <w:rsid w:val="42FB2D2A"/>
    <w:rsid w:val="433D26C1"/>
    <w:rsid w:val="445F5517"/>
    <w:rsid w:val="44614161"/>
    <w:rsid w:val="44C70597"/>
    <w:rsid w:val="44DA134B"/>
    <w:rsid w:val="45505A3D"/>
    <w:rsid w:val="45BC0893"/>
    <w:rsid w:val="461E3F53"/>
    <w:rsid w:val="469617B2"/>
    <w:rsid w:val="47134122"/>
    <w:rsid w:val="47485187"/>
    <w:rsid w:val="48324F29"/>
    <w:rsid w:val="48C61521"/>
    <w:rsid w:val="4947560F"/>
    <w:rsid w:val="4A2319E6"/>
    <w:rsid w:val="4A3A21CF"/>
    <w:rsid w:val="4B313893"/>
    <w:rsid w:val="4BC635A7"/>
    <w:rsid w:val="4BCB68A9"/>
    <w:rsid w:val="4C207F8B"/>
    <w:rsid w:val="4C3D4315"/>
    <w:rsid w:val="4D4B1038"/>
    <w:rsid w:val="4E602391"/>
    <w:rsid w:val="4E8A644B"/>
    <w:rsid w:val="4EAF1BCF"/>
    <w:rsid w:val="4EFC6035"/>
    <w:rsid w:val="502A11F6"/>
    <w:rsid w:val="50D232B3"/>
    <w:rsid w:val="50FE14F2"/>
    <w:rsid w:val="510F53FF"/>
    <w:rsid w:val="519358A7"/>
    <w:rsid w:val="51977310"/>
    <w:rsid w:val="52796706"/>
    <w:rsid w:val="54890E3C"/>
    <w:rsid w:val="54B21B3B"/>
    <w:rsid w:val="54B66DFD"/>
    <w:rsid w:val="55871FFE"/>
    <w:rsid w:val="55AB740A"/>
    <w:rsid w:val="55B32B01"/>
    <w:rsid w:val="55F906D3"/>
    <w:rsid w:val="56155FC5"/>
    <w:rsid w:val="57756730"/>
    <w:rsid w:val="579A0C35"/>
    <w:rsid w:val="586C4FED"/>
    <w:rsid w:val="589A2983"/>
    <w:rsid w:val="58DC7562"/>
    <w:rsid w:val="590B3D71"/>
    <w:rsid w:val="595330B8"/>
    <w:rsid w:val="59C35AD2"/>
    <w:rsid w:val="59DE7D56"/>
    <w:rsid w:val="5A260AB3"/>
    <w:rsid w:val="5A8442EA"/>
    <w:rsid w:val="5B0D1C98"/>
    <w:rsid w:val="5C3C7BE0"/>
    <w:rsid w:val="5C6065F5"/>
    <w:rsid w:val="5C9B76FD"/>
    <w:rsid w:val="5C9E0902"/>
    <w:rsid w:val="5D09388C"/>
    <w:rsid w:val="5D2A6A36"/>
    <w:rsid w:val="5D3C75F3"/>
    <w:rsid w:val="5D4C5ED6"/>
    <w:rsid w:val="5DC82230"/>
    <w:rsid w:val="5E0E28DC"/>
    <w:rsid w:val="5E9438F6"/>
    <w:rsid w:val="5F1C03BE"/>
    <w:rsid w:val="5F295526"/>
    <w:rsid w:val="5F337B7D"/>
    <w:rsid w:val="5F940FA4"/>
    <w:rsid w:val="5FD80E67"/>
    <w:rsid w:val="5FEB041E"/>
    <w:rsid w:val="5FEE098E"/>
    <w:rsid w:val="60224F25"/>
    <w:rsid w:val="603D5456"/>
    <w:rsid w:val="60472A9F"/>
    <w:rsid w:val="608C681F"/>
    <w:rsid w:val="61BD0887"/>
    <w:rsid w:val="62185965"/>
    <w:rsid w:val="629757E8"/>
    <w:rsid w:val="62B25111"/>
    <w:rsid w:val="649D1CB3"/>
    <w:rsid w:val="64B8664B"/>
    <w:rsid w:val="64E47C1B"/>
    <w:rsid w:val="65980554"/>
    <w:rsid w:val="65E44389"/>
    <w:rsid w:val="661A24EA"/>
    <w:rsid w:val="66315FDE"/>
    <w:rsid w:val="673F17B5"/>
    <w:rsid w:val="67822AC5"/>
    <w:rsid w:val="67C3769D"/>
    <w:rsid w:val="67C3793D"/>
    <w:rsid w:val="68DF0429"/>
    <w:rsid w:val="6994792B"/>
    <w:rsid w:val="69C07725"/>
    <w:rsid w:val="6A637B2C"/>
    <w:rsid w:val="6AE47920"/>
    <w:rsid w:val="6B0D04EB"/>
    <w:rsid w:val="6B8B07CF"/>
    <w:rsid w:val="6BBF66F5"/>
    <w:rsid w:val="6BC938D2"/>
    <w:rsid w:val="6BDA6045"/>
    <w:rsid w:val="6C127D23"/>
    <w:rsid w:val="6C657EEA"/>
    <w:rsid w:val="6CF56EEE"/>
    <w:rsid w:val="6D653E78"/>
    <w:rsid w:val="6DBE5DB6"/>
    <w:rsid w:val="6E2A4D68"/>
    <w:rsid w:val="6E30191B"/>
    <w:rsid w:val="6E576B4D"/>
    <w:rsid w:val="6F21311C"/>
    <w:rsid w:val="6F436185"/>
    <w:rsid w:val="6F6B13D1"/>
    <w:rsid w:val="6FE17BDC"/>
    <w:rsid w:val="6FE87D76"/>
    <w:rsid w:val="70053C50"/>
    <w:rsid w:val="70A84176"/>
    <w:rsid w:val="7111419A"/>
    <w:rsid w:val="718B0D82"/>
    <w:rsid w:val="72297637"/>
    <w:rsid w:val="72BC2008"/>
    <w:rsid w:val="733A0A1E"/>
    <w:rsid w:val="738531BD"/>
    <w:rsid w:val="73CC31B8"/>
    <w:rsid w:val="741915E0"/>
    <w:rsid w:val="74786F7B"/>
    <w:rsid w:val="747C2463"/>
    <w:rsid w:val="749A08B4"/>
    <w:rsid w:val="74D30849"/>
    <w:rsid w:val="757A1C0A"/>
    <w:rsid w:val="75A2541D"/>
    <w:rsid w:val="760935D7"/>
    <w:rsid w:val="76120095"/>
    <w:rsid w:val="7797329E"/>
    <w:rsid w:val="77EA18DD"/>
    <w:rsid w:val="786A6613"/>
    <w:rsid w:val="78C534CD"/>
    <w:rsid w:val="79420731"/>
    <w:rsid w:val="797F2386"/>
    <w:rsid w:val="7A3D5489"/>
    <w:rsid w:val="7A90619D"/>
    <w:rsid w:val="7ABF3C19"/>
    <w:rsid w:val="7AD010EA"/>
    <w:rsid w:val="7AFFEDA2"/>
    <w:rsid w:val="7B3C1783"/>
    <w:rsid w:val="7B607AF4"/>
    <w:rsid w:val="7CB91393"/>
    <w:rsid w:val="7D4959B4"/>
    <w:rsid w:val="7D8E5378"/>
    <w:rsid w:val="7DDA20B6"/>
    <w:rsid w:val="7EB47249"/>
    <w:rsid w:val="7ED568CF"/>
    <w:rsid w:val="7ED742E7"/>
    <w:rsid w:val="7F77F944"/>
    <w:rsid w:val="7F880E5E"/>
    <w:rsid w:val="7FE76BB4"/>
    <w:rsid w:val="949C9A00"/>
    <w:rsid w:val="9DCE7EB1"/>
    <w:rsid w:val="AE6F3692"/>
    <w:rsid w:val="B7FBEBA9"/>
    <w:rsid w:val="BFB11ECF"/>
    <w:rsid w:val="CDBF2A27"/>
    <w:rsid w:val="EB7E43C2"/>
    <w:rsid w:val="EBFC5C58"/>
    <w:rsid w:val="F5EF41C0"/>
    <w:rsid w:val="FEF6566C"/>
    <w:rsid w:val="FEFC7FF5"/>
    <w:rsid w:val="FF94C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qFormat="1" w:unhideWhenUsed="0" w:uiPriority="0" w:semiHidden="0" w:name="macro"/>
    <w:lsdException w:uiPriority="99" w:name="toa heading"/>
    <w:lsdException w:qFormat="1" w:unhideWhenUsed="0" w:uiPriority="0" w:semiHidden="0"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qFormat="1"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name="Body Text First Indent 2"/>
    <w:lsdException w:uiPriority="99" w:name="Note Heading"/>
    <w:lsdException w:uiPriority="99" w:name="Body Text 2"/>
    <w:lsdException w:qFormat="1"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heme="minorBidi"/>
      <w:kern w:val="2"/>
      <w:sz w:val="21"/>
      <w:szCs w:val="21"/>
      <w:lang w:val="en-US" w:eastAsia="zh-CN" w:bidi="ar-SA"/>
    </w:rPr>
  </w:style>
  <w:style w:type="paragraph" w:styleId="3">
    <w:name w:val="heading 1"/>
    <w:basedOn w:val="1"/>
    <w:next w:val="1"/>
    <w:link w:val="72"/>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67"/>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69"/>
    <w:autoRedefine/>
    <w:unhideWhenUsed/>
    <w:qFormat/>
    <w:uiPriority w:val="9"/>
    <w:pPr>
      <w:outlineLvl w:val="2"/>
    </w:pPr>
  </w:style>
  <w:style w:type="paragraph" w:styleId="6">
    <w:name w:val="heading 4"/>
    <w:basedOn w:val="1"/>
    <w:next w:val="1"/>
    <w:link w:val="70"/>
    <w:autoRedefine/>
    <w:unhideWhenUsed/>
    <w:qFormat/>
    <w:uiPriority w:val="9"/>
    <w:pPr>
      <w:keepNext/>
      <w:keepLines/>
      <w:adjustRightInd/>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74"/>
    <w:autoRedefine/>
    <w:unhideWhenUsed/>
    <w:qFormat/>
    <w:uiPriority w:val="9"/>
    <w:pPr>
      <w:keepNext/>
      <w:keepLines/>
      <w:spacing w:before="280" w:after="290" w:line="376" w:lineRule="auto"/>
      <w:outlineLvl w:val="4"/>
    </w:pPr>
    <w:rPr>
      <w:b/>
      <w:bCs/>
      <w:sz w:val="28"/>
      <w:szCs w:val="28"/>
    </w:rPr>
  </w:style>
  <w:style w:type="paragraph" w:styleId="8">
    <w:name w:val="heading 6"/>
    <w:basedOn w:val="1"/>
    <w:next w:val="1"/>
    <w:link w:val="75"/>
    <w:autoRedefine/>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9">
    <w:name w:val="heading 7"/>
    <w:basedOn w:val="1"/>
    <w:next w:val="1"/>
    <w:link w:val="120"/>
    <w:autoRedefine/>
    <w:semiHidden/>
    <w:unhideWhenUsed/>
    <w:qFormat/>
    <w:uiPriority w:val="9"/>
    <w:pPr>
      <w:keepNext/>
      <w:keepLines/>
      <w:spacing w:before="240" w:after="64" w:line="320" w:lineRule="auto"/>
      <w:outlineLvl w:val="6"/>
    </w:pPr>
    <w:rPr>
      <w:b/>
      <w:bCs/>
      <w:sz w:val="24"/>
      <w:szCs w:val="24"/>
    </w:rPr>
  </w:style>
  <w:style w:type="paragraph" w:styleId="10">
    <w:name w:val="heading 8"/>
    <w:basedOn w:val="1"/>
    <w:next w:val="1"/>
    <w:link w:val="121"/>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122"/>
    <w:semiHidden/>
    <w:unhideWhenUsed/>
    <w:qFormat/>
    <w:uiPriority w:val="9"/>
    <w:pPr>
      <w:keepNext/>
      <w:keepLines/>
      <w:spacing w:before="240" w:after="64" w:line="320" w:lineRule="auto"/>
      <w:outlineLvl w:val="8"/>
    </w:pPr>
    <w:rPr>
      <w:rFonts w:asciiTheme="majorHAnsi" w:hAnsiTheme="majorHAnsi" w:eastAsiaTheme="majorEastAsia" w:cstheme="majorBidi"/>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92"/>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toc 7"/>
    <w:basedOn w:val="1"/>
    <w:next w:val="1"/>
    <w:autoRedefine/>
    <w:unhideWhenUsed/>
    <w:qFormat/>
    <w:uiPriority w:val="39"/>
    <w:pPr>
      <w:ind w:left="1260"/>
      <w:jc w:val="left"/>
    </w:pPr>
    <w:rPr>
      <w:rFonts w:asciiTheme="minorHAnsi" w:eastAsiaTheme="minorHAnsi"/>
      <w:sz w:val="18"/>
      <w:szCs w:val="18"/>
    </w:rPr>
  </w:style>
  <w:style w:type="paragraph" w:styleId="13">
    <w:name w:val="List Number 2"/>
    <w:basedOn w:val="1"/>
    <w:autoRedefine/>
    <w:qFormat/>
    <w:uiPriority w:val="0"/>
    <w:pPr>
      <w:tabs>
        <w:tab w:val="left" w:pos="780"/>
      </w:tabs>
      <w:ind w:left="425" w:hanging="425"/>
      <w:contextualSpacing/>
    </w:pPr>
    <w:rPr>
      <w:kern w:val="0"/>
      <w:sz w:val="28"/>
      <w:szCs w:val="20"/>
    </w:rPr>
  </w:style>
  <w:style w:type="paragraph" w:styleId="14">
    <w:name w:val="List Number"/>
    <w:basedOn w:val="1"/>
    <w:autoRedefine/>
    <w:qFormat/>
    <w:uiPriority w:val="0"/>
    <w:pPr>
      <w:tabs>
        <w:tab w:val="left" w:pos="360"/>
      </w:tabs>
      <w:ind w:left="425" w:hanging="425"/>
    </w:pPr>
    <w:rPr>
      <w:kern w:val="0"/>
      <w:sz w:val="28"/>
      <w:szCs w:val="20"/>
    </w:rPr>
  </w:style>
  <w:style w:type="paragraph" w:styleId="15">
    <w:name w:val="Normal Indent"/>
    <w:basedOn w:val="1"/>
    <w:autoRedefine/>
    <w:qFormat/>
    <w:uiPriority w:val="0"/>
    <w:pPr>
      <w:spacing w:line="600" w:lineRule="exact"/>
      <w:ind w:firstLine="420"/>
    </w:pPr>
    <w:rPr>
      <w:rFonts w:ascii="仿宋体-10Point" w:hAnsi="Roman PS" w:eastAsia="仿宋体-10Point"/>
    </w:rPr>
  </w:style>
  <w:style w:type="paragraph" w:styleId="16">
    <w:name w:val="caption"/>
    <w:basedOn w:val="1"/>
    <w:next w:val="1"/>
    <w:autoRedefine/>
    <w:unhideWhenUsed/>
    <w:qFormat/>
    <w:uiPriority w:val="35"/>
    <w:rPr>
      <w:rFonts w:eastAsia="黑体" w:asciiTheme="majorHAnsi" w:hAnsiTheme="majorHAnsi" w:cstheme="majorBidi"/>
      <w:sz w:val="20"/>
      <w:szCs w:val="20"/>
    </w:rPr>
  </w:style>
  <w:style w:type="paragraph" w:styleId="17">
    <w:name w:val="Document Map"/>
    <w:basedOn w:val="1"/>
    <w:link w:val="168"/>
    <w:autoRedefine/>
    <w:qFormat/>
    <w:uiPriority w:val="99"/>
    <w:pPr>
      <w:shd w:val="clear" w:color="auto" w:fill="000080"/>
    </w:pPr>
    <w:rPr>
      <w:kern w:val="0"/>
      <w:sz w:val="28"/>
      <w:szCs w:val="20"/>
    </w:rPr>
  </w:style>
  <w:style w:type="paragraph" w:styleId="18">
    <w:name w:val="annotation text"/>
    <w:basedOn w:val="1"/>
    <w:link w:val="133"/>
    <w:autoRedefine/>
    <w:qFormat/>
    <w:uiPriority w:val="0"/>
    <w:pPr>
      <w:jc w:val="left"/>
    </w:pPr>
    <w:rPr>
      <w:kern w:val="0"/>
      <w:sz w:val="20"/>
      <w:szCs w:val="20"/>
    </w:rPr>
  </w:style>
  <w:style w:type="paragraph" w:styleId="19">
    <w:name w:val="Body Text 3"/>
    <w:basedOn w:val="1"/>
    <w:link w:val="321"/>
    <w:autoRedefine/>
    <w:semiHidden/>
    <w:unhideWhenUsed/>
    <w:qFormat/>
    <w:uiPriority w:val="99"/>
    <w:pPr>
      <w:spacing w:after="120"/>
    </w:pPr>
    <w:rPr>
      <w:sz w:val="16"/>
      <w:szCs w:val="16"/>
    </w:rPr>
  </w:style>
  <w:style w:type="paragraph" w:styleId="20">
    <w:name w:val="Body Text"/>
    <w:basedOn w:val="1"/>
    <w:link w:val="308"/>
    <w:autoRedefine/>
    <w:semiHidden/>
    <w:unhideWhenUsed/>
    <w:qFormat/>
    <w:uiPriority w:val="99"/>
    <w:pPr>
      <w:spacing w:after="120"/>
    </w:pPr>
  </w:style>
  <w:style w:type="paragraph" w:styleId="21">
    <w:name w:val="Body Text Indent"/>
    <w:basedOn w:val="1"/>
    <w:link w:val="169"/>
    <w:qFormat/>
    <w:uiPriority w:val="0"/>
    <w:pPr>
      <w:spacing w:after="120"/>
      <w:ind w:left="420" w:leftChars="200"/>
    </w:pPr>
    <w:rPr>
      <w:kern w:val="0"/>
      <w:sz w:val="28"/>
      <w:szCs w:val="20"/>
    </w:rPr>
  </w:style>
  <w:style w:type="paragraph" w:styleId="22">
    <w:name w:val="List Bullet 2"/>
    <w:basedOn w:val="1"/>
    <w:autoRedefine/>
    <w:qFormat/>
    <w:uiPriority w:val="0"/>
    <w:pPr>
      <w:spacing w:line="500" w:lineRule="atLeast"/>
      <w:jc w:val="center"/>
    </w:pPr>
    <w:rPr>
      <w:snapToGrid w:val="0"/>
      <w:color w:val="000000"/>
      <w:kern w:val="0"/>
      <w:sz w:val="24"/>
      <w:szCs w:val="20"/>
    </w:rPr>
  </w:style>
  <w:style w:type="paragraph" w:styleId="23">
    <w:name w:val="index 4"/>
    <w:basedOn w:val="1"/>
    <w:next w:val="1"/>
    <w:autoRedefine/>
    <w:qFormat/>
    <w:uiPriority w:val="0"/>
    <w:pPr>
      <w:snapToGrid w:val="0"/>
      <w:spacing w:line="480" w:lineRule="exact"/>
      <w:ind w:left="600" w:leftChars="600" w:firstLine="200" w:firstLineChars="200"/>
    </w:pPr>
    <w:rPr>
      <w:rFonts w:eastAsia="仿宋_GB2312"/>
      <w:kern w:val="0"/>
      <w:sz w:val="28"/>
      <w:szCs w:val="28"/>
    </w:rPr>
  </w:style>
  <w:style w:type="paragraph" w:styleId="24">
    <w:name w:val="toc 5"/>
    <w:basedOn w:val="1"/>
    <w:next w:val="1"/>
    <w:autoRedefine/>
    <w:unhideWhenUsed/>
    <w:qFormat/>
    <w:uiPriority w:val="39"/>
    <w:pPr>
      <w:ind w:left="840"/>
      <w:jc w:val="left"/>
    </w:pPr>
    <w:rPr>
      <w:rFonts w:asciiTheme="minorHAnsi" w:eastAsiaTheme="minorHAnsi"/>
      <w:sz w:val="18"/>
      <w:szCs w:val="18"/>
    </w:rPr>
  </w:style>
  <w:style w:type="paragraph" w:styleId="25">
    <w:name w:val="toc 3"/>
    <w:basedOn w:val="1"/>
    <w:next w:val="1"/>
    <w:autoRedefine/>
    <w:unhideWhenUsed/>
    <w:qFormat/>
    <w:uiPriority w:val="39"/>
    <w:pPr>
      <w:tabs>
        <w:tab w:val="right" w:leader="dot" w:pos="8296"/>
      </w:tabs>
      <w:snapToGrid w:val="0"/>
      <w:spacing w:line="400" w:lineRule="exact"/>
      <w:ind w:left="420"/>
      <w:jc w:val="left"/>
    </w:pPr>
    <w:rPr>
      <w:iCs/>
      <w:color w:val="000000"/>
      <w:kern w:val="0"/>
      <w:sz w:val="24"/>
      <w:szCs w:val="20"/>
    </w:rPr>
  </w:style>
  <w:style w:type="paragraph" w:styleId="26">
    <w:name w:val="Plain Text"/>
    <w:basedOn w:val="1"/>
    <w:link w:val="170"/>
    <w:autoRedefine/>
    <w:qFormat/>
    <w:uiPriority w:val="0"/>
    <w:rPr>
      <w:rFonts w:ascii="宋体" w:hAnsi="Courier New"/>
      <w:kern w:val="0"/>
      <w:sz w:val="20"/>
    </w:rPr>
  </w:style>
  <w:style w:type="paragraph" w:styleId="27">
    <w:name w:val="List Bullet 5"/>
    <w:basedOn w:val="1"/>
    <w:autoRedefine/>
    <w:semiHidden/>
    <w:unhideWhenUsed/>
    <w:qFormat/>
    <w:uiPriority w:val="99"/>
    <w:pPr>
      <w:numPr>
        <w:ilvl w:val="0"/>
        <w:numId w:val="1"/>
      </w:numPr>
    </w:pPr>
  </w:style>
  <w:style w:type="paragraph" w:styleId="28">
    <w:name w:val="toc 8"/>
    <w:basedOn w:val="1"/>
    <w:next w:val="1"/>
    <w:autoRedefine/>
    <w:unhideWhenUsed/>
    <w:qFormat/>
    <w:uiPriority w:val="39"/>
    <w:pPr>
      <w:ind w:left="1470"/>
      <w:jc w:val="left"/>
    </w:pPr>
    <w:rPr>
      <w:rFonts w:asciiTheme="minorHAnsi" w:eastAsiaTheme="minorHAnsi"/>
      <w:sz w:val="18"/>
      <w:szCs w:val="18"/>
    </w:rPr>
  </w:style>
  <w:style w:type="paragraph" w:styleId="29">
    <w:name w:val="Date"/>
    <w:basedOn w:val="1"/>
    <w:next w:val="1"/>
    <w:link w:val="189"/>
    <w:autoRedefine/>
    <w:qFormat/>
    <w:uiPriority w:val="0"/>
    <w:pPr>
      <w:ind w:left="100" w:leftChars="2500"/>
    </w:pPr>
    <w:rPr>
      <w:szCs w:val="24"/>
    </w:rPr>
  </w:style>
  <w:style w:type="paragraph" w:styleId="30">
    <w:name w:val="Body Text Indent 2"/>
    <w:basedOn w:val="1"/>
    <w:autoRedefine/>
    <w:qFormat/>
    <w:uiPriority w:val="0"/>
    <w:pPr>
      <w:adjustRightInd/>
      <w:spacing w:after="120" w:line="480" w:lineRule="auto"/>
      <w:ind w:left="420" w:leftChars="200"/>
    </w:pPr>
    <w:rPr>
      <w:rFonts w:cs="Times New Roman"/>
      <w:sz w:val="28"/>
      <w:szCs w:val="20"/>
    </w:rPr>
  </w:style>
  <w:style w:type="paragraph" w:styleId="31">
    <w:name w:val="Balloon Text"/>
    <w:basedOn w:val="1"/>
    <w:link w:val="135"/>
    <w:autoRedefine/>
    <w:unhideWhenUsed/>
    <w:qFormat/>
    <w:uiPriority w:val="0"/>
    <w:rPr>
      <w:kern w:val="0"/>
      <w:sz w:val="18"/>
      <w:szCs w:val="18"/>
    </w:rPr>
  </w:style>
  <w:style w:type="paragraph" w:styleId="32">
    <w:name w:val="footer"/>
    <w:basedOn w:val="1"/>
    <w:link w:val="109"/>
    <w:autoRedefine/>
    <w:unhideWhenUsed/>
    <w:qFormat/>
    <w:uiPriority w:val="0"/>
    <w:pPr>
      <w:tabs>
        <w:tab w:val="center" w:pos="4153"/>
        <w:tab w:val="right" w:pos="8306"/>
      </w:tabs>
      <w:snapToGrid w:val="0"/>
      <w:jc w:val="left"/>
    </w:pPr>
    <w:rPr>
      <w:sz w:val="18"/>
      <w:szCs w:val="18"/>
    </w:rPr>
  </w:style>
  <w:style w:type="paragraph" w:styleId="33">
    <w:name w:val="header"/>
    <w:basedOn w:val="1"/>
    <w:next w:val="32"/>
    <w:link w:val="108"/>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snapToGrid w:val="0"/>
      <w:spacing w:line="400" w:lineRule="exact"/>
      <w:jc w:val="left"/>
    </w:pPr>
    <w:rPr>
      <w:bCs/>
      <w:caps/>
      <w:sz w:val="24"/>
      <w:szCs w:val="20"/>
    </w:rPr>
  </w:style>
  <w:style w:type="paragraph" w:styleId="35">
    <w:name w:val="toc 4"/>
    <w:basedOn w:val="1"/>
    <w:next w:val="1"/>
    <w:autoRedefine/>
    <w:unhideWhenUsed/>
    <w:qFormat/>
    <w:uiPriority w:val="39"/>
    <w:pPr>
      <w:ind w:left="630"/>
      <w:jc w:val="left"/>
    </w:pPr>
    <w:rPr>
      <w:rFonts w:asciiTheme="minorHAnsi" w:eastAsiaTheme="minorHAnsi"/>
      <w:sz w:val="18"/>
      <w:szCs w:val="18"/>
    </w:rPr>
  </w:style>
  <w:style w:type="paragraph" w:styleId="36">
    <w:name w:val="Subtitle"/>
    <w:basedOn w:val="1"/>
    <w:next w:val="1"/>
    <w:link w:val="130"/>
    <w:autoRedefine/>
    <w:qFormat/>
    <w:uiPriority w:val="11"/>
    <w:pPr>
      <w:spacing w:before="240" w:after="60" w:line="312" w:lineRule="auto"/>
      <w:jc w:val="center"/>
      <w:outlineLvl w:val="1"/>
    </w:pPr>
    <w:rPr>
      <w:rFonts w:asciiTheme="minorHAnsi" w:hAnsiTheme="minorHAnsi" w:eastAsiaTheme="minorEastAsia"/>
      <w:b/>
      <w:bCs/>
      <w:kern w:val="28"/>
      <w:sz w:val="32"/>
      <w:szCs w:val="32"/>
    </w:rPr>
  </w:style>
  <w:style w:type="paragraph" w:styleId="37">
    <w:name w:val="List"/>
    <w:basedOn w:val="1"/>
    <w:autoRedefine/>
    <w:qFormat/>
    <w:uiPriority w:val="0"/>
    <w:pPr>
      <w:ind w:left="200" w:hanging="200" w:hangingChars="200"/>
      <w:contextualSpacing/>
    </w:pPr>
    <w:rPr>
      <w:kern w:val="0"/>
      <w:sz w:val="28"/>
      <w:szCs w:val="20"/>
    </w:rPr>
  </w:style>
  <w:style w:type="paragraph" w:styleId="38">
    <w:name w:val="footnote text"/>
    <w:basedOn w:val="1"/>
    <w:link w:val="186"/>
    <w:autoRedefine/>
    <w:qFormat/>
    <w:uiPriority w:val="0"/>
    <w:pPr>
      <w:snapToGrid w:val="0"/>
      <w:spacing w:line="560" w:lineRule="exact"/>
      <w:ind w:firstLine="200" w:firstLineChars="200"/>
      <w:jc w:val="left"/>
    </w:pPr>
    <w:rPr>
      <w:rFonts w:ascii="Arial Narrow" w:hAnsi="Arial Narrow"/>
      <w:sz w:val="18"/>
      <w:szCs w:val="18"/>
    </w:rPr>
  </w:style>
  <w:style w:type="paragraph" w:styleId="39">
    <w:name w:val="toc 6"/>
    <w:basedOn w:val="1"/>
    <w:next w:val="1"/>
    <w:autoRedefine/>
    <w:unhideWhenUsed/>
    <w:qFormat/>
    <w:uiPriority w:val="39"/>
    <w:pPr>
      <w:ind w:left="1050"/>
      <w:jc w:val="left"/>
    </w:pPr>
    <w:rPr>
      <w:rFonts w:asciiTheme="minorHAnsi" w:eastAsiaTheme="minorHAnsi"/>
      <w:sz w:val="18"/>
      <w:szCs w:val="18"/>
    </w:rPr>
  </w:style>
  <w:style w:type="paragraph" w:styleId="40">
    <w:name w:val="toc 2"/>
    <w:basedOn w:val="1"/>
    <w:next w:val="1"/>
    <w:autoRedefine/>
    <w:unhideWhenUsed/>
    <w:qFormat/>
    <w:uiPriority w:val="39"/>
    <w:pPr>
      <w:snapToGrid w:val="0"/>
      <w:spacing w:line="400" w:lineRule="exact"/>
      <w:ind w:left="210"/>
      <w:jc w:val="left"/>
    </w:pPr>
    <w:rPr>
      <w:smallCaps/>
      <w:sz w:val="24"/>
      <w:szCs w:val="20"/>
    </w:rPr>
  </w:style>
  <w:style w:type="paragraph" w:styleId="41">
    <w:name w:val="toc 9"/>
    <w:basedOn w:val="1"/>
    <w:next w:val="1"/>
    <w:autoRedefine/>
    <w:unhideWhenUsed/>
    <w:qFormat/>
    <w:uiPriority w:val="39"/>
    <w:pPr>
      <w:ind w:left="1680"/>
      <w:jc w:val="left"/>
    </w:pPr>
    <w:rPr>
      <w:rFonts w:asciiTheme="minorHAnsi" w:eastAsiaTheme="minorHAnsi"/>
      <w:sz w:val="18"/>
      <w:szCs w:val="18"/>
    </w:rPr>
  </w:style>
  <w:style w:type="paragraph" w:styleId="42">
    <w:name w:val="Normal (Web)"/>
    <w:basedOn w:val="1"/>
    <w:autoRedefine/>
    <w:qFormat/>
    <w:uiPriority w:val="99"/>
    <w:pPr>
      <w:widowControl/>
      <w:jc w:val="left"/>
    </w:pPr>
    <w:rPr>
      <w:rFonts w:ascii="宋体" w:hAnsi="宋体" w:cs="宋体"/>
      <w:kern w:val="0"/>
      <w:sz w:val="24"/>
      <w:szCs w:val="20"/>
    </w:rPr>
  </w:style>
  <w:style w:type="paragraph" w:styleId="43">
    <w:name w:val="index 1"/>
    <w:basedOn w:val="1"/>
    <w:next w:val="1"/>
    <w:autoRedefine/>
    <w:qFormat/>
    <w:uiPriority w:val="0"/>
    <w:pPr>
      <w:spacing w:line="560" w:lineRule="exact"/>
      <w:ind w:firstLine="200" w:firstLineChars="200"/>
    </w:pPr>
    <w:rPr>
      <w:rFonts w:ascii="Arial Narrow" w:hAnsi="Arial Narrow"/>
      <w:kern w:val="0"/>
      <w:sz w:val="20"/>
    </w:rPr>
  </w:style>
  <w:style w:type="paragraph" w:styleId="44">
    <w:name w:val="Title"/>
    <w:basedOn w:val="1"/>
    <w:next w:val="1"/>
    <w:link w:val="112"/>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5">
    <w:name w:val="annotation subject"/>
    <w:basedOn w:val="18"/>
    <w:next w:val="18"/>
    <w:link w:val="164"/>
    <w:autoRedefine/>
    <w:qFormat/>
    <w:uiPriority w:val="0"/>
    <w:rPr>
      <w:b/>
      <w:bCs/>
      <w:sz w:val="28"/>
    </w:rPr>
  </w:style>
  <w:style w:type="paragraph" w:styleId="46">
    <w:name w:val="Body Text First Indent"/>
    <w:basedOn w:val="20"/>
    <w:autoRedefine/>
    <w:unhideWhenUsed/>
    <w:qFormat/>
    <w:uiPriority w:val="99"/>
    <w:pPr>
      <w:adjustRightInd/>
      <w:ind w:firstLine="420" w:firstLineChars="100"/>
    </w:pPr>
    <w:rPr>
      <w:sz w:val="28"/>
    </w:rPr>
  </w:style>
  <w:style w:type="paragraph" w:styleId="47">
    <w:name w:val="Body Text First Indent 2"/>
    <w:basedOn w:val="21"/>
    <w:link w:val="317"/>
    <w:autoRedefine/>
    <w:semiHidden/>
    <w:unhideWhenUsed/>
    <w:qFormat/>
    <w:uiPriority w:val="99"/>
    <w:pPr>
      <w:ind w:firstLine="420" w:firstLineChars="200"/>
    </w:pPr>
    <w:rPr>
      <w:kern w:val="2"/>
      <w:sz w:val="21"/>
      <w:szCs w:val="21"/>
    </w:rPr>
  </w:style>
  <w:style w:type="table" w:styleId="49">
    <w:name w:val="Table Grid"/>
    <w:basedOn w:val="4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basedOn w:val="50"/>
    <w:autoRedefine/>
    <w:qFormat/>
    <w:uiPriority w:val="22"/>
    <w:rPr>
      <w:b/>
      <w:bCs/>
    </w:rPr>
  </w:style>
  <w:style w:type="character" w:styleId="52">
    <w:name w:val="page number"/>
    <w:basedOn w:val="50"/>
    <w:autoRedefine/>
    <w:qFormat/>
    <w:uiPriority w:val="99"/>
    <w:rPr>
      <w:rFonts w:ascii="Tahoma" w:hAnsi="Tahoma"/>
      <w:szCs w:val="21"/>
    </w:rPr>
  </w:style>
  <w:style w:type="character" w:styleId="53">
    <w:name w:val="Emphasis"/>
    <w:autoRedefine/>
    <w:qFormat/>
    <w:uiPriority w:val="20"/>
    <w:rPr>
      <w:i/>
      <w:iCs/>
    </w:rPr>
  </w:style>
  <w:style w:type="character" w:styleId="54">
    <w:name w:val="HTML Definition"/>
    <w:autoRedefine/>
    <w:qFormat/>
    <w:uiPriority w:val="0"/>
  </w:style>
  <w:style w:type="character" w:styleId="55">
    <w:name w:val="HTML Variable"/>
    <w:autoRedefine/>
    <w:qFormat/>
    <w:uiPriority w:val="0"/>
  </w:style>
  <w:style w:type="character" w:styleId="56">
    <w:name w:val="Hyperlink"/>
    <w:basedOn w:val="50"/>
    <w:autoRedefine/>
    <w:unhideWhenUsed/>
    <w:qFormat/>
    <w:uiPriority w:val="99"/>
    <w:rPr>
      <w:color w:val="0563C1" w:themeColor="hyperlink"/>
      <w:u w:val="single"/>
      <w14:textFill>
        <w14:solidFill>
          <w14:schemeClr w14:val="hlink"/>
        </w14:solidFill>
      </w14:textFill>
    </w:rPr>
  </w:style>
  <w:style w:type="character" w:styleId="57">
    <w:name w:val="HTML Code"/>
    <w:autoRedefine/>
    <w:qFormat/>
    <w:uiPriority w:val="0"/>
    <w:rPr>
      <w:rFonts w:ascii="Courier New" w:hAnsi="Courier New" w:eastAsia="Courier New" w:cs="Courier New"/>
      <w:sz w:val="20"/>
    </w:rPr>
  </w:style>
  <w:style w:type="character" w:styleId="58">
    <w:name w:val="annotation reference"/>
    <w:autoRedefine/>
    <w:qFormat/>
    <w:uiPriority w:val="0"/>
    <w:rPr>
      <w:sz w:val="21"/>
      <w:szCs w:val="21"/>
    </w:rPr>
  </w:style>
  <w:style w:type="character" w:styleId="59">
    <w:name w:val="HTML Cite"/>
    <w:autoRedefine/>
    <w:qFormat/>
    <w:uiPriority w:val="0"/>
  </w:style>
  <w:style w:type="character" w:styleId="60">
    <w:name w:val="footnote reference"/>
    <w:autoRedefine/>
    <w:qFormat/>
    <w:uiPriority w:val="0"/>
    <w:rPr>
      <w:vertAlign w:val="superscript"/>
    </w:rPr>
  </w:style>
  <w:style w:type="character" w:styleId="61">
    <w:name w:val="HTML Keyboard"/>
    <w:autoRedefine/>
    <w:qFormat/>
    <w:uiPriority w:val="0"/>
    <w:rPr>
      <w:rFonts w:ascii="Courier New" w:hAnsi="Courier New" w:eastAsia="Courier New" w:cs="Courier New"/>
      <w:sz w:val="20"/>
    </w:rPr>
  </w:style>
  <w:style w:type="character" w:styleId="62">
    <w:name w:val="HTML Sample"/>
    <w:autoRedefine/>
    <w:qFormat/>
    <w:uiPriority w:val="0"/>
    <w:rPr>
      <w:rFonts w:ascii="Courier New" w:hAnsi="Courier New" w:eastAsia="Courier New" w:cs="Courier New"/>
    </w:rPr>
  </w:style>
  <w:style w:type="paragraph" w:customStyle="1" w:styleId="63">
    <w:name w:val="Default"/>
    <w:autoRedefine/>
    <w:qFormat/>
    <w:uiPriority w:val="0"/>
    <w:pPr>
      <w:widowControl w:val="0"/>
      <w:autoSpaceDE w:val="0"/>
      <w:autoSpaceDN w:val="0"/>
      <w:adjustRightInd w:val="0"/>
    </w:pPr>
    <w:rPr>
      <w:rFonts w:ascii="仿宋_GB2312" w:hAnsi="Times New Roman" w:eastAsia="仿宋_GB2312" w:cs="Times New Roman"/>
      <w:color w:val="000000"/>
      <w:sz w:val="24"/>
      <w:szCs w:val="24"/>
      <w:lang w:val="en-US" w:eastAsia="zh-CN" w:bidi="ar-SA"/>
    </w:rPr>
  </w:style>
  <w:style w:type="paragraph" w:customStyle="1" w:styleId="64">
    <w:name w:val="正文文本 2 Char Char"/>
    <w:basedOn w:val="1"/>
    <w:autoRedefine/>
    <w:qFormat/>
    <w:uiPriority w:val="0"/>
    <w:pPr>
      <w:widowControl/>
      <w:spacing w:after="120" w:line="480" w:lineRule="auto"/>
      <w:ind w:firstLine="420" w:firstLineChars="200"/>
    </w:pPr>
    <w:rPr>
      <w:rFonts w:hint="eastAsia"/>
      <w:color w:val="000000"/>
      <w:sz w:val="18"/>
    </w:rPr>
  </w:style>
  <w:style w:type="paragraph" w:customStyle="1" w:styleId="65">
    <w:name w:val="序号 1"/>
    <w:basedOn w:val="66"/>
    <w:link w:val="71"/>
    <w:autoRedefine/>
    <w:qFormat/>
    <w:uiPriority w:val="0"/>
    <w:pPr>
      <w:numPr>
        <w:ilvl w:val="0"/>
        <w:numId w:val="2"/>
      </w:numPr>
      <w:adjustRightInd/>
      <w:spacing w:line="240" w:lineRule="auto"/>
      <w:ind w:firstLine="200"/>
      <w:jc w:val="left"/>
    </w:pPr>
    <w:rPr>
      <w:b/>
    </w:rPr>
  </w:style>
  <w:style w:type="paragraph" w:customStyle="1" w:styleId="66">
    <w:name w:val="正文非煤评价"/>
    <w:next w:val="1"/>
    <w:link w:val="111"/>
    <w:autoRedefine/>
    <w:qFormat/>
    <w:uiPriority w:val="0"/>
    <w:pPr>
      <w:adjustRightInd w:val="0"/>
      <w:spacing w:line="360" w:lineRule="auto"/>
      <w:ind w:firstLine="562" w:firstLineChars="200"/>
      <w:jc w:val="both"/>
    </w:pPr>
    <w:rPr>
      <w:rFonts w:ascii="Times New Roman" w:hAnsi="Times New Roman" w:eastAsia="宋体" w:cstheme="minorBidi"/>
      <w:kern w:val="2"/>
      <w:sz w:val="28"/>
      <w:szCs w:val="28"/>
      <w:lang w:val="en-US" w:eastAsia="zh-CN" w:bidi="ar-SA"/>
    </w:rPr>
  </w:style>
  <w:style w:type="character" w:customStyle="1" w:styleId="67">
    <w:name w:val="标题 2 字符"/>
    <w:basedOn w:val="50"/>
    <w:link w:val="4"/>
    <w:autoRedefine/>
    <w:qFormat/>
    <w:uiPriority w:val="9"/>
    <w:rPr>
      <w:rFonts w:asciiTheme="majorHAnsi" w:hAnsiTheme="majorHAnsi" w:eastAsiaTheme="majorEastAsia" w:cstheme="majorBidi"/>
      <w:b/>
      <w:bCs/>
      <w:sz w:val="32"/>
      <w:szCs w:val="32"/>
    </w:rPr>
  </w:style>
  <w:style w:type="paragraph" w:customStyle="1" w:styleId="68">
    <w:name w:val="序号 3"/>
    <w:link w:val="92"/>
    <w:autoRedefine/>
    <w:qFormat/>
    <w:uiPriority w:val="0"/>
    <w:pPr>
      <w:numPr>
        <w:ilvl w:val="0"/>
        <w:numId w:val="3"/>
      </w:numPr>
      <w:adjustRightInd w:val="0"/>
      <w:spacing w:line="360" w:lineRule="auto"/>
      <w:jc w:val="both"/>
    </w:pPr>
    <w:rPr>
      <w:rFonts w:ascii="Times New Roman" w:hAnsi="Times New Roman" w:eastAsia="宋体" w:cstheme="minorBidi"/>
      <w:kern w:val="2"/>
      <w:sz w:val="28"/>
      <w:szCs w:val="28"/>
      <w:lang w:val="en-US" w:eastAsia="zh-CN" w:bidi="ar-SA"/>
    </w:rPr>
  </w:style>
  <w:style w:type="character" w:customStyle="1" w:styleId="69">
    <w:name w:val="标题 3 字符"/>
    <w:basedOn w:val="50"/>
    <w:link w:val="5"/>
    <w:autoRedefine/>
    <w:qFormat/>
    <w:uiPriority w:val="9"/>
    <w:rPr>
      <w:b/>
      <w:bCs/>
      <w:sz w:val="32"/>
      <w:szCs w:val="32"/>
    </w:rPr>
  </w:style>
  <w:style w:type="character" w:customStyle="1" w:styleId="70">
    <w:name w:val="标题 4 字符"/>
    <w:basedOn w:val="50"/>
    <w:link w:val="6"/>
    <w:autoRedefine/>
    <w:qFormat/>
    <w:uiPriority w:val="9"/>
    <w:rPr>
      <w:rFonts w:asciiTheme="majorHAnsi" w:hAnsiTheme="majorHAnsi" w:eastAsiaTheme="majorEastAsia" w:cstheme="majorBidi"/>
      <w:b/>
      <w:bCs/>
      <w:sz w:val="28"/>
      <w:szCs w:val="28"/>
    </w:rPr>
  </w:style>
  <w:style w:type="character" w:customStyle="1" w:styleId="71">
    <w:name w:val="序号 1 Char"/>
    <w:basedOn w:val="50"/>
    <w:link w:val="65"/>
    <w:autoRedefine/>
    <w:qFormat/>
    <w:uiPriority w:val="0"/>
    <w:rPr>
      <w:rFonts w:ascii="Times New Roman" w:hAnsi="Times New Roman" w:eastAsia="宋体"/>
      <w:b/>
      <w:kern w:val="2"/>
      <w:sz w:val="28"/>
      <w:szCs w:val="28"/>
    </w:rPr>
  </w:style>
  <w:style w:type="character" w:customStyle="1" w:styleId="72">
    <w:name w:val="标题 1 字符"/>
    <w:basedOn w:val="50"/>
    <w:link w:val="3"/>
    <w:autoRedefine/>
    <w:qFormat/>
    <w:uiPriority w:val="9"/>
    <w:rPr>
      <w:b/>
      <w:bCs/>
      <w:kern w:val="44"/>
      <w:sz w:val="44"/>
      <w:szCs w:val="44"/>
    </w:rPr>
  </w:style>
  <w:style w:type="paragraph" w:customStyle="1" w:styleId="73">
    <w:name w:val="序号 2"/>
    <w:link w:val="91"/>
    <w:autoRedefine/>
    <w:qFormat/>
    <w:uiPriority w:val="0"/>
    <w:pPr>
      <w:numPr>
        <w:ilvl w:val="0"/>
        <w:numId w:val="4"/>
      </w:numPr>
      <w:adjustRightInd w:val="0"/>
      <w:spacing w:line="360" w:lineRule="auto"/>
      <w:jc w:val="both"/>
    </w:pPr>
    <w:rPr>
      <w:rFonts w:ascii="Times New Roman" w:hAnsi="Times New Roman" w:eastAsia="宋体" w:cstheme="minorBidi"/>
      <w:kern w:val="2"/>
      <w:sz w:val="28"/>
      <w:szCs w:val="28"/>
      <w:lang w:val="en-US" w:eastAsia="zh-CN" w:bidi="ar-SA"/>
    </w:rPr>
  </w:style>
  <w:style w:type="character" w:customStyle="1" w:styleId="74">
    <w:name w:val="标题 5 字符"/>
    <w:basedOn w:val="50"/>
    <w:link w:val="7"/>
    <w:autoRedefine/>
    <w:qFormat/>
    <w:uiPriority w:val="9"/>
    <w:rPr>
      <w:rFonts w:ascii="Times New Roman" w:hAnsi="Times New Roman" w:eastAsia="宋体"/>
      <w:b/>
      <w:bCs/>
      <w:sz w:val="28"/>
      <w:szCs w:val="28"/>
    </w:rPr>
  </w:style>
  <w:style w:type="character" w:customStyle="1" w:styleId="75">
    <w:name w:val="标题 6 字符"/>
    <w:basedOn w:val="50"/>
    <w:link w:val="8"/>
    <w:autoRedefine/>
    <w:qFormat/>
    <w:uiPriority w:val="9"/>
    <w:rPr>
      <w:rFonts w:asciiTheme="majorHAnsi" w:hAnsiTheme="majorHAnsi" w:eastAsiaTheme="majorEastAsia" w:cstheme="majorBidi"/>
      <w:b/>
      <w:bCs/>
      <w:sz w:val="24"/>
      <w:szCs w:val="24"/>
    </w:rPr>
  </w:style>
  <w:style w:type="paragraph" w:customStyle="1" w:styleId="76">
    <w:name w:val="前言/目录"/>
    <w:next w:val="1"/>
    <w:link w:val="78"/>
    <w:autoRedefine/>
    <w:qFormat/>
    <w:uiPriority w:val="0"/>
    <w:pPr>
      <w:spacing w:before="240" w:after="240" w:line="360" w:lineRule="auto"/>
      <w:jc w:val="center"/>
    </w:pPr>
    <w:rPr>
      <w:rFonts w:ascii="Times New Roman" w:hAnsi="Times New Roman" w:eastAsia="宋体" w:cstheme="minorBidi"/>
      <w:b/>
      <w:kern w:val="2"/>
      <w:sz w:val="44"/>
      <w:szCs w:val="44"/>
      <w:lang w:val="en-US" w:eastAsia="zh-CN" w:bidi="ar-SA"/>
    </w:rPr>
  </w:style>
  <w:style w:type="paragraph" w:customStyle="1" w:styleId="77">
    <w:name w:val="标题 1级"/>
    <w:basedOn w:val="1"/>
    <w:next w:val="1"/>
    <w:link w:val="80"/>
    <w:autoRedefine/>
    <w:qFormat/>
    <w:uiPriority w:val="0"/>
    <w:pPr>
      <w:numPr>
        <w:ilvl w:val="0"/>
        <w:numId w:val="5"/>
      </w:numPr>
      <w:spacing w:before="240" w:after="240" w:line="360" w:lineRule="auto"/>
      <w:jc w:val="center"/>
      <w:outlineLvl w:val="0"/>
    </w:pPr>
    <w:rPr>
      <w:b/>
      <w:sz w:val="44"/>
    </w:rPr>
  </w:style>
  <w:style w:type="character" w:customStyle="1" w:styleId="78">
    <w:name w:val="前言/目录 字符"/>
    <w:basedOn w:val="50"/>
    <w:link w:val="76"/>
    <w:autoRedefine/>
    <w:qFormat/>
    <w:uiPriority w:val="0"/>
    <w:rPr>
      <w:b/>
      <w:sz w:val="44"/>
      <w:szCs w:val="44"/>
    </w:rPr>
  </w:style>
  <w:style w:type="paragraph" w:styleId="79">
    <w:name w:val="List Paragraph"/>
    <w:basedOn w:val="1"/>
    <w:link w:val="83"/>
    <w:autoRedefine/>
    <w:qFormat/>
    <w:uiPriority w:val="34"/>
    <w:pPr>
      <w:ind w:firstLine="420" w:firstLineChars="200"/>
    </w:pPr>
  </w:style>
  <w:style w:type="character" w:customStyle="1" w:styleId="80">
    <w:name w:val="标题 1级 字符"/>
    <w:basedOn w:val="50"/>
    <w:link w:val="77"/>
    <w:autoRedefine/>
    <w:qFormat/>
    <w:uiPriority w:val="0"/>
    <w:rPr>
      <w:rFonts w:ascii="Times New Roman" w:hAnsi="Times New Roman" w:eastAsia="宋体"/>
      <w:b/>
      <w:kern w:val="2"/>
      <w:sz w:val="44"/>
      <w:szCs w:val="21"/>
    </w:rPr>
  </w:style>
  <w:style w:type="paragraph" w:customStyle="1" w:styleId="81">
    <w:name w:val="标题 2级"/>
    <w:next w:val="1"/>
    <w:link w:val="84"/>
    <w:autoRedefine/>
    <w:qFormat/>
    <w:uiPriority w:val="0"/>
    <w:pPr>
      <w:numPr>
        <w:ilvl w:val="1"/>
        <w:numId w:val="5"/>
      </w:numPr>
      <w:spacing w:before="120" w:after="120" w:line="360" w:lineRule="auto"/>
      <w:outlineLvl w:val="1"/>
    </w:pPr>
    <w:rPr>
      <w:rFonts w:ascii="Times New Roman" w:hAnsi="Times New Roman" w:eastAsia="宋体" w:cstheme="minorBidi"/>
      <w:b/>
      <w:kern w:val="2"/>
      <w:sz w:val="32"/>
      <w:szCs w:val="21"/>
      <w:lang w:val="en-US" w:eastAsia="zh-CN" w:bidi="ar-SA"/>
    </w:rPr>
  </w:style>
  <w:style w:type="paragraph" w:customStyle="1" w:styleId="82">
    <w:name w:val="标题 3级"/>
    <w:next w:val="1"/>
    <w:link w:val="86"/>
    <w:autoRedefine/>
    <w:qFormat/>
    <w:uiPriority w:val="0"/>
    <w:pPr>
      <w:numPr>
        <w:ilvl w:val="2"/>
        <w:numId w:val="5"/>
      </w:numPr>
      <w:spacing w:line="360" w:lineRule="auto"/>
      <w:outlineLvl w:val="2"/>
    </w:pPr>
    <w:rPr>
      <w:rFonts w:ascii="Times New Roman" w:hAnsi="Times New Roman" w:eastAsia="宋体" w:cstheme="minorBidi"/>
      <w:b/>
      <w:kern w:val="2"/>
      <w:sz w:val="30"/>
      <w:szCs w:val="21"/>
      <w:lang w:val="en-US" w:eastAsia="zh-CN" w:bidi="ar-SA"/>
    </w:rPr>
  </w:style>
  <w:style w:type="character" w:customStyle="1" w:styleId="83">
    <w:name w:val="列表段落 字符"/>
    <w:basedOn w:val="50"/>
    <w:link w:val="79"/>
    <w:autoRedefine/>
    <w:qFormat/>
    <w:uiPriority w:val="34"/>
  </w:style>
  <w:style w:type="character" w:customStyle="1" w:styleId="84">
    <w:name w:val="标题 2级 字符"/>
    <w:basedOn w:val="83"/>
    <w:link w:val="81"/>
    <w:autoRedefine/>
    <w:qFormat/>
    <w:uiPriority w:val="0"/>
    <w:rPr>
      <w:rFonts w:ascii="Times New Roman" w:hAnsi="Times New Roman" w:eastAsia="宋体"/>
      <w:b/>
      <w:kern w:val="2"/>
      <w:sz w:val="32"/>
      <w:szCs w:val="21"/>
    </w:rPr>
  </w:style>
  <w:style w:type="paragraph" w:customStyle="1" w:styleId="85">
    <w:name w:val="标题 4级"/>
    <w:next w:val="1"/>
    <w:link w:val="88"/>
    <w:autoRedefine/>
    <w:qFormat/>
    <w:uiPriority w:val="0"/>
    <w:pPr>
      <w:numPr>
        <w:ilvl w:val="3"/>
        <w:numId w:val="5"/>
      </w:numPr>
      <w:spacing w:line="360" w:lineRule="auto"/>
      <w:ind w:left="0"/>
      <w:outlineLvl w:val="3"/>
    </w:pPr>
    <w:rPr>
      <w:rFonts w:ascii="Times New Roman" w:hAnsi="Times New Roman" w:eastAsia="宋体" w:cstheme="minorBidi"/>
      <w:b/>
      <w:kern w:val="2"/>
      <w:sz w:val="28"/>
      <w:szCs w:val="21"/>
      <w:lang w:val="en-US" w:eastAsia="zh-CN" w:bidi="ar-SA"/>
    </w:rPr>
  </w:style>
  <w:style w:type="character" w:customStyle="1" w:styleId="86">
    <w:name w:val="标题 3级 字符"/>
    <w:basedOn w:val="84"/>
    <w:link w:val="82"/>
    <w:autoRedefine/>
    <w:qFormat/>
    <w:uiPriority w:val="0"/>
    <w:rPr>
      <w:rFonts w:ascii="Times New Roman" w:hAnsi="Times New Roman" w:eastAsia="宋体"/>
      <w:kern w:val="2"/>
      <w:sz w:val="30"/>
      <w:szCs w:val="21"/>
    </w:rPr>
  </w:style>
  <w:style w:type="paragraph" w:customStyle="1" w:styleId="87">
    <w:name w:val="附件/附图"/>
    <w:basedOn w:val="76"/>
    <w:next w:val="1"/>
    <w:link w:val="90"/>
    <w:autoRedefine/>
    <w:qFormat/>
    <w:uiPriority w:val="0"/>
    <w:pPr>
      <w:outlineLvl w:val="0"/>
    </w:pPr>
  </w:style>
  <w:style w:type="character" w:customStyle="1" w:styleId="88">
    <w:name w:val="标题 4级 字符"/>
    <w:basedOn w:val="84"/>
    <w:link w:val="85"/>
    <w:autoRedefine/>
    <w:qFormat/>
    <w:uiPriority w:val="0"/>
    <w:rPr>
      <w:rFonts w:ascii="Times New Roman" w:hAnsi="Times New Roman" w:eastAsia="宋体"/>
      <w:kern w:val="2"/>
      <w:sz w:val="28"/>
      <w:szCs w:val="21"/>
    </w:rPr>
  </w:style>
  <w:style w:type="paragraph" w:customStyle="1" w:styleId="89">
    <w:name w:val="序号 4"/>
    <w:link w:val="93"/>
    <w:autoRedefine/>
    <w:qFormat/>
    <w:uiPriority w:val="0"/>
    <w:pPr>
      <w:numPr>
        <w:ilvl w:val="0"/>
        <w:numId w:val="6"/>
      </w:numPr>
      <w:spacing w:line="360" w:lineRule="auto"/>
      <w:jc w:val="both"/>
    </w:pPr>
    <w:rPr>
      <w:rFonts w:ascii="Times New Roman" w:hAnsi="Times New Roman" w:eastAsia="宋体" w:cstheme="minorBidi"/>
      <w:kern w:val="2"/>
      <w:sz w:val="28"/>
      <w:szCs w:val="28"/>
      <w:lang w:val="en-US" w:eastAsia="zh-CN" w:bidi="ar-SA"/>
    </w:rPr>
  </w:style>
  <w:style w:type="character" w:customStyle="1" w:styleId="90">
    <w:name w:val="附件/附图 字符"/>
    <w:basedOn w:val="78"/>
    <w:link w:val="87"/>
    <w:autoRedefine/>
    <w:qFormat/>
    <w:uiPriority w:val="0"/>
    <w:rPr>
      <w:sz w:val="44"/>
      <w:szCs w:val="44"/>
    </w:rPr>
  </w:style>
  <w:style w:type="character" w:customStyle="1" w:styleId="91">
    <w:name w:val="序号 2 Char"/>
    <w:basedOn w:val="50"/>
    <w:link w:val="73"/>
    <w:autoRedefine/>
    <w:qFormat/>
    <w:uiPriority w:val="0"/>
    <w:rPr>
      <w:rFonts w:ascii="Times New Roman" w:hAnsi="Times New Roman" w:eastAsia="宋体"/>
      <w:kern w:val="2"/>
      <w:sz w:val="28"/>
      <w:szCs w:val="28"/>
    </w:rPr>
  </w:style>
  <w:style w:type="character" w:customStyle="1" w:styleId="92">
    <w:name w:val="序号 3 字符"/>
    <w:basedOn w:val="50"/>
    <w:link w:val="68"/>
    <w:autoRedefine/>
    <w:qFormat/>
    <w:uiPriority w:val="0"/>
    <w:rPr>
      <w:rFonts w:ascii="Times New Roman" w:hAnsi="Times New Roman" w:eastAsia="宋体"/>
      <w:kern w:val="2"/>
      <w:sz w:val="28"/>
      <w:szCs w:val="28"/>
    </w:rPr>
  </w:style>
  <w:style w:type="character" w:customStyle="1" w:styleId="93">
    <w:name w:val="序号 4 字符"/>
    <w:basedOn w:val="50"/>
    <w:link w:val="89"/>
    <w:autoRedefine/>
    <w:qFormat/>
    <w:uiPriority w:val="0"/>
    <w:rPr>
      <w:rFonts w:ascii="Times New Roman" w:hAnsi="Times New Roman" w:eastAsia="宋体"/>
      <w:kern w:val="2"/>
      <w:sz w:val="28"/>
      <w:szCs w:val="28"/>
    </w:rPr>
  </w:style>
  <w:style w:type="paragraph" w:customStyle="1" w:styleId="94">
    <w:name w:val="附件编号"/>
    <w:link w:val="96"/>
    <w:qFormat/>
    <w:uiPriority w:val="0"/>
    <w:pPr>
      <w:numPr>
        <w:ilvl w:val="0"/>
        <w:numId w:val="7"/>
      </w:numPr>
      <w:spacing w:line="360" w:lineRule="auto"/>
    </w:pPr>
    <w:rPr>
      <w:rFonts w:ascii="Times New Roman" w:hAnsi="Times New Roman" w:eastAsia="宋体" w:cstheme="minorBidi"/>
      <w:kern w:val="2"/>
      <w:sz w:val="28"/>
      <w:szCs w:val="28"/>
      <w:lang w:val="en-US" w:eastAsia="zh-CN" w:bidi="ar-SA"/>
    </w:rPr>
  </w:style>
  <w:style w:type="paragraph" w:customStyle="1" w:styleId="95">
    <w:name w:val="附图编号"/>
    <w:basedOn w:val="1"/>
    <w:link w:val="97"/>
    <w:qFormat/>
    <w:uiPriority w:val="0"/>
    <w:pPr>
      <w:numPr>
        <w:ilvl w:val="0"/>
        <w:numId w:val="8"/>
      </w:numPr>
      <w:spacing w:line="360" w:lineRule="auto"/>
    </w:pPr>
    <w:rPr>
      <w:sz w:val="28"/>
      <w:szCs w:val="28"/>
    </w:rPr>
  </w:style>
  <w:style w:type="character" w:customStyle="1" w:styleId="96">
    <w:name w:val="附件编号 字符"/>
    <w:basedOn w:val="50"/>
    <w:link w:val="94"/>
    <w:qFormat/>
    <w:uiPriority w:val="0"/>
    <w:rPr>
      <w:rFonts w:ascii="Times New Roman" w:hAnsi="Times New Roman" w:eastAsia="宋体"/>
      <w:kern w:val="2"/>
      <w:sz w:val="28"/>
      <w:szCs w:val="28"/>
    </w:rPr>
  </w:style>
  <w:style w:type="character" w:customStyle="1" w:styleId="97">
    <w:name w:val="附图编号 字符"/>
    <w:basedOn w:val="50"/>
    <w:link w:val="95"/>
    <w:qFormat/>
    <w:uiPriority w:val="0"/>
    <w:rPr>
      <w:rFonts w:ascii="Times New Roman" w:hAnsi="Times New Roman" w:eastAsia="宋体"/>
      <w:kern w:val="2"/>
      <w:sz w:val="28"/>
      <w:szCs w:val="28"/>
    </w:rPr>
  </w:style>
  <w:style w:type="paragraph" w:customStyle="1" w:styleId="98">
    <w:name w:val="表格 标题"/>
    <w:next w:val="1"/>
    <w:link w:val="99"/>
    <w:qFormat/>
    <w:uiPriority w:val="0"/>
    <w:pPr>
      <w:spacing w:line="360" w:lineRule="auto"/>
      <w:jc w:val="center"/>
    </w:pPr>
    <w:rPr>
      <w:rFonts w:ascii="Times New Roman" w:hAnsi="Times New Roman" w:eastAsia="宋体" w:cstheme="minorBidi"/>
      <w:b/>
      <w:kern w:val="2"/>
      <w:sz w:val="24"/>
      <w:szCs w:val="24"/>
      <w:lang w:val="en-US" w:eastAsia="zh-CN" w:bidi="ar-SA"/>
    </w:rPr>
  </w:style>
  <w:style w:type="character" w:customStyle="1" w:styleId="99">
    <w:name w:val="表格 标题 字符"/>
    <w:basedOn w:val="50"/>
    <w:link w:val="98"/>
    <w:qFormat/>
    <w:uiPriority w:val="0"/>
    <w:rPr>
      <w:b/>
      <w:sz w:val="24"/>
      <w:szCs w:val="24"/>
    </w:rPr>
  </w:style>
  <w:style w:type="paragraph" w:customStyle="1" w:styleId="100">
    <w:name w:val="表格 表头"/>
    <w:basedOn w:val="1"/>
    <w:link w:val="102"/>
    <w:qFormat/>
    <w:uiPriority w:val="0"/>
    <w:pPr>
      <w:spacing w:line="360" w:lineRule="exact"/>
      <w:jc w:val="center"/>
    </w:pPr>
    <w:rPr>
      <w:b/>
    </w:rPr>
  </w:style>
  <w:style w:type="paragraph" w:customStyle="1" w:styleId="101">
    <w:name w:val="表格 内容"/>
    <w:basedOn w:val="1"/>
    <w:link w:val="104"/>
    <w:qFormat/>
    <w:uiPriority w:val="0"/>
    <w:pPr>
      <w:spacing w:line="360" w:lineRule="exact"/>
    </w:pPr>
  </w:style>
  <w:style w:type="character" w:customStyle="1" w:styleId="102">
    <w:name w:val="表格 表头 字符"/>
    <w:basedOn w:val="50"/>
    <w:link w:val="100"/>
    <w:qFormat/>
    <w:uiPriority w:val="0"/>
    <w:rPr>
      <w:b/>
    </w:rPr>
  </w:style>
  <w:style w:type="paragraph" w:customStyle="1" w:styleId="103">
    <w:name w:val="图片 标题"/>
    <w:next w:val="1"/>
    <w:link w:val="106"/>
    <w:qFormat/>
    <w:uiPriority w:val="0"/>
    <w:pPr>
      <w:spacing w:line="360" w:lineRule="auto"/>
      <w:jc w:val="center"/>
    </w:pPr>
    <w:rPr>
      <w:rFonts w:ascii="Times New Roman" w:hAnsi="Times New Roman" w:eastAsia="宋体" w:cstheme="minorBidi"/>
      <w:b/>
      <w:kern w:val="2"/>
      <w:sz w:val="24"/>
      <w:szCs w:val="24"/>
      <w:lang w:val="en-US" w:eastAsia="zh-CN" w:bidi="ar-SA"/>
    </w:rPr>
  </w:style>
  <w:style w:type="character" w:customStyle="1" w:styleId="104">
    <w:name w:val="表格 内容 字符"/>
    <w:basedOn w:val="50"/>
    <w:link w:val="101"/>
    <w:qFormat/>
    <w:uiPriority w:val="0"/>
  </w:style>
  <w:style w:type="paragraph" w:customStyle="1" w:styleId="105">
    <w:name w:val="图片 标注"/>
    <w:next w:val="1"/>
    <w:link w:val="107"/>
    <w:qFormat/>
    <w:uiPriority w:val="0"/>
    <w:pPr>
      <w:adjustRightInd w:val="0"/>
      <w:snapToGrid w:val="0"/>
      <w:jc w:val="center"/>
    </w:pPr>
    <w:rPr>
      <w:rFonts w:ascii="Times New Roman" w:hAnsi="Times New Roman" w:eastAsia="宋体" w:cstheme="minorBidi"/>
      <w:b/>
      <w:color w:val="FF0000"/>
      <w:kern w:val="2"/>
      <w:sz w:val="24"/>
      <w:szCs w:val="24"/>
      <w:lang w:val="en-US" w:eastAsia="zh-CN" w:bidi="ar-SA"/>
    </w:rPr>
  </w:style>
  <w:style w:type="character" w:customStyle="1" w:styleId="106">
    <w:name w:val="图片 标题 字符"/>
    <w:basedOn w:val="50"/>
    <w:link w:val="103"/>
    <w:qFormat/>
    <w:uiPriority w:val="0"/>
    <w:rPr>
      <w:b/>
      <w:sz w:val="24"/>
      <w:szCs w:val="24"/>
    </w:rPr>
  </w:style>
  <w:style w:type="character" w:customStyle="1" w:styleId="107">
    <w:name w:val="图片 标注 字符"/>
    <w:basedOn w:val="50"/>
    <w:link w:val="105"/>
    <w:qFormat/>
    <w:uiPriority w:val="0"/>
    <w:rPr>
      <w:b/>
      <w:color w:val="FF0000"/>
      <w:sz w:val="24"/>
      <w:szCs w:val="24"/>
    </w:rPr>
  </w:style>
  <w:style w:type="character" w:customStyle="1" w:styleId="108">
    <w:name w:val="页眉 字符"/>
    <w:basedOn w:val="50"/>
    <w:link w:val="33"/>
    <w:qFormat/>
    <w:uiPriority w:val="99"/>
    <w:rPr>
      <w:rFonts w:ascii="Times New Roman" w:hAnsi="Times New Roman" w:eastAsia="宋体"/>
      <w:sz w:val="18"/>
      <w:szCs w:val="18"/>
    </w:rPr>
  </w:style>
  <w:style w:type="character" w:customStyle="1" w:styleId="109">
    <w:name w:val="页脚 字符"/>
    <w:basedOn w:val="50"/>
    <w:link w:val="32"/>
    <w:qFormat/>
    <w:uiPriority w:val="0"/>
    <w:rPr>
      <w:rFonts w:ascii="Times New Roman" w:hAnsi="Times New Roman" w:eastAsia="宋体"/>
      <w:sz w:val="18"/>
      <w:szCs w:val="18"/>
    </w:rPr>
  </w:style>
  <w:style w:type="paragraph" w:customStyle="1" w:styleId="110">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11">
    <w:name w:val="正文非煤评价 字符"/>
    <w:basedOn w:val="50"/>
    <w:link w:val="66"/>
    <w:qFormat/>
    <w:uiPriority w:val="0"/>
    <w:rPr>
      <w:sz w:val="28"/>
      <w:szCs w:val="28"/>
    </w:rPr>
  </w:style>
  <w:style w:type="character" w:customStyle="1" w:styleId="112">
    <w:name w:val="标题 字符"/>
    <w:basedOn w:val="50"/>
    <w:link w:val="44"/>
    <w:qFormat/>
    <w:uiPriority w:val="10"/>
    <w:rPr>
      <w:rFonts w:asciiTheme="majorHAnsi" w:hAnsiTheme="majorHAnsi" w:eastAsiaTheme="majorEastAsia" w:cstheme="majorBidi"/>
      <w:b/>
      <w:bCs/>
      <w:sz w:val="32"/>
      <w:szCs w:val="32"/>
    </w:rPr>
  </w:style>
  <w:style w:type="character" w:customStyle="1" w:styleId="113">
    <w:name w:val="书籍标题1"/>
    <w:basedOn w:val="50"/>
    <w:qFormat/>
    <w:uiPriority w:val="33"/>
    <w:rPr>
      <w:b/>
      <w:bCs/>
      <w:i/>
      <w:iCs/>
      <w:spacing w:val="5"/>
    </w:rPr>
  </w:style>
  <w:style w:type="character" w:customStyle="1" w:styleId="114">
    <w:name w:val="明显参考1"/>
    <w:basedOn w:val="50"/>
    <w:qFormat/>
    <w:uiPriority w:val="32"/>
    <w:rPr>
      <w:b/>
      <w:bCs/>
      <w:smallCaps/>
      <w:color w:val="4472C4" w:themeColor="accent1"/>
      <w:spacing w:val="5"/>
      <w14:textFill>
        <w14:solidFill>
          <w14:schemeClr w14:val="accent1"/>
        </w14:solidFill>
      </w14:textFill>
    </w:rPr>
  </w:style>
  <w:style w:type="paragraph" w:styleId="115">
    <w:name w:val="Intense Quote"/>
    <w:basedOn w:val="1"/>
    <w:next w:val="1"/>
    <w:link w:val="116"/>
    <w:qFormat/>
    <w:uiPriority w:val="30"/>
    <w:pPr>
      <w:pBdr>
        <w:top w:val="single" w:color="4472C4" w:themeColor="accent1" w:sz="4" w:space="10"/>
        <w:bottom w:val="single" w:color="4472C4" w:themeColor="accent1" w:sz="4" w:space="10"/>
      </w:pBdr>
      <w:spacing w:before="360" w:after="360"/>
      <w:ind w:left="864" w:right="864"/>
      <w:jc w:val="center"/>
    </w:pPr>
    <w:rPr>
      <w:i/>
      <w:iCs/>
      <w:color w:val="4472C4" w:themeColor="accent1"/>
      <w14:textFill>
        <w14:solidFill>
          <w14:schemeClr w14:val="accent1"/>
        </w14:solidFill>
      </w14:textFill>
    </w:rPr>
  </w:style>
  <w:style w:type="character" w:customStyle="1" w:styleId="116">
    <w:name w:val="明显引用 字符"/>
    <w:basedOn w:val="50"/>
    <w:link w:val="115"/>
    <w:qFormat/>
    <w:uiPriority w:val="30"/>
    <w:rPr>
      <w:i/>
      <w:iCs/>
      <w:color w:val="4472C4" w:themeColor="accent1"/>
      <w14:textFill>
        <w14:solidFill>
          <w14:schemeClr w14:val="accent1"/>
        </w14:solidFill>
      </w14:textFill>
    </w:rPr>
  </w:style>
  <w:style w:type="paragraph" w:styleId="117">
    <w:name w:val="Quote"/>
    <w:basedOn w:val="1"/>
    <w:next w:val="1"/>
    <w:link w:val="118"/>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18">
    <w:name w:val="引用 字符"/>
    <w:basedOn w:val="50"/>
    <w:link w:val="117"/>
    <w:qFormat/>
    <w:uiPriority w:val="29"/>
    <w:rPr>
      <w:i/>
      <w:iCs/>
      <w:color w:val="404040" w:themeColor="text1" w:themeTint="BF"/>
      <w14:textFill>
        <w14:solidFill>
          <w14:schemeClr w14:val="tx1">
            <w14:lumMod w14:val="75000"/>
            <w14:lumOff w14:val="25000"/>
          </w14:schemeClr>
        </w14:solidFill>
      </w14:textFill>
    </w:rPr>
  </w:style>
  <w:style w:type="paragraph" w:styleId="119">
    <w:name w:val="No Spacing"/>
    <w:link w:val="185"/>
    <w:qFormat/>
    <w:uiPriority w:val="1"/>
    <w:pPr>
      <w:widowControl w:val="0"/>
      <w:adjustRightInd w:val="0"/>
      <w:jc w:val="both"/>
    </w:pPr>
    <w:rPr>
      <w:rFonts w:ascii="Times New Roman" w:hAnsi="Times New Roman" w:eastAsia="宋体" w:cstheme="minorBidi"/>
      <w:kern w:val="2"/>
      <w:sz w:val="21"/>
      <w:szCs w:val="21"/>
      <w:lang w:val="en-US" w:eastAsia="zh-CN" w:bidi="ar-SA"/>
    </w:rPr>
  </w:style>
  <w:style w:type="character" w:customStyle="1" w:styleId="120">
    <w:name w:val="标题 7 字符1"/>
    <w:basedOn w:val="50"/>
    <w:link w:val="9"/>
    <w:semiHidden/>
    <w:qFormat/>
    <w:uiPriority w:val="9"/>
    <w:rPr>
      <w:b/>
      <w:bCs/>
      <w:sz w:val="24"/>
      <w:szCs w:val="24"/>
    </w:rPr>
  </w:style>
  <w:style w:type="character" w:customStyle="1" w:styleId="121">
    <w:name w:val="标题 8 字符"/>
    <w:basedOn w:val="50"/>
    <w:link w:val="10"/>
    <w:semiHidden/>
    <w:qFormat/>
    <w:uiPriority w:val="9"/>
    <w:rPr>
      <w:rFonts w:asciiTheme="majorHAnsi" w:hAnsiTheme="majorHAnsi" w:eastAsiaTheme="majorEastAsia" w:cstheme="majorBidi"/>
      <w:sz w:val="24"/>
      <w:szCs w:val="24"/>
    </w:rPr>
  </w:style>
  <w:style w:type="character" w:customStyle="1" w:styleId="122">
    <w:name w:val="标题 9 字符1"/>
    <w:basedOn w:val="50"/>
    <w:link w:val="11"/>
    <w:semiHidden/>
    <w:qFormat/>
    <w:uiPriority w:val="9"/>
    <w:rPr>
      <w:rFonts w:asciiTheme="majorHAnsi" w:hAnsiTheme="majorHAnsi" w:eastAsiaTheme="majorEastAsia" w:cstheme="majorBidi"/>
    </w:rPr>
  </w:style>
  <w:style w:type="character" w:customStyle="1" w:styleId="123">
    <w:name w:val="页脚 Char1"/>
    <w:basedOn w:val="50"/>
    <w:qFormat/>
    <w:uiPriority w:val="99"/>
    <w:rPr>
      <w:rFonts w:ascii="Times New Roman" w:hAnsi="Times New Roman" w:eastAsia="宋体"/>
      <w:sz w:val="18"/>
      <w:szCs w:val="18"/>
    </w:rPr>
  </w:style>
  <w:style w:type="character" w:customStyle="1" w:styleId="124">
    <w:name w:val="标题 7 字符"/>
    <w:basedOn w:val="50"/>
    <w:semiHidden/>
    <w:qFormat/>
    <w:uiPriority w:val="0"/>
    <w:rPr>
      <w:b/>
      <w:bCs/>
      <w:sz w:val="24"/>
      <w:szCs w:val="24"/>
    </w:rPr>
  </w:style>
  <w:style w:type="character" w:customStyle="1" w:styleId="125">
    <w:name w:val="标题 9 字符"/>
    <w:basedOn w:val="50"/>
    <w:semiHidden/>
    <w:qFormat/>
    <w:uiPriority w:val="0"/>
    <w:rPr>
      <w:rFonts w:asciiTheme="majorHAnsi" w:hAnsiTheme="majorHAnsi" w:eastAsiaTheme="majorEastAsia" w:cstheme="majorBidi"/>
    </w:rPr>
  </w:style>
  <w:style w:type="character" w:customStyle="1" w:styleId="126">
    <w:name w:val="序号 1 字符"/>
    <w:qFormat/>
    <w:uiPriority w:val="0"/>
    <w:rPr>
      <w:rFonts w:ascii="Times New Roman" w:hAnsi="Times New Roman" w:eastAsia="宋体" w:cstheme="minorBidi"/>
      <w:kern w:val="2"/>
      <w:sz w:val="28"/>
      <w:szCs w:val="28"/>
    </w:rPr>
  </w:style>
  <w:style w:type="character" w:customStyle="1" w:styleId="127">
    <w:name w:val="序号 2 字符"/>
    <w:qFormat/>
    <w:uiPriority w:val="0"/>
    <w:rPr>
      <w:rFonts w:ascii="Times New Roman" w:hAnsi="Times New Roman" w:eastAsia="宋体" w:cstheme="minorBidi"/>
      <w:kern w:val="2"/>
      <w:sz w:val="28"/>
      <w:szCs w:val="28"/>
    </w:rPr>
  </w:style>
  <w:style w:type="character" w:customStyle="1" w:styleId="128">
    <w:name w:val="页眉 字符1"/>
    <w:qFormat/>
    <w:uiPriority w:val="99"/>
    <w:rPr>
      <w:rFonts w:ascii="Times New Roman" w:hAnsi="Times New Roman" w:eastAsia="宋体"/>
      <w:sz w:val="18"/>
      <w:szCs w:val="18"/>
    </w:rPr>
  </w:style>
  <w:style w:type="character" w:customStyle="1" w:styleId="129">
    <w:name w:val="页脚 字符2"/>
    <w:autoRedefine/>
    <w:qFormat/>
    <w:uiPriority w:val="99"/>
    <w:rPr>
      <w:rFonts w:ascii="Times New Roman" w:hAnsi="Times New Roman" w:eastAsia="宋体"/>
      <w:sz w:val="18"/>
      <w:szCs w:val="18"/>
    </w:rPr>
  </w:style>
  <w:style w:type="character" w:customStyle="1" w:styleId="130">
    <w:name w:val="副标题 字符2"/>
    <w:basedOn w:val="50"/>
    <w:link w:val="36"/>
    <w:qFormat/>
    <w:uiPriority w:val="11"/>
    <w:rPr>
      <w:rFonts w:asciiTheme="minorHAnsi" w:hAnsiTheme="minorHAnsi" w:eastAsiaTheme="minorEastAsia"/>
      <w:b/>
      <w:bCs/>
      <w:kern w:val="28"/>
      <w:sz w:val="32"/>
      <w:szCs w:val="32"/>
    </w:rPr>
  </w:style>
  <w:style w:type="character" w:customStyle="1" w:styleId="131">
    <w:name w:val="副标题 字符"/>
    <w:basedOn w:val="50"/>
    <w:qFormat/>
    <w:uiPriority w:val="0"/>
    <w:rPr>
      <w:rFonts w:asciiTheme="minorHAnsi" w:hAnsiTheme="minorHAnsi" w:eastAsiaTheme="minorEastAsia"/>
      <w:b/>
      <w:bCs/>
      <w:kern w:val="28"/>
      <w:sz w:val="32"/>
      <w:szCs w:val="32"/>
    </w:rPr>
  </w:style>
  <w:style w:type="table" w:customStyle="1" w:styleId="132">
    <w:name w:val="网格型1"/>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3">
    <w:name w:val="批注文字 字符2"/>
    <w:basedOn w:val="50"/>
    <w:link w:val="18"/>
    <w:qFormat/>
    <w:uiPriority w:val="0"/>
    <w:rPr>
      <w:kern w:val="0"/>
      <w:sz w:val="20"/>
      <w:szCs w:val="20"/>
    </w:rPr>
  </w:style>
  <w:style w:type="character" w:customStyle="1" w:styleId="134">
    <w:name w:val="批注文字 字符"/>
    <w:basedOn w:val="50"/>
    <w:qFormat/>
    <w:uiPriority w:val="0"/>
  </w:style>
  <w:style w:type="character" w:customStyle="1" w:styleId="135">
    <w:name w:val="批注框文本 字符1"/>
    <w:basedOn w:val="50"/>
    <w:link w:val="31"/>
    <w:qFormat/>
    <w:uiPriority w:val="0"/>
    <w:rPr>
      <w:kern w:val="0"/>
      <w:sz w:val="18"/>
      <w:szCs w:val="18"/>
    </w:rPr>
  </w:style>
  <w:style w:type="character" w:customStyle="1" w:styleId="136">
    <w:name w:val="批注框文本 字符"/>
    <w:basedOn w:val="50"/>
    <w:semiHidden/>
    <w:qFormat/>
    <w:uiPriority w:val="99"/>
    <w:rPr>
      <w:sz w:val="18"/>
      <w:szCs w:val="18"/>
    </w:rPr>
  </w:style>
  <w:style w:type="paragraph" w:customStyle="1" w:styleId="137">
    <w:name w:val="标题 前言"/>
    <w:basedOn w:val="18"/>
    <w:next w:val="1"/>
    <w:link w:val="138"/>
    <w:qFormat/>
    <w:uiPriority w:val="0"/>
    <w:pPr>
      <w:spacing w:before="240" w:after="240" w:line="360" w:lineRule="auto"/>
      <w:jc w:val="center"/>
    </w:pPr>
    <w:rPr>
      <w:b/>
      <w:snapToGrid w:val="0"/>
      <w:sz w:val="44"/>
      <w:szCs w:val="44"/>
    </w:rPr>
  </w:style>
  <w:style w:type="character" w:customStyle="1" w:styleId="138">
    <w:name w:val="标题 前言 字符"/>
    <w:link w:val="137"/>
    <w:qFormat/>
    <w:uiPriority w:val="0"/>
    <w:rPr>
      <w:b/>
      <w:snapToGrid w:val="0"/>
      <w:kern w:val="0"/>
      <w:sz w:val="44"/>
      <w:szCs w:val="44"/>
    </w:rPr>
  </w:style>
  <w:style w:type="character" w:customStyle="1" w:styleId="139">
    <w:name w:val="副标题 字符1"/>
    <w:qFormat/>
    <w:uiPriority w:val="0"/>
    <w:rPr>
      <w:rFonts w:ascii="Cambria" w:hAnsi="Cambria" w:cs="Times New Roman"/>
      <w:b/>
      <w:bCs/>
      <w:kern w:val="28"/>
      <w:sz w:val="32"/>
      <w:szCs w:val="32"/>
    </w:rPr>
  </w:style>
  <w:style w:type="character" w:customStyle="1" w:styleId="140">
    <w:name w:val="标题 8 字符1"/>
    <w:semiHidden/>
    <w:qFormat/>
    <w:uiPriority w:val="0"/>
    <w:rPr>
      <w:rFonts w:ascii="Cambria" w:hAnsi="Cambria"/>
      <w:kern w:val="2"/>
      <w:sz w:val="24"/>
      <w:szCs w:val="24"/>
    </w:rPr>
  </w:style>
  <w:style w:type="character" w:customStyle="1" w:styleId="141">
    <w:name w:val="页脚 字符1"/>
    <w:qFormat/>
    <w:uiPriority w:val="99"/>
    <w:rPr>
      <w:kern w:val="2"/>
      <w:sz w:val="18"/>
      <w:szCs w:val="18"/>
    </w:rPr>
  </w:style>
  <w:style w:type="character" w:customStyle="1" w:styleId="142">
    <w:name w:val="批注文字 字符1"/>
    <w:qFormat/>
    <w:uiPriority w:val="0"/>
    <w:rPr>
      <w:kern w:val="2"/>
      <w:sz w:val="21"/>
      <w:szCs w:val="24"/>
    </w:rPr>
  </w:style>
  <w:style w:type="character" w:customStyle="1" w:styleId="143">
    <w:name w:val="lemmatitleh12"/>
    <w:qFormat/>
    <w:uiPriority w:val="0"/>
    <w:rPr>
      <w:rFonts w:ascii="Tahoma" w:hAnsi="Tahoma"/>
      <w:szCs w:val="21"/>
    </w:rPr>
  </w:style>
  <w:style w:type="character" w:customStyle="1" w:styleId="144">
    <w:name w:val="desc"/>
    <w:qFormat/>
    <w:uiPriority w:val="0"/>
    <w:rPr>
      <w:color w:val="000000"/>
      <w:sz w:val="18"/>
      <w:szCs w:val="18"/>
    </w:rPr>
  </w:style>
  <w:style w:type="character" w:customStyle="1" w:styleId="145">
    <w:name w:val="headline-content2"/>
    <w:qFormat/>
    <w:uiPriority w:val="0"/>
    <w:rPr>
      <w:rFonts w:ascii="Tahoma" w:hAnsi="Tahoma"/>
      <w:szCs w:val="21"/>
    </w:rPr>
  </w:style>
  <w:style w:type="character" w:customStyle="1" w:styleId="146">
    <w:name w:val="sidecatalog-index1"/>
    <w:qFormat/>
    <w:uiPriority w:val="0"/>
    <w:rPr>
      <w:rFonts w:ascii="Arial" w:hAnsi="Arial" w:cs="Arial"/>
      <w:b/>
      <w:color w:val="999999"/>
      <w:sz w:val="21"/>
      <w:szCs w:val="21"/>
    </w:rPr>
  </w:style>
  <w:style w:type="character" w:customStyle="1" w:styleId="147">
    <w:name w:val="ttitle"/>
    <w:qFormat/>
    <w:uiPriority w:val="0"/>
    <w:rPr>
      <w:rFonts w:ascii="Tahoma" w:hAnsi="Tahoma"/>
      <w:szCs w:val="21"/>
    </w:rPr>
  </w:style>
  <w:style w:type="character" w:customStyle="1" w:styleId="148">
    <w:name w:val="morelink-item"/>
    <w:qFormat/>
    <w:uiPriority w:val="0"/>
  </w:style>
  <w:style w:type="character" w:customStyle="1" w:styleId="149">
    <w:name w:val="sidecatalog-dot1"/>
    <w:qFormat/>
    <w:uiPriority w:val="0"/>
    <w:rPr>
      <w:rFonts w:ascii="Tahoma" w:hAnsi="Tahoma"/>
      <w:szCs w:val="21"/>
    </w:rPr>
  </w:style>
  <w:style w:type="character" w:customStyle="1" w:styleId="150">
    <w:name w:val="polysemyexp"/>
    <w:qFormat/>
    <w:uiPriority w:val="0"/>
    <w:rPr>
      <w:color w:val="AAAAAA"/>
      <w:sz w:val="18"/>
      <w:szCs w:val="18"/>
    </w:rPr>
  </w:style>
  <w:style w:type="character" w:customStyle="1" w:styleId="151">
    <w:name w:val="desc12"/>
    <w:qFormat/>
    <w:uiPriority w:val="0"/>
    <w:rPr>
      <w:color w:val="000000"/>
      <w:sz w:val="18"/>
      <w:szCs w:val="18"/>
    </w:rPr>
  </w:style>
  <w:style w:type="character" w:customStyle="1" w:styleId="152">
    <w:name w:val="lemmatitleh1"/>
    <w:qFormat/>
    <w:uiPriority w:val="0"/>
    <w:rPr>
      <w:rFonts w:ascii="Tahoma" w:hAnsi="Tahoma"/>
      <w:szCs w:val="21"/>
    </w:rPr>
  </w:style>
  <w:style w:type="character" w:customStyle="1" w:styleId="153">
    <w:name w:val="sidecatalog-dot"/>
    <w:qFormat/>
    <w:uiPriority w:val="0"/>
    <w:rPr>
      <w:rFonts w:ascii="Tahoma" w:hAnsi="Tahoma"/>
      <w:szCs w:val="21"/>
    </w:rPr>
  </w:style>
  <w:style w:type="character" w:customStyle="1" w:styleId="154">
    <w:name w:val="正文文本缩进 3 Char1"/>
    <w:basedOn w:val="50"/>
    <w:semiHidden/>
    <w:qFormat/>
    <w:uiPriority w:val="99"/>
    <w:rPr>
      <w:rFonts w:ascii="Times New Roman" w:hAnsi="Times New Roman" w:eastAsia="宋体"/>
      <w:kern w:val="2"/>
      <w:sz w:val="16"/>
      <w:szCs w:val="16"/>
    </w:rPr>
  </w:style>
  <w:style w:type="character" w:customStyle="1" w:styleId="155">
    <w:name w:val="正文首行缩进 Char1"/>
    <w:basedOn w:val="50"/>
    <w:semiHidden/>
    <w:qFormat/>
    <w:uiPriority w:val="99"/>
    <w:rPr>
      <w:rFonts w:ascii="Times New Roman" w:hAnsi="Times New Roman" w:eastAsia="宋体"/>
      <w:kern w:val="2"/>
      <w:sz w:val="21"/>
      <w:szCs w:val="22"/>
    </w:rPr>
  </w:style>
  <w:style w:type="character" w:customStyle="1" w:styleId="156">
    <w:name w:val="plus"/>
    <w:qFormat/>
    <w:uiPriority w:val="0"/>
    <w:rPr>
      <w:b/>
      <w:vanish/>
      <w:color w:val="1F8DEF"/>
      <w:sz w:val="24"/>
      <w:szCs w:val="24"/>
    </w:rPr>
  </w:style>
  <w:style w:type="character" w:customStyle="1" w:styleId="157">
    <w:name w:val="sort1"/>
    <w:qFormat/>
    <w:uiPriority w:val="0"/>
    <w:rPr>
      <w:rFonts w:ascii="Tahoma" w:hAnsi="Tahoma"/>
      <w:szCs w:val="21"/>
    </w:rPr>
  </w:style>
  <w:style w:type="character" w:customStyle="1" w:styleId="158">
    <w:name w:val="sidecatalog-index2"/>
    <w:qFormat/>
    <w:uiPriority w:val="0"/>
    <w:rPr>
      <w:rFonts w:ascii="Arail" w:hAnsi="Arail" w:eastAsia="Arail" w:cs="Arail"/>
      <w:color w:val="999999"/>
      <w:sz w:val="21"/>
      <w:szCs w:val="21"/>
    </w:rPr>
  </w:style>
  <w:style w:type="character" w:customStyle="1" w:styleId="159">
    <w:name w:val="sort"/>
    <w:qFormat/>
    <w:uiPriority w:val="0"/>
    <w:rPr>
      <w:color w:val="FFFFFF"/>
      <w:bdr w:val="single" w:color="auto" w:sz="24" w:space="0"/>
    </w:rPr>
  </w:style>
  <w:style w:type="character" w:customStyle="1" w:styleId="160">
    <w:name w:val="polysemyred"/>
    <w:qFormat/>
    <w:uiPriority w:val="0"/>
    <w:rPr>
      <w:color w:val="FF6666"/>
      <w:sz w:val="18"/>
      <w:szCs w:val="18"/>
    </w:rPr>
  </w:style>
  <w:style w:type="character" w:customStyle="1" w:styleId="161">
    <w:name w:val="wtt1"/>
    <w:qFormat/>
    <w:uiPriority w:val="0"/>
    <w:rPr>
      <w:sz w:val="21"/>
      <w:szCs w:val="21"/>
    </w:rPr>
  </w:style>
  <w:style w:type="paragraph" w:customStyle="1" w:styleId="162">
    <w:name w:val="Char Char Char Char Char Char1 Char"/>
    <w:basedOn w:val="1"/>
    <w:autoRedefine/>
    <w:qFormat/>
    <w:uiPriority w:val="0"/>
    <w:rPr>
      <w:kern w:val="0"/>
      <w:sz w:val="28"/>
      <w:szCs w:val="20"/>
    </w:rPr>
  </w:style>
  <w:style w:type="paragraph" w:customStyle="1" w:styleId="163">
    <w:name w:val="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64">
    <w:name w:val="批注主题 字符"/>
    <w:basedOn w:val="133"/>
    <w:link w:val="45"/>
    <w:qFormat/>
    <w:uiPriority w:val="0"/>
    <w:rPr>
      <w:b/>
      <w:bCs/>
      <w:kern w:val="0"/>
      <w:sz w:val="28"/>
      <w:szCs w:val="20"/>
    </w:rPr>
  </w:style>
  <w:style w:type="paragraph" w:customStyle="1" w:styleId="165">
    <w:name w:val="xl40"/>
    <w:basedOn w:val="1"/>
    <w:qFormat/>
    <w:uiPriority w:val="0"/>
    <w:pPr>
      <w:widowControl/>
      <w:pBdr>
        <w:bottom w:val="single" w:color="auto" w:sz="8" w:space="0"/>
      </w:pBdr>
      <w:spacing w:before="100" w:beforeAutospacing="1" w:after="100" w:afterAutospacing="1"/>
      <w:jc w:val="center"/>
    </w:pPr>
    <w:rPr>
      <w:rFonts w:ascii="楷体_GB2312" w:hAnsi="宋体" w:eastAsia="楷体_GB2312"/>
      <w:kern w:val="0"/>
      <w:sz w:val="24"/>
      <w:szCs w:val="20"/>
    </w:rPr>
  </w:style>
  <w:style w:type="character" w:customStyle="1" w:styleId="166">
    <w:name w:val="正文首行缩进 字符1"/>
    <w:semiHidden/>
    <w:qFormat/>
    <w:uiPriority w:val="99"/>
    <w:rPr>
      <w:kern w:val="2"/>
      <w:sz w:val="21"/>
      <w:szCs w:val="24"/>
    </w:rPr>
  </w:style>
  <w:style w:type="character" w:customStyle="1" w:styleId="167">
    <w:name w:val="正文文本缩进 3 字符1"/>
    <w:semiHidden/>
    <w:qFormat/>
    <w:uiPriority w:val="99"/>
    <w:rPr>
      <w:kern w:val="2"/>
      <w:sz w:val="16"/>
      <w:szCs w:val="16"/>
    </w:rPr>
  </w:style>
  <w:style w:type="character" w:customStyle="1" w:styleId="168">
    <w:name w:val="文档结构图 字符"/>
    <w:basedOn w:val="50"/>
    <w:link w:val="17"/>
    <w:qFormat/>
    <w:uiPriority w:val="99"/>
    <w:rPr>
      <w:kern w:val="0"/>
      <w:sz w:val="28"/>
      <w:szCs w:val="20"/>
      <w:shd w:val="clear" w:color="auto" w:fill="000080"/>
    </w:rPr>
  </w:style>
  <w:style w:type="character" w:customStyle="1" w:styleId="169">
    <w:name w:val="正文文本缩进 字符"/>
    <w:basedOn w:val="50"/>
    <w:link w:val="21"/>
    <w:qFormat/>
    <w:uiPriority w:val="0"/>
    <w:rPr>
      <w:kern w:val="0"/>
      <w:sz w:val="28"/>
      <w:szCs w:val="20"/>
    </w:rPr>
  </w:style>
  <w:style w:type="character" w:customStyle="1" w:styleId="170">
    <w:name w:val="纯文本 字符"/>
    <w:basedOn w:val="50"/>
    <w:link w:val="26"/>
    <w:qFormat/>
    <w:uiPriority w:val="0"/>
    <w:rPr>
      <w:rFonts w:ascii="宋体" w:hAnsi="Courier New"/>
      <w:kern w:val="0"/>
      <w:sz w:val="20"/>
    </w:rPr>
  </w:style>
  <w:style w:type="paragraph" w:customStyle="1" w:styleId="171">
    <w:name w:val="默认段落字体 Para Char Char Char Char Char Char Char Char Char3 Char Char Char Char"/>
    <w:basedOn w:val="17"/>
    <w:qFormat/>
    <w:uiPriority w:val="0"/>
    <w:pPr>
      <w:spacing w:line="240" w:lineRule="exact"/>
      <w:ind w:left="357"/>
      <w:jc w:val="left"/>
      <w:outlineLvl w:val="3"/>
    </w:pPr>
    <w:rPr>
      <w:rFonts w:ascii="Tahoma" w:hAnsi="Tahoma"/>
      <w:szCs w:val="21"/>
    </w:rPr>
  </w:style>
  <w:style w:type="paragraph" w:customStyle="1" w:styleId="172">
    <w:name w:val="Char Char Char Char Char Char Char Char Char Char Char Char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173">
    <w:name w:val="p0"/>
    <w:basedOn w:val="1"/>
    <w:link w:val="174"/>
    <w:qFormat/>
    <w:uiPriority w:val="0"/>
    <w:pPr>
      <w:widowControl/>
    </w:pPr>
    <w:rPr>
      <w:rFonts w:ascii="Calibri" w:hAnsi="Calibri" w:cs="宋体"/>
      <w:kern w:val="0"/>
      <w:sz w:val="28"/>
    </w:rPr>
  </w:style>
  <w:style w:type="character" w:customStyle="1" w:styleId="174">
    <w:name w:val="p0 Char Char"/>
    <w:link w:val="173"/>
    <w:qFormat/>
    <w:uiPriority w:val="0"/>
    <w:rPr>
      <w:rFonts w:ascii="Calibri" w:hAnsi="Calibri" w:cs="宋体"/>
      <w:kern w:val="0"/>
      <w:sz w:val="28"/>
    </w:rPr>
  </w:style>
  <w:style w:type="paragraph" w:customStyle="1" w:styleId="175">
    <w:name w:val="小表格"/>
    <w:basedOn w:val="1"/>
    <w:qFormat/>
    <w:uiPriority w:val="0"/>
    <w:pPr>
      <w:jc w:val="center"/>
    </w:pPr>
    <w:rPr>
      <w:kern w:val="0"/>
      <w:sz w:val="20"/>
      <w:szCs w:val="20"/>
    </w:rPr>
  </w:style>
  <w:style w:type="paragraph" w:customStyle="1" w:styleId="176">
    <w:name w:val="Char Char Char Char Char Char Char Char Char Char Char Char Char Char Char"/>
    <w:basedOn w:val="1"/>
    <w:autoRedefine/>
    <w:qFormat/>
    <w:uiPriority w:val="0"/>
    <w:pPr>
      <w:widowControl/>
      <w:spacing w:after="160" w:line="240" w:lineRule="exact"/>
      <w:jc w:val="left"/>
    </w:pPr>
    <w:rPr>
      <w:rFonts w:ascii="Tahoma" w:hAnsi="Tahoma"/>
      <w:kern w:val="0"/>
      <w:sz w:val="20"/>
      <w:szCs w:val="20"/>
      <w:lang w:eastAsia="en-US"/>
    </w:rPr>
  </w:style>
  <w:style w:type="paragraph" w:customStyle="1" w:styleId="177">
    <w:name w:val="Char Char Char Char"/>
    <w:basedOn w:val="1"/>
    <w:qFormat/>
    <w:uiPriority w:val="0"/>
    <w:rPr>
      <w:kern w:val="0"/>
      <w:sz w:val="28"/>
      <w:szCs w:val="20"/>
    </w:rPr>
  </w:style>
  <w:style w:type="paragraph" w:customStyle="1" w:styleId="178">
    <w:name w:val="Char"/>
    <w:basedOn w:val="1"/>
    <w:next w:val="1"/>
    <w:qFormat/>
    <w:uiPriority w:val="0"/>
    <w:rPr>
      <w:kern w:val="0"/>
      <w:sz w:val="28"/>
      <w:szCs w:val="20"/>
    </w:rPr>
  </w:style>
  <w:style w:type="paragraph" w:customStyle="1" w:styleId="179">
    <w:name w:val="xl31"/>
    <w:basedOn w:val="1"/>
    <w:qFormat/>
    <w:uiPriority w:val="0"/>
    <w:pPr>
      <w:widowControl/>
      <w:pBdr>
        <w:bottom w:val="single" w:color="auto" w:sz="4" w:space="0"/>
        <w:right w:val="single" w:color="auto" w:sz="4" w:space="0"/>
      </w:pBdr>
      <w:spacing w:before="100" w:beforeAutospacing="1" w:after="100" w:afterAutospacing="1"/>
    </w:pPr>
    <w:rPr>
      <w:rFonts w:eastAsia="Arial Unicode MS"/>
      <w:kern w:val="0"/>
      <w:sz w:val="28"/>
    </w:rPr>
  </w:style>
  <w:style w:type="paragraph" w:customStyle="1" w:styleId="180">
    <w:name w:val="默认段落字体 Para Char Char Char Char Char Char Char Char Char1 Char Char Char Char Char Char Char"/>
    <w:basedOn w:val="17"/>
    <w:qFormat/>
    <w:uiPriority w:val="0"/>
  </w:style>
  <w:style w:type="character" w:customStyle="1" w:styleId="181">
    <w:name w:val="Char Char5"/>
    <w:qFormat/>
    <w:uiPriority w:val="0"/>
    <w:rPr>
      <w:rFonts w:ascii="Times New Roman" w:hAnsi="Times New Roman" w:eastAsia="宋体"/>
      <w:b/>
      <w:bCs/>
      <w:kern w:val="2"/>
      <w:sz w:val="30"/>
      <w:szCs w:val="32"/>
      <w:lang w:val="en-US" w:eastAsia="zh-CN" w:bidi="ar-SA"/>
    </w:rPr>
  </w:style>
  <w:style w:type="character" w:customStyle="1" w:styleId="182">
    <w:name w:val="未处理的提及1"/>
    <w:semiHidden/>
    <w:unhideWhenUsed/>
    <w:qFormat/>
    <w:uiPriority w:val="99"/>
    <w:rPr>
      <w:color w:val="808080"/>
      <w:shd w:val="clear" w:color="auto" w:fill="E6E6E6"/>
    </w:rPr>
  </w:style>
  <w:style w:type="character" w:customStyle="1" w:styleId="183">
    <w:name w:val="批注文字 Char Char"/>
    <w:qFormat/>
    <w:uiPriority w:val="0"/>
    <w:rPr>
      <w:rFonts w:ascii="Times New Roman" w:hAnsi="Times New Roman" w:eastAsia="宋体" w:cs="Times New Roman"/>
      <w:szCs w:val="24"/>
    </w:rPr>
  </w:style>
  <w:style w:type="character" w:customStyle="1" w:styleId="184">
    <w:name w:val="font201"/>
    <w:qFormat/>
    <w:uiPriority w:val="0"/>
  </w:style>
  <w:style w:type="character" w:customStyle="1" w:styleId="185">
    <w:name w:val="无间隔 字符"/>
    <w:link w:val="119"/>
    <w:autoRedefine/>
    <w:qFormat/>
    <w:uiPriority w:val="1"/>
  </w:style>
  <w:style w:type="character" w:customStyle="1" w:styleId="186">
    <w:name w:val="脚注文本 字符"/>
    <w:link w:val="38"/>
    <w:qFormat/>
    <w:uiPriority w:val="0"/>
    <w:rPr>
      <w:rFonts w:ascii="Arial Narrow" w:hAnsi="Arial Narrow"/>
      <w:sz w:val="18"/>
      <w:szCs w:val="18"/>
    </w:rPr>
  </w:style>
  <w:style w:type="character" w:customStyle="1" w:styleId="187">
    <w:name w:val="脚注文本 Char1"/>
    <w:basedOn w:val="50"/>
    <w:qFormat/>
    <w:uiPriority w:val="0"/>
    <w:rPr>
      <w:sz w:val="18"/>
      <w:szCs w:val="18"/>
    </w:rPr>
  </w:style>
  <w:style w:type="character" w:customStyle="1" w:styleId="188">
    <w:name w:val="脚注文本 字符1"/>
    <w:basedOn w:val="50"/>
    <w:semiHidden/>
    <w:qFormat/>
    <w:uiPriority w:val="99"/>
    <w:rPr>
      <w:sz w:val="18"/>
      <w:szCs w:val="18"/>
    </w:rPr>
  </w:style>
  <w:style w:type="character" w:customStyle="1" w:styleId="189">
    <w:name w:val="日期 字符"/>
    <w:link w:val="29"/>
    <w:autoRedefine/>
    <w:qFormat/>
    <w:uiPriority w:val="0"/>
    <w:rPr>
      <w:szCs w:val="24"/>
    </w:rPr>
  </w:style>
  <w:style w:type="character" w:customStyle="1" w:styleId="190">
    <w:name w:val="日期 Char1"/>
    <w:basedOn w:val="50"/>
    <w:semiHidden/>
    <w:qFormat/>
    <w:uiPriority w:val="99"/>
  </w:style>
  <w:style w:type="character" w:customStyle="1" w:styleId="191">
    <w:name w:val="日期 字符1"/>
    <w:basedOn w:val="50"/>
    <w:semiHidden/>
    <w:qFormat/>
    <w:uiPriority w:val="99"/>
  </w:style>
  <w:style w:type="character" w:customStyle="1" w:styleId="192">
    <w:name w:val="宏文本 字符"/>
    <w:link w:val="2"/>
    <w:qFormat/>
    <w:uiPriority w:val="0"/>
    <w:rPr>
      <w:rFonts w:ascii="Courier New" w:hAnsi="Courier New" w:cs="Courier New"/>
      <w:sz w:val="24"/>
      <w:szCs w:val="24"/>
    </w:rPr>
  </w:style>
  <w:style w:type="character" w:customStyle="1" w:styleId="193">
    <w:name w:val="宏文本 Char1"/>
    <w:basedOn w:val="50"/>
    <w:semiHidden/>
    <w:qFormat/>
    <w:uiPriority w:val="99"/>
    <w:rPr>
      <w:rFonts w:ascii="Courier New" w:hAnsi="Courier New" w:cs="Courier New"/>
      <w:sz w:val="24"/>
      <w:szCs w:val="24"/>
    </w:rPr>
  </w:style>
  <w:style w:type="character" w:customStyle="1" w:styleId="194">
    <w:name w:val="宏文本 字符1"/>
    <w:basedOn w:val="50"/>
    <w:autoRedefine/>
    <w:semiHidden/>
    <w:qFormat/>
    <w:uiPriority w:val="99"/>
    <w:rPr>
      <w:rFonts w:ascii="Courier New" w:hAnsi="Courier New" w:cs="Courier New"/>
      <w:sz w:val="24"/>
      <w:szCs w:val="24"/>
    </w:rPr>
  </w:style>
  <w:style w:type="paragraph" w:customStyle="1" w:styleId="195">
    <w:name w:val="xl8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pPr>
    <w:rPr>
      <w:rFonts w:ascii="宋体" w:hAnsi="宋体" w:cs="宋体"/>
      <w:kern w:val="0"/>
      <w:sz w:val="24"/>
      <w:szCs w:val="20"/>
    </w:rPr>
  </w:style>
  <w:style w:type="paragraph" w:customStyle="1" w:styleId="196">
    <w:name w:val="xl7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Arial Narrow" w:hAnsi="Arial Narrow" w:cs="宋体"/>
      <w:kern w:val="0"/>
      <w:sz w:val="20"/>
      <w:szCs w:val="28"/>
    </w:rPr>
  </w:style>
  <w:style w:type="paragraph" w:customStyle="1" w:styleId="197">
    <w:name w:val="xl127"/>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8"/>
    </w:rPr>
  </w:style>
  <w:style w:type="paragraph" w:customStyle="1" w:styleId="198">
    <w:name w:val="xl83"/>
    <w:basedOn w:val="1"/>
    <w:qFormat/>
    <w:uiPriority w:val="0"/>
    <w:pPr>
      <w:widowControl/>
      <w:pBdr>
        <w:top w:val="single" w:color="auto" w:sz="8" w:space="0"/>
        <w:bottom w:val="single" w:color="auto" w:sz="8" w:space="0"/>
        <w:right w:val="single" w:color="auto" w:sz="8" w:space="0"/>
      </w:pBdr>
      <w:spacing w:before="100" w:beforeAutospacing="1" w:after="100" w:afterAutospacing="1"/>
    </w:pPr>
    <w:rPr>
      <w:rFonts w:ascii="宋体" w:hAnsi="宋体" w:cs="宋体"/>
      <w:kern w:val="0"/>
      <w:sz w:val="24"/>
      <w:szCs w:val="20"/>
    </w:rPr>
  </w:style>
  <w:style w:type="paragraph" w:customStyle="1" w:styleId="199">
    <w:name w:val="附录章标题"/>
    <w:next w:val="5"/>
    <w:qFormat/>
    <w:uiPriority w:val="0"/>
    <w:pPr>
      <w:tabs>
        <w:tab w:val="left" w:pos="360"/>
      </w:tabs>
      <w:wordWrap w:val="0"/>
      <w:overflowPunct w:val="0"/>
      <w:autoSpaceDE w:val="0"/>
      <w:spacing w:beforeLines="50" w:afterLines="50"/>
      <w:ind w:left="936" w:firstLine="482"/>
      <w:jc w:val="both"/>
      <w:textAlignment w:val="baseline"/>
      <w:outlineLvl w:val="1"/>
    </w:pPr>
    <w:rPr>
      <w:rFonts w:ascii="黑体" w:hAnsi="Times New Roman" w:eastAsia="黑体" w:cs="Times New Roman"/>
      <w:kern w:val="21"/>
      <w:sz w:val="21"/>
      <w:lang w:val="en-US" w:eastAsia="zh-CN" w:bidi="ar-SA"/>
    </w:rPr>
  </w:style>
  <w:style w:type="paragraph" w:customStyle="1" w:styleId="20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8"/>
    </w:rPr>
  </w:style>
  <w:style w:type="paragraph" w:customStyle="1" w:styleId="20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8"/>
    </w:rPr>
  </w:style>
  <w:style w:type="paragraph" w:customStyle="1" w:styleId="202">
    <w:name w:val="人员"/>
    <w:basedOn w:val="1"/>
    <w:qFormat/>
    <w:uiPriority w:val="0"/>
    <w:pPr>
      <w:spacing w:line="600" w:lineRule="exact"/>
      <w:ind w:firstLine="2268"/>
    </w:pPr>
    <w:rPr>
      <w:rFonts w:eastAsia="华文中宋"/>
      <w:b/>
      <w:spacing w:val="30"/>
      <w:kern w:val="0"/>
      <w:szCs w:val="20"/>
    </w:rPr>
  </w:style>
  <w:style w:type="paragraph" w:customStyle="1" w:styleId="203">
    <w:name w:val="xl6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kern w:val="0"/>
      <w:sz w:val="20"/>
      <w:szCs w:val="28"/>
    </w:rPr>
  </w:style>
  <w:style w:type="paragraph" w:customStyle="1" w:styleId="20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205">
    <w:name w:val="附录四级条标题"/>
    <w:basedOn w:val="206"/>
    <w:next w:val="5"/>
    <w:autoRedefine/>
    <w:qFormat/>
    <w:uiPriority w:val="0"/>
    <w:pPr>
      <w:tabs>
        <w:tab w:val="left" w:pos="360"/>
      </w:tabs>
      <w:outlineLvl w:val="5"/>
    </w:pPr>
  </w:style>
  <w:style w:type="paragraph" w:customStyle="1" w:styleId="206">
    <w:name w:val="附录三级条标题"/>
    <w:basedOn w:val="207"/>
    <w:next w:val="5"/>
    <w:qFormat/>
    <w:uiPriority w:val="0"/>
    <w:pPr>
      <w:tabs>
        <w:tab w:val="left" w:pos="360"/>
      </w:tabs>
      <w:outlineLvl w:val="4"/>
    </w:pPr>
  </w:style>
  <w:style w:type="paragraph" w:customStyle="1" w:styleId="207">
    <w:name w:val="附录二级条标题"/>
    <w:basedOn w:val="208"/>
    <w:next w:val="5"/>
    <w:qFormat/>
    <w:uiPriority w:val="0"/>
    <w:pPr>
      <w:tabs>
        <w:tab w:val="left" w:pos="360"/>
      </w:tabs>
      <w:outlineLvl w:val="3"/>
    </w:pPr>
  </w:style>
  <w:style w:type="paragraph" w:customStyle="1" w:styleId="208">
    <w:name w:val="附录一级条标题"/>
    <w:basedOn w:val="199"/>
    <w:next w:val="5"/>
    <w:qFormat/>
    <w:uiPriority w:val="0"/>
    <w:pPr>
      <w:autoSpaceDN w:val="0"/>
      <w:spacing w:beforeLines="0" w:afterLines="0"/>
      <w:outlineLvl w:val="2"/>
    </w:pPr>
  </w:style>
  <w:style w:type="paragraph" w:customStyle="1" w:styleId="209">
    <w:name w:val="xl75"/>
    <w:basedOn w:val="1"/>
    <w:qFormat/>
    <w:uiPriority w:val="0"/>
    <w:pPr>
      <w:widowControl/>
      <w:pBdr>
        <w:top w:val="single" w:color="auto" w:sz="8" w:space="0"/>
        <w:left w:val="single" w:color="auto" w:sz="8" w:space="0"/>
        <w:bottom w:val="single" w:color="auto" w:sz="8" w:space="0"/>
        <w:right w:val="single" w:color="auto" w:sz="8" w:space="0"/>
      </w:pBdr>
      <w:shd w:val="clear" w:color="000000" w:fill="CCFFCC"/>
      <w:spacing w:before="100" w:beforeAutospacing="1" w:after="100" w:afterAutospacing="1"/>
      <w:jc w:val="center"/>
    </w:pPr>
    <w:rPr>
      <w:rFonts w:ascii="Arial Narrow" w:hAnsi="Arial Narrow" w:cs="宋体"/>
      <w:kern w:val="0"/>
      <w:sz w:val="20"/>
      <w:szCs w:val="28"/>
    </w:rPr>
  </w:style>
  <w:style w:type="paragraph" w:customStyle="1" w:styleId="2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8"/>
    </w:rPr>
  </w:style>
  <w:style w:type="paragraph" w:customStyle="1" w:styleId="211">
    <w:name w:val="xl84"/>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宋体" w:hAnsi="宋体" w:cs="宋体"/>
      <w:kern w:val="0"/>
      <w:sz w:val="24"/>
      <w:szCs w:val="20"/>
    </w:rPr>
  </w:style>
  <w:style w:type="paragraph" w:customStyle="1" w:styleId="212">
    <w:name w:val="xl1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Calibri" w:hAnsi="Calibri" w:cs="宋体"/>
      <w:kern w:val="0"/>
      <w:sz w:val="18"/>
      <w:szCs w:val="18"/>
    </w:rPr>
  </w:style>
  <w:style w:type="paragraph" w:customStyle="1" w:styleId="213">
    <w:name w:val="xl79"/>
    <w:basedOn w:val="1"/>
    <w:qFormat/>
    <w:uiPriority w:val="0"/>
    <w:pPr>
      <w:widowControl/>
      <w:pBdr>
        <w:top w:val="single" w:color="auto" w:sz="8" w:space="0"/>
        <w:left w:val="single" w:color="auto" w:sz="8" w:space="0"/>
        <w:bottom w:val="single" w:color="auto" w:sz="8" w:space="0"/>
        <w:right w:val="single" w:color="auto" w:sz="8" w:space="0"/>
      </w:pBdr>
      <w:shd w:val="clear" w:color="000000" w:fill="FFFF00"/>
      <w:spacing w:before="100" w:beforeAutospacing="1" w:after="100" w:afterAutospacing="1"/>
      <w:jc w:val="center"/>
    </w:pPr>
    <w:rPr>
      <w:rFonts w:ascii="Arial Narrow" w:hAnsi="Arial Narrow" w:cs="宋体"/>
      <w:kern w:val="0"/>
      <w:sz w:val="20"/>
      <w:szCs w:val="28"/>
    </w:rPr>
  </w:style>
  <w:style w:type="paragraph" w:customStyle="1" w:styleId="214">
    <w:name w:val="xl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8"/>
    </w:rPr>
  </w:style>
  <w:style w:type="paragraph" w:customStyle="1" w:styleId="215">
    <w:name w:val="font16"/>
    <w:basedOn w:val="1"/>
    <w:qFormat/>
    <w:uiPriority w:val="0"/>
    <w:pPr>
      <w:widowControl/>
      <w:spacing w:before="100" w:beforeAutospacing="1" w:after="100" w:afterAutospacing="1"/>
      <w:jc w:val="left"/>
    </w:pPr>
    <w:rPr>
      <w:color w:val="000000"/>
      <w:kern w:val="0"/>
      <w:sz w:val="20"/>
      <w:szCs w:val="20"/>
    </w:rPr>
  </w:style>
  <w:style w:type="character" w:customStyle="1" w:styleId="216">
    <w:name w:val="正文首行缩进 2 Char2"/>
    <w:semiHidden/>
    <w:qFormat/>
    <w:uiPriority w:val="99"/>
    <w:rPr>
      <w:rFonts w:ascii="Times New Roman" w:hAnsi="Times New Roman" w:eastAsia="宋体"/>
      <w:kern w:val="2"/>
      <w:sz w:val="28"/>
      <w:szCs w:val="24"/>
    </w:rPr>
  </w:style>
  <w:style w:type="character" w:customStyle="1" w:styleId="217">
    <w:name w:val="脚注文本 Char2"/>
    <w:semiHidden/>
    <w:qFormat/>
    <w:uiPriority w:val="99"/>
    <w:rPr>
      <w:kern w:val="2"/>
      <w:sz w:val="18"/>
      <w:szCs w:val="18"/>
    </w:rPr>
  </w:style>
  <w:style w:type="paragraph" w:customStyle="1" w:styleId="218">
    <w:name w:val="font8"/>
    <w:basedOn w:val="1"/>
    <w:qFormat/>
    <w:uiPriority w:val="0"/>
    <w:pPr>
      <w:widowControl/>
      <w:spacing w:before="100" w:beforeAutospacing="1" w:after="100" w:afterAutospacing="1"/>
      <w:jc w:val="left"/>
    </w:pPr>
    <w:rPr>
      <w:rFonts w:ascii="Calibri" w:hAnsi="Calibri" w:cs="宋体"/>
      <w:kern w:val="0"/>
      <w:sz w:val="18"/>
      <w:szCs w:val="18"/>
    </w:rPr>
  </w:style>
  <w:style w:type="paragraph" w:customStyle="1" w:styleId="219">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20">
    <w:name w:val="xl104"/>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 w:val="20"/>
      <w:szCs w:val="28"/>
    </w:rPr>
  </w:style>
  <w:style w:type="paragraph" w:customStyle="1" w:styleId="221">
    <w:name w:val="xl126"/>
    <w:basedOn w:val="1"/>
    <w:qFormat/>
    <w:uiPriority w:val="0"/>
    <w:pPr>
      <w:widowControl/>
      <w:spacing w:before="100" w:beforeAutospacing="1" w:after="100" w:afterAutospacing="1"/>
      <w:jc w:val="center"/>
    </w:pPr>
    <w:rPr>
      <w:kern w:val="0"/>
      <w:sz w:val="20"/>
      <w:szCs w:val="28"/>
    </w:rPr>
  </w:style>
  <w:style w:type="paragraph" w:customStyle="1" w:styleId="222">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8"/>
    </w:rPr>
  </w:style>
  <w:style w:type="paragraph" w:customStyle="1" w:styleId="22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8"/>
    </w:rPr>
  </w:style>
  <w:style w:type="paragraph" w:customStyle="1" w:styleId="22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8"/>
    </w:rPr>
  </w:style>
  <w:style w:type="paragraph" w:customStyle="1" w:styleId="225">
    <w:name w:val="xl85"/>
    <w:basedOn w:val="1"/>
    <w:qFormat/>
    <w:uiPriority w:val="0"/>
    <w:pPr>
      <w:widowControl/>
      <w:pBdr>
        <w:bottom w:val="single" w:color="auto" w:sz="8" w:space="0"/>
        <w:right w:val="single" w:color="auto" w:sz="8" w:space="0"/>
      </w:pBdr>
      <w:spacing w:before="100" w:beforeAutospacing="1" w:after="100" w:afterAutospacing="1"/>
    </w:pPr>
    <w:rPr>
      <w:rFonts w:ascii="宋体" w:hAnsi="宋体" w:cs="宋体"/>
      <w:kern w:val="0"/>
      <w:sz w:val="24"/>
      <w:szCs w:val="20"/>
    </w:rPr>
  </w:style>
  <w:style w:type="paragraph" w:customStyle="1" w:styleId="226">
    <w:name w:val="font6"/>
    <w:basedOn w:val="1"/>
    <w:qFormat/>
    <w:uiPriority w:val="0"/>
    <w:pPr>
      <w:widowControl/>
      <w:spacing w:before="100" w:beforeAutospacing="1" w:after="100" w:afterAutospacing="1"/>
      <w:jc w:val="left"/>
    </w:pPr>
    <w:rPr>
      <w:color w:val="000000"/>
      <w:kern w:val="0"/>
      <w:sz w:val="20"/>
      <w:szCs w:val="28"/>
    </w:rPr>
  </w:style>
  <w:style w:type="paragraph" w:customStyle="1" w:styleId="227">
    <w:name w:val="Char1"/>
    <w:basedOn w:val="1"/>
    <w:next w:val="1"/>
    <w:qFormat/>
    <w:uiPriority w:val="0"/>
    <w:pPr>
      <w:widowControl/>
    </w:pPr>
    <w:rPr>
      <w:rFonts w:ascii="宋体" w:hAnsi="宋体" w:cs="宋体"/>
      <w:kern w:val="0"/>
      <w:sz w:val="24"/>
      <w:szCs w:val="20"/>
    </w:rPr>
  </w:style>
  <w:style w:type="paragraph" w:customStyle="1" w:styleId="228">
    <w:name w:val="Char Char Char Char Char Char"/>
    <w:next w:val="1"/>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29">
    <w:name w:val="xl78"/>
    <w:basedOn w:val="1"/>
    <w:qFormat/>
    <w:uiPriority w:val="0"/>
    <w:pPr>
      <w:widowControl/>
      <w:pBdr>
        <w:top w:val="single" w:color="auto" w:sz="8" w:space="0"/>
        <w:left w:val="single" w:color="auto" w:sz="8" w:space="0"/>
        <w:bottom w:val="single" w:color="auto" w:sz="8" w:space="0"/>
        <w:right w:val="single" w:color="auto" w:sz="8" w:space="0"/>
      </w:pBdr>
      <w:shd w:val="clear" w:color="000000" w:fill="CCFFCC"/>
      <w:spacing w:before="100" w:beforeAutospacing="1" w:after="100" w:afterAutospacing="1"/>
      <w:jc w:val="center"/>
    </w:pPr>
    <w:rPr>
      <w:rFonts w:ascii="宋体" w:hAnsi="宋体" w:cs="宋体"/>
      <w:kern w:val="0"/>
      <w:sz w:val="24"/>
      <w:szCs w:val="20"/>
    </w:rPr>
  </w:style>
  <w:style w:type="paragraph" w:customStyle="1" w:styleId="230">
    <w:name w:val="xl12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 w:val="20"/>
      <w:szCs w:val="28"/>
    </w:rPr>
  </w:style>
  <w:style w:type="paragraph" w:customStyle="1" w:styleId="231">
    <w:name w:val="xl91"/>
    <w:basedOn w:val="1"/>
    <w:qFormat/>
    <w:uiPriority w:val="0"/>
    <w:pPr>
      <w:widowControl/>
      <w:spacing w:before="100" w:beforeAutospacing="1" w:after="100" w:afterAutospacing="1"/>
      <w:jc w:val="left"/>
    </w:pPr>
    <w:rPr>
      <w:kern w:val="0"/>
      <w:sz w:val="20"/>
      <w:szCs w:val="28"/>
    </w:rPr>
  </w:style>
  <w:style w:type="paragraph" w:customStyle="1" w:styleId="232">
    <w:name w:val="xl73"/>
    <w:basedOn w:val="1"/>
    <w:qFormat/>
    <w:uiPriority w:val="0"/>
    <w:pPr>
      <w:widowControl/>
      <w:pBdr>
        <w:top w:val="single" w:color="auto" w:sz="8" w:space="0"/>
        <w:left w:val="single" w:color="auto" w:sz="8" w:space="0"/>
        <w:bottom w:val="single" w:color="auto" w:sz="8" w:space="0"/>
        <w:right w:val="single" w:color="auto" w:sz="8" w:space="0"/>
      </w:pBdr>
      <w:shd w:val="clear" w:color="000000" w:fill="CCFFCC"/>
      <w:spacing w:before="100" w:beforeAutospacing="1" w:after="100" w:afterAutospacing="1"/>
      <w:jc w:val="center"/>
    </w:pPr>
    <w:rPr>
      <w:rFonts w:ascii="宋体" w:hAnsi="宋体" w:cs="宋体"/>
      <w:kern w:val="0"/>
      <w:sz w:val="20"/>
      <w:szCs w:val="28"/>
    </w:rPr>
  </w:style>
  <w:style w:type="paragraph" w:customStyle="1" w:styleId="233">
    <w:name w:val="xl1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color w:val="000000"/>
      <w:kern w:val="0"/>
      <w:sz w:val="20"/>
      <w:szCs w:val="28"/>
    </w:rPr>
  </w:style>
  <w:style w:type="paragraph" w:customStyle="1" w:styleId="234">
    <w:name w:val="Char Char Char Char Char Char Char1 Char Char"/>
    <w:qFormat/>
    <w:uiPriority w:val="0"/>
    <w:pPr>
      <w:widowControl w:val="0"/>
      <w:spacing w:line="300" w:lineRule="auto"/>
      <w:ind w:firstLine="480" w:firstLineChars="200"/>
      <w:jc w:val="both"/>
    </w:pPr>
    <w:rPr>
      <w:rFonts w:ascii="Times New Roman" w:hAnsi="Times New Roman" w:eastAsia="仿宋_GB2312" w:cs="Times New Roman"/>
      <w:kern w:val="2"/>
      <w:sz w:val="24"/>
      <w:szCs w:val="24"/>
      <w:lang w:val="en-US" w:eastAsia="zh-CN" w:bidi="ar-SA"/>
    </w:rPr>
  </w:style>
  <w:style w:type="paragraph" w:customStyle="1" w:styleId="23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kern w:val="0"/>
    </w:rPr>
  </w:style>
  <w:style w:type="paragraph" w:customStyle="1" w:styleId="236">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0"/>
      <w:szCs w:val="28"/>
    </w:rPr>
  </w:style>
  <w:style w:type="paragraph" w:customStyle="1" w:styleId="237">
    <w:name w:val="xl12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8"/>
    </w:rPr>
  </w:style>
  <w:style w:type="paragraph" w:customStyle="1" w:styleId="238">
    <w:name w:val="前言、引言标题"/>
    <w:next w:val="1"/>
    <w:qFormat/>
    <w:uiPriority w:val="0"/>
    <w:pPr>
      <w:shd w:val="clear" w:color="FFFFFF" w:fill="FFFFFF"/>
      <w:tabs>
        <w:tab w:val="left" w:pos="360"/>
      </w:tabs>
      <w:spacing w:before="640" w:after="560"/>
      <w:ind w:left="167" w:firstLine="400"/>
      <w:jc w:val="center"/>
      <w:outlineLvl w:val="0"/>
    </w:pPr>
    <w:rPr>
      <w:rFonts w:ascii="黑体" w:hAnsi="Times New Roman" w:eastAsia="黑体" w:cs="Times New Roman"/>
      <w:sz w:val="32"/>
      <w:lang w:val="en-US" w:eastAsia="zh-CN" w:bidi="ar-SA"/>
    </w:rPr>
  </w:style>
  <w:style w:type="paragraph" w:customStyle="1" w:styleId="239">
    <w:name w:val="三级条标题"/>
    <w:basedOn w:val="240"/>
    <w:next w:val="5"/>
    <w:qFormat/>
    <w:uiPriority w:val="0"/>
    <w:pPr>
      <w:tabs>
        <w:tab w:val="left" w:pos="360"/>
        <w:tab w:val="left" w:pos="1680"/>
      </w:tabs>
      <w:ind w:left="1680" w:hanging="420"/>
      <w:outlineLvl w:val="4"/>
    </w:pPr>
  </w:style>
  <w:style w:type="paragraph" w:customStyle="1" w:styleId="240">
    <w:name w:val="二级条标题"/>
    <w:basedOn w:val="241"/>
    <w:next w:val="243"/>
    <w:qFormat/>
    <w:uiPriority w:val="0"/>
    <w:pPr>
      <w:numPr>
        <w:ilvl w:val="0"/>
        <w:numId w:val="9"/>
      </w:numPr>
      <w:ind w:left="840" w:firstLine="0"/>
      <w:outlineLvl w:val="3"/>
    </w:pPr>
  </w:style>
  <w:style w:type="paragraph" w:customStyle="1" w:styleId="241">
    <w:name w:val="一级条标题"/>
    <w:basedOn w:val="242"/>
    <w:next w:val="243"/>
    <w:qFormat/>
    <w:uiPriority w:val="0"/>
    <w:pPr>
      <w:spacing w:before="0" w:beforeLines="0" w:after="0" w:afterLines="0"/>
      <w:outlineLvl w:val="2"/>
    </w:pPr>
  </w:style>
  <w:style w:type="paragraph" w:customStyle="1" w:styleId="242">
    <w:name w:val="章标题"/>
    <w:next w:val="243"/>
    <w:qFormat/>
    <w:uiPriority w:val="0"/>
    <w:pPr>
      <w:spacing w:before="156" w:beforeLines="50" w:after="156" w:afterLines="50"/>
      <w:jc w:val="both"/>
      <w:outlineLvl w:val="1"/>
    </w:pPr>
    <w:rPr>
      <w:rFonts w:ascii="黑体" w:hAnsi="Calibri" w:eastAsia="黑体" w:cs="Times New Roman"/>
      <w:sz w:val="21"/>
      <w:lang w:val="en-US" w:eastAsia="zh-CN" w:bidi="ar-SA"/>
    </w:rPr>
  </w:style>
  <w:style w:type="paragraph" w:customStyle="1" w:styleId="24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4">
    <w:name w:val="xl118"/>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color w:val="000000"/>
      <w:kern w:val="0"/>
      <w:sz w:val="20"/>
      <w:szCs w:val="28"/>
    </w:rPr>
  </w:style>
  <w:style w:type="paragraph" w:customStyle="1" w:styleId="245">
    <w:name w:val="xl1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8"/>
    </w:rPr>
  </w:style>
  <w:style w:type="paragraph" w:customStyle="1" w:styleId="246">
    <w:name w:val="Char Char Char"/>
    <w:basedOn w:val="1"/>
    <w:next w:val="2"/>
    <w:qFormat/>
    <w:uiPriority w:val="0"/>
    <w:rPr>
      <w:kern w:val="0"/>
      <w:sz w:val="20"/>
      <w:szCs w:val="28"/>
    </w:rPr>
  </w:style>
  <w:style w:type="paragraph" w:customStyle="1" w:styleId="247">
    <w:name w:val="font14"/>
    <w:basedOn w:val="1"/>
    <w:qFormat/>
    <w:uiPriority w:val="0"/>
    <w:pPr>
      <w:widowControl/>
      <w:spacing w:before="100" w:beforeAutospacing="1" w:after="100" w:afterAutospacing="1"/>
      <w:jc w:val="left"/>
    </w:pPr>
    <w:rPr>
      <w:color w:val="000000"/>
      <w:kern w:val="0"/>
      <w:sz w:val="24"/>
      <w:szCs w:val="20"/>
    </w:rPr>
  </w:style>
  <w:style w:type="paragraph" w:customStyle="1" w:styleId="248">
    <w:name w:val="xl66"/>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8"/>
    </w:rPr>
  </w:style>
  <w:style w:type="paragraph" w:customStyle="1" w:styleId="249">
    <w:name w:val="font11"/>
    <w:basedOn w:val="1"/>
    <w:qFormat/>
    <w:uiPriority w:val="0"/>
    <w:pPr>
      <w:widowControl/>
      <w:spacing w:before="100" w:beforeAutospacing="1" w:after="100" w:afterAutospacing="1"/>
      <w:jc w:val="left"/>
    </w:pPr>
    <w:rPr>
      <w:rFonts w:ascii="Calibri" w:hAnsi="Calibri" w:cs="宋体"/>
      <w:kern w:val="0"/>
      <w:sz w:val="18"/>
      <w:szCs w:val="18"/>
    </w:rPr>
  </w:style>
  <w:style w:type="paragraph" w:customStyle="1" w:styleId="250">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8"/>
    </w:rPr>
  </w:style>
  <w:style w:type="paragraph" w:customStyle="1" w:styleId="251">
    <w:name w:val="xl12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color w:val="000000"/>
      <w:kern w:val="0"/>
      <w:sz w:val="20"/>
      <w:szCs w:val="28"/>
    </w:rPr>
  </w:style>
  <w:style w:type="paragraph" w:customStyle="1" w:styleId="252">
    <w:name w:val="Char1 Char Char Char Char Char Char Char Char Char"/>
    <w:basedOn w:val="1"/>
    <w:qFormat/>
    <w:uiPriority w:val="0"/>
    <w:pPr>
      <w:ind w:firstLine="200" w:firstLineChars="200"/>
    </w:pPr>
    <w:rPr>
      <w:rFonts w:ascii="宋体" w:hAnsi="宋体" w:cs="宋体"/>
      <w:kern w:val="0"/>
      <w:sz w:val="24"/>
      <w:szCs w:val="20"/>
    </w:rPr>
  </w:style>
  <w:style w:type="paragraph" w:customStyle="1" w:styleId="253">
    <w:name w:val="四级条标题"/>
    <w:basedOn w:val="239"/>
    <w:next w:val="5"/>
    <w:qFormat/>
    <w:uiPriority w:val="0"/>
    <w:pPr>
      <w:outlineLvl w:val="5"/>
    </w:pPr>
  </w:style>
  <w:style w:type="paragraph" w:customStyle="1" w:styleId="254">
    <w:name w:val="xl88"/>
    <w:basedOn w:val="1"/>
    <w:qFormat/>
    <w:uiPriority w:val="0"/>
    <w:pPr>
      <w:widowControl/>
      <w:pBdr>
        <w:bottom w:val="single" w:color="auto" w:sz="8" w:space="0"/>
        <w:right w:val="single" w:color="auto" w:sz="8" w:space="0"/>
      </w:pBdr>
      <w:spacing w:before="100" w:beforeAutospacing="1" w:after="100" w:afterAutospacing="1"/>
    </w:pPr>
    <w:rPr>
      <w:kern w:val="0"/>
      <w:sz w:val="24"/>
      <w:szCs w:val="20"/>
    </w:rPr>
  </w:style>
  <w:style w:type="paragraph" w:customStyle="1" w:styleId="25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8"/>
    </w:rPr>
  </w:style>
  <w:style w:type="paragraph" w:customStyle="1" w:styleId="256">
    <w:name w:val="font7"/>
    <w:basedOn w:val="1"/>
    <w:qFormat/>
    <w:uiPriority w:val="0"/>
    <w:pPr>
      <w:widowControl/>
      <w:spacing w:before="100" w:beforeAutospacing="1" w:after="100" w:afterAutospacing="1"/>
      <w:jc w:val="left"/>
    </w:pPr>
    <w:rPr>
      <w:color w:val="000000"/>
      <w:kern w:val="0"/>
      <w:sz w:val="20"/>
      <w:szCs w:val="28"/>
    </w:rPr>
  </w:style>
  <w:style w:type="paragraph" w:customStyle="1" w:styleId="257">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8"/>
    </w:rPr>
  </w:style>
  <w:style w:type="paragraph" w:customStyle="1" w:styleId="258">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8"/>
    </w:rPr>
  </w:style>
  <w:style w:type="paragraph" w:customStyle="1" w:styleId="25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8"/>
    </w:rPr>
  </w:style>
  <w:style w:type="paragraph" w:customStyle="1" w:styleId="260">
    <w:name w:val="Char Char Char Char Char Char Char1 Char Char1 Char Char Char Char"/>
    <w:qFormat/>
    <w:uiPriority w:val="0"/>
    <w:pPr>
      <w:widowControl w:val="0"/>
      <w:spacing w:line="300" w:lineRule="auto"/>
      <w:ind w:firstLine="480" w:firstLineChars="200"/>
      <w:jc w:val="both"/>
    </w:pPr>
    <w:rPr>
      <w:rFonts w:ascii="Times New Roman" w:hAnsi="Times New Roman" w:eastAsia="宋体" w:cs="Times New Roman"/>
      <w:lang w:val="en-US" w:eastAsia="zh-CN" w:bidi="ar-SA"/>
    </w:rPr>
  </w:style>
  <w:style w:type="paragraph" w:customStyle="1" w:styleId="261">
    <w:name w:val="xl12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color w:val="000000"/>
      <w:kern w:val="0"/>
      <w:sz w:val="20"/>
      <w:szCs w:val="28"/>
    </w:rPr>
  </w:style>
  <w:style w:type="paragraph" w:customStyle="1" w:styleId="262">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kern w:val="0"/>
      <w:sz w:val="20"/>
      <w:szCs w:val="28"/>
    </w:rPr>
  </w:style>
  <w:style w:type="paragraph" w:customStyle="1" w:styleId="263">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8"/>
    </w:rPr>
  </w:style>
  <w:style w:type="paragraph" w:customStyle="1" w:styleId="264">
    <w:name w:val="xl86"/>
    <w:basedOn w:val="1"/>
    <w:qFormat/>
    <w:uiPriority w:val="0"/>
    <w:pPr>
      <w:widowControl/>
      <w:pBdr>
        <w:left w:val="single" w:color="auto" w:sz="8" w:space="0"/>
        <w:bottom w:val="single" w:color="auto" w:sz="8" w:space="0"/>
        <w:right w:val="single" w:color="auto" w:sz="8" w:space="0"/>
      </w:pBdr>
      <w:spacing w:before="100" w:beforeAutospacing="1" w:after="100" w:afterAutospacing="1"/>
    </w:pPr>
    <w:rPr>
      <w:rFonts w:ascii="Arial Narrow" w:hAnsi="Arial Narrow" w:cs="宋体"/>
      <w:kern w:val="0"/>
      <w:sz w:val="24"/>
      <w:szCs w:val="20"/>
    </w:rPr>
  </w:style>
  <w:style w:type="paragraph" w:customStyle="1" w:styleId="265">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kern w:val="0"/>
      <w:sz w:val="20"/>
      <w:szCs w:val="28"/>
    </w:rPr>
  </w:style>
  <w:style w:type="paragraph" w:customStyle="1" w:styleId="266">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8"/>
    </w:rPr>
  </w:style>
  <w:style w:type="paragraph" w:customStyle="1" w:styleId="267">
    <w:name w:val="font5"/>
    <w:basedOn w:val="1"/>
    <w:qFormat/>
    <w:uiPriority w:val="0"/>
    <w:pPr>
      <w:widowControl/>
      <w:spacing w:before="100" w:beforeAutospacing="1" w:after="100" w:afterAutospacing="1"/>
      <w:jc w:val="left"/>
    </w:pPr>
    <w:rPr>
      <w:kern w:val="0"/>
      <w:sz w:val="20"/>
      <w:szCs w:val="28"/>
    </w:rPr>
  </w:style>
  <w:style w:type="paragraph" w:customStyle="1" w:styleId="268">
    <w:name w:val="修订1"/>
    <w:qFormat/>
    <w:uiPriority w:val="0"/>
    <w:rPr>
      <w:rFonts w:ascii="Times New Roman" w:hAnsi="Times New Roman" w:eastAsia="宋体" w:cs="Times New Roman"/>
      <w:kern w:val="2"/>
      <w:sz w:val="21"/>
      <w:szCs w:val="24"/>
      <w:lang w:val="en-US" w:eastAsia="zh-CN" w:bidi="ar-SA"/>
    </w:rPr>
  </w:style>
  <w:style w:type="paragraph" w:customStyle="1" w:styleId="269">
    <w:name w:val="xl87"/>
    <w:basedOn w:val="1"/>
    <w:qFormat/>
    <w:uiPriority w:val="0"/>
    <w:pPr>
      <w:widowControl/>
      <w:pBdr>
        <w:bottom w:val="single" w:color="auto" w:sz="8" w:space="0"/>
        <w:right w:val="single" w:color="auto" w:sz="8" w:space="0"/>
      </w:pBdr>
      <w:spacing w:before="100" w:beforeAutospacing="1" w:after="100" w:afterAutospacing="1"/>
    </w:pPr>
    <w:rPr>
      <w:rFonts w:ascii="Arial Narrow" w:hAnsi="Arial Narrow" w:cs="宋体"/>
      <w:kern w:val="0"/>
      <w:sz w:val="24"/>
      <w:szCs w:val="20"/>
    </w:rPr>
  </w:style>
  <w:style w:type="paragraph" w:customStyle="1" w:styleId="27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8"/>
    </w:rPr>
  </w:style>
  <w:style w:type="paragraph" w:customStyle="1" w:styleId="271">
    <w:name w:val="Char Char Char Char Char Char Char"/>
    <w:basedOn w:val="1"/>
    <w:qFormat/>
    <w:uiPriority w:val="0"/>
    <w:rPr>
      <w:kern w:val="0"/>
      <w:sz w:val="20"/>
      <w:szCs w:val="20"/>
    </w:rPr>
  </w:style>
  <w:style w:type="paragraph" w:customStyle="1" w:styleId="272">
    <w:name w:val="Char Char Char Char Char Char2 Char"/>
    <w:basedOn w:val="1"/>
    <w:qFormat/>
    <w:uiPriority w:val="0"/>
    <w:pPr>
      <w:widowControl/>
      <w:spacing w:after="160" w:line="240" w:lineRule="exact"/>
      <w:jc w:val="left"/>
    </w:pPr>
    <w:rPr>
      <w:kern w:val="0"/>
      <w:szCs w:val="20"/>
    </w:rPr>
  </w:style>
  <w:style w:type="paragraph" w:customStyle="1" w:styleId="273">
    <w:name w:val="五级条标题"/>
    <w:basedOn w:val="253"/>
    <w:next w:val="5"/>
    <w:qFormat/>
    <w:uiPriority w:val="0"/>
    <w:pPr>
      <w:outlineLvl w:val="6"/>
    </w:pPr>
  </w:style>
  <w:style w:type="paragraph" w:customStyle="1" w:styleId="274">
    <w:name w:val="xl11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0"/>
      <w:szCs w:val="28"/>
    </w:rPr>
  </w:style>
  <w:style w:type="paragraph" w:customStyle="1" w:styleId="275">
    <w:name w:val="xl11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8"/>
    </w:rPr>
  </w:style>
  <w:style w:type="paragraph" w:customStyle="1" w:styleId="276">
    <w:name w:val="Char Char Char Char Char Char Char1 Char Char Char"/>
    <w:qFormat/>
    <w:uiPriority w:val="0"/>
    <w:pPr>
      <w:widowControl w:val="0"/>
      <w:spacing w:line="300" w:lineRule="auto"/>
      <w:ind w:firstLine="480" w:firstLineChars="200"/>
      <w:jc w:val="both"/>
    </w:pPr>
    <w:rPr>
      <w:rFonts w:ascii="Times New Roman" w:hAnsi="Times New Roman" w:eastAsia="宋体" w:cs="Times New Roman"/>
      <w:lang w:val="en-US" w:eastAsia="zh-CN" w:bidi="ar-SA"/>
    </w:rPr>
  </w:style>
  <w:style w:type="paragraph" w:customStyle="1" w:styleId="277">
    <w:name w:val="font15"/>
    <w:basedOn w:val="1"/>
    <w:qFormat/>
    <w:uiPriority w:val="0"/>
    <w:pPr>
      <w:widowControl/>
      <w:spacing w:before="100" w:beforeAutospacing="1" w:after="100" w:afterAutospacing="1"/>
      <w:jc w:val="left"/>
    </w:pPr>
    <w:rPr>
      <w:rFonts w:ascii="Arial Narrow" w:hAnsi="Arial Narrow" w:cs="宋体"/>
      <w:color w:val="000000"/>
      <w:kern w:val="0"/>
      <w:sz w:val="20"/>
      <w:szCs w:val="20"/>
    </w:rPr>
  </w:style>
  <w:style w:type="paragraph" w:customStyle="1" w:styleId="278">
    <w:name w:val="xl12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kern w:val="0"/>
      <w:sz w:val="20"/>
      <w:szCs w:val="28"/>
    </w:rPr>
  </w:style>
  <w:style w:type="paragraph" w:customStyle="1" w:styleId="27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0"/>
    </w:rPr>
  </w:style>
  <w:style w:type="paragraph" w:customStyle="1" w:styleId="280">
    <w:name w:val="xl90"/>
    <w:basedOn w:val="1"/>
    <w:qFormat/>
    <w:uiPriority w:val="0"/>
    <w:pPr>
      <w:widowControl/>
      <w:pBdr>
        <w:bottom w:val="single" w:color="auto" w:sz="8" w:space="0"/>
        <w:right w:val="single" w:color="auto" w:sz="8" w:space="0"/>
      </w:pBdr>
      <w:spacing w:before="100" w:beforeAutospacing="1" w:after="100" w:afterAutospacing="1"/>
      <w:jc w:val="left"/>
    </w:pPr>
    <w:rPr>
      <w:rFonts w:ascii="Calibri" w:hAnsi="Calibri" w:cs="宋体"/>
      <w:kern w:val="0"/>
    </w:rPr>
  </w:style>
  <w:style w:type="paragraph" w:customStyle="1" w:styleId="281">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color w:val="000000"/>
      <w:kern w:val="0"/>
      <w:sz w:val="20"/>
      <w:szCs w:val="28"/>
    </w:rPr>
  </w:style>
  <w:style w:type="paragraph" w:customStyle="1" w:styleId="282">
    <w:name w:val="Char1 Char Char Char"/>
    <w:basedOn w:val="1"/>
    <w:autoRedefine/>
    <w:qFormat/>
    <w:uiPriority w:val="0"/>
    <w:pPr>
      <w:ind w:firstLine="200" w:firstLineChars="200"/>
    </w:pPr>
    <w:rPr>
      <w:rFonts w:ascii="宋体" w:hAnsi="宋体" w:cs="宋体"/>
      <w:kern w:val="0"/>
      <w:sz w:val="24"/>
      <w:szCs w:val="20"/>
    </w:rPr>
  </w:style>
  <w:style w:type="paragraph" w:customStyle="1" w:styleId="283">
    <w:name w:val="xl70"/>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Arial Narrow" w:hAnsi="Arial Narrow" w:cs="宋体"/>
      <w:kern w:val="0"/>
      <w:sz w:val="20"/>
      <w:szCs w:val="28"/>
    </w:rPr>
  </w:style>
  <w:style w:type="paragraph" w:customStyle="1" w:styleId="284">
    <w:name w:val="xl89"/>
    <w:basedOn w:val="1"/>
    <w:autoRedefine/>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Calibri" w:hAnsi="Calibri" w:cs="宋体"/>
      <w:kern w:val="0"/>
    </w:rPr>
  </w:style>
  <w:style w:type="paragraph" w:customStyle="1" w:styleId="285">
    <w:name w:val="font10"/>
    <w:basedOn w:val="1"/>
    <w:qFormat/>
    <w:uiPriority w:val="0"/>
    <w:pPr>
      <w:widowControl/>
      <w:spacing w:before="100" w:beforeAutospacing="1" w:after="100" w:afterAutospacing="1"/>
      <w:jc w:val="left"/>
    </w:pPr>
    <w:rPr>
      <w:rFonts w:ascii="宋体" w:hAnsi="宋体" w:cs="宋体"/>
      <w:kern w:val="0"/>
      <w:sz w:val="20"/>
      <w:szCs w:val="28"/>
    </w:rPr>
  </w:style>
  <w:style w:type="paragraph" w:customStyle="1" w:styleId="286">
    <w:name w:val="xl76"/>
    <w:basedOn w:val="1"/>
    <w:qFormat/>
    <w:uiPriority w:val="0"/>
    <w:pPr>
      <w:widowControl/>
      <w:pBdr>
        <w:top w:val="single" w:color="auto" w:sz="8" w:space="0"/>
        <w:left w:val="single" w:color="auto" w:sz="8" w:space="0"/>
        <w:bottom w:val="single" w:color="auto" w:sz="8" w:space="0"/>
        <w:right w:val="single" w:color="auto" w:sz="8" w:space="0"/>
      </w:pBdr>
      <w:shd w:val="clear" w:color="000000" w:fill="CCFFCC"/>
      <w:spacing w:before="100" w:beforeAutospacing="1" w:after="100" w:afterAutospacing="1"/>
      <w:jc w:val="center"/>
    </w:pPr>
    <w:rPr>
      <w:rFonts w:ascii="Arial Narrow" w:hAnsi="Arial Narrow" w:cs="宋体"/>
      <w:kern w:val="0"/>
      <w:sz w:val="20"/>
      <w:szCs w:val="28"/>
    </w:rPr>
  </w:style>
  <w:style w:type="paragraph" w:customStyle="1" w:styleId="287">
    <w:name w:val="xl109"/>
    <w:basedOn w:val="1"/>
    <w:qFormat/>
    <w:uiPriority w:val="0"/>
    <w:pPr>
      <w:widowControl/>
      <w:pBdr>
        <w:top w:val="single" w:color="auto" w:sz="4" w:space="0"/>
        <w:left w:val="single" w:color="auto" w:sz="4" w:space="0"/>
      </w:pBdr>
      <w:spacing w:before="100" w:beforeAutospacing="1" w:after="100" w:afterAutospacing="1"/>
      <w:jc w:val="center"/>
    </w:pPr>
    <w:rPr>
      <w:kern w:val="0"/>
      <w:sz w:val="20"/>
      <w:szCs w:val="28"/>
    </w:rPr>
  </w:style>
  <w:style w:type="paragraph" w:customStyle="1" w:styleId="288">
    <w:name w:val="xl65"/>
    <w:basedOn w:val="1"/>
    <w:qFormat/>
    <w:uiPriority w:val="0"/>
    <w:pPr>
      <w:widowControl/>
      <w:spacing w:before="100" w:beforeAutospacing="1" w:after="100" w:afterAutospacing="1"/>
      <w:jc w:val="center"/>
    </w:pPr>
    <w:rPr>
      <w:rFonts w:ascii="宋体" w:hAnsi="宋体" w:cs="宋体"/>
      <w:kern w:val="0"/>
      <w:sz w:val="24"/>
      <w:szCs w:val="20"/>
    </w:rPr>
  </w:style>
  <w:style w:type="paragraph" w:customStyle="1" w:styleId="28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8"/>
    </w:rPr>
  </w:style>
  <w:style w:type="paragraph" w:customStyle="1" w:styleId="290">
    <w:name w:val="xl33"/>
    <w:basedOn w:val="1"/>
    <w:qFormat/>
    <w:uiPriority w:val="0"/>
    <w:pPr>
      <w:widowControl/>
      <w:spacing w:beforeAutospacing="1" w:afterAutospacing="1"/>
      <w:jc w:val="center"/>
    </w:pPr>
    <w:rPr>
      <w:rFonts w:ascii="宋体" w:hAnsi="宋体"/>
      <w:kern w:val="0"/>
      <w:sz w:val="24"/>
      <w:szCs w:val="20"/>
    </w:rPr>
  </w:style>
  <w:style w:type="paragraph" w:customStyle="1" w:styleId="29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8"/>
    </w:rPr>
  </w:style>
  <w:style w:type="paragraph" w:customStyle="1" w:styleId="292">
    <w:name w:val="font12"/>
    <w:basedOn w:val="1"/>
    <w:qFormat/>
    <w:uiPriority w:val="0"/>
    <w:pPr>
      <w:widowControl/>
      <w:spacing w:before="100" w:beforeAutospacing="1" w:after="100" w:afterAutospacing="1"/>
      <w:jc w:val="left"/>
    </w:pPr>
    <w:rPr>
      <w:rFonts w:ascii="宋体" w:hAnsi="宋体" w:cs="宋体"/>
      <w:color w:val="000000"/>
      <w:kern w:val="0"/>
      <w:sz w:val="24"/>
      <w:szCs w:val="20"/>
    </w:rPr>
  </w:style>
  <w:style w:type="paragraph" w:customStyle="1" w:styleId="293">
    <w:name w:val="xl77"/>
    <w:basedOn w:val="1"/>
    <w:qFormat/>
    <w:uiPriority w:val="0"/>
    <w:pPr>
      <w:widowControl/>
      <w:pBdr>
        <w:top w:val="single" w:color="auto" w:sz="8" w:space="0"/>
        <w:left w:val="single" w:color="auto" w:sz="8" w:space="0"/>
        <w:bottom w:val="single" w:color="auto" w:sz="8" w:space="0"/>
        <w:right w:val="single" w:color="auto" w:sz="8" w:space="0"/>
      </w:pBdr>
      <w:shd w:val="clear" w:color="000000" w:fill="CCFFCC"/>
      <w:spacing w:before="100" w:beforeAutospacing="1" w:after="100" w:afterAutospacing="1"/>
      <w:jc w:val="center"/>
    </w:pPr>
    <w:rPr>
      <w:rFonts w:ascii="Arial Narrow" w:hAnsi="Arial Narrow" w:cs="宋体"/>
      <w:kern w:val="0"/>
      <w:sz w:val="20"/>
      <w:szCs w:val="28"/>
    </w:rPr>
  </w:style>
  <w:style w:type="paragraph" w:customStyle="1" w:styleId="294">
    <w:name w:val="Char1 Char Char Char Char Char Char Char Char Char Char Char Char"/>
    <w:basedOn w:val="1"/>
    <w:qFormat/>
    <w:uiPriority w:val="0"/>
    <w:pPr>
      <w:ind w:firstLine="200" w:firstLineChars="200"/>
    </w:pPr>
    <w:rPr>
      <w:rFonts w:ascii="宋体" w:hAnsi="宋体" w:cs="宋体"/>
      <w:kern w:val="0"/>
      <w:sz w:val="24"/>
      <w:szCs w:val="20"/>
    </w:rPr>
  </w:style>
  <w:style w:type="paragraph" w:customStyle="1" w:styleId="295">
    <w:name w:val="xl72"/>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4"/>
      <w:szCs w:val="20"/>
    </w:rPr>
  </w:style>
  <w:style w:type="paragraph" w:customStyle="1" w:styleId="2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kern w:val="0"/>
      <w:sz w:val="20"/>
      <w:szCs w:val="28"/>
    </w:rPr>
  </w:style>
  <w:style w:type="paragraph" w:customStyle="1" w:styleId="297">
    <w:name w:val="xl68"/>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Arial Narrow" w:hAnsi="Arial Narrow" w:cs="宋体"/>
      <w:kern w:val="0"/>
      <w:sz w:val="20"/>
      <w:szCs w:val="28"/>
    </w:rPr>
  </w:style>
  <w:style w:type="paragraph" w:customStyle="1" w:styleId="298">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FF0000"/>
      <w:kern w:val="0"/>
      <w:sz w:val="20"/>
      <w:szCs w:val="28"/>
    </w:rPr>
  </w:style>
  <w:style w:type="paragraph" w:customStyle="1" w:styleId="299">
    <w:name w:val="附录五级条标题"/>
    <w:basedOn w:val="205"/>
    <w:next w:val="5"/>
    <w:autoRedefine/>
    <w:qFormat/>
    <w:uiPriority w:val="0"/>
    <w:pPr>
      <w:outlineLvl w:val="6"/>
    </w:pPr>
  </w:style>
  <w:style w:type="paragraph" w:customStyle="1" w:styleId="300">
    <w:name w:val="xl74"/>
    <w:basedOn w:val="1"/>
    <w:qFormat/>
    <w:uiPriority w:val="0"/>
    <w:pPr>
      <w:widowControl/>
      <w:pBdr>
        <w:top w:val="single" w:color="auto" w:sz="8" w:space="0"/>
        <w:left w:val="single" w:color="auto" w:sz="8" w:space="0"/>
        <w:bottom w:val="single" w:color="auto" w:sz="8" w:space="0"/>
        <w:right w:val="single" w:color="auto" w:sz="8" w:space="0"/>
      </w:pBdr>
      <w:shd w:val="clear" w:color="000000" w:fill="CCFFCC"/>
      <w:spacing w:before="100" w:beforeAutospacing="1" w:after="100" w:afterAutospacing="1"/>
      <w:jc w:val="center"/>
    </w:pPr>
    <w:rPr>
      <w:kern w:val="0"/>
      <w:sz w:val="20"/>
      <w:szCs w:val="28"/>
    </w:rPr>
  </w:style>
  <w:style w:type="paragraph" w:customStyle="1" w:styleId="301">
    <w:name w:val="xl69"/>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Arial Narrow" w:hAnsi="Arial Narrow" w:cs="宋体"/>
      <w:kern w:val="0"/>
      <w:sz w:val="20"/>
      <w:szCs w:val="28"/>
    </w:rPr>
  </w:style>
  <w:style w:type="paragraph" w:customStyle="1" w:styleId="30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8"/>
    </w:rPr>
  </w:style>
  <w:style w:type="paragraph" w:customStyle="1" w:styleId="30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8"/>
    </w:rPr>
  </w:style>
  <w:style w:type="paragraph" w:customStyle="1" w:styleId="304">
    <w:name w:val="font13"/>
    <w:basedOn w:val="1"/>
    <w:qFormat/>
    <w:uiPriority w:val="0"/>
    <w:pPr>
      <w:widowControl/>
      <w:spacing w:before="100" w:beforeAutospacing="1" w:after="100" w:afterAutospacing="1"/>
      <w:jc w:val="left"/>
    </w:pPr>
    <w:rPr>
      <w:rFonts w:ascii="Arial Narrow" w:hAnsi="Arial Narrow" w:cs="宋体"/>
      <w:color w:val="000000"/>
      <w:kern w:val="0"/>
      <w:sz w:val="24"/>
      <w:szCs w:val="20"/>
    </w:rPr>
  </w:style>
  <w:style w:type="paragraph" w:customStyle="1" w:styleId="305">
    <w:name w:val="Char1 Char Char Char Char Char Char Char Char Char Char Char Char2"/>
    <w:basedOn w:val="1"/>
    <w:qFormat/>
    <w:uiPriority w:val="0"/>
    <w:pPr>
      <w:ind w:firstLine="200" w:firstLineChars="200"/>
    </w:pPr>
    <w:rPr>
      <w:rFonts w:ascii="宋体" w:hAnsi="宋体" w:cs="宋体"/>
      <w:kern w:val="0"/>
      <w:sz w:val="24"/>
      <w:szCs w:val="20"/>
    </w:rPr>
  </w:style>
  <w:style w:type="character" w:customStyle="1" w:styleId="306">
    <w:name w:val="未处理的提及2"/>
    <w:basedOn w:val="50"/>
    <w:semiHidden/>
    <w:unhideWhenUsed/>
    <w:qFormat/>
    <w:uiPriority w:val="99"/>
    <w:rPr>
      <w:color w:val="808080"/>
      <w:shd w:val="clear" w:color="auto" w:fill="E6E6E6"/>
    </w:rPr>
  </w:style>
  <w:style w:type="character" w:customStyle="1" w:styleId="307">
    <w:name w:val="批注文字 Char1"/>
    <w:qFormat/>
    <w:uiPriority w:val="0"/>
    <w:rPr>
      <w:rFonts w:eastAsia="宋体"/>
      <w:kern w:val="2"/>
      <w:sz w:val="21"/>
      <w:szCs w:val="24"/>
      <w:lang w:val="en-US" w:eastAsia="zh-CN" w:bidi="ar-SA"/>
    </w:rPr>
  </w:style>
  <w:style w:type="character" w:customStyle="1" w:styleId="308">
    <w:name w:val="正文文本 字符"/>
    <w:basedOn w:val="50"/>
    <w:link w:val="20"/>
    <w:semiHidden/>
    <w:qFormat/>
    <w:uiPriority w:val="99"/>
  </w:style>
  <w:style w:type="paragraph" w:customStyle="1" w:styleId="309">
    <w:name w:val="Char Char Char Char Char Char Char Char Char Char Char Char Char Char Char1"/>
    <w:basedOn w:val="1"/>
    <w:qFormat/>
    <w:uiPriority w:val="0"/>
    <w:pPr>
      <w:widowControl/>
      <w:adjustRightInd/>
      <w:spacing w:after="160" w:line="240" w:lineRule="exact"/>
      <w:jc w:val="left"/>
    </w:pPr>
    <w:rPr>
      <w:rFonts w:ascii="Tahoma" w:hAnsi="Tahoma" w:cs="Times New Roman"/>
      <w:kern w:val="0"/>
      <w:sz w:val="20"/>
      <w:szCs w:val="20"/>
      <w:lang w:eastAsia="en-US"/>
    </w:rPr>
  </w:style>
  <w:style w:type="character" w:customStyle="1" w:styleId="310">
    <w:name w:val="正文6"/>
    <w:qFormat/>
    <w:uiPriority w:val="0"/>
    <w:rPr>
      <w:rFonts w:ascii="Times New Roman" w:hAnsi="Times New Roman" w:eastAsia="宋体"/>
      <w:spacing w:val="0"/>
      <w:w w:val="100"/>
      <w:position w:val="0"/>
      <w:sz w:val="28"/>
      <w:szCs w:val="28"/>
    </w:rPr>
  </w:style>
  <w:style w:type="paragraph" w:customStyle="1" w:styleId="311">
    <w:name w:val="样式 正文首行缩进 + 首行缩进:  1 字符"/>
    <w:link w:val="320"/>
    <w:qFormat/>
    <w:uiPriority w:val="0"/>
    <w:pPr>
      <w:tabs>
        <w:tab w:val="left" w:pos="5327"/>
        <w:tab w:val="left" w:pos="6326"/>
        <w:tab w:val="left" w:pos="7230"/>
        <w:tab w:val="left" w:pos="9301"/>
      </w:tabs>
      <w:adjustRightInd w:val="0"/>
      <w:snapToGrid w:val="0"/>
      <w:spacing w:line="360" w:lineRule="auto"/>
      <w:ind w:firstLine="200" w:firstLineChars="200"/>
    </w:pPr>
    <w:rPr>
      <w:rFonts w:ascii="宋体" w:hAnsi="宋体" w:eastAsia="Times New Roman" w:cs="Times New Roman"/>
      <w:snapToGrid w:val="0"/>
      <w:sz w:val="28"/>
      <w:szCs w:val="28"/>
      <w:lang w:val="en-US" w:eastAsia="zh-CN" w:bidi="ar-SA"/>
    </w:rPr>
  </w:style>
  <w:style w:type="character" w:customStyle="1" w:styleId="312">
    <w:name w:val="font31"/>
    <w:basedOn w:val="50"/>
    <w:qFormat/>
    <w:uiPriority w:val="0"/>
    <w:rPr>
      <w:rFonts w:hint="eastAsia" w:ascii="宋体" w:hAnsi="宋体" w:eastAsia="宋体" w:cs="宋体"/>
      <w:color w:val="000000"/>
      <w:sz w:val="24"/>
      <w:szCs w:val="24"/>
      <w:u w:val="none"/>
      <w:vertAlign w:val="superscript"/>
    </w:rPr>
  </w:style>
  <w:style w:type="character" w:customStyle="1" w:styleId="313">
    <w:name w:val="font01"/>
    <w:basedOn w:val="50"/>
    <w:qFormat/>
    <w:uiPriority w:val="0"/>
    <w:rPr>
      <w:rFonts w:hint="eastAsia" w:ascii="宋体" w:hAnsi="宋体" w:eastAsia="宋体" w:cs="宋体"/>
      <w:color w:val="000000"/>
      <w:sz w:val="24"/>
      <w:szCs w:val="24"/>
      <w:u w:val="none"/>
    </w:rPr>
  </w:style>
  <w:style w:type="character" w:customStyle="1" w:styleId="314">
    <w:name w:val="font21"/>
    <w:qFormat/>
    <w:uiPriority w:val="0"/>
    <w:rPr>
      <w:rFonts w:hint="eastAsia" w:ascii="宋体" w:hAnsi="宋体" w:eastAsia="宋体" w:cs="宋体"/>
      <w:color w:val="000000"/>
      <w:sz w:val="24"/>
      <w:szCs w:val="24"/>
      <w:u w:val="none"/>
    </w:rPr>
  </w:style>
  <w:style w:type="paragraph" w:customStyle="1" w:styleId="315">
    <w:name w:val="正文使用"/>
    <w:qFormat/>
    <w:uiPriority w:val="0"/>
    <w:pPr>
      <w:spacing w:line="360" w:lineRule="auto"/>
    </w:pPr>
    <w:rPr>
      <w:rFonts w:ascii="宋体" w:hAnsi="宋体" w:eastAsia="宋体" w:cs="Times New Roman"/>
      <w:szCs w:val="24"/>
      <w:lang w:val="en-US" w:eastAsia="zh-CN" w:bidi="ar-SA"/>
    </w:rPr>
  </w:style>
  <w:style w:type="paragraph" w:customStyle="1" w:styleId="316">
    <w:name w:val="正文1"/>
    <w:qFormat/>
    <w:uiPriority w:val="0"/>
    <w:pPr>
      <w:tabs>
        <w:tab w:val="left" w:pos="5327"/>
        <w:tab w:val="left" w:pos="6326"/>
        <w:tab w:val="left" w:pos="7230"/>
        <w:tab w:val="left" w:pos="9301"/>
      </w:tabs>
      <w:adjustRightInd w:val="0"/>
      <w:snapToGrid w:val="0"/>
      <w:spacing w:line="360" w:lineRule="auto"/>
      <w:ind w:firstLine="200" w:firstLineChars="200"/>
    </w:pPr>
    <w:rPr>
      <w:rFonts w:ascii="宋体" w:hAnsi="宋体" w:eastAsiaTheme="minorEastAsia" w:cstheme="minorBidi"/>
      <w:snapToGrid w:val="0"/>
      <w:kern w:val="2"/>
      <w:sz w:val="28"/>
      <w:szCs w:val="28"/>
      <w:lang w:val="en-US" w:eastAsia="zh-CN" w:bidi="ar-SA"/>
    </w:rPr>
  </w:style>
  <w:style w:type="character" w:customStyle="1" w:styleId="317">
    <w:name w:val="正文文本首行缩进 2 字符"/>
    <w:basedOn w:val="169"/>
    <w:link w:val="47"/>
    <w:semiHidden/>
    <w:qFormat/>
    <w:uiPriority w:val="99"/>
    <w:rPr>
      <w:rFonts w:ascii="Times New Roman" w:hAnsi="Times New Roman" w:eastAsia="宋体"/>
      <w:kern w:val="2"/>
      <w:sz w:val="21"/>
      <w:szCs w:val="21"/>
    </w:rPr>
  </w:style>
  <w:style w:type="character" w:customStyle="1" w:styleId="318">
    <w:name w:val="enfi1 Char"/>
    <w:link w:val="319"/>
    <w:qFormat/>
    <w:uiPriority w:val="99"/>
    <w:rPr>
      <w:rFonts w:ascii="宋体" w:eastAsia="宋体"/>
      <w:kern w:val="44"/>
      <w:sz w:val="44"/>
    </w:rPr>
  </w:style>
  <w:style w:type="paragraph" w:customStyle="1" w:styleId="319">
    <w:name w:val="enfi1"/>
    <w:basedOn w:val="3"/>
    <w:link w:val="318"/>
    <w:qFormat/>
    <w:uiPriority w:val="99"/>
    <w:pPr>
      <w:keepNext w:val="0"/>
      <w:keepLines w:val="0"/>
      <w:widowControl/>
      <w:adjustRightInd/>
      <w:spacing w:before="0" w:after="0" w:line="480" w:lineRule="auto"/>
      <w:jc w:val="center"/>
    </w:pPr>
    <w:rPr>
      <w:rFonts w:ascii="宋体" w:hAnsiTheme="minorHAnsi"/>
      <w:b w:val="0"/>
      <w:bCs w:val="0"/>
      <w:szCs w:val="20"/>
    </w:rPr>
  </w:style>
  <w:style w:type="character" w:customStyle="1" w:styleId="320">
    <w:name w:val="样式 正文首行缩进 + 首行缩进:  1 字符 Char"/>
    <w:link w:val="311"/>
    <w:qFormat/>
    <w:uiPriority w:val="0"/>
    <w:rPr>
      <w:rFonts w:ascii="宋体" w:hAnsi="宋体" w:eastAsia="Times New Roman" w:cs="Times New Roman"/>
      <w:snapToGrid w:val="0"/>
      <w:sz w:val="28"/>
      <w:szCs w:val="28"/>
    </w:rPr>
  </w:style>
  <w:style w:type="character" w:customStyle="1" w:styleId="321">
    <w:name w:val="正文文本 3 字符"/>
    <w:basedOn w:val="50"/>
    <w:link w:val="19"/>
    <w:semiHidden/>
    <w:qFormat/>
    <w:uiPriority w:val="99"/>
    <w:rPr>
      <w:rFonts w:ascii="Times New Roman" w:hAnsi="Times New Roman" w:eastAsia="宋体"/>
      <w:kern w:val="2"/>
      <w:sz w:val="16"/>
      <w:szCs w:val="16"/>
    </w:rPr>
  </w:style>
  <w:style w:type="paragraph" w:customStyle="1" w:styleId="322">
    <w:name w:val="表格内容"/>
    <w:basedOn w:val="1"/>
    <w:next w:val="15"/>
    <w:qFormat/>
    <w:uiPriority w:val="0"/>
    <w:pPr>
      <w:framePr w:hSpace="180" w:wrap="notBeside" w:vAnchor="margin" w:hAnchor="margin" w:y="1788"/>
      <w:jc w:val="center"/>
    </w:pPr>
    <w:rPr>
      <w:sz w:val="24"/>
    </w:rPr>
  </w:style>
  <w:style w:type="paragraph" w:customStyle="1" w:styleId="323">
    <w:name w:val="普查图、表名"/>
    <w:basedOn w:val="1"/>
    <w:next w:val="1"/>
    <w:qFormat/>
    <w:uiPriority w:val="0"/>
    <w:pPr>
      <w:keepNext/>
      <w:keepLines/>
      <w:snapToGrid w:val="0"/>
      <w:jc w:val="center"/>
      <w:textAlignment w:val="center"/>
    </w:pPr>
    <w:rPr>
      <w:rFonts w:eastAsia="黑体"/>
      <w:bCs/>
      <w:kern w:val="0"/>
      <w:szCs w:val="20"/>
    </w:rPr>
  </w:style>
  <w:style w:type="paragraph" w:customStyle="1" w:styleId="324">
    <w:name w:val="Table Paragraph"/>
    <w:basedOn w:val="1"/>
    <w:qFormat/>
    <w:uiPriority w:val="1"/>
  </w:style>
  <w:style w:type="character" w:customStyle="1" w:styleId="325">
    <w:name w:val="font10 Char Char"/>
    <w:qFormat/>
    <w:uiPriority w:val="0"/>
    <w:rPr>
      <w:rFonts w:ascii="宋体" w:hAnsi="宋体" w:eastAsia="宋体"/>
      <w:color w:val="FF00FF"/>
      <w:lang w:val="en-US" w:eastAsia="zh-CN" w:bidi="ar-SA"/>
    </w:rPr>
  </w:style>
  <w:style w:type="paragraph" w:customStyle="1" w:styleId="326">
    <w:name w:val="正文文本首行缩进1"/>
    <w:basedOn w:val="20"/>
    <w:next w:val="1"/>
    <w:qFormat/>
    <w:uiPriority w:val="0"/>
    <w:pPr>
      <w:spacing w:line="275" w:lineRule="atLeast"/>
      <w:ind w:firstLine="420"/>
      <w:textAlignment w:val="baseline"/>
    </w:pPr>
    <w:rPr>
      <w:rFonts w:ascii="宋体" w:eastAsia="楷体_GB2312"/>
      <w:sz w:val="24"/>
      <w:szCs w:val="20"/>
    </w:rPr>
  </w:style>
  <w:style w:type="paragraph" w:customStyle="1" w:styleId="327">
    <w:name w:val="正文文本缩进1"/>
    <w:basedOn w:val="1"/>
    <w:next w:val="326"/>
    <w:qFormat/>
    <w:uiPriority w:val="0"/>
    <w:pPr>
      <w:ind w:firstLine="538" w:firstLineChars="192"/>
    </w:pPr>
    <w:rPr>
      <w:sz w:val="28"/>
    </w:rPr>
  </w:style>
  <w:style w:type="paragraph" w:customStyle="1" w:styleId="328">
    <w:name w:val="样式5"/>
    <w:basedOn w:val="1"/>
    <w:qFormat/>
    <w:uiPriority w:val="0"/>
    <w:pPr>
      <w:ind w:right="-147" w:firstLine="543" w:firstLineChars="200"/>
    </w:pPr>
    <w:rPr>
      <w:rFonts w:ascii="仿宋_GB2312" w:eastAsia="仿宋_GB2312"/>
      <w:sz w:val="28"/>
      <w:szCs w:val="28"/>
    </w:rPr>
  </w:style>
  <w:style w:type="paragraph" w:customStyle="1" w:styleId="329">
    <w:name w:val="_Style 2"/>
    <w:qFormat/>
    <w:uiPriority w:val="0"/>
    <w:pPr>
      <w:widowControl w:val="0"/>
      <w:adjustRightInd w:val="0"/>
      <w:snapToGrid w:val="0"/>
      <w:jc w:val="both"/>
    </w:pPr>
    <w:rPr>
      <w:rFonts w:ascii="Times New Roman" w:hAnsi="宋体" w:eastAsia="宋体" w:cs="Times New Roman"/>
      <w:color w:val="333333"/>
      <w:kern w:val="36"/>
      <w:sz w:val="21"/>
      <w:szCs w:val="28"/>
      <w:shd w:val="clear" w:color="auto" w:fill="FFFFFF"/>
      <w:lang w:val="en-US" w:eastAsia="zh-CN" w:bidi="ar-SA"/>
    </w:rPr>
  </w:style>
  <w:style w:type="paragraph" w:customStyle="1" w:styleId="330">
    <w:name w:val="Char2"/>
    <w:basedOn w:val="1"/>
    <w:qFormat/>
    <w:uiPriority w:val="0"/>
    <w:pPr>
      <w:spacing w:line="360" w:lineRule="auto"/>
    </w:pPr>
    <w:rPr>
      <w:rFonts w:ascii="宋体" w:hAnsi="宋体" w:cs="宋体"/>
      <w:sz w:val="24"/>
      <w:szCs w:val="24"/>
    </w:rPr>
  </w:style>
  <w:style w:type="paragraph" w:customStyle="1" w:styleId="331">
    <w:name w:val="表文字"/>
    <w:basedOn w:val="332"/>
    <w:qFormat/>
    <w:uiPriority w:val="0"/>
    <w:pPr>
      <w:tabs>
        <w:tab w:val="left" w:pos="5327"/>
        <w:tab w:val="left" w:pos="6326"/>
        <w:tab w:val="left" w:pos="7230"/>
        <w:tab w:val="left" w:pos="9301"/>
      </w:tabs>
      <w:spacing w:line="240" w:lineRule="auto"/>
    </w:pPr>
    <w:rPr>
      <w:b w:val="0"/>
      <w:sz w:val="24"/>
    </w:rPr>
  </w:style>
  <w:style w:type="paragraph" w:customStyle="1" w:styleId="332">
    <w:name w:val="表头"/>
    <w:basedOn w:val="1"/>
    <w:autoRedefine/>
    <w:qFormat/>
    <w:uiPriority w:val="0"/>
    <w:pPr>
      <w:suppressAutoHyphens/>
      <w:autoSpaceDE w:val="0"/>
      <w:adjustRightInd/>
      <w:spacing w:before="240" w:after="60" w:line="400" w:lineRule="exact"/>
      <w:ind w:firstLine="200" w:firstLineChars="200"/>
    </w:pPr>
    <w:rPr>
      <w:b/>
      <w:sz w:val="28"/>
    </w:rPr>
  </w:style>
  <w:style w:type="paragraph" w:customStyle="1" w:styleId="333">
    <w:name w:val="正文 + 首行缩进"/>
    <w:basedOn w:val="1"/>
    <w:qFormat/>
    <w:uiPriority w:val="0"/>
    <w:pPr>
      <w:spacing w:line="500" w:lineRule="exact"/>
      <w:ind w:firstLine="560" w:firstLineChars="200"/>
    </w:pPr>
    <w:rPr>
      <w:rFonts w:ascii="Calibri" w:hAnsi="Calibri"/>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22849</Words>
  <Characters>28026</Characters>
  <Lines>1032</Lines>
  <Paragraphs>290</Paragraphs>
  <TotalTime>96</TotalTime>
  <ScaleCrop>false</ScaleCrop>
  <LinksUpToDate>false</LinksUpToDate>
  <CharactersWithSpaces>28213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2017-12-18T13:51:00Z</dcterms:created>
  <dc:creator>qjxa</dc:creator>
  <cp:lastModifiedBy>.</cp:lastModifiedBy>
  <cp:lastPrinted>2019-06-13T14:47:00Z</cp:lastPrinted>
  <dcterms:modified xsi:type="dcterms:W3CDTF">2026-08-07T08:22:51Z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D0AEE91A90E0435AA3F9CC39CDAEE2C8_13</vt:lpwstr>
  </property>
  <property fmtid="{D5CDD505-2E9C-101B-9397-08002B2CF9AE}" pid="4" name="KSOTemplateDocerSaveRecord">
    <vt:lpwstr>eyJoZGlkIjoiOTkyMWE4N2Y3YzEzYmE5OTkwMWY4ZmM1OTg2ZjMyOTgiLCJ1c2VySWQiOiIzNTU2NzkxMjIifQ==</vt:lpwstr>
  </property>
</Properties>
</file>