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CEF18">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44"/>
          <w:szCs w:val="44"/>
        </w:rPr>
      </w:pPr>
      <w:bookmarkStart w:id="0" w:name="_Toc422486425"/>
      <w:bookmarkStart w:id="1" w:name="_Toc27214"/>
      <w:bookmarkStart w:id="2" w:name="_Toc12891"/>
      <w:bookmarkStart w:id="3" w:name="_Toc351965641"/>
      <w:bookmarkStart w:id="4" w:name="_Toc270607432"/>
      <w:bookmarkStart w:id="5" w:name="_Toc422486574"/>
      <w:bookmarkStart w:id="6" w:name="_Toc422390914"/>
      <w:bookmarkStart w:id="7" w:name="_Toc283640394"/>
      <w:bookmarkStart w:id="8" w:name="_Toc179884574"/>
      <w:bookmarkStart w:id="9" w:name="_Toc351826016"/>
      <w:bookmarkStart w:id="10" w:name="_Toc283318311"/>
      <w:bookmarkStart w:id="11" w:name="_Toc292307145"/>
      <w:bookmarkStart w:id="12" w:name="_Toc24685"/>
      <w:bookmarkStart w:id="13" w:name="_Toc352007259"/>
      <w:bookmarkStart w:id="14" w:name="_Toc12805"/>
      <w:bookmarkStart w:id="15" w:name="_Toc268880334"/>
      <w:bookmarkStart w:id="16" w:name="_Toc422390763"/>
      <w:bookmarkStart w:id="17" w:name="_Toc6315"/>
      <w:bookmarkStart w:id="18" w:name="_Toc268880197"/>
      <w:bookmarkStart w:id="19" w:name="_Toc283383318"/>
      <w:bookmarkStart w:id="20" w:name="_Toc286933811"/>
      <w:bookmarkStart w:id="21" w:name="_Toc422390864"/>
      <w:bookmarkStart w:id="22" w:name="_Toc351833214"/>
      <w:bookmarkStart w:id="23" w:name="_Toc351622917"/>
      <w:bookmarkStart w:id="24" w:name="_Toc4806"/>
      <w:bookmarkStart w:id="25" w:name="_Toc20178"/>
      <w:bookmarkStart w:id="26" w:name="_Toc352594010"/>
      <w:bookmarkStart w:id="27" w:name="_Toc352593146"/>
      <w:bookmarkStart w:id="28" w:name="_Toc351622961"/>
      <w:bookmarkStart w:id="29" w:name="_Toc26809"/>
      <w:bookmarkStart w:id="30" w:name="_Toc1312"/>
      <w:bookmarkStart w:id="31" w:name="_Toc422400073"/>
      <w:bookmarkStart w:id="32" w:name="_Toc2343"/>
      <w:bookmarkStart w:id="33" w:name="_Toc353381464"/>
      <w:bookmarkStart w:id="34" w:name="_Toc286924050"/>
      <w:bookmarkStart w:id="35" w:name="_Toc9098"/>
      <w:bookmarkStart w:id="36" w:name="_Toc18407"/>
      <w:bookmarkStart w:id="37" w:name="_Toc300146857"/>
    </w:p>
    <w:p w14:paraId="312A5157">
      <w:pPr>
        <w:widowControl w:val="0"/>
        <w:kinsoku/>
        <w:wordWrap/>
        <w:overflowPunct/>
        <w:topLinePunct w:val="0"/>
        <w:bidi w:val="0"/>
        <w:ind w:firstLine="0" w:firstLineChars="0"/>
        <w:textAlignment w:val="auto"/>
        <w:rPr>
          <w:rFonts w:hint="default" w:ascii="Times New Roman" w:hAnsi="Times New Roman" w:eastAsia="仿宋_GB2312" w:cs="Times New Roman"/>
          <w:color w:val="auto"/>
          <w:kern w:val="0"/>
          <w:sz w:val="24"/>
        </w:rPr>
      </w:pPr>
    </w:p>
    <w:p w14:paraId="609A099D">
      <w:pPr>
        <w:widowControl w:val="0"/>
        <w:kinsoku/>
        <w:wordWrap/>
        <w:overflowPunct/>
        <w:topLinePunct w:val="0"/>
        <w:bidi w:val="0"/>
        <w:ind w:firstLine="0" w:firstLineChars="0"/>
        <w:jc w:val="center"/>
        <w:textAlignment w:val="auto"/>
        <w:rPr>
          <w:rFonts w:hint="eastAsia" w:ascii="Times New Roman" w:hAnsi="Times New Roman" w:cs="Times New Roman"/>
          <w:b/>
          <w:color w:val="auto"/>
          <w:sz w:val="44"/>
          <w:szCs w:val="44"/>
          <w:lang w:val="en-US" w:eastAsia="zh-CN"/>
        </w:rPr>
      </w:pPr>
      <w:r>
        <w:rPr>
          <w:rFonts w:hint="eastAsia" w:ascii="Times New Roman" w:hAnsi="Times New Roman" w:cs="Times New Roman"/>
          <w:b/>
          <w:color w:val="auto"/>
          <w:sz w:val="44"/>
          <w:szCs w:val="44"/>
          <w:lang w:val="en-US" w:eastAsia="zh-CN"/>
        </w:rPr>
        <w:t>昭阳区文辉矿业有限公司</w:t>
      </w:r>
    </w:p>
    <w:p w14:paraId="41031861">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44"/>
          <w:szCs w:val="44"/>
        </w:rPr>
      </w:pPr>
      <w:r>
        <w:rPr>
          <w:rFonts w:hint="eastAsia" w:ascii="Times New Roman" w:hAnsi="Times New Roman" w:cs="Times New Roman"/>
          <w:b/>
          <w:color w:val="auto"/>
          <w:sz w:val="44"/>
          <w:szCs w:val="44"/>
          <w:lang w:val="en-US" w:eastAsia="zh-CN"/>
        </w:rPr>
        <w:t>洒渔大桥石灰岩矿70万t/a露天采矿工程</w:t>
      </w:r>
    </w:p>
    <w:p w14:paraId="343DBED0">
      <w:pPr>
        <w:widowControl w:val="0"/>
        <w:kinsoku/>
        <w:wordWrap/>
        <w:overflowPunct/>
        <w:topLinePunct w:val="0"/>
        <w:bidi w:val="0"/>
        <w:ind w:firstLine="0" w:firstLineChars="0"/>
        <w:textAlignment w:val="auto"/>
        <w:rPr>
          <w:rFonts w:hint="default" w:ascii="Times New Roman" w:hAnsi="Times New Roman" w:cs="Times New Roman"/>
          <w:color w:val="auto"/>
        </w:rPr>
      </w:pPr>
    </w:p>
    <w:p w14:paraId="380285DF">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b/>
          <w:color w:val="auto"/>
          <w:sz w:val="52"/>
          <w:szCs w:val="52"/>
        </w:rPr>
      </w:pPr>
    </w:p>
    <w:p w14:paraId="6C77DD5B">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b/>
          <w:color w:val="auto"/>
          <w:sz w:val="52"/>
          <w:szCs w:val="52"/>
        </w:rPr>
      </w:pPr>
    </w:p>
    <w:p w14:paraId="74A45F38">
      <w:pPr>
        <w:bidi w:val="0"/>
        <w:rPr>
          <w:rFonts w:hint="default" w:ascii="Times New Roman" w:hAnsi="Times New Roman"/>
          <w:color w:val="auto"/>
        </w:rPr>
      </w:pPr>
    </w:p>
    <w:p w14:paraId="741A2A34">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b/>
          <w:color w:val="auto"/>
          <w:sz w:val="52"/>
          <w:szCs w:val="52"/>
        </w:rPr>
      </w:pPr>
      <w:r>
        <w:rPr>
          <w:rFonts w:hint="default" w:ascii="Times New Roman" w:hAnsi="Times New Roman" w:eastAsia="黑体" w:cs="Times New Roman"/>
          <w:b/>
          <w:color w:val="auto"/>
          <w:sz w:val="52"/>
          <w:szCs w:val="52"/>
        </w:rPr>
        <w:t>安全</w:t>
      </w:r>
      <w:r>
        <w:rPr>
          <w:rFonts w:hint="eastAsia" w:ascii="Times New Roman" w:hAnsi="Times New Roman" w:eastAsia="黑体" w:cs="Times New Roman"/>
          <w:b/>
          <w:color w:val="auto"/>
          <w:sz w:val="52"/>
          <w:szCs w:val="52"/>
          <w:lang w:val="en-US" w:eastAsia="zh-CN"/>
        </w:rPr>
        <w:t>预</w:t>
      </w:r>
      <w:r>
        <w:rPr>
          <w:rFonts w:hint="default" w:ascii="Times New Roman" w:hAnsi="Times New Roman" w:eastAsia="黑体" w:cs="Times New Roman"/>
          <w:b/>
          <w:color w:val="auto"/>
          <w:sz w:val="52"/>
          <w:szCs w:val="52"/>
        </w:rPr>
        <w:t>评价报告</w:t>
      </w:r>
    </w:p>
    <w:p w14:paraId="2771831E">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32"/>
          <w:szCs w:val="32"/>
        </w:rPr>
      </w:pPr>
    </w:p>
    <w:p w14:paraId="4F0C9835">
      <w:pPr>
        <w:widowControl w:val="0"/>
        <w:kinsoku/>
        <w:wordWrap/>
        <w:overflowPunct/>
        <w:topLinePunct w:val="0"/>
        <w:bidi w:val="0"/>
        <w:ind w:firstLine="0" w:firstLineChars="0"/>
        <w:textAlignment w:val="auto"/>
        <w:rPr>
          <w:rFonts w:hint="default" w:ascii="Times New Roman" w:hAnsi="Times New Roman" w:eastAsia="黑体" w:cs="Times New Roman"/>
          <w:color w:val="auto"/>
          <w:sz w:val="44"/>
        </w:rPr>
      </w:pPr>
    </w:p>
    <w:p w14:paraId="0F62CD03">
      <w:pPr>
        <w:widowControl w:val="0"/>
        <w:kinsoku/>
        <w:wordWrap/>
        <w:overflowPunct/>
        <w:topLinePunct w:val="0"/>
        <w:bidi w:val="0"/>
        <w:ind w:firstLine="0" w:firstLineChars="0"/>
        <w:textAlignment w:val="auto"/>
        <w:rPr>
          <w:rFonts w:hint="default" w:ascii="Times New Roman" w:hAnsi="Times New Roman" w:cs="Times New Roman"/>
          <w:color w:val="auto"/>
        </w:rPr>
      </w:pPr>
    </w:p>
    <w:p w14:paraId="3DD170DF">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44"/>
        </w:rPr>
      </w:pPr>
    </w:p>
    <w:p w14:paraId="0305B8F8">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44"/>
        </w:rPr>
      </w:pPr>
    </w:p>
    <w:p w14:paraId="35251A90">
      <w:pPr>
        <w:pStyle w:val="8"/>
        <w:widowControl w:val="0"/>
        <w:kinsoku/>
        <w:wordWrap/>
        <w:overflowPunct/>
        <w:topLinePunct w:val="0"/>
        <w:bidi w:val="0"/>
        <w:ind w:firstLine="0" w:firstLineChars="0"/>
        <w:textAlignment w:val="auto"/>
        <w:rPr>
          <w:rFonts w:hint="default" w:ascii="Times New Roman" w:hAnsi="Times New Roman" w:eastAsia="仿宋_GB2312" w:cs="Times New Roman"/>
          <w:color w:val="auto"/>
          <w:kern w:val="0"/>
          <w:sz w:val="24"/>
        </w:rPr>
      </w:pPr>
    </w:p>
    <w:p w14:paraId="253A8839">
      <w:pPr>
        <w:widowControl w:val="0"/>
        <w:kinsoku/>
        <w:wordWrap/>
        <w:overflowPunct/>
        <w:topLinePunct w:val="0"/>
        <w:bidi w:val="0"/>
        <w:ind w:firstLine="0" w:firstLineChars="0"/>
        <w:textAlignment w:val="auto"/>
        <w:rPr>
          <w:rFonts w:hint="default" w:ascii="Times New Roman" w:hAnsi="Times New Roman" w:eastAsia="仿宋_GB2312" w:cs="Times New Roman"/>
          <w:color w:val="auto"/>
          <w:kern w:val="0"/>
          <w:sz w:val="24"/>
        </w:rPr>
      </w:pPr>
    </w:p>
    <w:p w14:paraId="210D488E">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44"/>
        </w:rPr>
      </w:pPr>
    </w:p>
    <w:p w14:paraId="087902C9">
      <w:pPr>
        <w:widowControl w:val="0"/>
        <w:kinsoku/>
        <w:wordWrap/>
        <w:overflowPunct/>
        <w:topLinePunct w:val="0"/>
        <w:bidi w:val="0"/>
        <w:ind w:firstLine="0" w:firstLineChars="0"/>
        <w:jc w:val="center"/>
        <w:textAlignment w:val="auto"/>
        <w:rPr>
          <w:rFonts w:hint="default" w:ascii="Times New Roman" w:hAnsi="Times New Roman" w:eastAsia="宋体" w:cs="Times New Roman"/>
          <w:b/>
          <w:color w:val="auto"/>
          <w:sz w:val="36"/>
          <w:szCs w:val="36"/>
          <w:lang w:eastAsia="zh-CN"/>
        </w:rPr>
      </w:pPr>
      <w:r>
        <w:rPr>
          <w:rFonts w:hint="default" w:ascii="Times New Roman" w:hAnsi="Times New Roman" w:cs="Times New Roman"/>
          <w:b/>
          <w:color w:val="auto"/>
          <w:sz w:val="36"/>
          <w:szCs w:val="36"/>
          <w:lang w:eastAsia="zh-CN"/>
        </w:rPr>
        <w:t>辽宁诺诚安全科技有限公司</w:t>
      </w:r>
    </w:p>
    <w:p w14:paraId="769C9D67">
      <w:pPr>
        <w:widowControl w:val="0"/>
        <w:kinsoku/>
        <w:wordWrap/>
        <w:overflowPunct/>
        <w:topLinePunct w:val="0"/>
        <w:bidi w:val="0"/>
        <w:ind w:firstLine="0" w:firstLineChars="0"/>
        <w:jc w:val="center"/>
        <w:textAlignment w:val="auto"/>
        <w:rPr>
          <w:rFonts w:hint="default" w:ascii="Times New Roman" w:hAnsi="Times New Roman" w:eastAsia="宋体" w:cs="Times New Roman"/>
          <w:b/>
          <w:color w:val="auto"/>
          <w:sz w:val="32"/>
          <w:szCs w:val="32"/>
          <w:lang w:val="en-US" w:eastAsia="zh-CN"/>
        </w:rPr>
      </w:pPr>
      <w:r>
        <w:rPr>
          <w:rFonts w:hint="default" w:ascii="Times New Roman" w:hAnsi="Times New Roman" w:cs="Times New Roman"/>
          <w:b/>
          <w:color w:val="auto"/>
          <w:sz w:val="32"/>
          <w:szCs w:val="32"/>
        </w:rPr>
        <w:t>资质证书编号：APJ-（辽）-0</w:t>
      </w:r>
      <w:r>
        <w:rPr>
          <w:rFonts w:hint="default" w:ascii="Times New Roman" w:hAnsi="Times New Roman" w:cs="Times New Roman"/>
          <w:b/>
          <w:color w:val="auto"/>
          <w:sz w:val="32"/>
          <w:szCs w:val="32"/>
          <w:lang w:val="en-US" w:eastAsia="zh-CN"/>
        </w:rPr>
        <w:t>21</w:t>
      </w:r>
    </w:p>
    <w:p w14:paraId="34890EF7">
      <w:pPr>
        <w:widowControl w:val="0"/>
        <w:kinsoku/>
        <w:wordWrap/>
        <w:overflowPunct/>
        <w:topLinePunct w:val="0"/>
        <w:bidi w:val="0"/>
        <w:ind w:firstLine="0" w:firstLineChars="0"/>
        <w:jc w:val="center"/>
        <w:textAlignment w:val="auto"/>
        <w:rPr>
          <w:rFonts w:hint="default" w:ascii="Times New Roman" w:hAnsi="Times New Roman" w:eastAsia="宋体" w:cs="Times New Roman"/>
          <w:b/>
          <w:color w:val="auto"/>
          <w:sz w:val="32"/>
          <w:szCs w:val="32"/>
          <w:lang w:val="en-US" w:eastAsia="zh-CN"/>
        </w:rPr>
        <w:sectPr>
          <w:headerReference r:id="rId6" w:type="first"/>
          <w:footerReference r:id="rId8" w:type="first"/>
          <w:headerReference r:id="rId5" w:type="default"/>
          <w:footerReference r:id="rId7" w:type="default"/>
          <w:pgSz w:w="11905" w:h="16838"/>
          <w:pgMar w:top="1417" w:right="1134" w:bottom="1134" w:left="1587" w:header="851" w:footer="992" w:gutter="0"/>
          <w:pgBorders>
            <w:top w:val="none" w:sz="0" w:space="0"/>
            <w:left w:val="none" w:sz="0" w:space="0"/>
            <w:bottom w:val="none" w:sz="0" w:space="0"/>
            <w:right w:val="none" w:sz="0" w:space="0"/>
          </w:pgBorders>
          <w:pgNumType w:fmt="upperRoman" w:start="1"/>
          <w:cols w:space="0" w:num="1"/>
          <w:rtlGutter w:val="0"/>
          <w:docGrid w:type="lines" w:linePitch="386" w:charSpace="0"/>
        </w:sectPr>
      </w:pPr>
      <w:r>
        <w:rPr>
          <w:rFonts w:hint="default" w:ascii="Times New Roman" w:hAnsi="Times New Roman" w:cs="Times New Roman"/>
          <w:b/>
          <w:color w:val="auto"/>
          <w:sz w:val="32"/>
          <w:szCs w:val="32"/>
        </w:rPr>
        <w:t>202</w:t>
      </w:r>
      <w:r>
        <w:rPr>
          <w:rFonts w:hint="eastAsia" w:ascii="Times New Roman" w:hAnsi="Times New Roman" w:cs="Times New Roman"/>
          <w:b/>
          <w:color w:val="auto"/>
          <w:sz w:val="32"/>
          <w:szCs w:val="32"/>
          <w:lang w:val="en-US" w:eastAsia="zh-CN"/>
        </w:rPr>
        <w:t>5</w:t>
      </w:r>
      <w:r>
        <w:rPr>
          <w:rFonts w:hint="default" w:ascii="Times New Roman" w:hAnsi="Times New Roman" w:cs="Times New Roman"/>
          <w:b/>
          <w:color w:val="auto"/>
          <w:sz w:val="32"/>
          <w:szCs w:val="32"/>
        </w:rPr>
        <w:t>年</w:t>
      </w:r>
      <w:r>
        <w:rPr>
          <w:rFonts w:hint="eastAsia" w:cs="Times New Roman"/>
          <w:b/>
          <w:color w:val="auto"/>
          <w:sz w:val="32"/>
          <w:szCs w:val="32"/>
          <w:lang w:val="en-US" w:eastAsia="zh-CN"/>
        </w:rPr>
        <w:t>11</w:t>
      </w:r>
      <w:r>
        <w:rPr>
          <w:rFonts w:hint="default" w:ascii="Times New Roman" w:hAnsi="Times New Roman" w:cs="Times New Roman"/>
          <w:b/>
          <w:color w:val="auto"/>
          <w:sz w:val="32"/>
          <w:szCs w:val="32"/>
        </w:rPr>
        <w:t>月</w:t>
      </w:r>
      <w:r>
        <w:rPr>
          <w:rFonts w:hint="eastAsia" w:cs="Times New Roman"/>
          <w:b/>
          <w:color w:val="auto"/>
          <w:sz w:val="32"/>
          <w:szCs w:val="32"/>
          <w:lang w:val="en-US" w:eastAsia="zh-CN"/>
        </w:rPr>
        <w:t>14日</w:t>
      </w:r>
    </w:p>
    <w:p w14:paraId="08AB8B50">
      <w:pPr>
        <w:widowControl w:val="0"/>
        <w:kinsoku/>
        <w:wordWrap/>
        <w:overflowPunct/>
        <w:topLinePunct w:val="0"/>
        <w:bidi w:val="0"/>
        <w:spacing w:line="360" w:lineRule="auto"/>
        <w:ind w:firstLine="0" w:firstLineChars="0"/>
        <w:jc w:val="right"/>
        <w:textAlignment w:val="auto"/>
        <w:rPr>
          <w:rFonts w:hint="default" w:ascii="Times New Roman" w:hAnsi="Times New Roman" w:eastAsia="宋体" w:cs="Times New Roman"/>
          <w:b/>
          <w:bCs w:val="0"/>
          <w:color w:val="auto"/>
          <w:sz w:val="28"/>
          <w:szCs w:val="28"/>
          <w:highlight w:val="none"/>
          <w:lang w:val="en-US" w:eastAsia="zh-CN"/>
        </w:rPr>
      </w:pPr>
      <w:r>
        <w:rPr>
          <w:rFonts w:hint="default" w:ascii="Times New Roman" w:hAnsi="Times New Roman" w:eastAsia="宋体" w:cs="Times New Roman"/>
          <w:b/>
          <w:bCs w:val="0"/>
          <w:color w:val="auto"/>
          <w:sz w:val="28"/>
          <w:szCs w:val="28"/>
          <w:highlight w:val="none"/>
          <w:lang w:val="en-US" w:eastAsia="zh-CN"/>
        </w:rPr>
        <w:t>NCAP</w:t>
      </w:r>
      <w:r>
        <w:rPr>
          <w:rFonts w:hint="eastAsia" w:ascii="Times New Roman" w:hAnsi="Times New Roman" w:cs="Times New Roman"/>
          <w:b/>
          <w:bCs w:val="0"/>
          <w:color w:val="auto"/>
          <w:sz w:val="28"/>
          <w:szCs w:val="28"/>
          <w:highlight w:val="none"/>
          <w:lang w:val="en-US" w:eastAsia="zh-CN"/>
        </w:rPr>
        <w:t>/</w:t>
      </w:r>
      <w:r>
        <w:rPr>
          <w:rFonts w:hint="default" w:ascii="Times New Roman" w:hAnsi="Times New Roman" w:eastAsia="宋体" w:cs="Times New Roman"/>
          <w:b/>
          <w:bCs w:val="0"/>
          <w:color w:val="auto"/>
          <w:sz w:val="28"/>
          <w:szCs w:val="28"/>
          <w:highlight w:val="none"/>
          <w:lang w:val="en-US" w:eastAsia="zh-CN"/>
        </w:rPr>
        <w:t>KS-YP-2025-055</w:t>
      </w:r>
    </w:p>
    <w:p w14:paraId="0D163749">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32"/>
          <w:szCs w:val="32"/>
          <w:lang w:val="en-US" w:eastAsia="zh-CN"/>
        </w:rPr>
      </w:pPr>
    </w:p>
    <w:p w14:paraId="1EBF1585">
      <w:pPr>
        <w:widowControl w:val="0"/>
        <w:kinsoku/>
        <w:wordWrap/>
        <w:overflowPunct/>
        <w:topLinePunct w:val="0"/>
        <w:bidi w:val="0"/>
        <w:ind w:firstLine="0" w:firstLineChars="0"/>
        <w:textAlignment w:val="auto"/>
        <w:rPr>
          <w:rFonts w:hint="default" w:ascii="Times New Roman" w:hAnsi="Times New Roman" w:cs="Times New Roman"/>
          <w:color w:val="auto"/>
          <w:lang w:val="en-US" w:eastAsia="zh-CN"/>
        </w:rPr>
      </w:pPr>
    </w:p>
    <w:p w14:paraId="0D0637F6">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32"/>
          <w:szCs w:val="32"/>
        </w:rPr>
      </w:pPr>
    </w:p>
    <w:p w14:paraId="1252BD07">
      <w:pPr>
        <w:widowControl w:val="0"/>
        <w:kinsoku/>
        <w:wordWrap/>
        <w:overflowPunct/>
        <w:topLinePunct w:val="0"/>
        <w:bidi w:val="0"/>
        <w:ind w:firstLine="0" w:firstLineChars="0"/>
        <w:jc w:val="center"/>
        <w:textAlignment w:val="auto"/>
        <w:rPr>
          <w:rFonts w:hint="eastAsia" w:ascii="Times New Roman" w:hAnsi="Times New Roman" w:cs="Times New Roman"/>
          <w:b/>
          <w:color w:val="auto"/>
          <w:sz w:val="32"/>
          <w:szCs w:val="32"/>
          <w:lang w:val="en-US" w:eastAsia="zh-CN"/>
        </w:rPr>
      </w:pPr>
      <w:r>
        <w:rPr>
          <w:rFonts w:hint="eastAsia" w:ascii="Times New Roman" w:hAnsi="Times New Roman" w:cs="Times New Roman"/>
          <w:b/>
          <w:color w:val="auto"/>
          <w:sz w:val="32"/>
          <w:szCs w:val="32"/>
          <w:lang w:val="en-US" w:eastAsia="zh-CN"/>
        </w:rPr>
        <w:t>昭阳区文辉矿业有限公司</w:t>
      </w:r>
    </w:p>
    <w:p w14:paraId="686350AC">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32"/>
          <w:szCs w:val="32"/>
        </w:rPr>
      </w:pPr>
      <w:r>
        <w:rPr>
          <w:rFonts w:hint="eastAsia" w:ascii="Times New Roman" w:hAnsi="Times New Roman" w:cs="Times New Roman"/>
          <w:b/>
          <w:color w:val="auto"/>
          <w:sz w:val="32"/>
          <w:szCs w:val="32"/>
          <w:lang w:val="en-US" w:eastAsia="zh-CN"/>
        </w:rPr>
        <w:t>洒渔大桥石灰岩矿70万t/a露天采矿工程</w:t>
      </w:r>
    </w:p>
    <w:p w14:paraId="2C38BE1A">
      <w:pPr>
        <w:widowControl w:val="0"/>
        <w:kinsoku/>
        <w:wordWrap/>
        <w:overflowPunct/>
        <w:topLinePunct w:val="0"/>
        <w:bidi w:val="0"/>
        <w:ind w:firstLine="0" w:firstLineChars="0"/>
        <w:textAlignment w:val="auto"/>
        <w:rPr>
          <w:rFonts w:hint="default" w:ascii="Times New Roman" w:hAnsi="Times New Roman" w:cs="Times New Roman"/>
          <w:color w:val="auto"/>
        </w:rPr>
      </w:pPr>
    </w:p>
    <w:p w14:paraId="787ECFFA">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44"/>
          <w:szCs w:val="44"/>
        </w:rPr>
      </w:pPr>
    </w:p>
    <w:p w14:paraId="3B58DBF9">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44"/>
          <w:szCs w:val="44"/>
        </w:rPr>
      </w:pPr>
    </w:p>
    <w:p w14:paraId="7DC8C074">
      <w:pPr>
        <w:widowControl w:val="0"/>
        <w:kinsoku/>
        <w:wordWrap/>
        <w:overflowPunct/>
        <w:topLinePunct w:val="0"/>
        <w:bidi w:val="0"/>
        <w:ind w:firstLine="0" w:firstLineChars="0"/>
        <w:jc w:val="center"/>
        <w:textAlignment w:val="auto"/>
        <w:rPr>
          <w:rFonts w:hint="default" w:ascii="Times New Roman" w:hAnsi="Times New Roman" w:cs="Times New Roman"/>
          <w:b/>
          <w:color w:val="auto"/>
          <w:sz w:val="44"/>
          <w:szCs w:val="44"/>
        </w:rPr>
      </w:pPr>
      <w:r>
        <w:rPr>
          <w:rFonts w:hint="default" w:ascii="Times New Roman" w:hAnsi="Times New Roman" w:cs="Times New Roman"/>
          <w:b/>
          <w:color w:val="auto"/>
          <w:sz w:val="44"/>
          <w:szCs w:val="44"/>
        </w:rPr>
        <w:t>安全预评价报告</w:t>
      </w:r>
    </w:p>
    <w:p w14:paraId="5D02DB7F">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28"/>
        </w:rPr>
      </w:pPr>
    </w:p>
    <w:p w14:paraId="7168601A">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28"/>
        </w:rPr>
      </w:pPr>
    </w:p>
    <w:p w14:paraId="53511385">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28"/>
        </w:rPr>
      </w:pPr>
    </w:p>
    <w:p w14:paraId="10948DFE">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28"/>
        </w:rPr>
      </w:pPr>
    </w:p>
    <w:p w14:paraId="2488EB41">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28"/>
        </w:rPr>
      </w:pPr>
    </w:p>
    <w:p w14:paraId="03B70A43">
      <w:pPr>
        <w:widowControl w:val="0"/>
        <w:kinsoku/>
        <w:wordWrap/>
        <w:overflowPunct/>
        <w:topLinePunct w:val="0"/>
        <w:bidi w:val="0"/>
        <w:spacing w:line="360" w:lineRule="auto"/>
        <w:ind w:firstLine="0" w:firstLineChars="0"/>
        <w:jc w:val="center"/>
        <w:textAlignment w:val="auto"/>
        <w:rPr>
          <w:rFonts w:hint="default" w:ascii="Times New Roman" w:hAnsi="Times New Roman" w:eastAsia="黑体" w:cs="Times New Roman"/>
          <w:color w:val="auto"/>
          <w:sz w:val="28"/>
        </w:rPr>
      </w:pPr>
    </w:p>
    <w:p w14:paraId="1DD08269">
      <w:pPr>
        <w:widowControl w:val="0"/>
        <w:kinsoku/>
        <w:wordWrap/>
        <w:overflowPunct/>
        <w:topLinePunct w:val="0"/>
        <w:bidi w:val="0"/>
        <w:spacing w:line="360" w:lineRule="auto"/>
        <w:ind w:firstLine="0" w:firstLineChars="0"/>
        <w:jc w:val="center"/>
        <w:textAlignment w:val="auto"/>
        <w:rPr>
          <w:rFonts w:hint="default" w:ascii="Times New Roman" w:hAnsi="Times New Roman" w:eastAsia="宋体" w:cs="Times New Roman"/>
          <w:color w:val="auto"/>
          <w:sz w:val="28"/>
          <w:szCs w:val="28"/>
          <w:lang w:val="en-US" w:eastAsia="zh-CN"/>
        </w:rPr>
      </w:pPr>
      <w:r>
        <w:rPr>
          <w:rFonts w:hint="default" w:ascii="Times New Roman" w:hAnsi="Times New Roman" w:cs="Times New Roman"/>
          <w:color w:val="auto"/>
          <w:sz w:val="28"/>
          <w:szCs w:val="28"/>
        </w:rPr>
        <w:t>法定代表人：</w:t>
      </w:r>
      <w:r>
        <w:rPr>
          <w:rFonts w:hint="default" w:ascii="Times New Roman" w:hAnsi="Times New Roman" w:cs="Times New Roman"/>
          <w:color w:val="auto"/>
          <w:sz w:val="28"/>
          <w:szCs w:val="28"/>
          <w:lang w:val="en-US" w:eastAsia="zh-CN"/>
        </w:rPr>
        <w:t>孙同辉</w:t>
      </w:r>
    </w:p>
    <w:p w14:paraId="582361B6">
      <w:pPr>
        <w:widowControl w:val="0"/>
        <w:kinsoku/>
        <w:wordWrap/>
        <w:overflowPunct/>
        <w:topLinePunct w:val="0"/>
        <w:bidi w:val="0"/>
        <w:spacing w:line="360" w:lineRule="auto"/>
        <w:ind w:firstLine="0" w:firstLineChars="0"/>
        <w:jc w:val="center"/>
        <w:textAlignment w:val="auto"/>
        <w:rPr>
          <w:rFonts w:hint="default" w:ascii="Times New Roman" w:hAnsi="Times New Roman" w:eastAsia="宋体" w:cs="Times New Roman"/>
          <w:color w:val="auto"/>
          <w:sz w:val="28"/>
          <w:szCs w:val="28"/>
          <w:lang w:val="en-US" w:eastAsia="zh-CN"/>
        </w:rPr>
      </w:pPr>
      <w:r>
        <w:rPr>
          <w:rFonts w:hint="default" w:ascii="Times New Roman" w:hAnsi="Times New Roman" w:cs="Times New Roman"/>
          <w:color w:val="auto"/>
          <w:sz w:val="28"/>
          <w:szCs w:val="28"/>
        </w:rPr>
        <w:t>技术负责人：</w:t>
      </w:r>
      <w:r>
        <w:rPr>
          <w:rFonts w:hint="default" w:ascii="Times New Roman" w:hAnsi="Times New Roman" w:cs="Times New Roman"/>
          <w:color w:val="auto"/>
          <w:sz w:val="28"/>
          <w:szCs w:val="28"/>
          <w:lang w:val="en-US" w:eastAsia="zh-CN"/>
        </w:rPr>
        <w:t>张廷辉</w:t>
      </w:r>
    </w:p>
    <w:p w14:paraId="290FA7B4">
      <w:pPr>
        <w:widowControl w:val="0"/>
        <w:kinsoku/>
        <w:wordWrap/>
        <w:overflowPunct/>
        <w:topLinePunct w:val="0"/>
        <w:bidi w:val="0"/>
        <w:spacing w:line="360" w:lineRule="auto"/>
        <w:ind w:firstLine="0" w:firstLineChars="0"/>
        <w:jc w:val="center"/>
        <w:textAlignment w:val="auto"/>
        <w:rPr>
          <w:rFonts w:hint="default" w:ascii="Times New Roman" w:hAnsi="Times New Roman" w:eastAsia="宋体" w:cs="Times New Roman"/>
          <w:color w:val="auto"/>
          <w:sz w:val="28"/>
          <w:szCs w:val="28"/>
          <w:lang w:val="en-US" w:eastAsia="zh-CN"/>
        </w:rPr>
      </w:pPr>
      <w:r>
        <w:rPr>
          <w:rFonts w:hint="default" w:ascii="Times New Roman" w:hAnsi="Times New Roman" w:cs="Times New Roman"/>
          <w:color w:val="auto"/>
          <w:sz w:val="28"/>
          <w:szCs w:val="28"/>
        </w:rPr>
        <w:t>评价项目负责人：</w:t>
      </w:r>
      <w:r>
        <w:rPr>
          <w:rFonts w:hint="default" w:ascii="Times New Roman" w:hAnsi="Times New Roman" w:cs="Times New Roman"/>
          <w:color w:val="auto"/>
          <w:sz w:val="28"/>
          <w:szCs w:val="28"/>
          <w:lang w:val="en-US" w:eastAsia="zh-CN"/>
        </w:rPr>
        <w:t>杨会明</w:t>
      </w:r>
    </w:p>
    <w:p w14:paraId="3695CF09">
      <w:pPr>
        <w:widowControl w:val="0"/>
        <w:kinsoku/>
        <w:wordWrap/>
        <w:overflowPunct/>
        <w:topLinePunct w:val="0"/>
        <w:bidi w:val="0"/>
        <w:ind w:firstLine="0" w:firstLineChars="0"/>
        <w:jc w:val="center"/>
        <w:textAlignment w:val="auto"/>
        <w:rPr>
          <w:rFonts w:hint="default" w:ascii="Times New Roman" w:hAnsi="Times New Roman" w:eastAsia="宋体" w:cs="Times New Roman"/>
          <w:b/>
          <w:color w:val="auto"/>
          <w:sz w:val="24"/>
          <w:lang w:val="en-US" w:eastAsia="zh-CN"/>
        </w:rPr>
      </w:pPr>
      <w:r>
        <w:rPr>
          <w:rFonts w:hint="eastAsia" w:ascii="Times New Roman" w:hAnsi="Times New Roman" w:cs="Times New Roman"/>
          <w:b/>
          <w:color w:val="auto"/>
          <w:sz w:val="24"/>
          <w:lang w:val="en-US" w:eastAsia="zh-CN"/>
        </w:rPr>
        <w:t>完成日期：</w:t>
      </w:r>
      <w:r>
        <w:rPr>
          <w:rFonts w:hint="default" w:ascii="Times New Roman" w:hAnsi="Times New Roman" w:cs="Times New Roman"/>
          <w:b/>
          <w:color w:val="auto"/>
          <w:sz w:val="24"/>
        </w:rPr>
        <w:t>202</w:t>
      </w:r>
      <w:r>
        <w:rPr>
          <w:rFonts w:hint="eastAsia" w:ascii="Times New Roman" w:hAnsi="Times New Roman" w:cs="Times New Roman"/>
          <w:b/>
          <w:color w:val="auto"/>
          <w:sz w:val="24"/>
          <w:lang w:val="en-US" w:eastAsia="zh-CN"/>
        </w:rPr>
        <w:t>5</w:t>
      </w:r>
      <w:r>
        <w:rPr>
          <w:rFonts w:hint="default" w:ascii="Times New Roman" w:hAnsi="Times New Roman" w:cs="Times New Roman"/>
          <w:b/>
          <w:color w:val="auto"/>
          <w:sz w:val="24"/>
        </w:rPr>
        <w:t>年</w:t>
      </w:r>
      <w:r>
        <w:rPr>
          <w:rFonts w:hint="eastAsia" w:cs="Times New Roman"/>
          <w:b/>
          <w:color w:val="auto"/>
          <w:sz w:val="24"/>
          <w:lang w:val="en-US" w:eastAsia="zh-CN"/>
        </w:rPr>
        <w:t>11</w:t>
      </w:r>
      <w:r>
        <w:rPr>
          <w:rFonts w:hint="default" w:ascii="Times New Roman" w:hAnsi="Times New Roman" w:cs="Times New Roman"/>
          <w:b/>
          <w:color w:val="auto"/>
          <w:sz w:val="24"/>
        </w:rPr>
        <w:t>月</w:t>
      </w:r>
      <w:r>
        <w:rPr>
          <w:rFonts w:hint="eastAsia" w:cs="Times New Roman"/>
          <w:b/>
          <w:color w:val="auto"/>
          <w:sz w:val="24"/>
          <w:lang w:val="en-US" w:eastAsia="zh-CN"/>
        </w:rPr>
        <w:t>14日</w:t>
      </w:r>
    </w:p>
    <w:p w14:paraId="36A60AFB">
      <w:pPr>
        <w:widowControl w:val="0"/>
        <w:kinsoku/>
        <w:wordWrap/>
        <w:overflowPunct/>
        <w:topLinePunct w:val="0"/>
        <w:bidi w:val="0"/>
        <w:ind w:firstLine="0" w:firstLineChars="0"/>
        <w:jc w:val="center"/>
        <w:textAlignment w:val="auto"/>
        <w:rPr>
          <w:rFonts w:hint="default" w:ascii="Times New Roman" w:hAnsi="Times New Roman" w:cs="Times New Roman"/>
          <w:color w:val="auto"/>
          <w:sz w:val="21"/>
        </w:rPr>
        <w:sectPr>
          <w:footerReference r:id="rId9" w:type="default"/>
          <w:pgSz w:w="11905" w:h="16838"/>
          <w:pgMar w:top="1417" w:right="1134" w:bottom="1134" w:left="1587" w:header="851" w:footer="992" w:gutter="0"/>
          <w:pgBorders>
            <w:top w:val="none" w:sz="0" w:space="0"/>
            <w:left w:val="none" w:sz="0" w:space="0"/>
            <w:bottom w:val="none" w:sz="0" w:space="0"/>
            <w:right w:val="none" w:sz="0" w:space="0"/>
          </w:pgBorders>
          <w:pgNumType w:fmt="upperRoman" w:start="1"/>
          <w:cols w:space="0" w:num="1"/>
          <w:rtlGutter w:val="0"/>
          <w:docGrid w:type="lines" w:linePitch="386" w:charSpace="0"/>
        </w:sectPr>
      </w:pPr>
      <w:r>
        <w:rPr>
          <w:rFonts w:hint="default" w:ascii="Times New Roman" w:hAnsi="Times New Roman" w:cs="Times New Roman"/>
          <w:color w:val="auto"/>
          <w:sz w:val="21"/>
          <w:szCs w:val="21"/>
        </w:rPr>
        <w:t>（安全评价机构公章）</w:t>
      </w:r>
      <w:bookmarkStart w:id="38" w:name="_Toc25642"/>
      <w:bookmarkStart w:id="39" w:name="_Toc17072"/>
    </w:p>
    <w:p w14:paraId="6939632A">
      <w:pPr>
        <w:pageBreakBefore/>
        <w:widowControl w:val="0"/>
        <w:kinsoku/>
        <w:wordWrap/>
        <w:overflowPunct/>
        <w:topLinePunct w:val="0"/>
        <w:bidi w:val="0"/>
        <w:ind w:firstLine="0" w:firstLineChars="0"/>
        <w:jc w:val="center"/>
        <w:textAlignment w:val="auto"/>
        <w:rPr>
          <w:rFonts w:hint="default" w:ascii="Times New Roman" w:hAnsi="Times New Roman" w:cs="Times New Roman"/>
          <w:b/>
          <w:color w:val="auto"/>
          <w:sz w:val="32"/>
          <w:szCs w:val="32"/>
        </w:rPr>
      </w:pPr>
      <w:bookmarkStart w:id="40" w:name="_Toc22273"/>
      <w:bookmarkStart w:id="41" w:name="_Toc7609"/>
      <w:bookmarkStart w:id="42" w:name="_Toc1021"/>
      <w:bookmarkStart w:id="43" w:name="_Toc2958"/>
      <w:bookmarkStart w:id="44" w:name="_Toc5600"/>
      <w:bookmarkStart w:id="45" w:name="_Toc17128"/>
      <w:bookmarkStart w:id="46" w:name="_Toc16397"/>
      <w:bookmarkStart w:id="47" w:name="_Toc19156"/>
      <w:r>
        <w:rPr>
          <w:rFonts w:hint="default" w:ascii="Times New Roman" w:hAnsi="Times New Roman" w:cs="Times New Roman"/>
          <w:b/>
          <w:color w:val="auto"/>
          <w:kern w:val="0"/>
          <w:sz w:val="32"/>
          <w:szCs w:val="32"/>
        </w:rPr>
        <w:t>评价人员</w:t>
      </w:r>
    </w:p>
    <w:tbl>
      <w:tblPr>
        <w:tblStyle w:val="12"/>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4"/>
        <w:gridCol w:w="1236"/>
        <w:gridCol w:w="1387"/>
        <w:gridCol w:w="2300"/>
        <w:gridCol w:w="1880"/>
        <w:gridCol w:w="1594"/>
      </w:tblGrid>
      <w:tr w14:paraId="2EBB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14:paraId="1761DA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评价单位</w:t>
            </w:r>
          </w:p>
        </w:tc>
        <w:tc>
          <w:tcPr>
            <w:tcW w:w="8397" w:type="dxa"/>
            <w:gridSpan w:val="5"/>
            <w:tcBorders>
              <w:top w:val="single" w:color="auto" w:sz="4" w:space="0"/>
              <w:left w:val="single" w:color="auto" w:sz="4" w:space="0"/>
              <w:bottom w:val="single" w:color="auto" w:sz="4" w:space="0"/>
              <w:right w:val="single" w:color="auto" w:sz="4" w:space="0"/>
            </w:tcBorders>
            <w:noWrap w:val="0"/>
            <w:vAlign w:val="center"/>
          </w:tcPr>
          <w:p w14:paraId="73C781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辽宁</w:t>
            </w:r>
            <w:r>
              <w:rPr>
                <w:rFonts w:hint="default" w:ascii="Times New Roman" w:hAnsi="Times New Roman" w:eastAsia="宋体" w:cs="Times New Roman"/>
                <w:color w:val="auto"/>
                <w:sz w:val="24"/>
                <w:lang w:val="en-US" w:eastAsia="zh-CN"/>
              </w:rPr>
              <w:t>诺诚安全科技</w:t>
            </w:r>
            <w:r>
              <w:rPr>
                <w:rFonts w:hint="default" w:ascii="Times New Roman" w:hAnsi="Times New Roman" w:eastAsia="宋体" w:cs="Times New Roman"/>
                <w:color w:val="auto"/>
                <w:sz w:val="24"/>
              </w:rPr>
              <w:t>有限公司</w:t>
            </w:r>
          </w:p>
        </w:tc>
      </w:tr>
      <w:tr w14:paraId="1400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14:paraId="48C6E6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项目名称</w:t>
            </w:r>
          </w:p>
        </w:tc>
        <w:tc>
          <w:tcPr>
            <w:tcW w:w="8397" w:type="dxa"/>
            <w:gridSpan w:val="5"/>
            <w:tcBorders>
              <w:top w:val="single" w:color="auto" w:sz="4" w:space="0"/>
              <w:left w:val="single" w:color="auto" w:sz="4" w:space="0"/>
              <w:bottom w:val="single" w:color="auto" w:sz="4" w:space="0"/>
              <w:right w:val="single" w:color="auto" w:sz="4" w:space="0"/>
            </w:tcBorders>
            <w:noWrap w:val="0"/>
            <w:vAlign w:val="center"/>
          </w:tcPr>
          <w:p w14:paraId="109DB8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szCs w:val="22"/>
                <w:lang w:val="en-US" w:eastAsia="zh-CN"/>
              </w:rPr>
              <w:t>昭阳区文辉矿业有限公司洒渔大桥石灰岩矿70万t/a露天采矿工程</w:t>
            </w:r>
            <w:r>
              <w:rPr>
                <w:rFonts w:hint="default" w:ascii="Times New Roman" w:hAnsi="Times New Roman" w:eastAsia="宋体" w:cs="Times New Roman"/>
                <w:color w:val="auto"/>
                <w:sz w:val="24"/>
                <w:szCs w:val="22"/>
                <w:lang w:val="en-US" w:eastAsia="zh-CN"/>
              </w:rPr>
              <w:t>安全预评价</w:t>
            </w:r>
          </w:p>
        </w:tc>
      </w:tr>
      <w:tr w14:paraId="770A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14:paraId="4BDF48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评价人员</w:t>
            </w:r>
          </w:p>
        </w:tc>
        <w:tc>
          <w:tcPr>
            <w:tcW w:w="1236" w:type="dxa"/>
            <w:tcBorders>
              <w:top w:val="single" w:color="auto" w:sz="4" w:space="0"/>
              <w:left w:val="single" w:color="auto" w:sz="4" w:space="0"/>
              <w:bottom w:val="single" w:color="auto" w:sz="4" w:space="0"/>
              <w:right w:val="single" w:color="auto" w:sz="4" w:space="0"/>
            </w:tcBorders>
            <w:noWrap w:val="0"/>
            <w:vAlign w:val="center"/>
          </w:tcPr>
          <w:p w14:paraId="2521F9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姓  名</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4B89B1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zh-CN" w:eastAsia="zh-CN" w:bidi="zh-CN"/>
              </w:rPr>
            </w:pPr>
            <w:r>
              <w:rPr>
                <w:rFonts w:hint="default" w:ascii="Times New Roman" w:hAnsi="Times New Roman" w:eastAsia="宋体" w:cs="Times New Roman"/>
                <w:color w:val="auto"/>
                <w:sz w:val="24"/>
              </w:rPr>
              <w:t>专业能力</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1FB94D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zh-CN" w:eastAsia="zh-CN" w:bidi="zh-CN"/>
              </w:rPr>
            </w:pPr>
            <w:r>
              <w:rPr>
                <w:rFonts w:hint="default" w:ascii="Times New Roman" w:hAnsi="Times New Roman" w:eastAsia="宋体" w:cs="Times New Roman"/>
                <w:color w:val="auto"/>
                <w:sz w:val="24"/>
              </w:rPr>
              <w:t>资格证书号</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39843C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zh-CN" w:eastAsia="zh-CN" w:bidi="zh-CN"/>
              </w:rPr>
            </w:pPr>
            <w:r>
              <w:rPr>
                <w:rFonts w:hint="default" w:ascii="Times New Roman" w:hAnsi="Times New Roman" w:eastAsia="宋体" w:cs="Times New Roman"/>
                <w:color w:val="auto"/>
                <w:sz w:val="24"/>
              </w:rPr>
              <w:t>从业登记编号</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13B9ED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签  字</w:t>
            </w:r>
          </w:p>
        </w:tc>
      </w:tr>
      <w:tr w14:paraId="67F4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14:paraId="0498BF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项目负责人</w:t>
            </w:r>
          </w:p>
        </w:tc>
        <w:tc>
          <w:tcPr>
            <w:tcW w:w="1236" w:type="dxa"/>
            <w:tcBorders>
              <w:top w:val="single" w:color="auto" w:sz="4" w:space="0"/>
              <w:left w:val="single" w:color="auto" w:sz="4" w:space="0"/>
              <w:bottom w:val="single" w:color="auto" w:sz="4" w:space="0"/>
              <w:right w:val="single" w:color="auto" w:sz="4" w:space="0"/>
            </w:tcBorders>
            <w:noWrap w:val="0"/>
            <w:vAlign w:val="center"/>
          </w:tcPr>
          <w:p w14:paraId="4D4C9E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0"/>
                <w:sz w:val="24"/>
                <w:szCs w:val="24"/>
                <w:lang w:bidi="zh-CN"/>
              </w:rPr>
              <w:t>杨会明</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239BB2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kern w:val="0"/>
                <w:sz w:val="24"/>
                <w:szCs w:val="24"/>
                <w:lang w:val="en-US" w:bidi="zh-CN"/>
              </w:rPr>
              <w:t>通风</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28C2A2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zh-CN" w:eastAsia="zh-CN"/>
              </w:rPr>
            </w:pPr>
            <w:r>
              <w:rPr>
                <w:rFonts w:hint="default" w:ascii="Times New Roman" w:hAnsi="Times New Roman" w:eastAsia="宋体" w:cs="Times New Roman"/>
                <w:color w:val="auto"/>
                <w:kern w:val="0"/>
                <w:sz w:val="24"/>
                <w:szCs w:val="24"/>
                <w:lang w:bidi="zh-CN"/>
              </w:rPr>
              <w:fldChar w:fldCharType="begin"/>
            </w:r>
            <w:r>
              <w:rPr>
                <w:rFonts w:hint="default" w:ascii="Times New Roman" w:hAnsi="Times New Roman" w:eastAsia="宋体" w:cs="Times New Roman"/>
                <w:color w:val="auto"/>
                <w:kern w:val="0"/>
                <w:sz w:val="24"/>
                <w:szCs w:val="24"/>
                <w:lang w:bidi="zh-CN"/>
              </w:rPr>
              <w:instrText xml:space="preserve"> HYPERLINK "http://cydj.5anquan.com/Admin/AprySearch/path=/Files/Image/ApryImg/Profession/Edit4239/" \o "http://cydj.5anquan.com/Admin/AprySearch/path=/Files/Image/ApryImg/Profession/Edit4239/" </w:instrText>
            </w:r>
            <w:r>
              <w:rPr>
                <w:rFonts w:hint="default" w:ascii="Times New Roman" w:hAnsi="Times New Roman" w:eastAsia="宋体" w:cs="Times New Roman"/>
                <w:color w:val="auto"/>
                <w:kern w:val="0"/>
                <w:sz w:val="24"/>
                <w:szCs w:val="24"/>
                <w:lang w:bidi="zh-CN"/>
              </w:rPr>
              <w:fldChar w:fldCharType="separate"/>
            </w:r>
            <w:r>
              <w:rPr>
                <w:rFonts w:hint="default" w:ascii="Times New Roman" w:hAnsi="Times New Roman" w:eastAsia="宋体" w:cs="Times New Roman"/>
                <w:color w:val="auto"/>
                <w:kern w:val="0"/>
                <w:sz w:val="24"/>
                <w:szCs w:val="24"/>
                <w:lang w:bidi="zh-CN"/>
              </w:rPr>
              <w:t>S011053000110192003194</w:t>
            </w:r>
            <w:r>
              <w:rPr>
                <w:rFonts w:hint="default" w:ascii="Times New Roman" w:hAnsi="Times New Roman" w:eastAsia="宋体" w:cs="Times New Roman"/>
                <w:color w:val="auto"/>
                <w:kern w:val="0"/>
                <w:sz w:val="24"/>
                <w:szCs w:val="24"/>
                <w:lang w:bidi="zh-CN"/>
              </w:rPr>
              <w:fldChar w:fldCharType="end"/>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4EDDE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zh-CN" w:eastAsia="zh-CN"/>
              </w:rPr>
            </w:pPr>
            <w:r>
              <w:rPr>
                <w:rFonts w:hint="default" w:ascii="Times New Roman" w:hAnsi="Times New Roman" w:eastAsia="宋体" w:cs="Times New Roman"/>
                <w:color w:val="auto"/>
                <w:kern w:val="0"/>
                <w:sz w:val="24"/>
                <w:szCs w:val="24"/>
                <w:lang w:bidi="zh-CN"/>
              </w:rPr>
              <w:t>024910</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0524D7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1334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restart"/>
            <w:tcBorders>
              <w:left w:val="single" w:color="auto" w:sz="4" w:space="0"/>
              <w:right w:val="single" w:color="auto" w:sz="4" w:space="0"/>
            </w:tcBorders>
            <w:noWrap w:val="0"/>
            <w:vAlign w:val="center"/>
          </w:tcPr>
          <w:p w14:paraId="1BAD8C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项目组成员</w:t>
            </w:r>
          </w:p>
        </w:tc>
        <w:tc>
          <w:tcPr>
            <w:tcW w:w="1236" w:type="dxa"/>
            <w:tcBorders>
              <w:top w:val="single" w:color="auto" w:sz="4" w:space="0"/>
              <w:left w:val="single" w:color="auto" w:sz="4" w:space="0"/>
              <w:bottom w:val="single" w:color="auto" w:sz="4" w:space="0"/>
              <w:right w:val="single" w:color="auto" w:sz="4" w:space="0"/>
            </w:tcBorders>
            <w:noWrap w:val="0"/>
            <w:vAlign w:val="center"/>
          </w:tcPr>
          <w:p w14:paraId="65BF36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default" w:ascii="Times New Roman" w:hAnsi="Times New Roman" w:eastAsia="宋体" w:cs="Times New Roman"/>
                <w:color w:val="auto"/>
                <w:kern w:val="0"/>
                <w:sz w:val="24"/>
                <w:szCs w:val="24"/>
                <w:lang w:val="en-US" w:bidi="zh-CN"/>
              </w:rPr>
              <w:t>刘</w:t>
            </w:r>
            <w:r>
              <w:rPr>
                <w:rFonts w:hint="eastAsia" w:ascii="Times New Roman" w:hAnsi="Times New Roman" w:cs="Times New Roman"/>
                <w:color w:val="auto"/>
                <w:kern w:val="0"/>
                <w:sz w:val="24"/>
                <w:szCs w:val="24"/>
                <w:lang w:val="en-US" w:bidi="zh-CN"/>
              </w:rPr>
              <w:t xml:space="preserve">  </w:t>
            </w:r>
            <w:r>
              <w:rPr>
                <w:rFonts w:hint="default" w:ascii="Times New Roman" w:hAnsi="Times New Roman" w:eastAsia="宋体" w:cs="Times New Roman"/>
                <w:color w:val="auto"/>
                <w:kern w:val="0"/>
                <w:sz w:val="24"/>
                <w:szCs w:val="24"/>
                <w:lang w:val="en-US" w:bidi="zh-CN"/>
              </w:rPr>
              <w:t>鑫</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1D78BB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bidi="zh-CN"/>
              </w:rPr>
            </w:pPr>
            <w:r>
              <w:rPr>
                <w:rFonts w:hint="eastAsia" w:ascii="Times New Roman" w:hAnsi="Times New Roman" w:eastAsia="宋体" w:cs="Times New Roman"/>
                <w:color w:val="auto"/>
                <w:kern w:val="0"/>
                <w:sz w:val="24"/>
                <w:szCs w:val="24"/>
                <w:lang w:val="en-US" w:bidi="zh-CN"/>
              </w:rPr>
              <w:t>采矿</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34BE37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default" w:ascii="Times New Roman" w:hAnsi="Times New Roman" w:eastAsia="宋体" w:cs="Times New Roman"/>
                <w:color w:val="auto"/>
                <w:kern w:val="0"/>
                <w:sz w:val="24"/>
                <w:szCs w:val="24"/>
                <w:lang w:bidi="zh-CN"/>
              </w:rPr>
              <w:t>1500000000301577</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768D3B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default" w:ascii="Times New Roman" w:hAnsi="Times New Roman" w:eastAsia="宋体" w:cs="Times New Roman"/>
                <w:color w:val="auto"/>
                <w:kern w:val="0"/>
                <w:sz w:val="24"/>
                <w:szCs w:val="24"/>
                <w:lang w:bidi="zh-CN"/>
              </w:rPr>
              <w:t>027423</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2AF1B6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6653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continue"/>
            <w:tcBorders>
              <w:left w:val="single" w:color="auto" w:sz="4" w:space="0"/>
              <w:right w:val="single" w:color="auto" w:sz="4" w:space="0"/>
            </w:tcBorders>
            <w:noWrap w:val="0"/>
            <w:vAlign w:val="center"/>
          </w:tcPr>
          <w:p w14:paraId="357FB5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14:paraId="20754F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eastAsia="zh-CN" w:bidi="zh-CN"/>
              </w:rPr>
            </w:pPr>
            <w:r>
              <w:rPr>
                <w:rFonts w:hint="eastAsia" w:ascii="Times New Roman" w:hAnsi="Times New Roman" w:cs="Times New Roman"/>
                <w:color w:val="auto"/>
                <w:kern w:val="0"/>
                <w:sz w:val="24"/>
                <w:szCs w:val="24"/>
                <w:lang w:val="en-US" w:eastAsia="zh-CN" w:bidi="zh-CN"/>
              </w:rPr>
              <w:t>侯  岗</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0332EE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电气</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6953BF6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sz w:val="24"/>
                <w:lang w:val="zh-CN" w:eastAsia="zh-CN"/>
              </w:rPr>
            </w:pPr>
            <w:r>
              <w:rPr>
                <w:rFonts w:hint="eastAsia" w:ascii="Times New Roman" w:hAnsi="Times New Roman" w:cs="Times New Roman"/>
                <w:color w:val="auto"/>
                <w:kern w:val="0"/>
                <w:sz w:val="24"/>
                <w:szCs w:val="24"/>
                <w:lang w:val="en-US" w:eastAsia="zh-CN" w:bidi="zh-CN"/>
              </w:rPr>
              <w:t>1500000000302693</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290AAFA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kern w:val="0"/>
                <w:sz w:val="24"/>
                <w:szCs w:val="24"/>
                <w:lang w:val="en-US" w:eastAsia="zh-CN" w:bidi="zh-CN"/>
              </w:rPr>
              <w:t>026194</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6DB53B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0DCF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continue"/>
            <w:tcBorders>
              <w:left w:val="single" w:color="auto" w:sz="4" w:space="0"/>
              <w:right w:val="single" w:color="auto" w:sz="4" w:space="0"/>
            </w:tcBorders>
            <w:noWrap w:val="0"/>
            <w:vAlign w:val="center"/>
          </w:tcPr>
          <w:p w14:paraId="0B21C6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14:paraId="66C9A3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default" w:ascii="Times New Roman" w:hAnsi="Times New Roman" w:eastAsia="宋体" w:cs="Times New Roman"/>
                <w:color w:val="auto"/>
                <w:kern w:val="0"/>
                <w:sz w:val="24"/>
                <w:szCs w:val="24"/>
                <w:lang w:bidi="zh-CN"/>
              </w:rPr>
              <w:t>杨  伍</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72BB11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default" w:ascii="Times New Roman" w:hAnsi="Times New Roman" w:eastAsia="宋体" w:cs="Times New Roman"/>
                <w:color w:val="auto"/>
                <w:kern w:val="0"/>
                <w:sz w:val="24"/>
                <w:szCs w:val="24"/>
                <w:lang w:bidi="zh-CN"/>
              </w:rPr>
              <w:t>水工结构</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68138C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default" w:ascii="Times New Roman" w:hAnsi="Times New Roman" w:eastAsia="宋体" w:cs="Times New Roman"/>
                <w:color w:val="auto"/>
                <w:kern w:val="0"/>
                <w:sz w:val="24"/>
                <w:szCs w:val="24"/>
                <w:lang w:bidi="zh-CN"/>
              </w:rPr>
              <w:fldChar w:fldCharType="begin"/>
            </w:r>
            <w:r>
              <w:rPr>
                <w:rFonts w:hint="default" w:ascii="Times New Roman" w:hAnsi="Times New Roman" w:eastAsia="宋体" w:cs="Times New Roman"/>
                <w:color w:val="auto"/>
                <w:kern w:val="0"/>
                <w:sz w:val="24"/>
                <w:szCs w:val="24"/>
                <w:lang w:bidi="zh-CN"/>
              </w:rPr>
              <w:instrText xml:space="preserve"> HYPERLINK "http://cydj.5anquan.com/Admin/AprySearch/path=/Files/Image/ApryImg/Profession/Edit9607/" \o "http://cydj.5anquan.com/Admin/AprySearch/path=/Files/Image/ApryImg/Profession/Edit9607/" </w:instrText>
            </w:r>
            <w:r>
              <w:rPr>
                <w:rFonts w:hint="default" w:ascii="Times New Roman" w:hAnsi="Times New Roman" w:eastAsia="宋体" w:cs="Times New Roman"/>
                <w:color w:val="auto"/>
                <w:kern w:val="0"/>
                <w:sz w:val="24"/>
                <w:szCs w:val="24"/>
                <w:lang w:bidi="zh-CN"/>
              </w:rPr>
              <w:fldChar w:fldCharType="separate"/>
            </w:r>
            <w:r>
              <w:rPr>
                <w:rFonts w:hint="default" w:ascii="Times New Roman" w:hAnsi="Times New Roman" w:eastAsia="宋体" w:cs="Times New Roman"/>
                <w:color w:val="auto"/>
                <w:kern w:val="0"/>
                <w:sz w:val="24"/>
                <w:szCs w:val="24"/>
                <w:lang w:bidi="zh-CN"/>
              </w:rPr>
              <w:t>1100000000302455</w:t>
            </w:r>
            <w:r>
              <w:rPr>
                <w:rFonts w:hint="default" w:ascii="Times New Roman" w:hAnsi="Times New Roman" w:eastAsia="宋体" w:cs="Times New Roman"/>
                <w:color w:val="auto"/>
                <w:kern w:val="0"/>
                <w:sz w:val="24"/>
                <w:szCs w:val="24"/>
                <w:lang w:bidi="zh-CN"/>
              </w:rPr>
              <w:fldChar w:fldCharType="end"/>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7F3216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default" w:ascii="Times New Roman" w:hAnsi="Times New Roman" w:eastAsia="宋体" w:cs="Times New Roman"/>
                <w:color w:val="auto"/>
                <w:kern w:val="0"/>
                <w:sz w:val="24"/>
                <w:szCs w:val="24"/>
                <w:lang w:bidi="zh-CN"/>
              </w:rPr>
              <w:t>020433</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5804A3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4AA2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continue"/>
            <w:tcBorders>
              <w:left w:val="single" w:color="auto" w:sz="4" w:space="0"/>
              <w:right w:val="single" w:color="auto" w:sz="4" w:space="0"/>
            </w:tcBorders>
            <w:noWrap w:val="0"/>
            <w:vAlign w:val="center"/>
          </w:tcPr>
          <w:p w14:paraId="0D818C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14:paraId="5ABBDE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kern w:val="0"/>
                <w:sz w:val="24"/>
                <w:szCs w:val="24"/>
                <w:lang w:bidi="zh-CN"/>
              </w:rPr>
              <w:t>王英楠</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5A1F3E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0"/>
                <w:sz w:val="24"/>
                <w:szCs w:val="24"/>
                <w:lang w:bidi="zh-CN"/>
              </w:rPr>
              <w:t>地质</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5CA8E7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0"/>
                <w:sz w:val="24"/>
                <w:szCs w:val="24"/>
                <w:lang w:bidi="zh-CN"/>
              </w:rPr>
              <w:t>1100000000302557</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5F0E8D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0"/>
                <w:sz w:val="24"/>
                <w:szCs w:val="24"/>
                <w:lang w:bidi="zh-CN"/>
              </w:rPr>
              <w:t>020437</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13A808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50CF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continue"/>
            <w:tcBorders>
              <w:left w:val="single" w:color="auto" w:sz="4" w:space="0"/>
              <w:right w:val="single" w:color="auto" w:sz="4" w:space="0"/>
            </w:tcBorders>
            <w:noWrap w:val="0"/>
            <w:vAlign w:val="center"/>
          </w:tcPr>
          <w:p w14:paraId="7B6672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14:paraId="3033A6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于贺苓</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76F7F8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机械</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4F7765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1500000000302540</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49E4CC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026191</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53197A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52AF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continue"/>
            <w:tcBorders>
              <w:left w:val="single" w:color="auto" w:sz="4" w:space="0"/>
              <w:right w:val="single" w:color="auto" w:sz="4" w:space="0"/>
            </w:tcBorders>
            <w:noWrap w:val="0"/>
            <w:vAlign w:val="center"/>
          </w:tcPr>
          <w:p w14:paraId="43D58B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14:paraId="6FB516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梁志强</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66B90D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安全</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37266D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20231004653000000020</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6A8A1B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21250411615</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4AA593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433F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restart"/>
            <w:tcBorders>
              <w:top w:val="single" w:color="auto" w:sz="4" w:space="0"/>
              <w:left w:val="single" w:color="auto" w:sz="4" w:space="0"/>
              <w:right w:val="single" w:color="auto" w:sz="4" w:space="0"/>
            </w:tcBorders>
            <w:noWrap w:val="0"/>
            <w:vAlign w:val="center"/>
          </w:tcPr>
          <w:p w14:paraId="7EC3C1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报告编制人</w:t>
            </w:r>
          </w:p>
        </w:tc>
        <w:tc>
          <w:tcPr>
            <w:tcW w:w="1236" w:type="dxa"/>
            <w:tcBorders>
              <w:top w:val="single" w:color="auto" w:sz="4" w:space="0"/>
              <w:left w:val="single" w:color="auto" w:sz="4" w:space="0"/>
              <w:bottom w:val="single" w:color="auto" w:sz="4" w:space="0"/>
              <w:right w:val="single" w:color="auto" w:sz="4" w:space="0"/>
            </w:tcBorders>
            <w:noWrap w:val="0"/>
            <w:vAlign w:val="center"/>
          </w:tcPr>
          <w:p w14:paraId="4C2761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0"/>
                <w:sz w:val="24"/>
                <w:szCs w:val="24"/>
                <w:lang w:bidi="zh-CN"/>
              </w:rPr>
              <w:t>杨会明</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39DAF8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zh-CN" w:eastAsia="zh-CN"/>
              </w:rPr>
            </w:pPr>
            <w:r>
              <w:rPr>
                <w:rFonts w:hint="eastAsia" w:ascii="Times New Roman" w:hAnsi="Times New Roman" w:cs="Times New Roman"/>
                <w:color w:val="auto"/>
                <w:kern w:val="0"/>
                <w:sz w:val="24"/>
                <w:szCs w:val="24"/>
                <w:lang w:val="en-US" w:bidi="zh-CN"/>
              </w:rPr>
              <w:t>通风</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22EA05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zh-CN" w:eastAsia="zh-CN"/>
              </w:rPr>
            </w:pPr>
            <w:r>
              <w:rPr>
                <w:rFonts w:hint="default" w:ascii="Times New Roman" w:hAnsi="Times New Roman" w:eastAsia="宋体" w:cs="Times New Roman"/>
                <w:color w:val="auto"/>
                <w:kern w:val="0"/>
                <w:sz w:val="24"/>
                <w:szCs w:val="24"/>
                <w:lang w:bidi="zh-CN"/>
              </w:rPr>
              <w:fldChar w:fldCharType="begin"/>
            </w:r>
            <w:r>
              <w:rPr>
                <w:rFonts w:hint="default" w:ascii="Times New Roman" w:hAnsi="Times New Roman" w:eastAsia="宋体" w:cs="Times New Roman"/>
                <w:color w:val="auto"/>
                <w:kern w:val="0"/>
                <w:sz w:val="24"/>
                <w:szCs w:val="24"/>
                <w:lang w:bidi="zh-CN"/>
              </w:rPr>
              <w:instrText xml:space="preserve"> HYPERLINK "http://cydj.5anquan.com/Admin/AprySearch/path=/Files/Image/ApryImg/Profession/Edit4239/" \o "http://cydj.5anquan.com/Admin/AprySearch/path=/Files/Image/ApryImg/Profession/Edit4239/" </w:instrText>
            </w:r>
            <w:r>
              <w:rPr>
                <w:rFonts w:hint="default" w:ascii="Times New Roman" w:hAnsi="Times New Roman" w:eastAsia="宋体" w:cs="Times New Roman"/>
                <w:color w:val="auto"/>
                <w:kern w:val="0"/>
                <w:sz w:val="24"/>
                <w:szCs w:val="24"/>
                <w:lang w:bidi="zh-CN"/>
              </w:rPr>
              <w:fldChar w:fldCharType="separate"/>
            </w:r>
            <w:r>
              <w:rPr>
                <w:rFonts w:hint="default" w:ascii="Times New Roman" w:hAnsi="Times New Roman" w:eastAsia="宋体" w:cs="Times New Roman"/>
                <w:color w:val="auto"/>
                <w:kern w:val="0"/>
                <w:sz w:val="24"/>
                <w:szCs w:val="24"/>
                <w:lang w:bidi="zh-CN"/>
              </w:rPr>
              <w:t>S011053000110192003194</w:t>
            </w:r>
            <w:r>
              <w:rPr>
                <w:rFonts w:hint="default" w:ascii="Times New Roman" w:hAnsi="Times New Roman" w:eastAsia="宋体" w:cs="Times New Roman"/>
                <w:color w:val="auto"/>
                <w:kern w:val="0"/>
                <w:sz w:val="24"/>
                <w:szCs w:val="24"/>
                <w:lang w:bidi="zh-CN"/>
              </w:rPr>
              <w:fldChar w:fldCharType="end"/>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3436CE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zh-CN" w:eastAsia="zh-CN"/>
              </w:rPr>
            </w:pPr>
            <w:r>
              <w:rPr>
                <w:rFonts w:hint="default" w:ascii="Times New Roman" w:hAnsi="Times New Roman" w:eastAsia="宋体" w:cs="Times New Roman"/>
                <w:color w:val="auto"/>
                <w:kern w:val="0"/>
                <w:sz w:val="24"/>
                <w:szCs w:val="24"/>
                <w:lang w:bidi="zh-CN"/>
              </w:rPr>
              <w:t>024910</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737D4B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2BB1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vMerge w:val="continue"/>
            <w:tcBorders>
              <w:left w:val="single" w:color="auto" w:sz="4" w:space="0"/>
              <w:bottom w:val="single" w:color="auto" w:sz="4" w:space="0"/>
              <w:right w:val="single" w:color="auto" w:sz="4" w:space="0"/>
            </w:tcBorders>
            <w:noWrap w:val="0"/>
            <w:vAlign w:val="center"/>
          </w:tcPr>
          <w:p w14:paraId="44033E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14:paraId="171CF8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eastAsia" w:ascii="Times New Roman" w:hAnsi="Times New Roman" w:cs="Times New Roman"/>
                <w:color w:val="auto"/>
                <w:kern w:val="0"/>
                <w:sz w:val="24"/>
                <w:szCs w:val="24"/>
                <w:lang w:val="en-US" w:bidi="zh-CN"/>
              </w:rPr>
              <w:t>梁志强</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6B8C62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bidi="zh-CN"/>
              </w:rPr>
            </w:pPr>
            <w:r>
              <w:rPr>
                <w:rFonts w:hint="eastAsia" w:ascii="Times New Roman" w:hAnsi="Times New Roman" w:cs="Times New Roman"/>
                <w:color w:val="auto"/>
                <w:kern w:val="0"/>
                <w:sz w:val="24"/>
                <w:szCs w:val="24"/>
                <w:lang w:val="en-US" w:bidi="zh-CN"/>
              </w:rPr>
              <w:t>安全</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3826BF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eastAsia" w:ascii="Times New Roman" w:hAnsi="Times New Roman" w:cs="Times New Roman"/>
                <w:color w:val="auto"/>
                <w:kern w:val="0"/>
                <w:sz w:val="24"/>
                <w:szCs w:val="24"/>
                <w:lang w:val="en-US" w:bidi="zh-CN"/>
              </w:rPr>
              <w:t>20231004653000000020</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164141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r>
              <w:rPr>
                <w:rFonts w:hint="eastAsia" w:ascii="Times New Roman" w:hAnsi="Times New Roman" w:cs="Times New Roman"/>
                <w:color w:val="auto"/>
                <w:kern w:val="0"/>
                <w:sz w:val="24"/>
                <w:szCs w:val="24"/>
                <w:lang w:val="en-US" w:bidi="zh-CN"/>
              </w:rPr>
              <w:t>21250411615</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724CB6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085C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14:paraId="22A38F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报告审核人</w:t>
            </w:r>
          </w:p>
        </w:tc>
        <w:tc>
          <w:tcPr>
            <w:tcW w:w="1236" w:type="dxa"/>
            <w:tcBorders>
              <w:top w:val="single" w:color="auto" w:sz="4" w:space="0"/>
              <w:left w:val="single" w:color="auto" w:sz="4" w:space="0"/>
              <w:bottom w:val="single" w:color="auto" w:sz="4" w:space="0"/>
              <w:right w:val="single" w:color="auto" w:sz="4" w:space="0"/>
            </w:tcBorders>
            <w:noWrap w:val="0"/>
            <w:vAlign w:val="center"/>
          </w:tcPr>
          <w:p w14:paraId="19D7BF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0"/>
                <w:sz w:val="24"/>
                <w:szCs w:val="24"/>
                <w:lang w:bidi="zh-CN"/>
              </w:rPr>
              <w:t>李</w:t>
            </w:r>
            <w:r>
              <w:rPr>
                <w:rFonts w:hint="eastAsia" w:ascii="Times New Roman" w:hAnsi="Times New Roman" w:cs="Times New Roman"/>
                <w:color w:val="auto"/>
                <w:kern w:val="0"/>
                <w:sz w:val="24"/>
                <w:szCs w:val="24"/>
                <w:lang w:val="en-US" w:bidi="zh-CN"/>
              </w:rPr>
              <w:t xml:space="preserve">  </w:t>
            </w:r>
            <w:r>
              <w:rPr>
                <w:rFonts w:hint="default" w:ascii="Times New Roman" w:hAnsi="Times New Roman" w:eastAsia="宋体" w:cs="Times New Roman"/>
                <w:color w:val="auto"/>
                <w:kern w:val="0"/>
                <w:sz w:val="24"/>
                <w:szCs w:val="24"/>
                <w:lang w:bidi="zh-CN"/>
              </w:rPr>
              <w:t>超</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6A08A0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en-US" w:eastAsia="zh-CN" w:bidi="zh-CN"/>
              </w:rPr>
            </w:pPr>
            <w:r>
              <w:rPr>
                <w:rFonts w:hint="default" w:ascii="Times New Roman" w:hAnsi="Times New Roman" w:eastAsia="宋体" w:cs="Times New Roman"/>
                <w:color w:val="auto"/>
                <w:kern w:val="0"/>
                <w:sz w:val="24"/>
                <w:szCs w:val="24"/>
                <w:lang w:bidi="zh-CN"/>
              </w:rPr>
              <w:t>安全</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368437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zh-CN" w:eastAsia="zh-CN" w:bidi="zh-CN"/>
              </w:rPr>
            </w:pPr>
            <w:r>
              <w:rPr>
                <w:rFonts w:hint="default" w:ascii="Times New Roman" w:hAnsi="Times New Roman" w:eastAsia="宋体" w:cs="Times New Roman"/>
                <w:color w:val="auto"/>
                <w:kern w:val="0"/>
                <w:sz w:val="24"/>
                <w:szCs w:val="24"/>
                <w:lang w:bidi="zh-CN"/>
              </w:rPr>
              <w:t>S011021000110202000521</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3DEB14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zh-CN" w:eastAsia="zh-CN" w:bidi="zh-CN"/>
              </w:rPr>
            </w:pPr>
            <w:r>
              <w:rPr>
                <w:rFonts w:hint="default" w:ascii="Times New Roman" w:hAnsi="Times New Roman" w:eastAsia="宋体" w:cs="Times New Roman"/>
                <w:color w:val="auto"/>
                <w:kern w:val="0"/>
                <w:sz w:val="24"/>
                <w:szCs w:val="24"/>
                <w:lang w:bidi="zh-CN"/>
              </w:rPr>
              <w:t>041289</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26761D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r w14:paraId="7DA3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14:paraId="669DE9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过程控制</w:t>
            </w:r>
          </w:p>
          <w:p w14:paraId="6658EC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负责人</w:t>
            </w:r>
          </w:p>
        </w:tc>
        <w:tc>
          <w:tcPr>
            <w:tcW w:w="1236" w:type="dxa"/>
            <w:tcBorders>
              <w:top w:val="single" w:color="auto" w:sz="4" w:space="0"/>
              <w:left w:val="single" w:color="auto" w:sz="4" w:space="0"/>
              <w:bottom w:val="single" w:color="auto" w:sz="4" w:space="0"/>
              <w:right w:val="single" w:color="auto" w:sz="4" w:space="0"/>
            </w:tcBorders>
            <w:noWrap w:val="0"/>
            <w:vAlign w:val="center"/>
          </w:tcPr>
          <w:p w14:paraId="40522D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kern w:val="0"/>
                <w:sz w:val="24"/>
                <w:szCs w:val="24"/>
                <w:lang w:val="en-US" w:eastAsia="zh-CN" w:bidi="zh-CN"/>
              </w:rPr>
              <w:t>吴家辉</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073EDA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en-US" w:eastAsia="zh-CN" w:bidi="zh-CN"/>
              </w:rPr>
            </w:pPr>
            <w:r>
              <w:rPr>
                <w:rFonts w:hint="default" w:ascii="Times New Roman" w:hAnsi="Times New Roman" w:eastAsia="宋体" w:cs="Times New Roman"/>
                <w:color w:val="auto"/>
                <w:kern w:val="0"/>
                <w:sz w:val="24"/>
                <w:szCs w:val="24"/>
                <w:lang w:val="en-US" w:eastAsia="zh-CN" w:bidi="zh-CN"/>
              </w:rPr>
              <w:t>/</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12F675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zh-CN" w:eastAsia="zh-CN" w:bidi="zh-CN"/>
              </w:rPr>
            </w:pPr>
            <w:r>
              <w:rPr>
                <w:rFonts w:hint="default" w:ascii="Times New Roman" w:hAnsi="Times New Roman" w:eastAsia="宋体" w:cs="Times New Roman"/>
                <w:color w:val="auto"/>
                <w:kern w:val="0"/>
                <w:sz w:val="24"/>
                <w:szCs w:val="24"/>
                <w:lang w:val="zh-CN" w:eastAsia="zh-CN" w:bidi="zh-CN"/>
              </w:rPr>
              <w:t>CAWS210000230300034</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2D0819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val="zh-CN" w:eastAsia="zh-CN" w:bidi="zh-CN"/>
              </w:rPr>
            </w:pPr>
            <w:r>
              <w:rPr>
                <w:rFonts w:hint="default" w:ascii="Times New Roman" w:hAnsi="Times New Roman" w:eastAsia="宋体" w:cs="Times New Roman"/>
                <w:color w:val="auto"/>
                <w:kern w:val="0"/>
                <w:sz w:val="24"/>
                <w:szCs w:val="24"/>
                <w:lang w:val="zh-CN" w:eastAsia="zh-CN" w:bidi="zh-CN"/>
              </w:rPr>
              <w:t>043015</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7DA35E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4"/>
                <w:szCs w:val="24"/>
                <w:lang w:bidi="zh-CN"/>
              </w:rPr>
            </w:pPr>
          </w:p>
        </w:tc>
      </w:tr>
      <w:tr w14:paraId="6E4D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4" w:type="dxa"/>
            <w:tcBorders>
              <w:top w:val="single" w:color="auto" w:sz="4" w:space="0"/>
              <w:left w:val="single" w:color="auto" w:sz="4" w:space="0"/>
              <w:bottom w:val="single" w:color="auto" w:sz="4" w:space="0"/>
              <w:right w:val="single" w:color="auto" w:sz="4" w:space="0"/>
            </w:tcBorders>
            <w:noWrap w:val="0"/>
            <w:vAlign w:val="center"/>
          </w:tcPr>
          <w:p w14:paraId="12C597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技术负责人</w:t>
            </w:r>
          </w:p>
        </w:tc>
        <w:tc>
          <w:tcPr>
            <w:tcW w:w="1236" w:type="dxa"/>
            <w:tcBorders>
              <w:top w:val="single" w:color="auto" w:sz="4" w:space="0"/>
              <w:left w:val="single" w:color="auto" w:sz="4" w:space="0"/>
              <w:bottom w:val="single" w:color="auto" w:sz="4" w:space="0"/>
              <w:right w:val="single" w:color="auto" w:sz="4" w:space="0"/>
            </w:tcBorders>
            <w:noWrap w:val="0"/>
            <w:vAlign w:val="center"/>
          </w:tcPr>
          <w:p w14:paraId="48DB49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en-US" w:eastAsia="zh-CN" w:bidi="zh-CN"/>
              </w:rPr>
            </w:pPr>
            <w:r>
              <w:rPr>
                <w:rFonts w:hint="default" w:ascii="Times New Roman" w:hAnsi="Times New Roman" w:eastAsia="宋体" w:cs="Times New Roman"/>
                <w:color w:val="auto"/>
                <w:kern w:val="0"/>
                <w:sz w:val="24"/>
                <w:szCs w:val="24"/>
                <w:lang w:bidi="zh-CN"/>
              </w:rPr>
              <w:t>张廷辉</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5B9500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en-US" w:eastAsia="zh-CN" w:bidi="zh-CN"/>
              </w:rPr>
            </w:pPr>
            <w:r>
              <w:rPr>
                <w:rFonts w:hint="eastAsia" w:ascii="Times New Roman" w:hAnsi="Times New Roman" w:cs="Times New Roman"/>
                <w:color w:val="auto"/>
                <w:kern w:val="0"/>
                <w:sz w:val="24"/>
                <w:szCs w:val="24"/>
                <w:lang w:val="en-US" w:bidi="zh-CN"/>
              </w:rPr>
              <w:t>安全</w:t>
            </w:r>
          </w:p>
        </w:tc>
        <w:tc>
          <w:tcPr>
            <w:tcW w:w="2300" w:type="dxa"/>
            <w:tcBorders>
              <w:top w:val="single" w:color="auto" w:sz="4" w:space="0"/>
              <w:left w:val="single" w:color="auto" w:sz="4" w:space="0"/>
              <w:bottom w:val="single" w:color="auto" w:sz="4" w:space="0"/>
              <w:right w:val="single" w:color="auto" w:sz="4" w:space="0"/>
            </w:tcBorders>
            <w:noWrap w:val="0"/>
            <w:vAlign w:val="center"/>
          </w:tcPr>
          <w:p w14:paraId="764883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en-US" w:eastAsia="zh-CN" w:bidi="zh-CN"/>
              </w:rPr>
            </w:pPr>
            <w:r>
              <w:rPr>
                <w:rFonts w:hint="default" w:ascii="Times New Roman" w:hAnsi="Times New Roman" w:eastAsia="宋体" w:cs="Times New Roman"/>
                <w:color w:val="auto"/>
                <w:kern w:val="0"/>
                <w:sz w:val="24"/>
                <w:szCs w:val="24"/>
                <w:lang w:bidi="zh-CN"/>
              </w:rPr>
              <w:t>1200000000100119</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69177C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2"/>
                <w:lang w:val="en-US" w:eastAsia="zh-CN" w:bidi="zh-CN"/>
              </w:rPr>
            </w:pPr>
            <w:r>
              <w:rPr>
                <w:rFonts w:hint="default" w:ascii="Times New Roman" w:hAnsi="Times New Roman" w:eastAsia="宋体" w:cs="Times New Roman"/>
                <w:color w:val="auto"/>
                <w:kern w:val="0"/>
                <w:sz w:val="24"/>
                <w:szCs w:val="24"/>
                <w:lang w:bidi="zh-CN"/>
              </w:rPr>
              <w:t>009798</w:t>
            </w:r>
          </w:p>
        </w:tc>
        <w:tc>
          <w:tcPr>
            <w:tcW w:w="1594" w:type="dxa"/>
            <w:tcBorders>
              <w:top w:val="single" w:color="auto" w:sz="4" w:space="0"/>
              <w:left w:val="single" w:color="auto" w:sz="4" w:space="0"/>
              <w:bottom w:val="single" w:color="auto" w:sz="4" w:space="0"/>
              <w:right w:val="single" w:color="auto" w:sz="4" w:space="0"/>
            </w:tcBorders>
            <w:noWrap w:val="0"/>
            <w:vAlign w:val="center"/>
          </w:tcPr>
          <w:p w14:paraId="2E379E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rPr>
            </w:pPr>
          </w:p>
        </w:tc>
      </w:tr>
    </w:tbl>
    <w:p w14:paraId="29F8F565">
      <w:pPr>
        <w:bidi w:val="0"/>
        <w:rPr>
          <w:rFonts w:hint="default" w:ascii="Times New Roman" w:hAnsi="Times New Roman"/>
          <w:color w:val="auto"/>
        </w:rPr>
      </w:pPr>
    </w:p>
    <w:p w14:paraId="7827259C">
      <w:pPr>
        <w:bidi w:val="0"/>
        <w:rPr>
          <w:rFonts w:hint="default" w:ascii="Times New Roman" w:hAnsi="Times New Roman"/>
          <w:color w:val="auto"/>
        </w:rPr>
        <w:sectPr>
          <w:pgSz w:w="11905" w:h="16838"/>
          <w:pgMar w:top="1417" w:right="1134" w:bottom="1134" w:left="1587" w:header="851" w:footer="992" w:gutter="0"/>
          <w:pgBorders>
            <w:top w:val="none" w:sz="0" w:space="0"/>
            <w:left w:val="none" w:sz="0" w:space="0"/>
            <w:bottom w:val="none" w:sz="0" w:space="0"/>
            <w:right w:val="none" w:sz="0" w:space="0"/>
          </w:pgBorders>
          <w:pgNumType w:fmt="upperRoman" w:start="1"/>
          <w:cols w:space="0" w:num="1"/>
          <w:rtlGutter w:val="0"/>
          <w:docGrid w:type="lines" w:linePitch="386" w:charSpace="0"/>
        </w:sectPr>
      </w:pPr>
    </w:p>
    <w:p w14:paraId="68D8AEE4">
      <w:pPr>
        <w:keepNext/>
        <w:keepLines/>
        <w:pageBreakBefore w:val="0"/>
        <w:widowControl w:val="0"/>
        <w:kinsoku/>
        <w:wordWrap/>
        <w:overflowPunct/>
        <w:topLinePunct w:val="0"/>
        <w:autoSpaceDE w:val="0"/>
        <w:autoSpaceDN w:val="0"/>
        <w:bidi w:val="0"/>
        <w:adjustRightInd w:val="0"/>
        <w:snapToGrid w:val="0"/>
        <w:ind w:firstLine="0" w:firstLineChars="0"/>
        <w:jc w:val="center"/>
        <w:textAlignment w:val="auto"/>
        <w:outlineLvl w:val="9"/>
        <w:rPr>
          <w:rFonts w:hint="default" w:ascii="Times New Roman" w:hAnsi="Times New Roman" w:eastAsia="黑体" w:cs="Times New Roman"/>
          <w:bCs/>
          <w:color w:val="auto"/>
          <w:kern w:val="44"/>
          <w:sz w:val="32"/>
        </w:rPr>
      </w:pPr>
      <w:bookmarkStart w:id="48" w:name="_Toc7244"/>
      <w:bookmarkStart w:id="49" w:name="_Toc29356"/>
      <w:bookmarkStart w:id="50" w:name="_Toc13666"/>
      <w:r>
        <w:rPr>
          <w:rFonts w:hint="default" w:ascii="Times New Roman" w:hAnsi="Times New Roman" w:eastAsia="黑体" w:cs="Times New Roman"/>
          <w:bCs/>
          <w:color w:val="auto"/>
          <w:kern w:val="44"/>
          <w:sz w:val="32"/>
        </w:rPr>
        <w:t>前 言</w:t>
      </w:r>
      <w:bookmarkEnd w:id="40"/>
      <w:bookmarkEnd w:id="41"/>
      <w:bookmarkEnd w:id="42"/>
      <w:bookmarkEnd w:id="43"/>
      <w:bookmarkEnd w:id="44"/>
      <w:bookmarkEnd w:id="45"/>
      <w:bookmarkEnd w:id="46"/>
      <w:bookmarkEnd w:id="47"/>
      <w:bookmarkEnd w:id="48"/>
      <w:bookmarkEnd w:id="49"/>
      <w:bookmarkEnd w:id="50"/>
    </w:p>
    <w:p w14:paraId="3B48A5CB">
      <w:pPr>
        <w:ind w:firstLine="618" w:firstLineChars="221"/>
        <w:rPr>
          <w:rFonts w:hint="default" w:ascii="Times New Roman" w:hAnsi="Times New Roman" w:cs="Times New Roman"/>
          <w:color w:val="auto"/>
          <w:sz w:val="28"/>
          <w:szCs w:val="28"/>
        </w:rPr>
      </w:pP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安全第一、预防为主、综合治理</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是我们党和国家始终不渝的安全生产方针。各行各业开展安全评价正是突出</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安全第一</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、体现</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预防为主</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的一项重要工作，是</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安全第一，预防为主</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方针在安全生产上的具体体现。</w:t>
      </w:r>
    </w:p>
    <w:p w14:paraId="65EBE8D4">
      <w:pPr>
        <w:ind w:firstLine="618" w:firstLineChars="221"/>
        <w:rPr>
          <w:rFonts w:hint="default" w:ascii="Times New Roman" w:hAnsi="Times New Roman" w:eastAsia="宋体"/>
          <w:color w:val="auto"/>
          <w:lang w:val="en-US" w:eastAsia="zh-CN"/>
        </w:rPr>
      </w:pPr>
      <w:r>
        <w:rPr>
          <w:rFonts w:hint="eastAsia"/>
          <w:color w:val="auto"/>
          <w:lang w:val="en-US" w:eastAsia="zh-CN"/>
        </w:rPr>
        <w:t>************</w:t>
      </w:r>
    </w:p>
    <w:p w14:paraId="267CA0AF">
      <w:pPr>
        <w:ind w:firstLine="618" w:firstLineChars="221"/>
        <w:rPr>
          <w:rFonts w:hint="default" w:ascii="Times New Roman" w:hAnsi="Times New Roman" w:eastAsia="宋体"/>
          <w:color w:val="auto"/>
          <w:lang w:val="en-US" w:eastAsia="zh-CN"/>
        </w:rPr>
      </w:pPr>
      <w:r>
        <w:rPr>
          <w:rFonts w:hint="eastAsia" w:ascii="Times New Roman" w:hAnsi="Times New Roman"/>
          <w:color w:val="auto"/>
        </w:rPr>
        <w:t>为完成《云南省人民政府办公厅关于印发&lt;云南省全面加强非煤矿山安全生产工作若干措施&gt;的通知》（云政办发〔2024〕44号），第一条第一款</w:t>
      </w:r>
      <w:r>
        <w:rPr>
          <w:rFonts w:hint="eastAsia" w:ascii="Times New Roman" w:hAnsi="Times New Roman"/>
          <w:color w:val="auto"/>
          <w:lang w:eastAsia="zh-CN"/>
        </w:rPr>
        <w:t>“</w:t>
      </w:r>
      <w:r>
        <w:rPr>
          <w:rFonts w:hint="eastAsia" w:ascii="Times New Roman" w:hAnsi="Times New Roman"/>
          <w:color w:val="auto"/>
        </w:rPr>
        <w:t>提高露天采石（砂）准入门槛。除硅石、石英砂等特殊需求矿产外，停止新建开采规模低于100万吨/年的露天采石（砂）场。将现有采石（砂）场最小开采规模提高到50万吨/年，达不到该标准要求的，给予3年过渡期实施升级改造，到2026年底仍达不到标准要求的，由属地县级政府积极引导退出</w:t>
      </w:r>
      <w:r>
        <w:rPr>
          <w:rFonts w:hint="eastAsia" w:ascii="Times New Roman" w:hAnsi="Times New Roman"/>
          <w:color w:val="auto"/>
          <w:lang w:eastAsia="zh-CN"/>
        </w:rPr>
        <w:t>”</w:t>
      </w:r>
      <w:r>
        <w:rPr>
          <w:rFonts w:hint="eastAsia" w:ascii="Times New Roman" w:hAnsi="Times New Roman"/>
          <w:color w:val="auto"/>
        </w:rPr>
        <w:t>文件要求，矿山申请将生产规模扩大至</w:t>
      </w:r>
      <w:r>
        <w:rPr>
          <w:rFonts w:hint="eastAsia" w:ascii="Times New Roman" w:hAnsi="Times New Roman"/>
          <w:color w:val="auto"/>
          <w:lang w:val="en-US" w:eastAsia="zh-CN"/>
        </w:rPr>
        <w:t>7</w:t>
      </w:r>
      <w:r>
        <w:rPr>
          <w:rFonts w:hint="eastAsia" w:ascii="Times New Roman" w:hAnsi="Times New Roman"/>
          <w:color w:val="auto"/>
        </w:rPr>
        <w:t>0万t/a。</w:t>
      </w:r>
      <w:r>
        <w:rPr>
          <w:rFonts w:hint="eastAsia" w:ascii="Times New Roman" w:hAnsi="Times New Roman"/>
          <w:color w:val="auto"/>
          <w:lang w:val="en-US" w:eastAsia="zh-CN"/>
        </w:rPr>
        <w:t>企业于2024年3月13日取得昭通市昭阳区行政审批局批复的《云南省固定资产投资项目备案证》，项目代码：</w:t>
      </w:r>
      <w:r>
        <w:rPr>
          <w:rFonts w:hint="eastAsia"/>
          <w:color w:val="auto"/>
          <w:lang w:val="en-US" w:eastAsia="zh-CN"/>
        </w:rPr>
        <w:t>*********</w:t>
      </w:r>
      <w:r>
        <w:rPr>
          <w:rFonts w:hint="eastAsia" w:ascii="Times New Roman" w:hAnsi="Times New Roman"/>
          <w:color w:val="auto"/>
          <w:lang w:val="en-US" w:eastAsia="zh-CN"/>
        </w:rPr>
        <w:t>，主要建设内容及规模为年产70万吨石灰岩矿升级改造。</w:t>
      </w:r>
    </w:p>
    <w:p w14:paraId="3F878E86">
      <w:pPr>
        <w:ind w:firstLine="618" w:firstLineChars="221"/>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中华人民共和国安全生产法》第三十一条规定：生产经营单位新建、改建、扩建工程项目（以下统称建设项目）的安全设施，必须与主体工程同时设计、同时施工、同时投入生产和使用。安全设施投资应当纳入建设项目概算。根据《中华人民共和国安全生产法》、《建设项目安全设施</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三同时</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监督管理办法》（原安监总局令第77号修订）等国家有关安全生产法律、法规，</w:t>
      </w:r>
      <w:r>
        <w:rPr>
          <w:rFonts w:hint="eastAsia" w:ascii="Times New Roman" w:hAnsi="Times New Roman" w:cs="Times New Roman"/>
          <w:color w:val="auto"/>
          <w:sz w:val="28"/>
          <w:szCs w:val="28"/>
          <w:lang w:eastAsia="zh-CN"/>
        </w:rPr>
        <w:t>昭通市昭阳区文辉矿业有限公司</w:t>
      </w:r>
      <w:r>
        <w:rPr>
          <w:rFonts w:hint="default" w:ascii="Times New Roman" w:hAnsi="Times New Roman" w:cs="Times New Roman"/>
          <w:color w:val="auto"/>
          <w:sz w:val="28"/>
          <w:szCs w:val="28"/>
        </w:rPr>
        <w:t>于202</w:t>
      </w:r>
      <w:r>
        <w:rPr>
          <w:rFonts w:hint="eastAsia" w:ascii="Times New Roman" w:hAnsi="Times New Roman" w:cs="Times New Roman"/>
          <w:color w:val="auto"/>
          <w:sz w:val="28"/>
          <w:szCs w:val="28"/>
          <w:lang w:val="en-US" w:eastAsia="zh-CN"/>
        </w:rPr>
        <w:t>5</w:t>
      </w:r>
      <w:r>
        <w:rPr>
          <w:rFonts w:hint="default" w:ascii="Times New Roman" w:hAnsi="Times New Roman" w:cs="Times New Roman"/>
          <w:color w:val="auto"/>
          <w:sz w:val="28"/>
          <w:szCs w:val="28"/>
        </w:rPr>
        <w:t>年0</w:t>
      </w:r>
      <w:r>
        <w:rPr>
          <w:rFonts w:hint="eastAsia" w:ascii="Times New Roman" w:hAnsi="Times New Roman" w:cs="Times New Roman"/>
          <w:color w:val="auto"/>
          <w:sz w:val="28"/>
          <w:szCs w:val="28"/>
          <w:lang w:val="en-US" w:eastAsia="zh-CN"/>
        </w:rPr>
        <w:t>8</w:t>
      </w:r>
      <w:r>
        <w:rPr>
          <w:rFonts w:hint="default" w:ascii="Times New Roman" w:hAnsi="Times New Roman" w:cs="Times New Roman"/>
          <w:color w:val="auto"/>
          <w:sz w:val="28"/>
          <w:szCs w:val="28"/>
        </w:rPr>
        <w:t>月委托云南德成规划设计有限公司编制了《</w:t>
      </w:r>
      <w:r>
        <w:rPr>
          <w:rFonts w:hint="eastAsia" w:ascii="Times New Roman" w:hAnsi="Times New Roman" w:cs="Times New Roman"/>
          <w:color w:val="auto"/>
          <w:sz w:val="28"/>
          <w:szCs w:val="28"/>
          <w:lang w:eastAsia="zh-CN"/>
        </w:rPr>
        <w:t>昭阳区文辉矿业有限公司洒渔大桥石灰岩矿70万t/a露天采矿工程初步设计（代可研）</w:t>
      </w:r>
      <w:r>
        <w:rPr>
          <w:rFonts w:hint="default" w:ascii="Times New Roman" w:hAnsi="Times New Roman" w:cs="Times New Roman"/>
          <w:color w:val="auto"/>
          <w:sz w:val="28"/>
          <w:szCs w:val="28"/>
        </w:rPr>
        <w:t>》。</w:t>
      </w:r>
      <w:r>
        <w:rPr>
          <w:rFonts w:hint="eastAsia" w:ascii="Times New Roman" w:hAnsi="Times New Roman" w:cs="Times New Roman"/>
          <w:color w:val="auto"/>
          <w:sz w:val="28"/>
          <w:szCs w:val="28"/>
          <w:lang w:eastAsia="zh-CN"/>
        </w:rPr>
        <w:t>昭阳区文辉矿业有限公司洒渔大桥石灰岩矿70万t/a露天采矿工程</w:t>
      </w:r>
      <w:r>
        <w:rPr>
          <w:rFonts w:hint="default" w:ascii="Times New Roman" w:hAnsi="Times New Roman" w:cs="Times New Roman"/>
          <w:color w:val="auto"/>
          <w:sz w:val="28"/>
          <w:szCs w:val="28"/>
        </w:rPr>
        <w:t>，需开展安全设施</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三同时</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工作。</w:t>
      </w:r>
    </w:p>
    <w:p w14:paraId="2DB44993">
      <w:pPr>
        <w:ind w:firstLine="618" w:firstLineChars="221"/>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根据《中华人民共和国安全生产法》（中华人民共和国主席令[2021]第88号修订，2021年9月1日实施）、《建设项目安全设施</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三同时</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监督管理办法》（原国家安全监管总局令第77号修订，2015年5月1日实施）等国家有关安全生产法律、法规，受</w:t>
      </w:r>
      <w:r>
        <w:rPr>
          <w:rFonts w:hint="eastAsia" w:ascii="Times New Roman" w:hAnsi="Times New Roman" w:cs="Times New Roman"/>
          <w:color w:val="auto"/>
          <w:sz w:val="28"/>
          <w:szCs w:val="28"/>
          <w:lang w:eastAsia="zh-CN"/>
        </w:rPr>
        <w:t>昭通市昭阳区文辉矿业有限公司</w:t>
      </w:r>
      <w:r>
        <w:rPr>
          <w:rFonts w:hint="default" w:ascii="Times New Roman" w:hAnsi="Times New Roman" w:cs="Times New Roman"/>
          <w:color w:val="auto"/>
          <w:sz w:val="28"/>
          <w:szCs w:val="28"/>
        </w:rPr>
        <w:t>的委托，辽宁诺诚安全科技有限公司承担了</w:t>
      </w:r>
      <w:r>
        <w:rPr>
          <w:rFonts w:hint="eastAsia" w:ascii="Times New Roman" w:hAnsi="Times New Roman" w:cs="Times New Roman"/>
          <w:color w:val="auto"/>
          <w:sz w:val="28"/>
          <w:szCs w:val="28"/>
          <w:lang w:eastAsia="zh-CN"/>
        </w:rPr>
        <w:t>昭阳区文辉矿业有限公司洒渔大桥石灰岩矿70万t/a露天采矿工程</w:t>
      </w:r>
      <w:r>
        <w:rPr>
          <w:rFonts w:hint="default" w:ascii="Times New Roman" w:hAnsi="Times New Roman" w:cs="Times New Roman"/>
          <w:color w:val="auto"/>
          <w:sz w:val="28"/>
          <w:szCs w:val="28"/>
        </w:rPr>
        <w:t>安全预评价工作。</w:t>
      </w:r>
    </w:p>
    <w:p w14:paraId="18F93EE0">
      <w:pPr>
        <w:bidi w:val="0"/>
        <w:rPr>
          <w:rFonts w:hint="default" w:ascii="Times New Roman" w:hAnsi="Times New Roman"/>
          <w:color w:val="auto"/>
        </w:rPr>
      </w:pPr>
      <w:r>
        <w:rPr>
          <w:rFonts w:hint="default" w:ascii="Times New Roman" w:hAnsi="Times New Roman"/>
          <w:color w:val="auto"/>
        </w:rPr>
        <w:t>在接受</w:t>
      </w:r>
      <w:r>
        <w:rPr>
          <w:rFonts w:hint="eastAsia" w:ascii="Times New Roman" w:hAnsi="Times New Roman"/>
          <w:color w:val="auto"/>
          <w:lang w:eastAsia="zh-CN"/>
        </w:rPr>
        <w:t>昭阳区文辉矿业有限公司洒渔大桥石灰岩矿70万t/a露天采矿工程</w:t>
      </w:r>
      <w:r>
        <w:rPr>
          <w:rFonts w:hint="default" w:ascii="Times New Roman" w:hAnsi="Times New Roman"/>
          <w:color w:val="auto"/>
        </w:rPr>
        <w:t>安全评价工作的委托之后，辽宁诺诚安全科技有限公司立即组成安全评价组投入项目安全预评价工作。评价组于202</w:t>
      </w:r>
      <w:r>
        <w:rPr>
          <w:rFonts w:hint="eastAsia" w:ascii="Times New Roman" w:hAnsi="Times New Roman"/>
          <w:color w:val="auto"/>
          <w:lang w:val="en-US" w:eastAsia="zh-CN"/>
        </w:rPr>
        <w:t>5</w:t>
      </w:r>
      <w:r>
        <w:rPr>
          <w:rFonts w:hint="default" w:ascii="Times New Roman" w:hAnsi="Times New Roman"/>
          <w:color w:val="auto"/>
        </w:rPr>
        <w:t>年</w:t>
      </w:r>
      <w:r>
        <w:rPr>
          <w:rFonts w:hint="eastAsia"/>
          <w:color w:val="auto"/>
          <w:lang w:val="en-US" w:eastAsia="zh-CN"/>
        </w:rPr>
        <w:t>10</w:t>
      </w:r>
      <w:r>
        <w:rPr>
          <w:rFonts w:hint="default" w:ascii="Times New Roman" w:hAnsi="Times New Roman"/>
          <w:color w:val="auto"/>
        </w:rPr>
        <w:t>月</w:t>
      </w:r>
      <w:r>
        <w:rPr>
          <w:rFonts w:hint="eastAsia"/>
          <w:color w:val="auto"/>
          <w:lang w:val="en-US" w:eastAsia="zh-CN"/>
        </w:rPr>
        <w:t>23</w:t>
      </w:r>
      <w:r>
        <w:rPr>
          <w:rFonts w:hint="default" w:ascii="Times New Roman" w:hAnsi="Times New Roman"/>
          <w:color w:val="auto"/>
        </w:rPr>
        <w:t>日进场对</w:t>
      </w:r>
      <w:r>
        <w:rPr>
          <w:rFonts w:hint="eastAsia" w:ascii="Times New Roman" w:hAnsi="Times New Roman"/>
          <w:color w:val="auto"/>
          <w:lang w:eastAsia="zh-CN"/>
        </w:rPr>
        <w:t>昭阳区文辉矿业有限公司洒渔大桥石灰岩矿70万t/a露天采矿工程</w:t>
      </w:r>
      <w:r>
        <w:rPr>
          <w:rFonts w:hint="default" w:ascii="Times New Roman" w:hAnsi="Times New Roman"/>
          <w:color w:val="auto"/>
        </w:rPr>
        <w:t>进行初步现场调查和资料收集工作。评价组在系统调查分析的基础上，对照国家或行业有关安全法律法规、标准和规范，对该项目及项目</w:t>
      </w:r>
      <w:r>
        <w:rPr>
          <w:rFonts w:hint="eastAsia" w:ascii="Times New Roman" w:hAnsi="Times New Roman"/>
          <w:color w:val="auto"/>
          <w:lang w:eastAsia="zh-CN"/>
        </w:rPr>
        <w:t>初步设计（代可研）</w:t>
      </w:r>
      <w:r>
        <w:rPr>
          <w:rFonts w:hint="default" w:ascii="Times New Roman" w:hAnsi="Times New Roman"/>
          <w:color w:val="auto"/>
        </w:rPr>
        <w:t>涉及的危险、有害因素进行分析和评价，采用可靠、适用的评价方法对项目进行安全预评价，得出评价结论，并提出科学、合理、可行的安全技术和管理措施，为该项目建设生产提供依据，最后编制成《</w:t>
      </w:r>
      <w:r>
        <w:rPr>
          <w:rFonts w:hint="eastAsia" w:ascii="Times New Roman" w:hAnsi="Times New Roman"/>
          <w:color w:val="auto"/>
          <w:lang w:eastAsia="zh-CN"/>
        </w:rPr>
        <w:t>昭阳区文辉矿业有限公司洒渔大桥石灰岩矿70万t/a露天采矿工程</w:t>
      </w:r>
      <w:r>
        <w:rPr>
          <w:rFonts w:hint="default" w:ascii="Times New Roman" w:hAnsi="Times New Roman"/>
          <w:color w:val="auto"/>
        </w:rPr>
        <w:t>安全预评价报告》。</w:t>
      </w:r>
    </w:p>
    <w:p w14:paraId="7ACE4A65">
      <w:pPr>
        <w:bidi w:val="0"/>
        <w:rPr>
          <w:rFonts w:hint="default" w:ascii="Times New Roman" w:hAnsi="Times New Roman"/>
          <w:color w:val="auto"/>
        </w:rPr>
      </w:pPr>
      <w:r>
        <w:rPr>
          <w:rFonts w:hint="default" w:ascii="Times New Roman" w:hAnsi="Times New Roman"/>
          <w:color w:val="auto"/>
        </w:rPr>
        <w:t>在该项目的安全预评价过程中得到了</w:t>
      </w:r>
      <w:r>
        <w:rPr>
          <w:rFonts w:hint="eastAsia" w:ascii="Times New Roman" w:hAnsi="Times New Roman"/>
          <w:color w:val="auto"/>
          <w:lang w:eastAsia="zh-CN"/>
        </w:rPr>
        <w:t>昭通市昭阳区文辉矿业有限公司</w:t>
      </w:r>
      <w:r>
        <w:rPr>
          <w:rFonts w:hint="default" w:ascii="Times New Roman" w:hAnsi="Times New Roman"/>
          <w:color w:val="auto"/>
        </w:rPr>
        <w:t>等有关领导和技术人员的大力支持，同时在报告中引用了一些专家学者的研究成果和技术资料，在此一并表示感谢！</w:t>
      </w:r>
    </w:p>
    <w:p w14:paraId="31F053AE">
      <w:pPr>
        <w:bidi w:val="0"/>
        <w:rPr>
          <w:rFonts w:hint="default" w:ascii="Times New Roman" w:hAnsi="Times New Roman"/>
          <w:color w:val="auto"/>
        </w:rPr>
      </w:pPr>
    </w:p>
    <w:p w14:paraId="0CB8005D">
      <w:pPr>
        <w:rPr>
          <w:rFonts w:hint="default" w:ascii="Times New Roman" w:hAnsi="Times New Roman" w:cs="Times New Roman"/>
          <w:color w:val="auto"/>
        </w:rPr>
        <w:sectPr>
          <w:pgSz w:w="11905" w:h="16838"/>
          <w:pgMar w:top="1417" w:right="1134" w:bottom="1134" w:left="1587" w:header="851" w:footer="992" w:gutter="0"/>
          <w:pgBorders>
            <w:top w:val="none" w:sz="0" w:space="0"/>
            <w:left w:val="none" w:sz="0" w:space="0"/>
            <w:bottom w:val="none" w:sz="0" w:space="0"/>
            <w:right w:val="none" w:sz="0" w:space="0"/>
          </w:pgBorders>
          <w:pgNumType w:fmt="upperRoman" w:start="1"/>
          <w:cols w:space="0" w:num="1"/>
          <w:rtlGutter w:val="0"/>
          <w:docGrid w:type="lines" w:linePitch="386" w:charSpace="0"/>
        </w:sect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14:paraId="4290671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黑体"/>
          <w:color w:val="auto"/>
          <w:sz w:val="32"/>
          <w:lang w:val="en-US" w:eastAsia="zh-CN"/>
        </w:rPr>
      </w:pPr>
      <w:r>
        <w:rPr>
          <w:rFonts w:hint="eastAsia" w:ascii="Times New Roman" w:hAnsi="Times New Roman" w:eastAsia="黑体"/>
          <w:color w:val="auto"/>
          <w:sz w:val="32"/>
          <w:lang w:val="en-US" w:eastAsia="zh-CN"/>
        </w:rPr>
        <w:t>目录</w:t>
      </w:r>
    </w:p>
    <w:p w14:paraId="30BAC8A3">
      <w:pPr>
        <w:pStyle w:val="10"/>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TOC \o "1-3" \h \u </w:instrText>
      </w:r>
      <w:r>
        <w:rPr>
          <w:rFonts w:ascii="Times New Roman" w:hAnsi="Times New Roman"/>
          <w:color w:val="auto"/>
          <w:sz w:val="24"/>
        </w:rPr>
        <w:fldChar w:fldCharType="separate"/>
      </w:r>
      <w:r>
        <w:rPr>
          <w:rFonts w:ascii="Times New Roman" w:hAnsi="Times New Roman"/>
          <w:color w:val="auto"/>
          <w:sz w:val="24"/>
        </w:rPr>
        <w:fldChar w:fldCharType="begin"/>
      </w:r>
      <w:r>
        <w:rPr>
          <w:rFonts w:ascii="Times New Roman" w:hAnsi="Times New Roman"/>
          <w:color w:val="auto"/>
          <w:sz w:val="24"/>
        </w:rPr>
        <w:instrText xml:space="preserve"> HYPERLINK \l _Toc21746 </w:instrText>
      </w:r>
      <w:r>
        <w:rPr>
          <w:rFonts w:ascii="Times New Roman" w:hAnsi="Times New Roman"/>
          <w:color w:val="auto"/>
          <w:sz w:val="24"/>
        </w:rPr>
        <w:fldChar w:fldCharType="separate"/>
      </w:r>
      <w:r>
        <w:rPr>
          <w:rFonts w:hint="eastAsia" w:ascii="Times New Roman" w:hAnsi="Times New Roman"/>
          <w:color w:val="auto"/>
          <w:sz w:val="24"/>
        </w:rPr>
        <w:t>1 评价范围与依据</w:t>
      </w:r>
      <w:r>
        <w:rPr>
          <w:color w:val="auto"/>
          <w:sz w:val="24"/>
        </w:rPr>
        <w:tab/>
      </w:r>
      <w:r>
        <w:rPr>
          <w:color w:val="auto"/>
          <w:sz w:val="24"/>
        </w:rPr>
        <w:fldChar w:fldCharType="begin"/>
      </w:r>
      <w:r>
        <w:rPr>
          <w:color w:val="auto"/>
          <w:sz w:val="24"/>
        </w:rPr>
        <w:instrText xml:space="preserve"> PAGEREF _Toc21746 \h </w:instrText>
      </w:r>
      <w:r>
        <w:rPr>
          <w:color w:val="auto"/>
          <w:sz w:val="24"/>
        </w:rPr>
        <w:fldChar w:fldCharType="separate"/>
      </w:r>
      <w:r>
        <w:rPr>
          <w:color w:val="auto"/>
          <w:sz w:val="24"/>
        </w:rPr>
        <w:t>1</w:t>
      </w:r>
      <w:r>
        <w:rPr>
          <w:color w:val="auto"/>
          <w:sz w:val="24"/>
        </w:rPr>
        <w:fldChar w:fldCharType="end"/>
      </w:r>
      <w:r>
        <w:rPr>
          <w:rFonts w:ascii="Times New Roman" w:hAnsi="Times New Roman"/>
          <w:color w:val="auto"/>
          <w:sz w:val="24"/>
        </w:rPr>
        <w:fldChar w:fldCharType="end"/>
      </w:r>
    </w:p>
    <w:p w14:paraId="39A2527E">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_Toc27738 </w:instrText>
      </w:r>
      <w:r>
        <w:rPr>
          <w:rFonts w:ascii="Times New Roman" w:hAnsi="Times New Roman"/>
          <w:color w:val="auto"/>
          <w:sz w:val="24"/>
        </w:rPr>
        <w:fldChar w:fldCharType="separate"/>
      </w:r>
      <w:r>
        <w:rPr>
          <w:rFonts w:hint="eastAsia" w:ascii="Times New Roman" w:hAnsi="Times New Roman"/>
          <w:color w:val="auto"/>
          <w:sz w:val="24"/>
        </w:rPr>
        <w:t>1.1 评价对象和范围</w:t>
      </w:r>
      <w:r>
        <w:rPr>
          <w:color w:val="auto"/>
          <w:sz w:val="24"/>
        </w:rPr>
        <w:tab/>
      </w:r>
      <w:r>
        <w:rPr>
          <w:color w:val="auto"/>
          <w:sz w:val="24"/>
        </w:rPr>
        <w:fldChar w:fldCharType="begin"/>
      </w:r>
      <w:r>
        <w:rPr>
          <w:color w:val="auto"/>
          <w:sz w:val="24"/>
        </w:rPr>
        <w:instrText xml:space="preserve"> PAGEREF _Toc27738 \h </w:instrText>
      </w:r>
      <w:r>
        <w:rPr>
          <w:color w:val="auto"/>
          <w:sz w:val="24"/>
        </w:rPr>
        <w:fldChar w:fldCharType="separate"/>
      </w:r>
      <w:r>
        <w:rPr>
          <w:color w:val="auto"/>
          <w:sz w:val="24"/>
        </w:rPr>
        <w:t>1</w:t>
      </w:r>
      <w:r>
        <w:rPr>
          <w:color w:val="auto"/>
          <w:sz w:val="24"/>
        </w:rPr>
        <w:fldChar w:fldCharType="end"/>
      </w:r>
      <w:r>
        <w:rPr>
          <w:rFonts w:ascii="Times New Roman" w:hAnsi="Times New Roman"/>
          <w:color w:val="auto"/>
          <w:sz w:val="24"/>
        </w:rPr>
        <w:fldChar w:fldCharType="end"/>
      </w:r>
    </w:p>
    <w:p w14:paraId="5253477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_Toc12532 </w:instrText>
      </w:r>
      <w:r>
        <w:rPr>
          <w:rFonts w:ascii="Times New Roman" w:hAnsi="Times New Roman"/>
          <w:color w:val="auto"/>
          <w:sz w:val="24"/>
        </w:rPr>
        <w:fldChar w:fldCharType="separate"/>
      </w:r>
      <w:r>
        <w:rPr>
          <w:rFonts w:hint="eastAsia" w:ascii="Times New Roman" w:hAnsi="Times New Roman"/>
          <w:color w:val="auto"/>
          <w:sz w:val="24"/>
        </w:rPr>
        <w:t>1.1.1 评价对象</w:t>
      </w:r>
      <w:r>
        <w:rPr>
          <w:color w:val="auto"/>
          <w:sz w:val="24"/>
        </w:rPr>
        <w:tab/>
      </w:r>
      <w:r>
        <w:rPr>
          <w:color w:val="auto"/>
          <w:sz w:val="24"/>
        </w:rPr>
        <w:fldChar w:fldCharType="begin"/>
      </w:r>
      <w:r>
        <w:rPr>
          <w:color w:val="auto"/>
          <w:sz w:val="24"/>
        </w:rPr>
        <w:instrText xml:space="preserve"> PAGEREF _Toc12532 \h </w:instrText>
      </w:r>
      <w:r>
        <w:rPr>
          <w:color w:val="auto"/>
          <w:sz w:val="24"/>
        </w:rPr>
        <w:fldChar w:fldCharType="separate"/>
      </w:r>
      <w:r>
        <w:rPr>
          <w:color w:val="auto"/>
          <w:sz w:val="24"/>
        </w:rPr>
        <w:t>1</w:t>
      </w:r>
      <w:r>
        <w:rPr>
          <w:color w:val="auto"/>
          <w:sz w:val="24"/>
        </w:rPr>
        <w:fldChar w:fldCharType="end"/>
      </w:r>
      <w:r>
        <w:rPr>
          <w:rFonts w:ascii="Times New Roman" w:hAnsi="Times New Roman"/>
          <w:color w:val="auto"/>
          <w:sz w:val="24"/>
        </w:rPr>
        <w:fldChar w:fldCharType="end"/>
      </w:r>
    </w:p>
    <w:p w14:paraId="7687B3B8">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_Toc2722 </w:instrText>
      </w:r>
      <w:r>
        <w:rPr>
          <w:rFonts w:ascii="Times New Roman" w:hAnsi="Times New Roman"/>
          <w:color w:val="auto"/>
          <w:sz w:val="24"/>
        </w:rPr>
        <w:fldChar w:fldCharType="separate"/>
      </w:r>
      <w:r>
        <w:rPr>
          <w:rFonts w:hint="eastAsia" w:ascii="Times New Roman" w:hAnsi="Times New Roman"/>
          <w:color w:val="auto"/>
          <w:sz w:val="24"/>
        </w:rPr>
        <w:t>1.1.2 评价范围</w:t>
      </w:r>
      <w:r>
        <w:rPr>
          <w:color w:val="auto"/>
          <w:sz w:val="24"/>
        </w:rPr>
        <w:tab/>
      </w:r>
      <w:r>
        <w:rPr>
          <w:color w:val="auto"/>
          <w:sz w:val="24"/>
        </w:rPr>
        <w:fldChar w:fldCharType="begin"/>
      </w:r>
      <w:r>
        <w:rPr>
          <w:color w:val="auto"/>
          <w:sz w:val="24"/>
        </w:rPr>
        <w:instrText xml:space="preserve"> PAGEREF _Toc2722 \h </w:instrText>
      </w:r>
      <w:r>
        <w:rPr>
          <w:color w:val="auto"/>
          <w:sz w:val="24"/>
        </w:rPr>
        <w:fldChar w:fldCharType="separate"/>
      </w:r>
      <w:r>
        <w:rPr>
          <w:color w:val="auto"/>
          <w:sz w:val="24"/>
        </w:rPr>
        <w:t>1</w:t>
      </w:r>
      <w:r>
        <w:rPr>
          <w:color w:val="auto"/>
          <w:sz w:val="24"/>
        </w:rPr>
        <w:fldChar w:fldCharType="end"/>
      </w:r>
      <w:r>
        <w:rPr>
          <w:rFonts w:ascii="Times New Roman" w:hAnsi="Times New Roman"/>
          <w:color w:val="auto"/>
          <w:sz w:val="24"/>
        </w:rPr>
        <w:fldChar w:fldCharType="end"/>
      </w:r>
    </w:p>
    <w:p w14:paraId="1410DFA2">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_Toc28500 </w:instrText>
      </w:r>
      <w:r>
        <w:rPr>
          <w:rFonts w:ascii="Times New Roman" w:hAnsi="Times New Roman"/>
          <w:color w:val="auto"/>
          <w:sz w:val="24"/>
        </w:rPr>
        <w:fldChar w:fldCharType="separate"/>
      </w:r>
      <w:r>
        <w:rPr>
          <w:rFonts w:hint="eastAsia" w:ascii="Times New Roman" w:hAnsi="Times New Roman"/>
          <w:color w:val="auto"/>
          <w:sz w:val="24"/>
        </w:rPr>
        <w:t>1.2 评价依据</w:t>
      </w:r>
      <w:r>
        <w:rPr>
          <w:color w:val="auto"/>
          <w:sz w:val="24"/>
        </w:rPr>
        <w:tab/>
      </w:r>
      <w:r>
        <w:rPr>
          <w:color w:val="auto"/>
          <w:sz w:val="24"/>
        </w:rPr>
        <w:fldChar w:fldCharType="begin"/>
      </w:r>
      <w:r>
        <w:rPr>
          <w:color w:val="auto"/>
          <w:sz w:val="24"/>
        </w:rPr>
        <w:instrText xml:space="preserve"> PAGEREF _Toc28500 \h </w:instrText>
      </w:r>
      <w:r>
        <w:rPr>
          <w:color w:val="auto"/>
          <w:sz w:val="24"/>
        </w:rPr>
        <w:fldChar w:fldCharType="separate"/>
      </w:r>
      <w:r>
        <w:rPr>
          <w:color w:val="auto"/>
          <w:sz w:val="24"/>
        </w:rPr>
        <w:t>4</w:t>
      </w:r>
      <w:r>
        <w:rPr>
          <w:color w:val="auto"/>
          <w:sz w:val="24"/>
        </w:rPr>
        <w:fldChar w:fldCharType="end"/>
      </w:r>
      <w:r>
        <w:rPr>
          <w:rFonts w:ascii="Times New Roman" w:hAnsi="Times New Roman"/>
          <w:color w:val="auto"/>
          <w:sz w:val="24"/>
        </w:rPr>
        <w:fldChar w:fldCharType="end"/>
      </w:r>
    </w:p>
    <w:p w14:paraId="359E480E">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_Toc29564 </w:instrText>
      </w:r>
      <w:r>
        <w:rPr>
          <w:rFonts w:ascii="Times New Roman" w:hAnsi="Times New Roman"/>
          <w:color w:val="auto"/>
          <w:sz w:val="24"/>
        </w:rPr>
        <w:fldChar w:fldCharType="separate"/>
      </w:r>
      <w:r>
        <w:rPr>
          <w:rFonts w:hint="eastAsia" w:ascii="Times New Roman" w:hAnsi="Times New Roman"/>
          <w:color w:val="auto"/>
          <w:sz w:val="24"/>
          <w:lang w:val="en-US" w:eastAsia="zh-CN"/>
        </w:rPr>
        <w:t>1.2.1 法律法规</w:t>
      </w:r>
      <w:r>
        <w:rPr>
          <w:color w:val="auto"/>
          <w:sz w:val="24"/>
        </w:rPr>
        <w:tab/>
      </w:r>
      <w:r>
        <w:rPr>
          <w:color w:val="auto"/>
          <w:sz w:val="24"/>
        </w:rPr>
        <w:fldChar w:fldCharType="begin"/>
      </w:r>
      <w:r>
        <w:rPr>
          <w:color w:val="auto"/>
          <w:sz w:val="24"/>
        </w:rPr>
        <w:instrText xml:space="preserve"> PAGEREF _Toc29564 \h </w:instrText>
      </w:r>
      <w:r>
        <w:rPr>
          <w:color w:val="auto"/>
          <w:sz w:val="24"/>
        </w:rPr>
        <w:fldChar w:fldCharType="separate"/>
      </w:r>
      <w:r>
        <w:rPr>
          <w:color w:val="auto"/>
          <w:sz w:val="24"/>
        </w:rPr>
        <w:t>4</w:t>
      </w:r>
      <w:r>
        <w:rPr>
          <w:color w:val="auto"/>
          <w:sz w:val="24"/>
        </w:rPr>
        <w:fldChar w:fldCharType="end"/>
      </w:r>
      <w:r>
        <w:rPr>
          <w:rFonts w:ascii="Times New Roman" w:hAnsi="Times New Roman"/>
          <w:color w:val="auto"/>
          <w:sz w:val="24"/>
        </w:rPr>
        <w:fldChar w:fldCharType="end"/>
      </w:r>
    </w:p>
    <w:p w14:paraId="71DDBB9E">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_Toc31225 </w:instrText>
      </w:r>
      <w:r>
        <w:rPr>
          <w:rFonts w:ascii="Times New Roman" w:hAnsi="Times New Roman"/>
          <w:color w:val="auto"/>
          <w:sz w:val="24"/>
        </w:rPr>
        <w:fldChar w:fldCharType="separate"/>
      </w:r>
      <w:r>
        <w:rPr>
          <w:rFonts w:hint="eastAsia" w:ascii="Times New Roman" w:hAnsi="Times New Roman"/>
          <w:color w:val="auto"/>
          <w:sz w:val="24"/>
        </w:rPr>
        <w:t>1.2.</w:t>
      </w:r>
      <w:r>
        <w:rPr>
          <w:rFonts w:hint="eastAsia" w:ascii="Times New Roman" w:hAnsi="Times New Roman"/>
          <w:color w:val="auto"/>
          <w:sz w:val="24"/>
          <w:lang w:val="en-US" w:eastAsia="zh-CN"/>
        </w:rPr>
        <w:t>2</w:t>
      </w:r>
      <w:r>
        <w:rPr>
          <w:rFonts w:hint="eastAsia" w:ascii="Times New Roman" w:hAnsi="Times New Roman"/>
          <w:color w:val="auto"/>
          <w:sz w:val="24"/>
        </w:rPr>
        <w:t xml:space="preserve"> 标准规范</w:t>
      </w:r>
      <w:r>
        <w:rPr>
          <w:color w:val="auto"/>
          <w:sz w:val="24"/>
        </w:rPr>
        <w:tab/>
      </w:r>
      <w:r>
        <w:rPr>
          <w:color w:val="auto"/>
          <w:sz w:val="24"/>
        </w:rPr>
        <w:fldChar w:fldCharType="begin"/>
      </w:r>
      <w:r>
        <w:rPr>
          <w:color w:val="auto"/>
          <w:sz w:val="24"/>
        </w:rPr>
        <w:instrText xml:space="preserve"> PAGEREF _Toc31225 \h </w:instrText>
      </w:r>
      <w:r>
        <w:rPr>
          <w:color w:val="auto"/>
          <w:sz w:val="24"/>
        </w:rPr>
        <w:fldChar w:fldCharType="separate"/>
      </w:r>
      <w:r>
        <w:rPr>
          <w:color w:val="auto"/>
          <w:sz w:val="24"/>
        </w:rPr>
        <w:t>11</w:t>
      </w:r>
      <w:r>
        <w:rPr>
          <w:color w:val="auto"/>
          <w:sz w:val="24"/>
        </w:rPr>
        <w:fldChar w:fldCharType="end"/>
      </w:r>
      <w:r>
        <w:rPr>
          <w:rFonts w:ascii="Times New Roman" w:hAnsi="Times New Roman"/>
          <w:color w:val="auto"/>
          <w:sz w:val="24"/>
        </w:rPr>
        <w:fldChar w:fldCharType="end"/>
      </w:r>
    </w:p>
    <w:p w14:paraId="323BD3E1">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_Toc28823 </w:instrText>
      </w:r>
      <w:r>
        <w:rPr>
          <w:rFonts w:ascii="Times New Roman" w:hAnsi="Times New Roman"/>
          <w:color w:val="auto"/>
          <w:sz w:val="24"/>
        </w:rPr>
        <w:fldChar w:fldCharType="separate"/>
      </w:r>
      <w:r>
        <w:rPr>
          <w:rFonts w:hint="eastAsia" w:ascii="Times New Roman" w:hAnsi="Times New Roman"/>
          <w:color w:val="auto"/>
          <w:sz w:val="24"/>
        </w:rPr>
        <w:t>1.2.</w:t>
      </w:r>
      <w:r>
        <w:rPr>
          <w:rFonts w:hint="eastAsia" w:ascii="Times New Roman" w:hAnsi="Times New Roman"/>
          <w:color w:val="auto"/>
          <w:sz w:val="24"/>
          <w:lang w:val="en-US" w:eastAsia="zh-CN"/>
        </w:rPr>
        <w:t xml:space="preserve">3 </w:t>
      </w:r>
      <w:r>
        <w:rPr>
          <w:rFonts w:hint="eastAsia" w:ascii="Times New Roman" w:hAnsi="Times New Roman"/>
          <w:color w:val="auto"/>
          <w:sz w:val="24"/>
        </w:rPr>
        <w:t>建设项目合法性文件</w:t>
      </w:r>
      <w:r>
        <w:rPr>
          <w:color w:val="auto"/>
          <w:sz w:val="24"/>
        </w:rPr>
        <w:tab/>
      </w:r>
      <w:r>
        <w:rPr>
          <w:color w:val="auto"/>
          <w:sz w:val="24"/>
        </w:rPr>
        <w:fldChar w:fldCharType="begin"/>
      </w:r>
      <w:r>
        <w:rPr>
          <w:color w:val="auto"/>
          <w:sz w:val="24"/>
        </w:rPr>
        <w:instrText xml:space="preserve"> PAGEREF _Toc28823 \h </w:instrText>
      </w:r>
      <w:r>
        <w:rPr>
          <w:color w:val="auto"/>
          <w:sz w:val="24"/>
        </w:rPr>
        <w:fldChar w:fldCharType="separate"/>
      </w:r>
      <w:r>
        <w:rPr>
          <w:color w:val="auto"/>
          <w:sz w:val="24"/>
        </w:rPr>
        <w:t>14</w:t>
      </w:r>
      <w:r>
        <w:rPr>
          <w:color w:val="auto"/>
          <w:sz w:val="24"/>
        </w:rPr>
        <w:fldChar w:fldCharType="end"/>
      </w:r>
      <w:r>
        <w:rPr>
          <w:rFonts w:ascii="Times New Roman" w:hAnsi="Times New Roman"/>
          <w:color w:val="auto"/>
          <w:sz w:val="24"/>
        </w:rPr>
        <w:fldChar w:fldCharType="end"/>
      </w:r>
    </w:p>
    <w:p w14:paraId="17933435">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_Toc26031 </w:instrText>
      </w:r>
      <w:r>
        <w:rPr>
          <w:rFonts w:ascii="Times New Roman" w:hAnsi="Times New Roman"/>
          <w:color w:val="auto"/>
          <w:sz w:val="24"/>
        </w:rPr>
        <w:fldChar w:fldCharType="separate"/>
      </w:r>
      <w:r>
        <w:rPr>
          <w:rFonts w:hint="eastAsia" w:ascii="Times New Roman" w:hAnsi="Times New Roman"/>
          <w:color w:val="auto"/>
          <w:sz w:val="24"/>
          <w:lang w:val="en-US" w:eastAsia="zh-CN"/>
        </w:rPr>
        <w:t>1.2.4 建设项目技术文件</w:t>
      </w:r>
      <w:r>
        <w:rPr>
          <w:color w:val="auto"/>
          <w:sz w:val="24"/>
        </w:rPr>
        <w:tab/>
      </w:r>
      <w:r>
        <w:rPr>
          <w:color w:val="auto"/>
          <w:sz w:val="24"/>
        </w:rPr>
        <w:fldChar w:fldCharType="begin"/>
      </w:r>
      <w:r>
        <w:rPr>
          <w:color w:val="auto"/>
          <w:sz w:val="24"/>
        </w:rPr>
        <w:instrText xml:space="preserve"> PAGEREF _Toc26031 \h </w:instrText>
      </w:r>
      <w:r>
        <w:rPr>
          <w:color w:val="auto"/>
          <w:sz w:val="24"/>
        </w:rPr>
        <w:fldChar w:fldCharType="separate"/>
      </w:r>
      <w:r>
        <w:rPr>
          <w:color w:val="auto"/>
          <w:sz w:val="24"/>
        </w:rPr>
        <w:t>14</w:t>
      </w:r>
      <w:r>
        <w:rPr>
          <w:color w:val="auto"/>
          <w:sz w:val="24"/>
        </w:rPr>
        <w:fldChar w:fldCharType="end"/>
      </w:r>
      <w:r>
        <w:rPr>
          <w:rFonts w:ascii="Times New Roman" w:hAnsi="Times New Roman"/>
          <w:color w:val="auto"/>
          <w:sz w:val="24"/>
        </w:rPr>
        <w:fldChar w:fldCharType="end"/>
      </w:r>
    </w:p>
    <w:p w14:paraId="4D624D45">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_Toc22011 </w:instrText>
      </w:r>
      <w:r>
        <w:rPr>
          <w:rFonts w:ascii="Times New Roman" w:hAnsi="Times New Roman"/>
          <w:color w:val="auto"/>
          <w:sz w:val="24"/>
        </w:rPr>
        <w:fldChar w:fldCharType="separate"/>
      </w:r>
      <w:r>
        <w:rPr>
          <w:rFonts w:hint="eastAsia" w:ascii="Times New Roman" w:hAnsi="Times New Roman"/>
          <w:color w:val="auto"/>
          <w:sz w:val="24"/>
          <w:lang w:val="en-US" w:eastAsia="zh-CN"/>
        </w:rPr>
        <w:t>1.2.5 其它评价依据</w:t>
      </w:r>
      <w:r>
        <w:rPr>
          <w:color w:val="auto"/>
          <w:sz w:val="24"/>
        </w:rPr>
        <w:tab/>
      </w:r>
      <w:r>
        <w:rPr>
          <w:color w:val="auto"/>
          <w:sz w:val="24"/>
        </w:rPr>
        <w:fldChar w:fldCharType="begin"/>
      </w:r>
      <w:r>
        <w:rPr>
          <w:color w:val="auto"/>
          <w:sz w:val="24"/>
        </w:rPr>
        <w:instrText xml:space="preserve"> PAGEREF _Toc22011 \h </w:instrText>
      </w:r>
      <w:r>
        <w:rPr>
          <w:color w:val="auto"/>
          <w:sz w:val="24"/>
        </w:rPr>
        <w:fldChar w:fldCharType="separate"/>
      </w:r>
      <w:r>
        <w:rPr>
          <w:color w:val="auto"/>
          <w:sz w:val="24"/>
        </w:rPr>
        <w:t>14</w:t>
      </w:r>
      <w:r>
        <w:rPr>
          <w:color w:val="auto"/>
          <w:sz w:val="24"/>
        </w:rPr>
        <w:fldChar w:fldCharType="end"/>
      </w:r>
      <w:r>
        <w:rPr>
          <w:rFonts w:ascii="Times New Roman" w:hAnsi="Times New Roman"/>
          <w:color w:val="auto"/>
          <w:sz w:val="24"/>
        </w:rPr>
        <w:fldChar w:fldCharType="end"/>
      </w:r>
    </w:p>
    <w:p w14:paraId="631802B4">
      <w:pPr>
        <w:pStyle w:val="10"/>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_Toc18186 </w:instrText>
      </w:r>
      <w:r>
        <w:rPr>
          <w:rFonts w:ascii="Times New Roman" w:hAnsi="Times New Roman"/>
          <w:color w:val="auto"/>
          <w:sz w:val="24"/>
        </w:rPr>
        <w:fldChar w:fldCharType="separate"/>
      </w:r>
      <w:r>
        <w:rPr>
          <w:rFonts w:hint="eastAsia" w:ascii="Times New Roman" w:hAnsi="Times New Roman"/>
          <w:color w:val="auto"/>
          <w:sz w:val="24"/>
        </w:rPr>
        <w:t>2 建设项目概述</w:t>
      </w:r>
      <w:r>
        <w:rPr>
          <w:color w:val="auto"/>
          <w:sz w:val="24"/>
        </w:rPr>
        <w:tab/>
      </w:r>
      <w:r>
        <w:rPr>
          <w:color w:val="auto"/>
          <w:sz w:val="24"/>
        </w:rPr>
        <w:fldChar w:fldCharType="begin"/>
      </w:r>
      <w:r>
        <w:rPr>
          <w:color w:val="auto"/>
          <w:sz w:val="24"/>
        </w:rPr>
        <w:instrText xml:space="preserve"> PAGEREF _Toc18186 \h </w:instrText>
      </w:r>
      <w:r>
        <w:rPr>
          <w:color w:val="auto"/>
          <w:sz w:val="24"/>
        </w:rPr>
        <w:fldChar w:fldCharType="separate"/>
      </w:r>
      <w:r>
        <w:rPr>
          <w:color w:val="auto"/>
          <w:sz w:val="24"/>
        </w:rPr>
        <w:t>15</w:t>
      </w:r>
      <w:r>
        <w:rPr>
          <w:color w:val="auto"/>
          <w:sz w:val="24"/>
        </w:rPr>
        <w:fldChar w:fldCharType="end"/>
      </w:r>
      <w:r>
        <w:rPr>
          <w:rFonts w:ascii="Times New Roman" w:hAnsi="Times New Roman"/>
          <w:color w:val="auto"/>
          <w:sz w:val="24"/>
        </w:rPr>
        <w:fldChar w:fldCharType="end"/>
      </w:r>
    </w:p>
    <w:p w14:paraId="52017D9B">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_Toc23542 </w:instrText>
      </w:r>
      <w:r>
        <w:rPr>
          <w:rFonts w:ascii="Times New Roman" w:hAnsi="Times New Roman"/>
          <w:color w:val="auto"/>
          <w:sz w:val="24"/>
        </w:rPr>
        <w:fldChar w:fldCharType="separate"/>
      </w:r>
      <w:r>
        <w:rPr>
          <w:rFonts w:hint="eastAsia" w:ascii="Times New Roman" w:hAnsi="Times New Roman"/>
          <w:color w:val="auto"/>
          <w:sz w:val="24"/>
        </w:rPr>
        <w:t>2.1 建设单位概况</w:t>
      </w:r>
      <w:r>
        <w:rPr>
          <w:color w:val="auto"/>
          <w:sz w:val="24"/>
        </w:rPr>
        <w:tab/>
      </w:r>
      <w:r>
        <w:rPr>
          <w:color w:val="auto"/>
          <w:sz w:val="24"/>
        </w:rPr>
        <w:fldChar w:fldCharType="begin"/>
      </w:r>
      <w:r>
        <w:rPr>
          <w:color w:val="auto"/>
          <w:sz w:val="24"/>
        </w:rPr>
        <w:instrText xml:space="preserve"> PAGEREF _Toc23542 \h </w:instrText>
      </w:r>
      <w:r>
        <w:rPr>
          <w:color w:val="auto"/>
          <w:sz w:val="24"/>
        </w:rPr>
        <w:fldChar w:fldCharType="separate"/>
      </w:r>
      <w:r>
        <w:rPr>
          <w:color w:val="auto"/>
          <w:sz w:val="24"/>
        </w:rPr>
        <w:t>15</w:t>
      </w:r>
      <w:r>
        <w:rPr>
          <w:color w:val="auto"/>
          <w:sz w:val="24"/>
        </w:rPr>
        <w:fldChar w:fldCharType="end"/>
      </w:r>
      <w:r>
        <w:rPr>
          <w:rFonts w:ascii="Times New Roman" w:hAnsi="Times New Roman"/>
          <w:color w:val="auto"/>
          <w:sz w:val="24"/>
        </w:rPr>
        <w:fldChar w:fldCharType="end"/>
      </w:r>
    </w:p>
    <w:p w14:paraId="0CE63F64">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_Toc6939 </w:instrText>
      </w:r>
      <w:r>
        <w:rPr>
          <w:rFonts w:ascii="Times New Roman" w:hAnsi="Times New Roman"/>
          <w:color w:val="auto"/>
          <w:sz w:val="24"/>
        </w:rPr>
        <w:fldChar w:fldCharType="separate"/>
      </w:r>
      <w:r>
        <w:rPr>
          <w:rFonts w:hint="eastAsia" w:ascii="Times New Roman" w:hAnsi="Times New Roman"/>
          <w:color w:val="auto"/>
          <w:sz w:val="24"/>
        </w:rPr>
        <w:t>2.1.1 建设单位简介</w:t>
      </w:r>
      <w:r>
        <w:rPr>
          <w:color w:val="auto"/>
          <w:sz w:val="24"/>
        </w:rPr>
        <w:tab/>
      </w:r>
      <w:r>
        <w:rPr>
          <w:color w:val="auto"/>
          <w:sz w:val="24"/>
        </w:rPr>
        <w:fldChar w:fldCharType="begin"/>
      </w:r>
      <w:r>
        <w:rPr>
          <w:color w:val="auto"/>
          <w:sz w:val="24"/>
        </w:rPr>
        <w:instrText xml:space="preserve"> PAGEREF _Toc6939 \h </w:instrText>
      </w:r>
      <w:r>
        <w:rPr>
          <w:color w:val="auto"/>
          <w:sz w:val="24"/>
        </w:rPr>
        <w:fldChar w:fldCharType="separate"/>
      </w:r>
      <w:r>
        <w:rPr>
          <w:color w:val="auto"/>
          <w:sz w:val="24"/>
        </w:rPr>
        <w:t>15</w:t>
      </w:r>
      <w:r>
        <w:rPr>
          <w:color w:val="auto"/>
          <w:sz w:val="24"/>
        </w:rPr>
        <w:fldChar w:fldCharType="end"/>
      </w:r>
      <w:r>
        <w:rPr>
          <w:rFonts w:ascii="Times New Roman" w:hAnsi="Times New Roman"/>
          <w:color w:val="auto"/>
          <w:sz w:val="24"/>
        </w:rPr>
        <w:fldChar w:fldCharType="end"/>
      </w:r>
    </w:p>
    <w:p w14:paraId="0335022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_Toc353 </w:instrText>
      </w:r>
      <w:r>
        <w:rPr>
          <w:rFonts w:ascii="Times New Roman" w:hAnsi="Times New Roman"/>
          <w:color w:val="auto"/>
          <w:sz w:val="24"/>
        </w:rPr>
        <w:fldChar w:fldCharType="separate"/>
      </w:r>
      <w:r>
        <w:rPr>
          <w:rFonts w:hint="eastAsia" w:ascii="Times New Roman" w:hAnsi="Times New Roman"/>
          <w:color w:val="auto"/>
          <w:sz w:val="24"/>
        </w:rPr>
        <w:t>2.1.</w:t>
      </w:r>
      <w:r>
        <w:rPr>
          <w:rFonts w:hint="eastAsia" w:ascii="Times New Roman" w:hAnsi="Times New Roman"/>
          <w:color w:val="auto"/>
          <w:sz w:val="24"/>
          <w:lang w:val="en-US" w:eastAsia="zh-CN"/>
        </w:rPr>
        <w:t>2</w:t>
      </w:r>
      <w:r>
        <w:rPr>
          <w:rFonts w:hint="eastAsia" w:ascii="Times New Roman" w:hAnsi="Times New Roman"/>
          <w:color w:val="auto"/>
          <w:sz w:val="24"/>
        </w:rPr>
        <w:t xml:space="preserve"> </w:t>
      </w:r>
      <w:r>
        <w:rPr>
          <w:rFonts w:hint="eastAsia" w:ascii="Times New Roman" w:hAnsi="Times New Roman"/>
          <w:color w:val="auto"/>
          <w:sz w:val="24"/>
          <w:lang w:val="en-US" w:eastAsia="zh-CN"/>
        </w:rPr>
        <w:t>矿区</w:t>
      </w:r>
      <w:r>
        <w:rPr>
          <w:rFonts w:hint="eastAsia" w:ascii="Times New Roman" w:hAnsi="Times New Roman"/>
          <w:color w:val="auto"/>
          <w:sz w:val="24"/>
        </w:rPr>
        <w:t>地理位置及交通情况</w:t>
      </w:r>
      <w:r>
        <w:rPr>
          <w:color w:val="auto"/>
          <w:sz w:val="24"/>
        </w:rPr>
        <w:tab/>
      </w:r>
      <w:r>
        <w:rPr>
          <w:color w:val="auto"/>
          <w:sz w:val="24"/>
        </w:rPr>
        <w:fldChar w:fldCharType="begin"/>
      </w:r>
      <w:r>
        <w:rPr>
          <w:color w:val="auto"/>
          <w:sz w:val="24"/>
        </w:rPr>
        <w:instrText xml:space="preserve"> PAGEREF _Toc353 \h </w:instrText>
      </w:r>
      <w:r>
        <w:rPr>
          <w:color w:val="auto"/>
          <w:sz w:val="24"/>
        </w:rPr>
        <w:fldChar w:fldCharType="separate"/>
      </w:r>
      <w:r>
        <w:rPr>
          <w:color w:val="auto"/>
          <w:sz w:val="24"/>
        </w:rPr>
        <w:t>17</w:t>
      </w:r>
      <w:r>
        <w:rPr>
          <w:color w:val="auto"/>
          <w:sz w:val="24"/>
        </w:rPr>
        <w:fldChar w:fldCharType="end"/>
      </w:r>
      <w:r>
        <w:rPr>
          <w:rFonts w:ascii="Times New Roman" w:hAnsi="Times New Roman"/>
          <w:color w:val="auto"/>
          <w:sz w:val="24"/>
        </w:rPr>
        <w:fldChar w:fldCharType="end"/>
      </w:r>
    </w:p>
    <w:p w14:paraId="28B0B33D">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_Toc19228 </w:instrText>
      </w:r>
      <w:r>
        <w:rPr>
          <w:rFonts w:ascii="Times New Roman" w:hAnsi="Times New Roman"/>
          <w:color w:val="auto"/>
          <w:sz w:val="24"/>
        </w:rPr>
        <w:fldChar w:fldCharType="separate"/>
      </w:r>
      <w:r>
        <w:rPr>
          <w:rFonts w:hint="eastAsia" w:ascii="Times New Roman" w:hAnsi="Times New Roman"/>
          <w:color w:val="auto"/>
          <w:sz w:val="24"/>
        </w:rPr>
        <w:t>2.1.3</w:t>
      </w:r>
      <w:r>
        <w:rPr>
          <w:rFonts w:hint="eastAsia" w:ascii="Times New Roman" w:hAnsi="Times New Roman"/>
          <w:color w:val="auto"/>
          <w:sz w:val="24"/>
          <w:lang w:val="en-US" w:eastAsia="zh-CN"/>
        </w:rPr>
        <w:t xml:space="preserve"> </w:t>
      </w:r>
      <w:r>
        <w:rPr>
          <w:rFonts w:hint="eastAsia" w:ascii="Times New Roman" w:hAnsi="Times New Roman"/>
          <w:color w:val="auto"/>
          <w:sz w:val="24"/>
        </w:rPr>
        <w:t>建设项目背景</w:t>
      </w:r>
      <w:r>
        <w:rPr>
          <w:color w:val="auto"/>
          <w:sz w:val="24"/>
        </w:rPr>
        <w:tab/>
      </w:r>
      <w:r>
        <w:rPr>
          <w:color w:val="auto"/>
          <w:sz w:val="24"/>
        </w:rPr>
        <w:fldChar w:fldCharType="begin"/>
      </w:r>
      <w:r>
        <w:rPr>
          <w:color w:val="auto"/>
          <w:sz w:val="24"/>
        </w:rPr>
        <w:instrText xml:space="preserve"> PAGEREF _Toc19228 \h </w:instrText>
      </w:r>
      <w:r>
        <w:rPr>
          <w:color w:val="auto"/>
          <w:sz w:val="24"/>
        </w:rPr>
        <w:fldChar w:fldCharType="separate"/>
      </w:r>
      <w:r>
        <w:rPr>
          <w:color w:val="auto"/>
          <w:sz w:val="24"/>
        </w:rPr>
        <w:t>17</w:t>
      </w:r>
      <w:r>
        <w:rPr>
          <w:color w:val="auto"/>
          <w:sz w:val="24"/>
        </w:rPr>
        <w:fldChar w:fldCharType="end"/>
      </w:r>
      <w:r>
        <w:rPr>
          <w:rFonts w:ascii="Times New Roman" w:hAnsi="Times New Roman"/>
          <w:color w:val="auto"/>
          <w:sz w:val="24"/>
        </w:rPr>
        <w:fldChar w:fldCharType="end"/>
      </w:r>
    </w:p>
    <w:p w14:paraId="10D281C9">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_Toc309 </w:instrText>
      </w:r>
      <w:r>
        <w:rPr>
          <w:rFonts w:ascii="Times New Roman" w:hAnsi="Times New Roman"/>
          <w:color w:val="auto"/>
          <w:sz w:val="24"/>
        </w:rPr>
        <w:fldChar w:fldCharType="separate"/>
      </w:r>
      <w:r>
        <w:rPr>
          <w:rFonts w:hint="eastAsia" w:ascii="Times New Roman" w:hAnsi="Times New Roman"/>
          <w:color w:val="auto"/>
          <w:sz w:val="24"/>
        </w:rPr>
        <w:t xml:space="preserve">2.1.4 </w:t>
      </w:r>
      <w:r>
        <w:rPr>
          <w:rFonts w:hint="eastAsia" w:ascii="Times New Roman" w:hAnsi="Times New Roman"/>
          <w:color w:val="auto"/>
          <w:sz w:val="24"/>
          <w:lang w:val="en-US" w:eastAsia="zh-CN"/>
        </w:rPr>
        <w:t>矿山</w:t>
      </w:r>
      <w:r>
        <w:rPr>
          <w:rFonts w:hint="eastAsia" w:ascii="Times New Roman" w:hAnsi="Times New Roman"/>
          <w:color w:val="auto"/>
          <w:sz w:val="24"/>
        </w:rPr>
        <w:t>周边环境</w:t>
      </w:r>
      <w:r>
        <w:rPr>
          <w:color w:val="auto"/>
          <w:sz w:val="24"/>
        </w:rPr>
        <w:tab/>
      </w:r>
      <w:r>
        <w:rPr>
          <w:color w:val="auto"/>
          <w:sz w:val="24"/>
        </w:rPr>
        <w:fldChar w:fldCharType="begin"/>
      </w:r>
      <w:r>
        <w:rPr>
          <w:color w:val="auto"/>
          <w:sz w:val="24"/>
        </w:rPr>
        <w:instrText xml:space="preserve"> PAGEREF _Toc309 \h </w:instrText>
      </w:r>
      <w:r>
        <w:rPr>
          <w:color w:val="auto"/>
          <w:sz w:val="24"/>
        </w:rPr>
        <w:fldChar w:fldCharType="separate"/>
      </w:r>
      <w:r>
        <w:rPr>
          <w:color w:val="auto"/>
          <w:sz w:val="24"/>
        </w:rPr>
        <w:t>19</w:t>
      </w:r>
      <w:r>
        <w:rPr>
          <w:color w:val="auto"/>
          <w:sz w:val="24"/>
        </w:rPr>
        <w:fldChar w:fldCharType="end"/>
      </w:r>
      <w:r>
        <w:rPr>
          <w:rFonts w:ascii="Times New Roman" w:hAnsi="Times New Roman"/>
          <w:color w:val="auto"/>
          <w:sz w:val="24"/>
        </w:rPr>
        <w:fldChar w:fldCharType="end"/>
      </w:r>
    </w:p>
    <w:p w14:paraId="29D96195">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_Toc19011 </w:instrText>
      </w:r>
      <w:r>
        <w:rPr>
          <w:rFonts w:ascii="Times New Roman" w:hAnsi="Times New Roman"/>
          <w:color w:val="auto"/>
          <w:sz w:val="24"/>
        </w:rPr>
        <w:fldChar w:fldCharType="separate"/>
      </w:r>
      <w:r>
        <w:rPr>
          <w:rFonts w:hint="eastAsia" w:ascii="Times New Roman" w:hAnsi="Times New Roman"/>
          <w:color w:val="auto"/>
          <w:sz w:val="24"/>
        </w:rPr>
        <w:t>2.2 自然环境</w:t>
      </w:r>
      <w:r>
        <w:rPr>
          <w:rFonts w:hint="eastAsia" w:ascii="Times New Roman" w:hAnsi="Times New Roman"/>
          <w:color w:val="auto"/>
          <w:sz w:val="24"/>
          <w:lang w:val="en-US" w:eastAsia="zh-CN"/>
        </w:rPr>
        <w:t>概况</w:t>
      </w:r>
      <w:r>
        <w:rPr>
          <w:color w:val="auto"/>
          <w:sz w:val="24"/>
        </w:rPr>
        <w:tab/>
      </w:r>
      <w:r>
        <w:rPr>
          <w:color w:val="auto"/>
          <w:sz w:val="24"/>
        </w:rPr>
        <w:fldChar w:fldCharType="begin"/>
      </w:r>
      <w:r>
        <w:rPr>
          <w:color w:val="auto"/>
          <w:sz w:val="24"/>
        </w:rPr>
        <w:instrText xml:space="preserve"> PAGEREF _Toc19011 \h </w:instrText>
      </w:r>
      <w:r>
        <w:rPr>
          <w:color w:val="auto"/>
          <w:sz w:val="24"/>
        </w:rPr>
        <w:fldChar w:fldCharType="separate"/>
      </w:r>
      <w:r>
        <w:rPr>
          <w:color w:val="auto"/>
          <w:sz w:val="24"/>
        </w:rPr>
        <w:t>20</w:t>
      </w:r>
      <w:r>
        <w:rPr>
          <w:color w:val="auto"/>
          <w:sz w:val="24"/>
        </w:rPr>
        <w:fldChar w:fldCharType="end"/>
      </w:r>
      <w:r>
        <w:rPr>
          <w:rFonts w:ascii="Times New Roman" w:hAnsi="Times New Roman"/>
          <w:color w:val="auto"/>
          <w:sz w:val="24"/>
        </w:rPr>
        <w:fldChar w:fldCharType="end"/>
      </w:r>
    </w:p>
    <w:p w14:paraId="76601F81">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_Toc32123 </w:instrText>
      </w:r>
      <w:r>
        <w:rPr>
          <w:rFonts w:ascii="Times New Roman" w:hAnsi="Times New Roman"/>
          <w:color w:val="auto"/>
          <w:sz w:val="24"/>
        </w:rPr>
        <w:fldChar w:fldCharType="separate"/>
      </w:r>
      <w:r>
        <w:rPr>
          <w:rFonts w:hint="eastAsia" w:ascii="Times New Roman" w:hAnsi="Times New Roman"/>
          <w:color w:val="auto"/>
          <w:sz w:val="24"/>
          <w:lang w:val="en-US" w:eastAsia="zh-CN"/>
        </w:rPr>
        <w:t>2.3 建设项目</w:t>
      </w:r>
      <w:r>
        <w:rPr>
          <w:rFonts w:hint="eastAsia" w:ascii="Times New Roman" w:hAnsi="Times New Roman"/>
          <w:color w:val="auto"/>
          <w:sz w:val="24"/>
        </w:rPr>
        <w:t>地质概况</w:t>
      </w:r>
      <w:r>
        <w:rPr>
          <w:color w:val="auto"/>
          <w:sz w:val="24"/>
        </w:rPr>
        <w:tab/>
      </w:r>
      <w:r>
        <w:rPr>
          <w:color w:val="auto"/>
          <w:sz w:val="24"/>
        </w:rPr>
        <w:fldChar w:fldCharType="begin"/>
      </w:r>
      <w:r>
        <w:rPr>
          <w:color w:val="auto"/>
          <w:sz w:val="24"/>
        </w:rPr>
        <w:instrText xml:space="preserve"> PAGEREF _Toc32123 \h </w:instrText>
      </w:r>
      <w:r>
        <w:rPr>
          <w:color w:val="auto"/>
          <w:sz w:val="24"/>
        </w:rPr>
        <w:fldChar w:fldCharType="separate"/>
      </w:r>
      <w:r>
        <w:rPr>
          <w:color w:val="auto"/>
          <w:sz w:val="24"/>
        </w:rPr>
        <w:t>22</w:t>
      </w:r>
      <w:r>
        <w:rPr>
          <w:color w:val="auto"/>
          <w:sz w:val="24"/>
        </w:rPr>
        <w:fldChar w:fldCharType="end"/>
      </w:r>
      <w:r>
        <w:rPr>
          <w:rFonts w:ascii="Times New Roman" w:hAnsi="Times New Roman"/>
          <w:color w:val="auto"/>
          <w:sz w:val="24"/>
        </w:rPr>
        <w:fldChar w:fldCharType="end"/>
      </w:r>
    </w:p>
    <w:p w14:paraId="13452341">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_Toc1879 </w:instrText>
      </w:r>
      <w:r>
        <w:rPr>
          <w:rFonts w:ascii="Times New Roman" w:hAnsi="Times New Roman"/>
          <w:color w:val="auto"/>
          <w:sz w:val="24"/>
        </w:rPr>
        <w:fldChar w:fldCharType="separate"/>
      </w:r>
      <w:r>
        <w:rPr>
          <w:rFonts w:hint="eastAsia" w:ascii="Times New Roman" w:hAnsi="Times New Roman"/>
          <w:color w:val="auto"/>
          <w:sz w:val="24"/>
          <w:lang w:val="en-US" w:eastAsia="zh-CN"/>
        </w:rPr>
        <w:t xml:space="preserve">2.3.1 </w:t>
      </w:r>
      <w:r>
        <w:rPr>
          <w:rFonts w:ascii="Times New Roman" w:hAnsi="Times New Roman"/>
          <w:color w:val="auto"/>
          <w:sz w:val="24"/>
        </w:rPr>
        <w:t>区域地质</w:t>
      </w:r>
      <w:r>
        <w:rPr>
          <w:color w:val="auto"/>
          <w:sz w:val="24"/>
        </w:rPr>
        <w:tab/>
      </w:r>
      <w:r>
        <w:rPr>
          <w:color w:val="auto"/>
          <w:sz w:val="24"/>
        </w:rPr>
        <w:fldChar w:fldCharType="begin"/>
      </w:r>
      <w:r>
        <w:rPr>
          <w:color w:val="auto"/>
          <w:sz w:val="24"/>
        </w:rPr>
        <w:instrText xml:space="preserve"> PAGEREF _Toc1879 \h </w:instrText>
      </w:r>
      <w:r>
        <w:rPr>
          <w:color w:val="auto"/>
          <w:sz w:val="24"/>
        </w:rPr>
        <w:fldChar w:fldCharType="separate"/>
      </w:r>
      <w:r>
        <w:rPr>
          <w:color w:val="auto"/>
          <w:sz w:val="24"/>
        </w:rPr>
        <w:t>22</w:t>
      </w:r>
      <w:r>
        <w:rPr>
          <w:color w:val="auto"/>
          <w:sz w:val="24"/>
        </w:rPr>
        <w:fldChar w:fldCharType="end"/>
      </w:r>
      <w:r>
        <w:rPr>
          <w:rFonts w:ascii="Times New Roman" w:hAnsi="Times New Roman"/>
          <w:color w:val="auto"/>
          <w:sz w:val="24"/>
        </w:rPr>
        <w:fldChar w:fldCharType="end"/>
      </w:r>
    </w:p>
    <w:p w14:paraId="6D09B07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_Toc21288 </w:instrText>
      </w:r>
      <w:r>
        <w:rPr>
          <w:rFonts w:ascii="Times New Roman" w:hAnsi="Times New Roman"/>
          <w:color w:val="auto"/>
          <w:sz w:val="24"/>
        </w:rPr>
        <w:fldChar w:fldCharType="separate"/>
      </w:r>
      <w:r>
        <w:rPr>
          <w:rFonts w:hint="eastAsia" w:ascii="Times New Roman" w:hAnsi="Times New Roman"/>
          <w:color w:val="auto"/>
          <w:sz w:val="24"/>
        </w:rPr>
        <w:t>2.3</w:t>
      </w:r>
      <w:r>
        <w:rPr>
          <w:rFonts w:hint="eastAsia" w:ascii="Times New Roman" w:hAnsi="Times New Roman"/>
          <w:color w:val="auto"/>
          <w:sz w:val="24"/>
          <w:lang w:val="en-US" w:eastAsia="zh-CN"/>
        </w:rPr>
        <w:t xml:space="preserve">.2 </w:t>
      </w:r>
      <w:r>
        <w:rPr>
          <w:rFonts w:hint="eastAsia" w:ascii="Times New Roman" w:hAnsi="Times New Roman"/>
          <w:color w:val="auto"/>
          <w:sz w:val="24"/>
        </w:rPr>
        <w:t>矿区地质</w:t>
      </w:r>
      <w:r>
        <w:rPr>
          <w:color w:val="auto"/>
          <w:sz w:val="24"/>
        </w:rPr>
        <w:tab/>
      </w:r>
      <w:r>
        <w:rPr>
          <w:color w:val="auto"/>
          <w:sz w:val="24"/>
        </w:rPr>
        <w:fldChar w:fldCharType="begin"/>
      </w:r>
      <w:r>
        <w:rPr>
          <w:color w:val="auto"/>
          <w:sz w:val="24"/>
        </w:rPr>
        <w:instrText xml:space="preserve"> PAGEREF _Toc21288 \h </w:instrText>
      </w:r>
      <w:r>
        <w:rPr>
          <w:color w:val="auto"/>
          <w:sz w:val="24"/>
        </w:rPr>
        <w:fldChar w:fldCharType="separate"/>
      </w:r>
      <w:r>
        <w:rPr>
          <w:color w:val="auto"/>
          <w:sz w:val="24"/>
        </w:rPr>
        <w:t>24</w:t>
      </w:r>
      <w:r>
        <w:rPr>
          <w:color w:val="auto"/>
          <w:sz w:val="24"/>
        </w:rPr>
        <w:fldChar w:fldCharType="end"/>
      </w:r>
      <w:r>
        <w:rPr>
          <w:rFonts w:ascii="Times New Roman" w:hAnsi="Times New Roman"/>
          <w:color w:val="auto"/>
          <w:sz w:val="24"/>
        </w:rPr>
        <w:fldChar w:fldCharType="end"/>
      </w:r>
    </w:p>
    <w:p w14:paraId="64B696ED">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_Toc30652 </w:instrText>
      </w:r>
      <w:r>
        <w:rPr>
          <w:rFonts w:ascii="Times New Roman" w:hAnsi="Times New Roman"/>
          <w:color w:val="auto"/>
          <w:sz w:val="24"/>
        </w:rPr>
        <w:fldChar w:fldCharType="separate"/>
      </w:r>
      <w:r>
        <w:rPr>
          <w:rFonts w:hint="eastAsia" w:ascii="Times New Roman" w:hAnsi="Times New Roman"/>
          <w:color w:val="auto"/>
          <w:sz w:val="24"/>
          <w:lang w:val="en-US" w:eastAsia="zh-CN"/>
        </w:rPr>
        <w:t xml:space="preserve">2.3.3 </w:t>
      </w:r>
      <w:r>
        <w:rPr>
          <w:rFonts w:hint="eastAsia" w:ascii="Times New Roman" w:hAnsi="Times New Roman"/>
          <w:color w:val="auto"/>
          <w:sz w:val="24"/>
        </w:rPr>
        <w:t>矿体地质</w:t>
      </w:r>
      <w:r>
        <w:rPr>
          <w:color w:val="auto"/>
          <w:sz w:val="24"/>
        </w:rPr>
        <w:tab/>
      </w:r>
      <w:r>
        <w:rPr>
          <w:color w:val="auto"/>
          <w:sz w:val="24"/>
        </w:rPr>
        <w:fldChar w:fldCharType="begin"/>
      </w:r>
      <w:r>
        <w:rPr>
          <w:color w:val="auto"/>
          <w:sz w:val="24"/>
        </w:rPr>
        <w:instrText xml:space="preserve"> PAGEREF _Toc30652 \h </w:instrText>
      </w:r>
      <w:r>
        <w:rPr>
          <w:color w:val="auto"/>
          <w:sz w:val="24"/>
        </w:rPr>
        <w:fldChar w:fldCharType="separate"/>
      </w:r>
      <w:r>
        <w:rPr>
          <w:color w:val="auto"/>
          <w:sz w:val="24"/>
        </w:rPr>
        <w:t>25</w:t>
      </w:r>
      <w:r>
        <w:rPr>
          <w:color w:val="auto"/>
          <w:sz w:val="24"/>
        </w:rPr>
        <w:fldChar w:fldCharType="end"/>
      </w:r>
      <w:r>
        <w:rPr>
          <w:rFonts w:ascii="Times New Roman" w:hAnsi="Times New Roman"/>
          <w:color w:val="auto"/>
          <w:sz w:val="24"/>
        </w:rPr>
        <w:fldChar w:fldCharType="end"/>
      </w:r>
    </w:p>
    <w:p w14:paraId="17D3B64E">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_Toc25949 </w:instrText>
      </w:r>
      <w:r>
        <w:rPr>
          <w:rFonts w:ascii="Times New Roman" w:hAnsi="Times New Roman"/>
          <w:color w:val="auto"/>
          <w:sz w:val="24"/>
        </w:rPr>
        <w:fldChar w:fldCharType="separate"/>
      </w:r>
      <w:r>
        <w:rPr>
          <w:rFonts w:hint="eastAsia" w:ascii="Times New Roman" w:hAnsi="Times New Roman"/>
          <w:color w:val="auto"/>
          <w:sz w:val="24"/>
          <w:lang w:val="en-US" w:eastAsia="zh-CN"/>
        </w:rPr>
        <w:t xml:space="preserve">2.3.4 </w:t>
      </w:r>
      <w:r>
        <w:rPr>
          <w:rFonts w:hint="eastAsia" w:ascii="Times New Roman" w:hAnsi="Times New Roman"/>
          <w:color w:val="auto"/>
          <w:sz w:val="24"/>
        </w:rPr>
        <w:t>矿石加工技术性能</w:t>
      </w:r>
      <w:r>
        <w:rPr>
          <w:color w:val="auto"/>
          <w:sz w:val="24"/>
        </w:rPr>
        <w:tab/>
      </w:r>
      <w:r>
        <w:rPr>
          <w:color w:val="auto"/>
          <w:sz w:val="24"/>
        </w:rPr>
        <w:fldChar w:fldCharType="begin"/>
      </w:r>
      <w:r>
        <w:rPr>
          <w:color w:val="auto"/>
          <w:sz w:val="24"/>
        </w:rPr>
        <w:instrText xml:space="preserve"> PAGEREF _Toc25949 \h </w:instrText>
      </w:r>
      <w:r>
        <w:rPr>
          <w:color w:val="auto"/>
          <w:sz w:val="24"/>
        </w:rPr>
        <w:fldChar w:fldCharType="separate"/>
      </w:r>
      <w:r>
        <w:rPr>
          <w:color w:val="auto"/>
          <w:sz w:val="24"/>
        </w:rPr>
        <w:t>26</w:t>
      </w:r>
      <w:r>
        <w:rPr>
          <w:color w:val="auto"/>
          <w:sz w:val="24"/>
        </w:rPr>
        <w:fldChar w:fldCharType="end"/>
      </w:r>
      <w:r>
        <w:rPr>
          <w:rFonts w:ascii="Times New Roman" w:hAnsi="Times New Roman"/>
          <w:color w:val="auto"/>
          <w:sz w:val="24"/>
        </w:rPr>
        <w:fldChar w:fldCharType="end"/>
      </w:r>
    </w:p>
    <w:p w14:paraId="3A0D448C">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_Toc28687 </w:instrText>
      </w:r>
      <w:r>
        <w:rPr>
          <w:rFonts w:ascii="Times New Roman" w:hAnsi="Times New Roman"/>
          <w:color w:val="auto"/>
          <w:sz w:val="24"/>
        </w:rPr>
        <w:fldChar w:fldCharType="separate"/>
      </w:r>
      <w:r>
        <w:rPr>
          <w:rFonts w:hint="eastAsia" w:ascii="Times New Roman" w:hAnsi="Times New Roman"/>
          <w:color w:val="auto"/>
          <w:sz w:val="24"/>
          <w:lang w:val="en-US" w:eastAsia="zh-CN"/>
        </w:rPr>
        <w:t xml:space="preserve">2.3.5 </w:t>
      </w:r>
      <w:r>
        <w:rPr>
          <w:rFonts w:hint="eastAsia" w:ascii="Times New Roman" w:hAnsi="Times New Roman"/>
          <w:color w:val="auto"/>
          <w:sz w:val="24"/>
        </w:rPr>
        <w:t>开采技术条件</w:t>
      </w:r>
      <w:r>
        <w:rPr>
          <w:color w:val="auto"/>
          <w:sz w:val="24"/>
        </w:rPr>
        <w:tab/>
      </w:r>
      <w:r>
        <w:rPr>
          <w:color w:val="auto"/>
          <w:sz w:val="24"/>
        </w:rPr>
        <w:fldChar w:fldCharType="begin"/>
      </w:r>
      <w:r>
        <w:rPr>
          <w:color w:val="auto"/>
          <w:sz w:val="24"/>
        </w:rPr>
        <w:instrText xml:space="preserve"> PAGEREF _Toc28687 \h </w:instrText>
      </w:r>
      <w:r>
        <w:rPr>
          <w:color w:val="auto"/>
          <w:sz w:val="24"/>
        </w:rPr>
        <w:fldChar w:fldCharType="separate"/>
      </w:r>
      <w:r>
        <w:rPr>
          <w:color w:val="auto"/>
          <w:sz w:val="24"/>
        </w:rPr>
        <w:t>26</w:t>
      </w:r>
      <w:r>
        <w:rPr>
          <w:color w:val="auto"/>
          <w:sz w:val="24"/>
        </w:rPr>
        <w:fldChar w:fldCharType="end"/>
      </w:r>
      <w:r>
        <w:rPr>
          <w:rFonts w:ascii="Times New Roman" w:hAnsi="Times New Roman"/>
          <w:color w:val="auto"/>
          <w:sz w:val="24"/>
        </w:rPr>
        <w:fldChar w:fldCharType="end"/>
      </w:r>
    </w:p>
    <w:p w14:paraId="686D3DB0">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_Toc25636 </w:instrText>
      </w:r>
      <w:r>
        <w:rPr>
          <w:rFonts w:ascii="Times New Roman" w:hAnsi="Times New Roman"/>
          <w:color w:val="auto"/>
          <w:sz w:val="24"/>
        </w:rPr>
        <w:fldChar w:fldCharType="separate"/>
      </w:r>
      <w:r>
        <w:rPr>
          <w:rFonts w:hint="eastAsia" w:ascii="Times New Roman" w:hAnsi="Times New Roman"/>
          <w:color w:val="auto"/>
          <w:sz w:val="24"/>
          <w:lang w:val="en-US" w:eastAsia="zh-CN"/>
        </w:rPr>
        <w:t>2.4 工程</w:t>
      </w:r>
      <w:r>
        <w:rPr>
          <w:rFonts w:hint="eastAsia" w:ascii="Times New Roman" w:hAnsi="Times New Roman"/>
          <w:color w:val="auto"/>
          <w:sz w:val="24"/>
        </w:rPr>
        <w:t>建设方案概况</w:t>
      </w:r>
      <w:r>
        <w:rPr>
          <w:color w:val="auto"/>
          <w:sz w:val="24"/>
        </w:rPr>
        <w:tab/>
      </w:r>
      <w:r>
        <w:rPr>
          <w:color w:val="auto"/>
          <w:sz w:val="24"/>
        </w:rPr>
        <w:fldChar w:fldCharType="begin"/>
      </w:r>
      <w:r>
        <w:rPr>
          <w:color w:val="auto"/>
          <w:sz w:val="24"/>
        </w:rPr>
        <w:instrText xml:space="preserve"> PAGEREF _Toc25636 \h </w:instrText>
      </w:r>
      <w:r>
        <w:rPr>
          <w:color w:val="auto"/>
          <w:sz w:val="24"/>
        </w:rPr>
        <w:fldChar w:fldCharType="separate"/>
      </w:r>
      <w:r>
        <w:rPr>
          <w:color w:val="auto"/>
          <w:sz w:val="24"/>
        </w:rPr>
        <w:t>31</w:t>
      </w:r>
      <w:r>
        <w:rPr>
          <w:color w:val="auto"/>
          <w:sz w:val="24"/>
        </w:rPr>
        <w:fldChar w:fldCharType="end"/>
      </w:r>
      <w:r>
        <w:rPr>
          <w:rFonts w:ascii="Times New Roman" w:hAnsi="Times New Roman"/>
          <w:color w:val="auto"/>
          <w:sz w:val="24"/>
        </w:rPr>
        <w:fldChar w:fldCharType="end"/>
      </w:r>
    </w:p>
    <w:p w14:paraId="55C6FD6F">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_Toc24213 </w:instrText>
      </w:r>
      <w:r>
        <w:rPr>
          <w:rFonts w:ascii="Times New Roman" w:hAnsi="Times New Roman"/>
          <w:color w:val="auto"/>
          <w:sz w:val="24"/>
        </w:rPr>
        <w:fldChar w:fldCharType="separate"/>
      </w:r>
      <w:r>
        <w:rPr>
          <w:rFonts w:hint="eastAsia" w:ascii="Times New Roman" w:hAnsi="Times New Roman"/>
          <w:color w:val="auto"/>
          <w:sz w:val="24"/>
          <w:lang w:val="en-US" w:eastAsia="zh-CN"/>
        </w:rPr>
        <w:t>2.4.1 矿山开采现状</w:t>
      </w:r>
      <w:r>
        <w:rPr>
          <w:color w:val="auto"/>
          <w:sz w:val="24"/>
        </w:rPr>
        <w:tab/>
      </w:r>
      <w:r>
        <w:rPr>
          <w:color w:val="auto"/>
          <w:sz w:val="24"/>
        </w:rPr>
        <w:fldChar w:fldCharType="begin"/>
      </w:r>
      <w:r>
        <w:rPr>
          <w:color w:val="auto"/>
          <w:sz w:val="24"/>
        </w:rPr>
        <w:instrText xml:space="preserve"> PAGEREF _Toc24213 \h </w:instrText>
      </w:r>
      <w:r>
        <w:rPr>
          <w:color w:val="auto"/>
          <w:sz w:val="24"/>
        </w:rPr>
        <w:fldChar w:fldCharType="separate"/>
      </w:r>
      <w:r>
        <w:rPr>
          <w:color w:val="auto"/>
          <w:sz w:val="24"/>
        </w:rPr>
        <w:t>32</w:t>
      </w:r>
      <w:r>
        <w:rPr>
          <w:color w:val="auto"/>
          <w:sz w:val="24"/>
        </w:rPr>
        <w:fldChar w:fldCharType="end"/>
      </w:r>
      <w:r>
        <w:rPr>
          <w:rFonts w:ascii="Times New Roman" w:hAnsi="Times New Roman"/>
          <w:color w:val="auto"/>
          <w:sz w:val="24"/>
        </w:rPr>
        <w:fldChar w:fldCharType="end"/>
      </w:r>
    </w:p>
    <w:p w14:paraId="352FD9EF">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_Toc29094 </w:instrText>
      </w:r>
      <w:r>
        <w:rPr>
          <w:rFonts w:ascii="Times New Roman" w:hAnsi="Times New Roman"/>
          <w:color w:val="auto"/>
          <w:sz w:val="24"/>
        </w:rPr>
        <w:fldChar w:fldCharType="separate"/>
      </w:r>
      <w:r>
        <w:rPr>
          <w:rFonts w:hint="eastAsia" w:ascii="Times New Roman" w:hAnsi="Times New Roman"/>
          <w:color w:val="auto"/>
          <w:sz w:val="24"/>
          <w:lang w:val="en-US" w:eastAsia="zh-CN"/>
        </w:rPr>
        <w:t>2.4.2 建设规模及工作制度</w:t>
      </w:r>
      <w:r>
        <w:rPr>
          <w:color w:val="auto"/>
          <w:sz w:val="24"/>
        </w:rPr>
        <w:tab/>
      </w:r>
      <w:r>
        <w:rPr>
          <w:color w:val="auto"/>
          <w:sz w:val="24"/>
        </w:rPr>
        <w:fldChar w:fldCharType="begin"/>
      </w:r>
      <w:r>
        <w:rPr>
          <w:color w:val="auto"/>
          <w:sz w:val="24"/>
        </w:rPr>
        <w:instrText xml:space="preserve"> PAGEREF _Toc29094 \h </w:instrText>
      </w:r>
      <w:r>
        <w:rPr>
          <w:color w:val="auto"/>
          <w:sz w:val="24"/>
        </w:rPr>
        <w:fldChar w:fldCharType="separate"/>
      </w:r>
      <w:r>
        <w:rPr>
          <w:color w:val="auto"/>
          <w:sz w:val="24"/>
        </w:rPr>
        <w:t>35</w:t>
      </w:r>
      <w:r>
        <w:rPr>
          <w:color w:val="auto"/>
          <w:sz w:val="24"/>
        </w:rPr>
        <w:fldChar w:fldCharType="end"/>
      </w:r>
      <w:r>
        <w:rPr>
          <w:rFonts w:ascii="Times New Roman" w:hAnsi="Times New Roman"/>
          <w:color w:val="auto"/>
          <w:sz w:val="24"/>
        </w:rPr>
        <w:fldChar w:fldCharType="end"/>
      </w:r>
    </w:p>
    <w:p w14:paraId="457DC321">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_Toc24055 </w:instrText>
      </w:r>
      <w:r>
        <w:rPr>
          <w:rFonts w:ascii="Times New Roman" w:hAnsi="Times New Roman"/>
          <w:color w:val="auto"/>
          <w:sz w:val="24"/>
        </w:rPr>
        <w:fldChar w:fldCharType="separate"/>
      </w:r>
      <w:r>
        <w:rPr>
          <w:rFonts w:hint="eastAsia" w:ascii="Times New Roman" w:hAnsi="Times New Roman"/>
          <w:color w:val="auto"/>
          <w:sz w:val="24"/>
          <w:lang w:val="en-US" w:eastAsia="zh-CN"/>
        </w:rPr>
        <w:t>2.4.3 总图运输</w:t>
      </w:r>
      <w:r>
        <w:rPr>
          <w:color w:val="auto"/>
          <w:sz w:val="24"/>
        </w:rPr>
        <w:tab/>
      </w:r>
      <w:r>
        <w:rPr>
          <w:color w:val="auto"/>
          <w:sz w:val="24"/>
        </w:rPr>
        <w:fldChar w:fldCharType="begin"/>
      </w:r>
      <w:r>
        <w:rPr>
          <w:color w:val="auto"/>
          <w:sz w:val="24"/>
        </w:rPr>
        <w:instrText xml:space="preserve"> PAGEREF _Toc24055 \h </w:instrText>
      </w:r>
      <w:r>
        <w:rPr>
          <w:color w:val="auto"/>
          <w:sz w:val="24"/>
        </w:rPr>
        <w:fldChar w:fldCharType="separate"/>
      </w:r>
      <w:r>
        <w:rPr>
          <w:color w:val="auto"/>
          <w:sz w:val="24"/>
        </w:rPr>
        <w:t>37</w:t>
      </w:r>
      <w:r>
        <w:rPr>
          <w:color w:val="auto"/>
          <w:sz w:val="24"/>
        </w:rPr>
        <w:fldChar w:fldCharType="end"/>
      </w:r>
      <w:r>
        <w:rPr>
          <w:rFonts w:ascii="Times New Roman" w:hAnsi="Times New Roman"/>
          <w:color w:val="auto"/>
          <w:sz w:val="24"/>
        </w:rPr>
        <w:fldChar w:fldCharType="end"/>
      </w:r>
    </w:p>
    <w:p w14:paraId="542B1CD6">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_Toc25189 </w:instrText>
      </w:r>
      <w:r>
        <w:rPr>
          <w:rFonts w:ascii="Times New Roman" w:hAnsi="Times New Roman"/>
          <w:color w:val="auto"/>
          <w:sz w:val="24"/>
        </w:rPr>
        <w:fldChar w:fldCharType="separate"/>
      </w:r>
      <w:r>
        <w:rPr>
          <w:rFonts w:hint="eastAsia" w:ascii="Times New Roman" w:hAnsi="Times New Roman"/>
          <w:color w:val="auto"/>
          <w:sz w:val="24"/>
          <w:lang w:val="en-US" w:eastAsia="zh-CN"/>
        </w:rPr>
        <w:t>2.4.4 开采范围</w:t>
      </w:r>
      <w:r>
        <w:rPr>
          <w:color w:val="auto"/>
          <w:sz w:val="24"/>
        </w:rPr>
        <w:tab/>
      </w:r>
      <w:r>
        <w:rPr>
          <w:color w:val="auto"/>
          <w:sz w:val="24"/>
        </w:rPr>
        <w:fldChar w:fldCharType="begin"/>
      </w:r>
      <w:r>
        <w:rPr>
          <w:color w:val="auto"/>
          <w:sz w:val="24"/>
        </w:rPr>
        <w:instrText xml:space="preserve"> PAGEREF _Toc25189 \h </w:instrText>
      </w:r>
      <w:r>
        <w:rPr>
          <w:color w:val="auto"/>
          <w:sz w:val="24"/>
        </w:rPr>
        <w:fldChar w:fldCharType="separate"/>
      </w:r>
      <w:r>
        <w:rPr>
          <w:color w:val="auto"/>
          <w:sz w:val="24"/>
        </w:rPr>
        <w:t>39</w:t>
      </w:r>
      <w:r>
        <w:rPr>
          <w:color w:val="auto"/>
          <w:sz w:val="24"/>
        </w:rPr>
        <w:fldChar w:fldCharType="end"/>
      </w:r>
      <w:r>
        <w:rPr>
          <w:rFonts w:ascii="Times New Roman" w:hAnsi="Times New Roman"/>
          <w:color w:val="auto"/>
          <w:sz w:val="24"/>
        </w:rPr>
        <w:fldChar w:fldCharType="end"/>
      </w:r>
    </w:p>
    <w:p w14:paraId="2C44C0D5">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_Toc2863 </w:instrText>
      </w:r>
      <w:r>
        <w:rPr>
          <w:rFonts w:ascii="Times New Roman" w:hAnsi="Times New Roman"/>
          <w:color w:val="auto"/>
          <w:sz w:val="24"/>
        </w:rPr>
        <w:fldChar w:fldCharType="separate"/>
      </w:r>
      <w:r>
        <w:rPr>
          <w:rFonts w:hint="eastAsia" w:ascii="Times New Roman" w:hAnsi="Times New Roman"/>
          <w:color w:val="auto"/>
          <w:sz w:val="24"/>
          <w:lang w:val="en-US" w:eastAsia="zh-CN"/>
        </w:rPr>
        <w:t>2.4.5 开拓运输</w:t>
      </w:r>
      <w:r>
        <w:rPr>
          <w:color w:val="auto"/>
          <w:sz w:val="24"/>
        </w:rPr>
        <w:tab/>
      </w:r>
      <w:r>
        <w:rPr>
          <w:color w:val="auto"/>
          <w:sz w:val="24"/>
        </w:rPr>
        <w:fldChar w:fldCharType="begin"/>
      </w:r>
      <w:r>
        <w:rPr>
          <w:color w:val="auto"/>
          <w:sz w:val="24"/>
        </w:rPr>
        <w:instrText xml:space="preserve"> PAGEREF _Toc2863 \h </w:instrText>
      </w:r>
      <w:r>
        <w:rPr>
          <w:color w:val="auto"/>
          <w:sz w:val="24"/>
        </w:rPr>
        <w:fldChar w:fldCharType="separate"/>
      </w:r>
      <w:r>
        <w:rPr>
          <w:color w:val="auto"/>
          <w:sz w:val="24"/>
        </w:rPr>
        <w:t>40</w:t>
      </w:r>
      <w:r>
        <w:rPr>
          <w:color w:val="auto"/>
          <w:sz w:val="24"/>
        </w:rPr>
        <w:fldChar w:fldCharType="end"/>
      </w:r>
      <w:r>
        <w:rPr>
          <w:rFonts w:ascii="Times New Roman" w:hAnsi="Times New Roman"/>
          <w:color w:val="auto"/>
          <w:sz w:val="24"/>
        </w:rPr>
        <w:fldChar w:fldCharType="end"/>
      </w:r>
    </w:p>
    <w:p w14:paraId="46F96106">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_Toc30726 </w:instrText>
      </w:r>
      <w:r>
        <w:rPr>
          <w:rFonts w:ascii="Times New Roman" w:hAnsi="Times New Roman"/>
          <w:color w:val="auto"/>
          <w:sz w:val="24"/>
        </w:rPr>
        <w:fldChar w:fldCharType="separate"/>
      </w:r>
      <w:r>
        <w:rPr>
          <w:rFonts w:hint="eastAsia" w:ascii="Times New Roman" w:hAnsi="Times New Roman"/>
          <w:color w:val="auto"/>
          <w:sz w:val="24"/>
          <w:lang w:val="en-US" w:eastAsia="zh-CN"/>
        </w:rPr>
        <w:t xml:space="preserve">2.4.6 </w:t>
      </w:r>
      <w:r>
        <w:rPr>
          <w:rFonts w:hint="eastAsia" w:ascii="Times New Roman" w:hAnsi="Times New Roman"/>
          <w:color w:val="auto"/>
          <w:sz w:val="24"/>
        </w:rPr>
        <w:t>采</w:t>
      </w:r>
      <w:r>
        <w:rPr>
          <w:rFonts w:hint="eastAsia" w:ascii="Times New Roman" w:hAnsi="Times New Roman"/>
          <w:color w:val="auto"/>
          <w:sz w:val="24"/>
          <w:lang w:val="en-US" w:eastAsia="zh-CN"/>
        </w:rPr>
        <w:t>矿</w:t>
      </w:r>
      <w:r>
        <w:rPr>
          <w:rFonts w:hint="eastAsia" w:ascii="Times New Roman" w:hAnsi="Times New Roman"/>
          <w:color w:val="auto"/>
          <w:sz w:val="24"/>
        </w:rPr>
        <w:t>工艺</w:t>
      </w:r>
      <w:r>
        <w:rPr>
          <w:color w:val="auto"/>
          <w:sz w:val="24"/>
        </w:rPr>
        <w:tab/>
      </w:r>
      <w:r>
        <w:rPr>
          <w:color w:val="auto"/>
          <w:sz w:val="24"/>
        </w:rPr>
        <w:fldChar w:fldCharType="begin"/>
      </w:r>
      <w:r>
        <w:rPr>
          <w:color w:val="auto"/>
          <w:sz w:val="24"/>
        </w:rPr>
        <w:instrText xml:space="preserve"> PAGEREF _Toc30726 \h </w:instrText>
      </w:r>
      <w:r>
        <w:rPr>
          <w:color w:val="auto"/>
          <w:sz w:val="24"/>
        </w:rPr>
        <w:fldChar w:fldCharType="separate"/>
      </w:r>
      <w:r>
        <w:rPr>
          <w:color w:val="auto"/>
          <w:sz w:val="24"/>
        </w:rPr>
        <w:t>42</w:t>
      </w:r>
      <w:r>
        <w:rPr>
          <w:color w:val="auto"/>
          <w:sz w:val="24"/>
        </w:rPr>
        <w:fldChar w:fldCharType="end"/>
      </w:r>
      <w:r>
        <w:rPr>
          <w:rFonts w:ascii="Times New Roman" w:hAnsi="Times New Roman"/>
          <w:color w:val="auto"/>
          <w:sz w:val="24"/>
        </w:rPr>
        <w:fldChar w:fldCharType="end"/>
      </w:r>
    </w:p>
    <w:p w14:paraId="626F2321">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_Toc8081 </w:instrText>
      </w:r>
      <w:r>
        <w:rPr>
          <w:rFonts w:ascii="Times New Roman" w:hAnsi="Times New Roman"/>
          <w:color w:val="auto"/>
          <w:sz w:val="24"/>
        </w:rPr>
        <w:fldChar w:fldCharType="separate"/>
      </w:r>
      <w:r>
        <w:rPr>
          <w:rFonts w:hint="eastAsia" w:ascii="Times New Roman" w:hAnsi="Times New Roman"/>
          <w:color w:val="auto"/>
          <w:sz w:val="24"/>
          <w:lang w:val="en-US" w:eastAsia="zh-CN"/>
        </w:rPr>
        <w:t>2.4.7 通风防尘系统</w:t>
      </w:r>
      <w:r>
        <w:rPr>
          <w:color w:val="auto"/>
          <w:sz w:val="24"/>
        </w:rPr>
        <w:tab/>
      </w:r>
      <w:r>
        <w:rPr>
          <w:color w:val="auto"/>
          <w:sz w:val="24"/>
        </w:rPr>
        <w:fldChar w:fldCharType="begin"/>
      </w:r>
      <w:r>
        <w:rPr>
          <w:color w:val="auto"/>
          <w:sz w:val="24"/>
        </w:rPr>
        <w:instrText xml:space="preserve"> PAGEREF _Toc8081 \h </w:instrText>
      </w:r>
      <w:r>
        <w:rPr>
          <w:color w:val="auto"/>
          <w:sz w:val="24"/>
        </w:rPr>
        <w:fldChar w:fldCharType="separate"/>
      </w:r>
      <w:r>
        <w:rPr>
          <w:color w:val="auto"/>
          <w:sz w:val="24"/>
        </w:rPr>
        <w:t>50</w:t>
      </w:r>
      <w:r>
        <w:rPr>
          <w:color w:val="auto"/>
          <w:sz w:val="24"/>
        </w:rPr>
        <w:fldChar w:fldCharType="end"/>
      </w:r>
      <w:r>
        <w:rPr>
          <w:rFonts w:ascii="Times New Roman" w:hAnsi="Times New Roman"/>
          <w:color w:val="auto"/>
          <w:sz w:val="24"/>
        </w:rPr>
        <w:fldChar w:fldCharType="end"/>
      </w:r>
    </w:p>
    <w:p w14:paraId="3D14F39E">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_Toc13229 </w:instrText>
      </w:r>
      <w:r>
        <w:rPr>
          <w:rFonts w:ascii="Times New Roman" w:hAnsi="Times New Roman"/>
          <w:color w:val="auto"/>
          <w:sz w:val="24"/>
        </w:rPr>
        <w:fldChar w:fldCharType="separate"/>
      </w:r>
      <w:r>
        <w:rPr>
          <w:rFonts w:hint="eastAsia" w:ascii="Times New Roman" w:hAnsi="Times New Roman"/>
          <w:color w:val="auto"/>
          <w:sz w:val="24"/>
          <w:lang w:val="en-US" w:eastAsia="zh-CN"/>
        </w:rPr>
        <w:t>2.4.8 矿山供配电设施</w:t>
      </w:r>
      <w:r>
        <w:rPr>
          <w:color w:val="auto"/>
          <w:sz w:val="24"/>
        </w:rPr>
        <w:tab/>
      </w:r>
      <w:r>
        <w:rPr>
          <w:color w:val="auto"/>
          <w:sz w:val="24"/>
        </w:rPr>
        <w:fldChar w:fldCharType="begin"/>
      </w:r>
      <w:r>
        <w:rPr>
          <w:color w:val="auto"/>
          <w:sz w:val="24"/>
        </w:rPr>
        <w:instrText xml:space="preserve"> PAGEREF _Toc13229 \h </w:instrText>
      </w:r>
      <w:r>
        <w:rPr>
          <w:color w:val="auto"/>
          <w:sz w:val="24"/>
        </w:rPr>
        <w:fldChar w:fldCharType="separate"/>
      </w:r>
      <w:r>
        <w:rPr>
          <w:color w:val="auto"/>
          <w:sz w:val="24"/>
        </w:rPr>
        <w:t>50</w:t>
      </w:r>
      <w:r>
        <w:rPr>
          <w:color w:val="auto"/>
          <w:sz w:val="24"/>
        </w:rPr>
        <w:fldChar w:fldCharType="end"/>
      </w:r>
      <w:r>
        <w:rPr>
          <w:rFonts w:ascii="Times New Roman" w:hAnsi="Times New Roman"/>
          <w:color w:val="auto"/>
          <w:sz w:val="24"/>
        </w:rPr>
        <w:fldChar w:fldCharType="end"/>
      </w:r>
    </w:p>
    <w:p w14:paraId="4865B5C1">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_Toc6222 </w:instrText>
      </w:r>
      <w:r>
        <w:rPr>
          <w:rFonts w:ascii="Times New Roman" w:hAnsi="Times New Roman"/>
          <w:color w:val="auto"/>
          <w:sz w:val="24"/>
        </w:rPr>
        <w:fldChar w:fldCharType="separate"/>
      </w:r>
      <w:r>
        <w:rPr>
          <w:rFonts w:hint="eastAsia" w:ascii="Times New Roman" w:hAnsi="Times New Roman"/>
          <w:color w:val="auto"/>
          <w:sz w:val="24"/>
          <w:lang w:val="en-US" w:eastAsia="zh-CN"/>
        </w:rPr>
        <w:t>2.4.9 防排水系统</w:t>
      </w:r>
      <w:r>
        <w:rPr>
          <w:color w:val="auto"/>
          <w:sz w:val="24"/>
        </w:rPr>
        <w:tab/>
      </w:r>
      <w:r>
        <w:rPr>
          <w:color w:val="auto"/>
          <w:sz w:val="24"/>
        </w:rPr>
        <w:fldChar w:fldCharType="begin"/>
      </w:r>
      <w:r>
        <w:rPr>
          <w:color w:val="auto"/>
          <w:sz w:val="24"/>
        </w:rPr>
        <w:instrText xml:space="preserve"> PAGEREF _Toc6222 \h </w:instrText>
      </w:r>
      <w:r>
        <w:rPr>
          <w:color w:val="auto"/>
          <w:sz w:val="24"/>
        </w:rPr>
        <w:fldChar w:fldCharType="separate"/>
      </w:r>
      <w:r>
        <w:rPr>
          <w:color w:val="auto"/>
          <w:sz w:val="24"/>
        </w:rPr>
        <w:t>54</w:t>
      </w:r>
      <w:r>
        <w:rPr>
          <w:color w:val="auto"/>
          <w:sz w:val="24"/>
        </w:rPr>
        <w:fldChar w:fldCharType="end"/>
      </w:r>
      <w:r>
        <w:rPr>
          <w:rFonts w:ascii="Times New Roman" w:hAnsi="Times New Roman"/>
          <w:color w:val="auto"/>
          <w:sz w:val="24"/>
        </w:rPr>
        <w:fldChar w:fldCharType="end"/>
      </w:r>
    </w:p>
    <w:p w14:paraId="35F9C886">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_Toc16105 </w:instrText>
      </w:r>
      <w:r>
        <w:rPr>
          <w:rFonts w:ascii="Times New Roman" w:hAnsi="Times New Roman"/>
          <w:color w:val="auto"/>
          <w:sz w:val="24"/>
        </w:rPr>
        <w:fldChar w:fldCharType="separate"/>
      </w:r>
      <w:r>
        <w:rPr>
          <w:rFonts w:hint="eastAsia" w:ascii="Times New Roman" w:hAnsi="Times New Roman"/>
          <w:color w:val="auto"/>
          <w:sz w:val="24"/>
          <w:lang w:val="en-US" w:eastAsia="zh-CN"/>
        </w:rPr>
        <w:t>2.4.10 破碎站</w:t>
      </w:r>
      <w:r>
        <w:rPr>
          <w:color w:val="auto"/>
          <w:sz w:val="24"/>
        </w:rPr>
        <w:tab/>
      </w:r>
      <w:r>
        <w:rPr>
          <w:color w:val="auto"/>
          <w:sz w:val="24"/>
        </w:rPr>
        <w:fldChar w:fldCharType="begin"/>
      </w:r>
      <w:r>
        <w:rPr>
          <w:color w:val="auto"/>
          <w:sz w:val="24"/>
        </w:rPr>
        <w:instrText xml:space="preserve"> PAGEREF _Toc16105 \h </w:instrText>
      </w:r>
      <w:r>
        <w:rPr>
          <w:color w:val="auto"/>
          <w:sz w:val="24"/>
        </w:rPr>
        <w:fldChar w:fldCharType="separate"/>
      </w:r>
      <w:r>
        <w:rPr>
          <w:color w:val="auto"/>
          <w:sz w:val="24"/>
        </w:rPr>
        <w:t>55</w:t>
      </w:r>
      <w:r>
        <w:rPr>
          <w:color w:val="auto"/>
          <w:sz w:val="24"/>
        </w:rPr>
        <w:fldChar w:fldCharType="end"/>
      </w:r>
      <w:r>
        <w:rPr>
          <w:rFonts w:ascii="Times New Roman" w:hAnsi="Times New Roman"/>
          <w:color w:val="auto"/>
          <w:sz w:val="24"/>
        </w:rPr>
        <w:fldChar w:fldCharType="end"/>
      </w:r>
    </w:p>
    <w:p w14:paraId="37101259">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_Toc29742 </w:instrText>
      </w:r>
      <w:r>
        <w:rPr>
          <w:rFonts w:ascii="Times New Roman" w:hAnsi="Times New Roman"/>
          <w:color w:val="auto"/>
          <w:sz w:val="24"/>
        </w:rPr>
        <w:fldChar w:fldCharType="separate"/>
      </w:r>
      <w:r>
        <w:rPr>
          <w:rFonts w:hint="eastAsia" w:ascii="Times New Roman" w:hAnsi="Times New Roman"/>
          <w:color w:val="auto"/>
          <w:sz w:val="24"/>
          <w:lang w:val="en-US" w:eastAsia="zh-CN"/>
        </w:rPr>
        <w:t>2.4.11 排土场</w:t>
      </w:r>
      <w:r>
        <w:rPr>
          <w:color w:val="auto"/>
          <w:sz w:val="24"/>
        </w:rPr>
        <w:tab/>
      </w:r>
      <w:r>
        <w:rPr>
          <w:color w:val="auto"/>
          <w:sz w:val="24"/>
        </w:rPr>
        <w:fldChar w:fldCharType="begin"/>
      </w:r>
      <w:r>
        <w:rPr>
          <w:color w:val="auto"/>
          <w:sz w:val="24"/>
        </w:rPr>
        <w:instrText xml:space="preserve"> PAGEREF _Toc29742 \h </w:instrText>
      </w:r>
      <w:r>
        <w:rPr>
          <w:color w:val="auto"/>
          <w:sz w:val="24"/>
        </w:rPr>
        <w:fldChar w:fldCharType="separate"/>
      </w:r>
      <w:r>
        <w:rPr>
          <w:color w:val="auto"/>
          <w:sz w:val="24"/>
        </w:rPr>
        <w:t>55</w:t>
      </w:r>
      <w:r>
        <w:rPr>
          <w:color w:val="auto"/>
          <w:sz w:val="24"/>
        </w:rPr>
        <w:fldChar w:fldCharType="end"/>
      </w:r>
      <w:r>
        <w:rPr>
          <w:rFonts w:ascii="Times New Roman" w:hAnsi="Times New Roman"/>
          <w:color w:val="auto"/>
          <w:sz w:val="24"/>
        </w:rPr>
        <w:fldChar w:fldCharType="end"/>
      </w:r>
    </w:p>
    <w:p w14:paraId="56DF55E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_Toc17009 </w:instrText>
      </w:r>
      <w:r>
        <w:rPr>
          <w:rFonts w:ascii="Times New Roman" w:hAnsi="Times New Roman"/>
          <w:color w:val="auto"/>
          <w:sz w:val="24"/>
        </w:rPr>
        <w:fldChar w:fldCharType="separate"/>
      </w:r>
      <w:r>
        <w:rPr>
          <w:rFonts w:hint="eastAsia" w:ascii="Times New Roman" w:hAnsi="Times New Roman"/>
          <w:color w:val="auto"/>
          <w:sz w:val="24"/>
          <w:lang w:val="en-US" w:eastAsia="zh-CN"/>
        </w:rPr>
        <w:t>2.4.12 边坡监测</w:t>
      </w:r>
      <w:r>
        <w:rPr>
          <w:color w:val="auto"/>
          <w:sz w:val="24"/>
        </w:rPr>
        <w:tab/>
      </w:r>
      <w:r>
        <w:rPr>
          <w:color w:val="auto"/>
          <w:sz w:val="24"/>
        </w:rPr>
        <w:fldChar w:fldCharType="begin"/>
      </w:r>
      <w:r>
        <w:rPr>
          <w:color w:val="auto"/>
          <w:sz w:val="24"/>
        </w:rPr>
        <w:instrText xml:space="preserve"> PAGEREF _Toc17009 \h </w:instrText>
      </w:r>
      <w:r>
        <w:rPr>
          <w:color w:val="auto"/>
          <w:sz w:val="24"/>
        </w:rPr>
        <w:fldChar w:fldCharType="separate"/>
      </w:r>
      <w:r>
        <w:rPr>
          <w:color w:val="auto"/>
          <w:sz w:val="24"/>
        </w:rPr>
        <w:t>55</w:t>
      </w:r>
      <w:r>
        <w:rPr>
          <w:color w:val="auto"/>
          <w:sz w:val="24"/>
        </w:rPr>
        <w:fldChar w:fldCharType="end"/>
      </w:r>
      <w:r>
        <w:rPr>
          <w:rFonts w:ascii="Times New Roman" w:hAnsi="Times New Roman"/>
          <w:color w:val="auto"/>
          <w:sz w:val="24"/>
        </w:rPr>
        <w:fldChar w:fldCharType="end"/>
      </w:r>
    </w:p>
    <w:p w14:paraId="141F9B03">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_Toc27877 </w:instrText>
      </w:r>
      <w:r>
        <w:rPr>
          <w:rFonts w:ascii="Times New Roman" w:hAnsi="Times New Roman"/>
          <w:color w:val="auto"/>
          <w:sz w:val="24"/>
        </w:rPr>
        <w:fldChar w:fldCharType="separate"/>
      </w:r>
      <w:r>
        <w:rPr>
          <w:rFonts w:hint="eastAsia" w:ascii="Times New Roman" w:hAnsi="Times New Roman"/>
          <w:color w:val="auto"/>
          <w:sz w:val="24"/>
          <w:lang w:eastAsia="zh-CN"/>
        </w:rPr>
        <w:t>2.4.</w:t>
      </w:r>
      <w:r>
        <w:rPr>
          <w:rFonts w:hint="eastAsia" w:ascii="Times New Roman" w:hAnsi="Times New Roman"/>
          <w:color w:val="auto"/>
          <w:sz w:val="24"/>
          <w:lang w:val="en-US" w:eastAsia="zh-CN"/>
        </w:rPr>
        <w:t>13</w:t>
      </w:r>
      <w:r>
        <w:rPr>
          <w:rFonts w:hint="eastAsia" w:ascii="Times New Roman" w:hAnsi="Times New Roman"/>
          <w:color w:val="auto"/>
          <w:sz w:val="24"/>
        </w:rPr>
        <w:t xml:space="preserve"> 安全管理</w:t>
      </w:r>
      <w:r>
        <w:rPr>
          <w:rFonts w:hint="eastAsia" w:ascii="Times New Roman" w:hAnsi="Times New Roman"/>
          <w:color w:val="auto"/>
          <w:sz w:val="24"/>
          <w:lang w:val="en-US" w:eastAsia="zh-CN"/>
        </w:rPr>
        <w:t>及其他</w:t>
      </w:r>
      <w:r>
        <w:rPr>
          <w:color w:val="auto"/>
          <w:sz w:val="24"/>
        </w:rPr>
        <w:tab/>
      </w:r>
      <w:r>
        <w:rPr>
          <w:color w:val="auto"/>
          <w:sz w:val="24"/>
        </w:rPr>
        <w:fldChar w:fldCharType="begin"/>
      </w:r>
      <w:r>
        <w:rPr>
          <w:color w:val="auto"/>
          <w:sz w:val="24"/>
        </w:rPr>
        <w:instrText xml:space="preserve"> PAGEREF _Toc27877 \h </w:instrText>
      </w:r>
      <w:r>
        <w:rPr>
          <w:color w:val="auto"/>
          <w:sz w:val="24"/>
        </w:rPr>
        <w:fldChar w:fldCharType="separate"/>
      </w:r>
      <w:r>
        <w:rPr>
          <w:color w:val="auto"/>
          <w:sz w:val="24"/>
        </w:rPr>
        <w:t>60</w:t>
      </w:r>
      <w:r>
        <w:rPr>
          <w:color w:val="auto"/>
          <w:sz w:val="24"/>
        </w:rPr>
        <w:fldChar w:fldCharType="end"/>
      </w:r>
      <w:r>
        <w:rPr>
          <w:rFonts w:ascii="Times New Roman" w:hAnsi="Times New Roman"/>
          <w:color w:val="auto"/>
          <w:sz w:val="24"/>
        </w:rPr>
        <w:fldChar w:fldCharType="end"/>
      </w:r>
    </w:p>
    <w:p w14:paraId="29AB8CBF">
      <w:pPr>
        <w:pStyle w:val="10"/>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_Toc20355 </w:instrText>
      </w:r>
      <w:r>
        <w:rPr>
          <w:rFonts w:ascii="Times New Roman" w:hAnsi="Times New Roman"/>
          <w:color w:val="auto"/>
          <w:sz w:val="24"/>
        </w:rPr>
        <w:fldChar w:fldCharType="separate"/>
      </w:r>
      <w:r>
        <w:rPr>
          <w:rFonts w:hint="eastAsia" w:ascii="Times New Roman" w:hAnsi="Times New Roman"/>
          <w:color w:val="auto"/>
          <w:sz w:val="24"/>
        </w:rPr>
        <w:t>3</w:t>
      </w:r>
      <w:r>
        <w:rPr>
          <w:rFonts w:hint="eastAsia" w:ascii="Times New Roman" w:hAnsi="Times New Roman"/>
          <w:color w:val="auto"/>
          <w:sz w:val="24"/>
          <w:lang w:val="en-US" w:eastAsia="zh-CN"/>
        </w:rPr>
        <w:t xml:space="preserve"> </w:t>
      </w:r>
      <w:r>
        <w:rPr>
          <w:rFonts w:hint="eastAsia" w:ascii="Times New Roman" w:hAnsi="Times New Roman"/>
          <w:color w:val="auto"/>
          <w:sz w:val="24"/>
        </w:rPr>
        <w:t>定性定量评价</w:t>
      </w:r>
      <w:r>
        <w:rPr>
          <w:color w:val="auto"/>
          <w:sz w:val="24"/>
        </w:rPr>
        <w:tab/>
      </w:r>
      <w:r>
        <w:rPr>
          <w:color w:val="auto"/>
          <w:sz w:val="24"/>
        </w:rPr>
        <w:fldChar w:fldCharType="begin"/>
      </w:r>
      <w:r>
        <w:rPr>
          <w:color w:val="auto"/>
          <w:sz w:val="24"/>
        </w:rPr>
        <w:instrText xml:space="preserve"> PAGEREF _Toc20355 \h </w:instrText>
      </w:r>
      <w:r>
        <w:rPr>
          <w:color w:val="auto"/>
          <w:sz w:val="24"/>
        </w:rPr>
        <w:fldChar w:fldCharType="separate"/>
      </w:r>
      <w:r>
        <w:rPr>
          <w:color w:val="auto"/>
          <w:sz w:val="24"/>
        </w:rPr>
        <w:t>66</w:t>
      </w:r>
      <w:r>
        <w:rPr>
          <w:color w:val="auto"/>
          <w:sz w:val="24"/>
        </w:rPr>
        <w:fldChar w:fldCharType="end"/>
      </w:r>
      <w:r>
        <w:rPr>
          <w:rFonts w:ascii="Times New Roman" w:hAnsi="Times New Roman"/>
          <w:color w:val="auto"/>
          <w:sz w:val="24"/>
        </w:rPr>
        <w:fldChar w:fldCharType="end"/>
      </w:r>
    </w:p>
    <w:p w14:paraId="0160F545">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_Toc23722 </w:instrText>
      </w:r>
      <w:r>
        <w:rPr>
          <w:rFonts w:ascii="Times New Roman" w:hAnsi="Times New Roman"/>
          <w:color w:val="auto"/>
          <w:sz w:val="24"/>
        </w:rPr>
        <w:fldChar w:fldCharType="separate"/>
      </w:r>
      <w:r>
        <w:rPr>
          <w:rFonts w:hint="eastAsia" w:ascii="Times New Roman" w:hAnsi="Times New Roman"/>
          <w:color w:val="auto"/>
          <w:sz w:val="24"/>
        </w:rPr>
        <w:t>3.1</w:t>
      </w:r>
      <w:r>
        <w:rPr>
          <w:rFonts w:hint="eastAsia" w:ascii="Times New Roman" w:hAnsi="Times New Roman"/>
          <w:color w:val="auto"/>
          <w:sz w:val="24"/>
          <w:lang w:val="en-US" w:eastAsia="zh-CN"/>
        </w:rPr>
        <w:t xml:space="preserve"> </w:t>
      </w:r>
      <w:r>
        <w:rPr>
          <w:rFonts w:hint="eastAsia" w:ascii="Times New Roman" w:hAnsi="Times New Roman"/>
          <w:color w:val="auto"/>
          <w:sz w:val="24"/>
        </w:rPr>
        <w:t>总平面布置单元</w:t>
      </w:r>
      <w:r>
        <w:rPr>
          <w:color w:val="auto"/>
          <w:sz w:val="24"/>
        </w:rPr>
        <w:tab/>
      </w:r>
      <w:r>
        <w:rPr>
          <w:color w:val="auto"/>
          <w:sz w:val="24"/>
        </w:rPr>
        <w:fldChar w:fldCharType="begin"/>
      </w:r>
      <w:r>
        <w:rPr>
          <w:color w:val="auto"/>
          <w:sz w:val="24"/>
        </w:rPr>
        <w:instrText xml:space="preserve"> PAGEREF _Toc23722 \h </w:instrText>
      </w:r>
      <w:r>
        <w:rPr>
          <w:color w:val="auto"/>
          <w:sz w:val="24"/>
        </w:rPr>
        <w:fldChar w:fldCharType="separate"/>
      </w:r>
      <w:r>
        <w:rPr>
          <w:color w:val="auto"/>
          <w:sz w:val="24"/>
        </w:rPr>
        <w:t>67</w:t>
      </w:r>
      <w:r>
        <w:rPr>
          <w:color w:val="auto"/>
          <w:sz w:val="24"/>
        </w:rPr>
        <w:fldChar w:fldCharType="end"/>
      </w:r>
      <w:r>
        <w:rPr>
          <w:rFonts w:ascii="Times New Roman" w:hAnsi="Times New Roman"/>
          <w:color w:val="auto"/>
          <w:sz w:val="24"/>
        </w:rPr>
        <w:fldChar w:fldCharType="end"/>
      </w:r>
    </w:p>
    <w:p w14:paraId="0E357F97">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_Toc17759 </w:instrText>
      </w:r>
      <w:r>
        <w:rPr>
          <w:rFonts w:ascii="Times New Roman" w:hAnsi="Times New Roman"/>
          <w:color w:val="auto"/>
          <w:sz w:val="24"/>
        </w:rPr>
        <w:fldChar w:fldCharType="separate"/>
      </w:r>
      <w:r>
        <w:rPr>
          <w:rFonts w:hint="eastAsia" w:ascii="Times New Roman" w:hAnsi="Times New Roman"/>
          <w:color w:val="auto"/>
          <w:sz w:val="24"/>
        </w:rPr>
        <w:t>3.1.1</w:t>
      </w:r>
      <w:r>
        <w:rPr>
          <w:rFonts w:hint="eastAsia" w:ascii="Times New Roman" w:hAnsi="Times New Roman"/>
          <w:color w:val="auto"/>
          <w:sz w:val="24"/>
          <w:lang w:val="en-US" w:eastAsia="zh-CN"/>
        </w:rPr>
        <w:t xml:space="preserve"> </w:t>
      </w:r>
      <w:r>
        <w:rPr>
          <w:rFonts w:hint="eastAsia" w:ascii="Times New Roman" w:hAnsi="Times New Roman"/>
          <w:color w:val="auto"/>
          <w:sz w:val="24"/>
        </w:rPr>
        <w:t>周边环境及总平面布置危险、有害因素辨识与分析</w:t>
      </w:r>
      <w:r>
        <w:rPr>
          <w:color w:val="auto"/>
          <w:sz w:val="24"/>
        </w:rPr>
        <w:tab/>
      </w:r>
      <w:r>
        <w:rPr>
          <w:color w:val="auto"/>
          <w:sz w:val="24"/>
        </w:rPr>
        <w:fldChar w:fldCharType="begin"/>
      </w:r>
      <w:r>
        <w:rPr>
          <w:color w:val="auto"/>
          <w:sz w:val="24"/>
        </w:rPr>
        <w:instrText xml:space="preserve"> PAGEREF _Toc17759 \h </w:instrText>
      </w:r>
      <w:r>
        <w:rPr>
          <w:color w:val="auto"/>
          <w:sz w:val="24"/>
        </w:rPr>
        <w:fldChar w:fldCharType="separate"/>
      </w:r>
      <w:r>
        <w:rPr>
          <w:color w:val="auto"/>
          <w:sz w:val="24"/>
        </w:rPr>
        <w:t>67</w:t>
      </w:r>
      <w:r>
        <w:rPr>
          <w:color w:val="auto"/>
          <w:sz w:val="24"/>
        </w:rPr>
        <w:fldChar w:fldCharType="end"/>
      </w:r>
      <w:r>
        <w:rPr>
          <w:rFonts w:ascii="Times New Roman" w:hAnsi="Times New Roman"/>
          <w:color w:val="auto"/>
          <w:sz w:val="24"/>
        </w:rPr>
        <w:fldChar w:fldCharType="end"/>
      </w:r>
    </w:p>
    <w:p w14:paraId="1B094FCA">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_Toc3378 </w:instrText>
      </w:r>
      <w:r>
        <w:rPr>
          <w:rFonts w:ascii="Times New Roman" w:hAnsi="Times New Roman"/>
          <w:color w:val="auto"/>
          <w:sz w:val="24"/>
        </w:rPr>
        <w:fldChar w:fldCharType="separate"/>
      </w:r>
      <w:r>
        <w:rPr>
          <w:rFonts w:hint="eastAsia" w:ascii="Times New Roman" w:hAnsi="Times New Roman"/>
          <w:color w:val="auto"/>
          <w:sz w:val="24"/>
        </w:rPr>
        <w:t>3.1.2</w:t>
      </w:r>
      <w:r>
        <w:rPr>
          <w:rFonts w:hint="eastAsia" w:ascii="Times New Roman" w:hAnsi="Times New Roman"/>
          <w:color w:val="auto"/>
          <w:sz w:val="24"/>
          <w:lang w:val="en-US" w:eastAsia="zh-CN"/>
        </w:rPr>
        <w:t xml:space="preserve"> </w:t>
      </w:r>
      <w:r>
        <w:rPr>
          <w:rFonts w:hint="eastAsia" w:ascii="Times New Roman" w:hAnsi="Times New Roman"/>
          <w:color w:val="auto"/>
          <w:sz w:val="24"/>
        </w:rPr>
        <w:t>周边环境及总平面布置预先危险性分析（PHA）</w:t>
      </w:r>
      <w:r>
        <w:rPr>
          <w:color w:val="auto"/>
          <w:sz w:val="24"/>
        </w:rPr>
        <w:tab/>
      </w:r>
      <w:r>
        <w:rPr>
          <w:color w:val="auto"/>
          <w:sz w:val="24"/>
        </w:rPr>
        <w:fldChar w:fldCharType="begin"/>
      </w:r>
      <w:r>
        <w:rPr>
          <w:color w:val="auto"/>
          <w:sz w:val="24"/>
        </w:rPr>
        <w:instrText xml:space="preserve"> PAGEREF _Toc3378 \h </w:instrText>
      </w:r>
      <w:r>
        <w:rPr>
          <w:color w:val="auto"/>
          <w:sz w:val="24"/>
        </w:rPr>
        <w:fldChar w:fldCharType="separate"/>
      </w:r>
      <w:r>
        <w:rPr>
          <w:color w:val="auto"/>
          <w:sz w:val="24"/>
        </w:rPr>
        <w:t>68</w:t>
      </w:r>
      <w:r>
        <w:rPr>
          <w:color w:val="auto"/>
          <w:sz w:val="24"/>
        </w:rPr>
        <w:fldChar w:fldCharType="end"/>
      </w:r>
      <w:r>
        <w:rPr>
          <w:rFonts w:ascii="Times New Roman" w:hAnsi="Times New Roman"/>
          <w:color w:val="auto"/>
          <w:sz w:val="24"/>
        </w:rPr>
        <w:fldChar w:fldCharType="end"/>
      </w:r>
    </w:p>
    <w:p w14:paraId="45075A22">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_Toc22674 </w:instrText>
      </w:r>
      <w:r>
        <w:rPr>
          <w:rFonts w:ascii="Times New Roman" w:hAnsi="Times New Roman"/>
          <w:color w:val="auto"/>
          <w:sz w:val="24"/>
        </w:rPr>
        <w:fldChar w:fldCharType="separate"/>
      </w:r>
      <w:r>
        <w:rPr>
          <w:rFonts w:hint="eastAsia" w:ascii="Times New Roman" w:hAnsi="Times New Roman"/>
          <w:color w:val="auto"/>
          <w:sz w:val="24"/>
        </w:rPr>
        <w:t>3.1.3</w:t>
      </w:r>
      <w:r>
        <w:rPr>
          <w:rFonts w:hint="eastAsia" w:ascii="Times New Roman" w:hAnsi="Times New Roman"/>
          <w:color w:val="auto"/>
          <w:sz w:val="24"/>
          <w:lang w:val="en-US" w:eastAsia="zh-CN"/>
        </w:rPr>
        <w:t xml:space="preserve"> </w:t>
      </w:r>
      <w:r>
        <w:rPr>
          <w:rFonts w:hint="eastAsia" w:ascii="Times New Roman" w:hAnsi="Times New Roman"/>
          <w:color w:val="auto"/>
          <w:sz w:val="24"/>
        </w:rPr>
        <w:t>厂址选择安全检查表</w:t>
      </w:r>
      <w:r>
        <w:rPr>
          <w:color w:val="auto"/>
          <w:sz w:val="24"/>
        </w:rPr>
        <w:tab/>
      </w:r>
      <w:r>
        <w:rPr>
          <w:color w:val="auto"/>
          <w:sz w:val="24"/>
        </w:rPr>
        <w:fldChar w:fldCharType="begin"/>
      </w:r>
      <w:r>
        <w:rPr>
          <w:color w:val="auto"/>
          <w:sz w:val="24"/>
        </w:rPr>
        <w:instrText xml:space="preserve"> PAGEREF _Toc22674 \h </w:instrText>
      </w:r>
      <w:r>
        <w:rPr>
          <w:color w:val="auto"/>
          <w:sz w:val="24"/>
        </w:rPr>
        <w:fldChar w:fldCharType="separate"/>
      </w:r>
      <w:r>
        <w:rPr>
          <w:color w:val="auto"/>
          <w:sz w:val="24"/>
        </w:rPr>
        <w:t>70</w:t>
      </w:r>
      <w:r>
        <w:rPr>
          <w:color w:val="auto"/>
          <w:sz w:val="24"/>
        </w:rPr>
        <w:fldChar w:fldCharType="end"/>
      </w:r>
      <w:r>
        <w:rPr>
          <w:rFonts w:ascii="Times New Roman" w:hAnsi="Times New Roman"/>
          <w:color w:val="auto"/>
          <w:sz w:val="24"/>
        </w:rPr>
        <w:fldChar w:fldCharType="end"/>
      </w:r>
    </w:p>
    <w:p w14:paraId="4A04EA58">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_Toc21465 </w:instrText>
      </w:r>
      <w:r>
        <w:rPr>
          <w:rFonts w:ascii="Times New Roman" w:hAnsi="Times New Roman"/>
          <w:color w:val="auto"/>
          <w:sz w:val="24"/>
        </w:rPr>
        <w:fldChar w:fldCharType="separate"/>
      </w:r>
      <w:r>
        <w:rPr>
          <w:rFonts w:hint="eastAsia" w:ascii="Times New Roman" w:hAnsi="Times New Roman"/>
          <w:color w:val="auto"/>
          <w:sz w:val="24"/>
        </w:rPr>
        <w:t>3.1.4</w:t>
      </w:r>
      <w:r>
        <w:rPr>
          <w:rFonts w:hint="eastAsia" w:ascii="Times New Roman" w:hAnsi="Times New Roman"/>
          <w:color w:val="auto"/>
          <w:sz w:val="24"/>
          <w:lang w:val="en-US" w:eastAsia="zh-CN"/>
        </w:rPr>
        <w:t xml:space="preserve"> </w:t>
      </w:r>
      <w:r>
        <w:rPr>
          <w:rFonts w:hint="eastAsia" w:ascii="Times New Roman" w:hAnsi="Times New Roman"/>
          <w:color w:val="auto"/>
          <w:sz w:val="24"/>
        </w:rPr>
        <w:t>总平面布置安全检查表</w:t>
      </w:r>
      <w:r>
        <w:rPr>
          <w:color w:val="auto"/>
          <w:sz w:val="24"/>
        </w:rPr>
        <w:tab/>
      </w:r>
      <w:r>
        <w:rPr>
          <w:color w:val="auto"/>
          <w:sz w:val="24"/>
        </w:rPr>
        <w:fldChar w:fldCharType="begin"/>
      </w:r>
      <w:r>
        <w:rPr>
          <w:color w:val="auto"/>
          <w:sz w:val="24"/>
        </w:rPr>
        <w:instrText xml:space="preserve"> PAGEREF _Toc21465 \h </w:instrText>
      </w:r>
      <w:r>
        <w:rPr>
          <w:color w:val="auto"/>
          <w:sz w:val="24"/>
        </w:rPr>
        <w:fldChar w:fldCharType="separate"/>
      </w:r>
      <w:r>
        <w:rPr>
          <w:color w:val="auto"/>
          <w:sz w:val="24"/>
        </w:rPr>
        <w:t>72</w:t>
      </w:r>
      <w:r>
        <w:rPr>
          <w:color w:val="auto"/>
          <w:sz w:val="24"/>
        </w:rPr>
        <w:fldChar w:fldCharType="end"/>
      </w:r>
      <w:r>
        <w:rPr>
          <w:rFonts w:ascii="Times New Roman" w:hAnsi="Times New Roman"/>
          <w:color w:val="auto"/>
          <w:sz w:val="24"/>
        </w:rPr>
        <w:fldChar w:fldCharType="end"/>
      </w:r>
    </w:p>
    <w:p w14:paraId="6410965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_Toc14339 </w:instrText>
      </w:r>
      <w:r>
        <w:rPr>
          <w:rFonts w:ascii="Times New Roman" w:hAnsi="Times New Roman"/>
          <w:color w:val="auto"/>
          <w:sz w:val="24"/>
        </w:rPr>
        <w:fldChar w:fldCharType="separate"/>
      </w:r>
      <w:r>
        <w:rPr>
          <w:rFonts w:hint="eastAsia" w:ascii="Times New Roman" w:hAnsi="Times New Roman"/>
          <w:color w:val="auto"/>
          <w:sz w:val="24"/>
        </w:rPr>
        <w:t>3.1.5</w:t>
      </w:r>
      <w:r>
        <w:rPr>
          <w:rFonts w:hint="eastAsia" w:ascii="Times New Roman" w:hAnsi="Times New Roman"/>
          <w:color w:val="auto"/>
          <w:sz w:val="24"/>
          <w:lang w:val="en-US" w:eastAsia="zh-CN"/>
        </w:rPr>
        <w:t xml:space="preserve"> </w:t>
      </w:r>
      <w:r>
        <w:rPr>
          <w:rFonts w:hint="eastAsia" w:ascii="Times New Roman" w:hAnsi="Times New Roman"/>
          <w:color w:val="auto"/>
          <w:sz w:val="24"/>
        </w:rPr>
        <w:t>矿山开采和周边环境的相互影响</w:t>
      </w:r>
      <w:r>
        <w:rPr>
          <w:color w:val="auto"/>
          <w:sz w:val="24"/>
        </w:rPr>
        <w:tab/>
      </w:r>
      <w:r>
        <w:rPr>
          <w:color w:val="auto"/>
          <w:sz w:val="24"/>
        </w:rPr>
        <w:fldChar w:fldCharType="begin"/>
      </w:r>
      <w:r>
        <w:rPr>
          <w:color w:val="auto"/>
          <w:sz w:val="24"/>
        </w:rPr>
        <w:instrText xml:space="preserve"> PAGEREF _Toc14339 \h </w:instrText>
      </w:r>
      <w:r>
        <w:rPr>
          <w:color w:val="auto"/>
          <w:sz w:val="24"/>
        </w:rPr>
        <w:fldChar w:fldCharType="separate"/>
      </w:r>
      <w:r>
        <w:rPr>
          <w:color w:val="auto"/>
          <w:sz w:val="24"/>
        </w:rPr>
        <w:t>74</w:t>
      </w:r>
      <w:r>
        <w:rPr>
          <w:color w:val="auto"/>
          <w:sz w:val="24"/>
        </w:rPr>
        <w:fldChar w:fldCharType="end"/>
      </w:r>
      <w:r>
        <w:rPr>
          <w:rFonts w:ascii="Times New Roman" w:hAnsi="Times New Roman"/>
          <w:color w:val="auto"/>
          <w:sz w:val="24"/>
        </w:rPr>
        <w:fldChar w:fldCharType="end"/>
      </w:r>
    </w:p>
    <w:p w14:paraId="669E30BD">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_Toc32505 </w:instrText>
      </w:r>
      <w:r>
        <w:rPr>
          <w:rFonts w:ascii="Times New Roman" w:hAnsi="Times New Roman"/>
          <w:color w:val="auto"/>
          <w:sz w:val="24"/>
        </w:rPr>
        <w:fldChar w:fldCharType="separate"/>
      </w:r>
      <w:r>
        <w:rPr>
          <w:rFonts w:hint="eastAsia"/>
          <w:color w:val="auto"/>
          <w:sz w:val="24"/>
          <w:lang w:val="en-US" w:eastAsia="zh-CN"/>
        </w:rPr>
        <w:t>3.1.6 排土场影响分析</w:t>
      </w:r>
      <w:r>
        <w:rPr>
          <w:color w:val="auto"/>
          <w:sz w:val="24"/>
        </w:rPr>
        <w:tab/>
      </w:r>
      <w:r>
        <w:rPr>
          <w:color w:val="auto"/>
          <w:sz w:val="24"/>
        </w:rPr>
        <w:fldChar w:fldCharType="begin"/>
      </w:r>
      <w:r>
        <w:rPr>
          <w:color w:val="auto"/>
          <w:sz w:val="24"/>
        </w:rPr>
        <w:instrText xml:space="preserve"> PAGEREF _Toc32505 \h </w:instrText>
      </w:r>
      <w:r>
        <w:rPr>
          <w:color w:val="auto"/>
          <w:sz w:val="24"/>
        </w:rPr>
        <w:fldChar w:fldCharType="separate"/>
      </w:r>
      <w:r>
        <w:rPr>
          <w:color w:val="auto"/>
          <w:sz w:val="24"/>
        </w:rPr>
        <w:t>75</w:t>
      </w:r>
      <w:r>
        <w:rPr>
          <w:color w:val="auto"/>
          <w:sz w:val="24"/>
        </w:rPr>
        <w:fldChar w:fldCharType="end"/>
      </w:r>
      <w:r>
        <w:rPr>
          <w:rFonts w:ascii="Times New Roman" w:hAnsi="Times New Roman"/>
          <w:color w:val="auto"/>
          <w:sz w:val="24"/>
        </w:rPr>
        <w:fldChar w:fldCharType="end"/>
      </w:r>
    </w:p>
    <w:p w14:paraId="67955EE1">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_Toc12138 </w:instrText>
      </w:r>
      <w:r>
        <w:rPr>
          <w:rFonts w:ascii="Times New Roman" w:hAnsi="Times New Roman"/>
          <w:color w:val="auto"/>
          <w:sz w:val="24"/>
        </w:rPr>
        <w:fldChar w:fldCharType="separate"/>
      </w:r>
      <w:r>
        <w:rPr>
          <w:rFonts w:hint="eastAsia" w:ascii="Times New Roman" w:hAnsi="Times New Roman"/>
          <w:color w:val="auto"/>
          <w:sz w:val="24"/>
        </w:rPr>
        <w:t>3.1.</w:t>
      </w:r>
      <w:r>
        <w:rPr>
          <w:rFonts w:hint="eastAsia"/>
          <w:color w:val="auto"/>
          <w:sz w:val="24"/>
          <w:lang w:val="en-US" w:eastAsia="zh-CN"/>
        </w:rPr>
        <w:t>7</w:t>
      </w:r>
      <w:r>
        <w:rPr>
          <w:rFonts w:hint="eastAsia" w:ascii="Times New Roman" w:hAnsi="Times New Roman"/>
          <w:color w:val="auto"/>
          <w:sz w:val="24"/>
          <w:lang w:val="en-US" w:eastAsia="zh-CN"/>
        </w:rPr>
        <w:t xml:space="preserve"> </w:t>
      </w:r>
      <w:r>
        <w:rPr>
          <w:rFonts w:hint="eastAsia" w:ascii="Times New Roman" w:hAnsi="Times New Roman"/>
          <w:color w:val="auto"/>
          <w:sz w:val="24"/>
        </w:rPr>
        <w:t>单元小结</w:t>
      </w:r>
      <w:r>
        <w:rPr>
          <w:color w:val="auto"/>
          <w:sz w:val="24"/>
        </w:rPr>
        <w:tab/>
      </w:r>
      <w:r>
        <w:rPr>
          <w:color w:val="auto"/>
          <w:sz w:val="24"/>
        </w:rPr>
        <w:fldChar w:fldCharType="begin"/>
      </w:r>
      <w:r>
        <w:rPr>
          <w:color w:val="auto"/>
          <w:sz w:val="24"/>
        </w:rPr>
        <w:instrText xml:space="preserve"> PAGEREF _Toc12138 \h </w:instrText>
      </w:r>
      <w:r>
        <w:rPr>
          <w:color w:val="auto"/>
          <w:sz w:val="24"/>
        </w:rPr>
        <w:fldChar w:fldCharType="separate"/>
      </w:r>
      <w:r>
        <w:rPr>
          <w:color w:val="auto"/>
          <w:sz w:val="24"/>
        </w:rPr>
        <w:t>75</w:t>
      </w:r>
      <w:r>
        <w:rPr>
          <w:color w:val="auto"/>
          <w:sz w:val="24"/>
        </w:rPr>
        <w:fldChar w:fldCharType="end"/>
      </w:r>
      <w:r>
        <w:rPr>
          <w:rFonts w:ascii="Times New Roman" w:hAnsi="Times New Roman"/>
          <w:color w:val="auto"/>
          <w:sz w:val="24"/>
        </w:rPr>
        <w:fldChar w:fldCharType="end"/>
      </w:r>
    </w:p>
    <w:p w14:paraId="581DF135">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_Toc12043 </w:instrText>
      </w:r>
      <w:r>
        <w:rPr>
          <w:rFonts w:ascii="Times New Roman" w:hAnsi="Times New Roman"/>
          <w:color w:val="auto"/>
          <w:sz w:val="24"/>
        </w:rPr>
        <w:fldChar w:fldCharType="separate"/>
      </w:r>
      <w:r>
        <w:rPr>
          <w:rFonts w:hint="eastAsia" w:ascii="Times New Roman" w:hAnsi="Times New Roman"/>
          <w:color w:val="auto"/>
          <w:sz w:val="24"/>
        </w:rPr>
        <w:t>3.2</w:t>
      </w:r>
      <w:r>
        <w:rPr>
          <w:rFonts w:hint="eastAsia" w:ascii="Times New Roman" w:hAnsi="Times New Roman"/>
          <w:color w:val="auto"/>
          <w:sz w:val="24"/>
          <w:lang w:val="en-US" w:eastAsia="zh-CN"/>
        </w:rPr>
        <w:t xml:space="preserve"> </w:t>
      </w:r>
      <w:r>
        <w:rPr>
          <w:rFonts w:hint="eastAsia" w:ascii="Times New Roman" w:hAnsi="Times New Roman"/>
          <w:color w:val="auto"/>
          <w:sz w:val="24"/>
        </w:rPr>
        <w:t>开拓运输单元</w:t>
      </w:r>
      <w:r>
        <w:rPr>
          <w:color w:val="auto"/>
          <w:sz w:val="24"/>
        </w:rPr>
        <w:tab/>
      </w:r>
      <w:r>
        <w:rPr>
          <w:color w:val="auto"/>
          <w:sz w:val="24"/>
        </w:rPr>
        <w:fldChar w:fldCharType="begin"/>
      </w:r>
      <w:r>
        <w:rPr>
          <w:color w:val="auto"/>
          <w:sz w:val="24"/>
        </w:rPr>
        <w:instrText xml:space="preserve"> PAGEREF _Toc12043 \h </w:instrText>
      </w:r>
      <w:r>
        <w:rPr>
          <w:color w:val="auto"/>
          <w:sz w:val="24"/>
        </w:rPr>
        <w:fldChar w:fldCharType="separate"/>
      </w:r>
      <w:r>
        <w:rPr>
          <w:color w:val="auto"/>
          <w:sz w:val="24"/>
        </w:rPr>
        <w:t>76</w:t>
      </w:r>
      <w:r>
        <w:rPr>
          <w:color w:val="auto"/>
          <w:sz w:val="24"/>
        </w:rPr>
        <w:fldChar w:fldCharType="end"/>
      </w:r>
      <w:r>
        <w:rPr>
          <w:rFonts w:ascii="Times New Roman" w:hAnsi="Times New Roman"/>
          <w:color w:val="auto"/>
          <w:sz w:val="24"/>
        </w:rPr>
        <w:fldChar w:fldCharType="end"/>
      </w:r>
    </w:p>
    <w:p w14:paraId="16114D8B">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_Toc23161 </w:instrText>
      </w:r>
      <w:r>
        <w:rPr>
          <w:rFonts w:ascii="Times New Roman" w:hAnsi="Times New Roman"/>
          <w:color w:val="auto"/>
          <w:sz w:val="24"/>
        </w:rPr>
        <w:fldChar w:fldCharType="separate"/>
      </w:r>
      <w:r>
        <w:rPr>
          <w:rFonts w:hint="eastAsia" w:ascii="Times New Roman" w:hAnsi="Times New Roman"/>
          <w:color w:val="auto"/>
          <w:sz w:val="24"/>
        </w:rPr>
        <w:t>3.2.1</w:t>
      </w:r>
      <w:r>
        <w:rPr>
          <w:rFonts w:hint="eastAsia" w:ascii="Times New Roman" w:hAnsi="Times New Roman"/>
          <w:color w:val="auto"/>
          <w:sz w:val="24"/>
          <w:lang w:val="en-US" w:eastAsia="zh-CN"/>
        </w:rPr>
        <w:t xml:space="preserve"> </w:t>
      </w:r>
      <w:r>
        <w:rPr>
          <w:rFonts w:hint="eastAsia" w:ascii="Times New Roman" w:hAnsi="Times New Roman"/>
          <w:color w:val="auto"/>
          <w:sz w:val="24"/>
        </w:rPr>
        <w:t>开拓运输单元危险有害因素辨识</w:t>
      </w:r>
      <w:r>
        <w:rPr>
          <w:color w:val="auto"/>
          <w:sz w:val="24"/>
        </w:rPr>
        <w:tab/>
      </w:r>
      <w:r>
        <w:rPr>
          <w:color w:val="auto"/>
          <w:sz w:val="24"/>
        </w:rPr>
        <w:fldChar w:fldCharType="begin"/>
      </w:r>
      <w:r>
        <w:rPr>
          <w:color w:val="auto"/>
          <w:sz w:val="24"/>
        </w:rPr>
        <w:instrText xml:space="preserve"> PAGEREF _Toc23161 \h </w:instrText>
      </w:r>
      <w:r>
        <w:rPr>
          <w:color w:val="auto"/>
          <w:sz w:val="24"/>
        </w:rPr>
        <w:fldChar w:fldCharType="separate"/>
      </w:r>
      <w:r>
        <w:rPr>
          <w:color w:val="auto"/>
          <w:sz w:val="24"/>
        </w:rPr>
        <w:t>76</w:t>
      </w:r>
      <w:r>
        <w:rPr>
          <w:color w:val="auto"/>
          <w:sz w:val="24"/>
        </w:rPr>
        <w:fldChar w:fldCharType="end"/>
      </w:r>
      <w:r>
        <w:rPr>
          <w:rFonts w:ascii="Times New Roman" w:hAnsi="Times New Roman"/>
          <w:color w:val="auto"/>
          <w:sz w:val="24"/>
        </w:rPr>
        <w:fldChar w:fldCharType="end"/>
      </w:r>
    </w:p>
    <w:p w14:paraId="1D900271">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_Toc431 </w:instrText>
      </w:r>
      <w:r>
        <w:rPr>
          <w:rFonts w:ascii="Times New Roman" w:hAnsi="Times New Roman"/>
          <w:color w:val="auto"/>
          <w:sz w:val="24"/>
        </w:rPr>
        <w:fldChar w:fldCharType="separate"/>
      </w:r>
      <w:r>
        <w:rPr>
          <w:rFonts w:hint="eastAsia" w:ascii="Times New Roman" w:hAnsi="Times New Roman"/>
          <w:color w:val="auto"/>
          <w:sz w:val="24"/>
        </w:rPr>
        <w:t>3.2.2</w:t>
      </w:r>
      <w:r>
        <w:rPr>
          <w:rFonts w:hint="eastAsia" w:ascii="Times New Roman" w:hAnsi="Times New Roman"/>
          <w:color w:val="auto"/>
          <w:sz w:val="24"/>
          <w:lang w:val="en-US" w:eastAsia="zh-CN"/>
        </w:rPr>
        <w:t xml:space="preserve"> </w:t>
      </w:r>
      <w:r>
        <w:rPr>
          <w:rFonts w:hint="eastAsia" w:ascii="Times New Roman" w:hAnsi="Times New Roman"/>
          <w:color w:val="auto"/>
          <w:sz w:val="24"/>
        </w:rPr>
        <w:t>预先危险性分析</w:t>
      </w:r>
      <w:r>
        <w:rPr>
          <w:color w:val="auto"/>
          <w:sz w:val="24"/>
        </w:rPr>
        <w:tab/>
      </w:r>
      <w:r>
        <w:rPr>
          <w:color w:val="auto"/>
          <w:sz w:val="24"/>
        </w:rPr>
        <w:fldChar w:fldCharType="begin"/>
      </w:r>
      <w:r>
        <w:rPr>
          <w:color w:val="auto"/>
          <w:sz w:val="24"/>
        </w:rPr>
        <w:instrText xml:space="preserve"> PAGEREF _Toc431 \h </w:instrText>
      </w:r>
      <w:r>
        <w:rPr>
          <w:color w:val="auto"/>
          <w:sz w:val="24"/>
        </w:rPr>
        <w:fldChar w:fldCharType="separate"/>
      </w:r>
      <w:r>
        <w:rPr>
          <w:color w:val="auto"/>
          <w:sz w:val="24"/>
        </w:rPr>
        <w:t>79</w:t>
      </w:r>
      <w:r>
        <w:rPr>
          <w:color w:val="auto"/>
          <w:sz w:val="24"/>
        </w:rPr>
        <w:fldChar w:fldCharType="end"/>
      </w:r>
      <w:r>
        <w:rPr>
          <w:rFonts w:ascii="Times New Roman" w:hAnsi="Times New Roman"/>
          <w:color w:val="auto"/>
          <w:sz w:val="24"/>
        </w:rPr>
        <w:fldChar w:fldCharType="end"/>
      </w:r>
    </w:p>
    <w:p w14:paraId="3663457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_Toc22072 </w:instrText>
      </w:r>
      <w:r>
        <w:rPr>
          <w:rFonts w:ascii="Times New Roman" w:hAnsi="Times New Roman"/>
          <w:color w:val="auto"/>
          <w:sz w:val="24"/>
        </w:rPr>
        <w:fldChar w:fldCharType="separate"/>
      </w:r>
      <w:r>
        <w:rPr>
          <w:rFonts w:hint="eastAsia" w:ascii="Times New Roman" w:hAnsi="Times New Roman"/>
          <w:color w:val="auto"/>
          <w:sz w:val="24"/>
        </w:rPr>
        <w:t>3.2.3</w:t>
      </w:r>
      <w:r>
        <w:rPr>
          <w:rFonts w:hint="eastAsia" w:ascii="Times New Roman" w:hAnsi="Times New Roman"/>
          <w:color w:val="auto"/>
          <w:sz w:val="24"/>
          <w:lang w:val="en-US" w:eastAsia="zh-CN"/>
        </w:rPr>
        <w:t xml:space="preserve"> </w:t>
      </w:r>
      <w:r>
        <w:rPr>
          <w:rFonts w:hint="eastAsia" w:ascii="Times New Roman" w:hAnsi="Times New Roman"/>
          <w:color w:val="auto"/>
          <w:sz w:val="24"/>
        </w:rPr>
        <w:t>安全检查表</w:t>
      </w:r>
      <w:r>
        <w:rPr>
          <w:color w:val="auto"/>
          <w:sz w:val="24"/>
        </w:rPr>
        <w:tab/>
      </w:r>
      <w:r>
        <w:rPr>
          <w:color w:val="auto"/>
          <w:sz w:val="24"/>
        </w:rPr>
        <w:fldChar w:fldCharType="begin"/>
      </w:r>
      <w:r>
        <w:rPr>
          <w:color w:val="auto"/>
          <w:sz w:val="24"/>
        </w:rPr>
        <w:instrText xml:space="preserve"> PAGEREF _Toc22072 \h </w:instrText>
      </w:r>
      <w:r>
        <w:rPr>
          <w:color w:val="auto"/>
          <w:sz w:val="24"/>
        </w:rPr>
        <w:fldChar w:fldCharType="separate"/>
      </w:r>
      <w:r>
        <w:rPr>
          <w:color w:val="auto"/>
          <w:sz w:val="24"/>
        </w:rPr>
        <w:t>81</w:t>
      </w:r>
      <w:r>
        <w:rPr>
          <w:color w:val="auto"/>
          <w:sz w:val="24"/>
        </w:rPr>
        <w:fldChar w:fldCharType="end"/>
      </w:r>
      <w:r>
        <w:rPr>
          <w:rFonts w:ascii="Times New Roman" w:hAnsi="Times New Roman"/>
          <w:color w:val="auto"/>
          <w:sz w:val="24"/>
        </w:rPr>
        <w:fldChar w:fldCharType="end"/>
      </w:r>
    </w:p>
    <w:p w14:paraId="008DFA8B">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_Toc26126 </w:instrText>
      </w:r>
      <w:r>
        <w:rPr>
          <w:rFonts w:ascii="Times New Roman" w:hAnsi="Times New Roman"/>
          <w:color w:val="auto"/>
          <w:sz w:val="24"/>
        </w:rPr>
        <w:fldChar w:fldCharType="separate"/>
      </w:r>
      <w:r>
        <w:rPr>
          <w:rFonts w:hint="eastAsia" w:ascii="Times New Roman" w:hAnsi="Times New Roman"/>
          <w:color w:val="auto"/>
          <w:sz w:val="24"/>
        </w:rPr>
        <w:t>3.2.4</w:t>
      </w:r>
      <w:r>
        <w:rPr>
          <w:rFonts w:hint="eastAsia" w:ascii="Times New Roman" w:hAnsi="Times New Roman"/>
          <w:color w:val="auto"/>
          <w:sz w:val="24"/>
          <w:lang w:val="en-US" w:eastAsia="zh-CN"/>
        </w:rPr>
        <w:t xml:space="preserve"> </w:t>
      </w:r>
      <w:r>
        <w:rPr>
          <w:rFonts w:hint="eastAsia" w:ascii="Times New Roman" w:hAnsi="Times New Roman"/>
          <w:color w:val="auto"/>
          <w:sz w:val="24"/>
        </w:rPr>
        <w:t>单元小结</w:t>
      </w:r>
      <w:r>
        <w:rPr>
          <w:color w:val="auto"/>
          <w:sz w:val="24"/>
        </w:rPr>
        <w:tab/>
      </w:r>
      <w:r>
        <w:rPr>
          <w:color w:val="auto"/>
          <w:sz w:val="24"/>
        </w:rPr>
        <w:fldChar w:fldCharType="begin"/>
      </w:r>
      <w:r>
        <w:rPr>
          <w:color w:val="auto"/>
          <w:sz w:val="24"/>
        </w:rPr>
        <w:instrText xml:space="preserve"> PAGEREF _Toc26126 \h </w:instrText>
      </w:r>
      <w:r>
        <w:rPr>
          <w:color w:val="auto"/>
          <w:sz w:val="24"/>
        </w:rPr>
        <w:fldChar w:fldCharType="separate"/>
      </w:r>
      <w:r>
        <w:rPr>
          <w:color w:val="auto"/>
          <w:sz w:val="24"/>
        </w:rPr>
        <w:t>83</w:t>
      </w:r>
      <w:r>
        <w:rPr>
          <w:color w:val="auto"/>
          <w:sz w:val="24"/>
        </w:rPr>
        <w:fldChar w:fldCharType="end"/>
      </w:r>
      <w:r>
        <w:rPr>
          <w:rFonts w:ascii="Times New Roman" w:hAnsi="Times New Roman"/>
          <w:color w:val="auto"/>
          <w:sz w:val="24"/>
        </w:rPr>
        <w:fldChar w:fldCharType="end"/>
      </w:r>
    </w:p>
    <w:p w14:paraId="61F3FA92">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_Toc2665 </w:instrText>
      </w:r>
      <w:r>
        <w:rPr>
          <w:rFonts w:ascii="Times New Roman" w:hAnsi="Times New Roman"/>
          <w:color w:val="auto"/>
          <w:sz w:val="24"/>
        </w:rPr>
        <w:fldChar w:fldCharType="separate"/>
      </w:r>
      <w:r>
        <w:rPr>
          <w:rFonts w:hint="eastAsia" w:ascii="Times New Roman" w:hAnsi="Times New Roman"/>
          <w:color w:val="auto"/>
          <w:sz w:val="24"/>
        </w:rPr>
        <w:t>3.3</w:t>
      </w:r>
      <w:r>
        <w:rPr>
          <w:rFonts w:hint="eastAsia" w:ascii="Times New Roman" w:hAnsi="Times New Roman"/>
          <w:color w:val="auto"/>
          <w:sz w:val="24"/>
          <w:lang w:val="en-US" w:eastAsia="zh-CN"/>
        </w:rPr>
        <w:t xml:space="preserve"> </w:t>
      </w:r>
      <w:r>
        <w:rPr>
          <w:rFonts w:hint="eastAsia" w:ascii="Times New Roman" w:hAnsi="Times New Roman"/>
          <w:color w:val="auto"/>
          <w:sz w:val="24"/>
        </w:rPr>
        <w:t>采剥单元</w:t>
      </w:r>
      <w:r>
        <w:rPr>
          <w:color w:val="auto"/>
          <w:sz w:val="24"/>
        </w:rPr>
        <w:tab/>
      </w:r>
      <w:r>
        <w:rPr>
          <w:color w:val="auto"/>
          <w:sz w:val="24"/>
        </w:rPr>
        <w:fldChar w:fldCharType="begin"/>
      </w:r>
      <w:r>
        <w:rPr>
          <w:color w:val="auto"/>
          <w:sz w:val="24"/>
        </w:rPr>
        <w:instrText xml:space="preserve"> PAGEREF _Toc2665 \h </w:instrText>
      </w:r>
      <w:r>
        <w:rPr>
          <w:color w:val="auto"/>
          <w:sz w:val="24"/>
        </w:rPr>
        <w:fldChar w:fldCharType="separate"/>
      </w:r>
      <w:r>
        <w:rPr>
          <w:color w:val="auto"/>
          <w:sz w:val="24"/>
        </w:rPr>
        <w:t>84</w:t>
      </w:r>
      <w:r>
        <w:rPr>
          <w:color w:val="auto"/>
          <w:sz w:val="24"/>
        </w:rPr>
        <w:fldChar w:fldCharType="end"/>
      </w:r>
      <w:r>
        <w:rPr>
          <w:rFonts w:ascii="Times New Roman" w:hAnsi="Times New Roman"/>
          <w:color w:val="auto"/>
          <w:sz w:val="24"/>
        </w:rPr>
        <w:fldChar w:fldCharType="end"/>
      </w:r>
    </w:p>
    <w:p w14:paraId="7AEF691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_Toc27956 </w:instrText>
      </w:r>
      <w:r>
        <w:rPr>
          <w:rFonts w:ascii="Times New Roman" w:hAnsi="Times New Roman"/>
          <w:color w:val="auto"/>
          <w:sz w:val="24"/>
        </w:rPr>
        <w:fldChar w:fldCharType="separate"/>
      </w:r>
      <w:r>
        <w:rPr>
          <w:rFonts w:hint="eastAsia" w:ascii="Times New Roman" w:hAnsi="Times New Roman"/>
          <w:color w:val="auto"/>
          <w:sz w:val="24"/>
        </w:rPr>
        <w:t>3.3.1</w:t>
      </w:r>
      <w:r>
        <w:rPr>
          <w:rFonts w:hint="eastAsia" w:ascii="Times New Roman" w:hAnsi="Times New Roman"/>
          <w:color w:val="auto"/>
          <w:sz w:val="24"/>
          <w:lang w:val="en-US" w:eastAsia="zh-CN"/>
        </w:rPr>
        <w:t xml:space="preserve"> </w:t>
      </w:r>
      <w:r>
        <w:rPr>
          <w:rFonts w:hint="eastAsia" w:ascii="Times New Roman" w:hAnsi="Times New Roman"/>
          <w:color w:val="auto"/>
          <w:sz w:val="24"/>
        </w:rPr>
        <w:t>采剥单元危险有害因素辨识</w:t>
      </w:r>
      <w:r>
        <w:rPr>
          <w:color w:val="auto"/>
          <w:sz w:val="24"/>
        </w:rPr>
        <w:tab/>
      </w:r>
      <w:r>
        <w:rPr>
          <w:color w:val="auto"/>
          <w:sz w:val="24"/>
        </w:rPr>
        <w:fldChar w:fldCharType="begin"/>
      </w:r>
      <w:r>
        <w:rPr>
          <w:color w:val="auto"/>
          <w:sz w:val="24"/>
        </w:rPr>
        <w:instrText xml:space="preserve"> PAGEREF _Toc27956 \h </w:instrText>
      </w:r>
      <w:r>
        <w:rPr>
          <w:color w:val="auto"/>
          <w:sz w:val="24"/>
        </w:rPr>
        <w:fldChar w:fldCharType="separate"/>
      </w:r>
      <w:r>
        <w:rPr>
          <w:color w:val="auto"/>
          <w:sz w:val="24"/>
        </w:rPr>
        <w:t>84</w:t>
      </w:r>
      <w:r>
        <w:rPr>
          <w:color w:val="auto"/>
          <w:sz w:val="24"/>
        </w:rPr>
        <w:fldChar w:fldCharType="end"/>
      </w:r>
      <w:r>
        <w:rPr>
          <w:rFonts w:ascii="Times New Roman" w:hAnsi="Times New Roman"/>
          <w:color w:val="auto"/>
          <w:sz w:val="24"/>
        </w:rPr>
        <w:fldChar w:fldCharType="end"/>
      </w:r>
    </w:p>
    <w:p w14:paraId="2F3084E2">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_Toc13041 </w:instrText>
      </w:r>
      <w:r>
        <w:rPr>
          <w:rFonts w:ascii="Times New Roman" w:hAnsi="Times New Roman"/>
          <w:color w:val="auto"/>
          <w:sz w:val="24"/>
        </w:rPr>
        <w:fldChar w:fldCharType="separate"/>
      </w:r>
      <w:r>
        <w:rPr>
          <w:rFonts w:hint="eastAsia" w:ascii="Times New Roman" w:hAnsi="Times New Roman"/>
          <w:color w:val="auto"/>
          <w:sz w:val="24"/>
        </w:rPr>
        <w:t>3.3.2</w:t>
      </w:r>
      <w:r>
        <w:rPr>
          <w:rFonts w:hint="eastAsia" w:ascii="Times New Roman" w:hAnsi="Times New Roman"/>
          <w:color w:val="auto"/>
          <w:sz w:val="24"/>
          <w:lang w:val="en-US" w:eastAsia="zh-CN"/>
        </w:rPr>
        <w:t xml:space="preserve"> </w:t>
      </w:r>
      <w:r>
        <w:rPr>
          <w:rFonts w:hint="eastAsia" w:ascii="Times New Roman" w:hAnsi="Times New Roman"/>
          <w:color w:val="auto"/>
          <w:sz w:val="24"/>
        </w:rPr>
        <w:t>采场子单元</w:t>
      </w:r>
      <w:r>
        <w:rPr>
          <w:color w:val="auto"/>
          <w:sz w:val="24"/>
        </w:rPr>
        <w:tab/>
      </w:r>
      <w:r>
        <w:rPr>
          <w:color w:val="auto"/>
          <w:sz w:val="24"/>
        </w:rPr>
        <w:fldChar w:fldCharType="begin"/>
      </w:r>
      <w:r>
        <w:rPr>
          <w:color w:val="auto"/>
          <w:sz w:val="24"/>
        </w:rPr>
        <w:instrText xml:space="preserve"> PAGEREF _Toc13041 \h </w:instrText>
      </w:r>
      <w:r>
        <w:rPr>
          <w:color w:val="auto"/>
          <w:sz w:val="24"/>
        </w:rPr>
        <w:fldChar w:fldCharType="separate"/>
      </w:r>
      <w:r>
        <w:rPr>
          <w:color w:val="auto"/>
          <w:sz w:val="24"/>
        </w:rPr>
        <w:t>88</w:t>
      </w:r>
      <w:r>
        <w:rPr>
          <w:color w:val="auto"/>
          <w:sz w:val="24"/>
        </w:rPr>
        <w:fldChar w:fldCharType="end"/>
      </w:r>
      <w:r>
        <w:rPr>
          <w:rFonts w:ascii="Times New Roman" w:hAnsi="Times New Roman"/>
          <w:color w:val="auto"/>
          <w:sz w:val="24"/>
        </w:rPr>
        <w:fldChar w:fldCharType="end"/>
      </w:r>
    </w:p>
    <w:p w14:paraId="4F3F7109">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_Toc15954 </w:instrText>
      </w:r>
      <w:r>
        <w:rPr>
          <w:rFonts w:ascii="Times New Roman" w:hAnsi="Times New Roman"/>
          <w:color w:val="auto"/>
          <w:sz w:val="24"/>
        </w:rPr>
        <w:fldChar w:fldCharType="separate"/>
      </w:r>
      <w:r>
        <w:rPr>
          <w:rFonts w:ascii="Times New Roman" w:hAnsi="Times New Roman"/>
          <w:color w:val="auto"/>
          <w:sz w:val="24"/>
          <w:szCs w:val="28"/>
          <w:lang w:val="en-GB"/>
        </w:rPr>
        <w:t>3.3.</w:t>
      </w:r>
      <w:r>
        <w:rPr>
          <w:rFonts w:ascii="Times New Roman" w:hAnsi="Times New Roman"/>
          <w:color w:val="auto"/>
          <w:sz w:val="24"/>
          <w:szCs w:val="28"/>
        </w:rPr>
        <w:t>3</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rPr>
        <w:t>穿孔爆破</w:t>
      </w:r>
      <w:r>
        <w:rPr>
          <w:rFonts w:ascii="Times New Roman" w:hAnsi="Times New Roman"/>
          <w:color w:val="auto"/>
          <w:sz w:val="24"/>
          <w:szCs w:val="28"/>
          <w:lang w:val="en-GB"/>
        </w:rPr>
        <w:t>子单元</w:t>
      </w:r>
      <w:r>
        <w:rPr>
          <w:color w:val="auto"/>
          <w:sz w:val="24"/>
        </w:rPr>
        <w:tab/>
      </w:r>
      <w:r>
        <w:rPr>
          <w:color w:val="auto"/>
          <w:sz w:val="24"/>
        </w:rPr>
        <w:fldChar w:fldCharType="begin"/>
      </w:r>
      <w:r>
        <w:rPr>
          <w:color w:val="auto"/>
          <w:sz w:val="24"/>
        </w:rPr>
        <w:instrText xml:space="preserve"> PAGEREF _Toc15954 \h </w:instrText>
      </w:r>
      <w:r>
        <w:rPr>
          <w:color w:val="auto"/>
          <w:sz w:val="24"/>
        </w:rPr>
        <w:fldChar w:fldCharType="separate"/>
      </w:r>
      <w:r>
        <w:rPr>
          <w:color w:val="auto"/>
          <w:sz w:val="24"/>
        </w:rPr>
        <w:t>105</w:t>
      </w:r>
      <w:r>
        <w:rPr>
          <w:color w:val="auto"/>
          <w:sz w:val="24"/>
        </w:rPr>
        <w:fldChar w:fldCharType="end"/>
      </w:r>
      <w:r>
        <w:rPr>
          <w:rFonts w:ascii="Times New Roman" w:hAnsi="Times New Roman"/>
          <w:color w:val="auto"/>
          <w:sz w:val="24"/>
        </w:rPr>
        <w:fldChar w:fldCharType="end"/>
      </w:r>
    </w:p>
    <w:p w14:paraId="5FC76C6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_Toc20884 </w:instrText>
      </w:r>
      <w:r>
        <w:rPr>
          <w:rFonts w:ascii="Times New Roman" w:hAnsi="Times New Roman"/>
          <w:color w:val="auto"/>
          <w:sz w:val="24"/>
        </w:rPr>
        <w:fldChar w:fldCharType="separate"/>
      </w:r>
      <w:r>
        <w:rPr>
          <w:rFonts w:ascii="Times New Roman" w:hAnsi="Times New Roman"/>
          <w:color w:val="auto"/>
          <w:sz w:val="24"/>
          <w:szCs w:val="28"/>
          <w:lang w:val="en-GB"/>
        </w:rPr>
        <w:t>3.3.</w:t>
      </w:r>
      <w:r>
        <w:rPr>
          <w:rFonts w:ascii="Times New Roman" w:hAnsi="Times New Roman"/>
          <w:color w:val="auto"/>
          <w:sz w:val="24"/>
          <w:szCs w:val="28"/>
        </w:rPr>
        <w:t>4</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铲装运输子单元</w:t>
      </w:r>
      <w:r>
        <w:rPr>
          <w:color w:val="auto"/>
          <w:sz w:val="24"/>
        </w:rPr>
        <w:tab/>
      </w:r>
      <w:r>
        <w:rPr>
          <w:color w:val="auto"/>
          <w:sz w:val="24"/>
        </w:rPr>
        <w:fldChar w:fldCharType="begin"/>
      </w:r>
      <w:r>
        <w:rPr>
          <w:color w:val="auto"/>
          <w:sz w:val="24"/>
        </w:rPr>
        <w:instrText xml:space="preserve"> PAGEREF _Toc20884 \h </w:instrText>
      </w:r>
      <w:r>
        <w:rPr>
          <w:color w:val="auto"/>
          <w:sz w:val="24"/>
        </w:rPr>
        <w:fldChar w:fldCharType="separate"/>
      </w:r>
      <w:r>
        <w:rPr>
          <w:color w:val="auto"/>
          <w:sz w:val="24"/>
        </w:rPr>
        <w:t>110</w:t>
      </w:r>
      <w:r>
        <w:rPr>
          <w:color w:val="auto"/>
          <w:sz w:val="24"/>
        </w:rPr>
        <w:fldChar w:fldCharType="end"/>
      </w:r>
      <w:r>
        <w:rPr>
          <w:rFonts w:ascii="Times New Roman" w:hAnsi="Times New Roman"/>
          <w:color w:val="auto"/>
          <w:sz w:val="24"/>
        </w:rPr>
        <w:fldChar w:fldCharType="end"/>
      </w:r>
    </w:p>
    <w:p w14:paraId="45FFED7D">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_Toc22031 </w:instrText>
      </w:r>
      <w:r>
        <w:rPr>
          <w:rFonts w:ascii="Times New Roman" w:hAnsi="Times New Roman"/>
          <w:color w:val="auto"/>
          <w:sz w:val="24"/>
        </w:rPr>
        <w:fldChar w:fldCharType="separate"/>
      </w:r>
      <w:r>
        <w:rPr>
          <w:rFonts w:ascii="Times New Roman" w:hAnsi="Times New Roman"/>
          <w:color w:val="auto"/>
          <w:sz w:val="24"/>
        </w:rPr>
        <w:t>3.4</w:t>
      </w:r>
      <w:r>
        <w:rPr>
          <w:rFonts w:hint="eastAsia" w:ascii="Times New Roman" w:hAnsi="Times New Roman"/>
          <w:color w:val="auto"/>
          <w:sz w:val="24"/>
          <w:lang w:val="en-US" w:eastAsia="zh-CN"/>
        </w:rPr>
        <w:t xml:space="preserve"> </w:t>
      </w:r>
      <w:r>
        <w:rPr>
          <w:rFonts w:ascii="Times New Roman" w:hAnsi="Times New Roman"/>
          <w:color w:val="auto"/>
          <w:sz w:val="24"/>
        </w:rPr>
        <w:t>矿山供配电设施单元</w:t>
      </w:r>
      <w:r>
        <w:rPr>
          <w:color w:val="auto"/>
          <w:sz w:val="24"/>
        </w:rPr>
        <w:tab/>
      </w:r>
      <w:r>
        <w:rPr>
          <w:color w:val="auto"/>
          <w:sz w:val="24"/>
        </w:rPr>
        <w:fldChar w:fldCharType="begin"/>
      </w:r>
      <w:r>
        <w:rPr>
          <w:color w:val="auto"/>
          <w:sz w:val="24"/>
        </w:rPr>
        <w:instrText xml:space="preserve"> PAGEREF _Toc22031 \h </w:instrText>
      </w:r>
      <w:r>
        <w:rPr>
          <w:color w:val="auto"/>
          <w:sz w:val="24"/>
        </w:rPr>
        <w:fldChar w:fldCharType="separate"/>
      </w:r>
      <w:r>
        <w:rPr>
          <w:color w:val="auto"/>
          <w:sz w:val="24"/>
        </w:rPr>
        <w:t>113</w:t>
      </w:r>
      <w:r>
        <w:rPr>
          <w:color w:val="auto"/>
          <w:sz w:val="24"/>
        </w:rPr>
        <w:fldChar w:fldCharType="end"/>
      </w:r>
      <w:r>
        <w:rPr>
          <w:rFonts w:ascii="Times New Roman" w:hAnsi="Times New Roman"/>
          <w:color w:val="auto"/>
          <w:sz w:val="24"/>
        </w:rPr>
        <w:fldChar w:fldCharType="end"/>
      </w:r>
    </w:p>
    <w:p w14:paraId="181D4DEA">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_Toc12936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4.1</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矿山供配电设施单元危险有害因素辨识与分析</w:t>
      </w:r>
      <w:r>
        <w:rPr>
          <w:color w:val="auto"/>
          <w:sz w:val="24"/>
        </w:rPr>
        <w:tab/>
      </w:r>
      <w:r>
        <w:rPr>
          <w:color w:val="auto"/>
          <w:sz w:val="24"/>
        </w:rPr>
        <w:fldChar w:fldCharType="begin"/>
      </w:r>
      <w:r>
        <w:rPr>
          <w:color w:val="auto"/>
          <w:sz w:val="24"/>
        </w:rPr>
        <w:instrText xml:space="preserve"> PAGEREF _Toc12936 \h </w:instrText>
      </w:r>
      <w:r>
        <w:rPr>
          <w:color w:val="auto"/>
          <w:sz w:val="24"/>
        </w:rPr>
        <w:fldChar w:fldCharType="separate"/>
      </w:r>
      <w:r>
        <w:rPr>
          <w:color w:val="auto"/>
          <w:sz w:val="24"/>
        </w:rPr>
        <w:t>113</w:t>
      </w:r>
      <w:r>
        <w:rPr>
          <w:color w:val="auto"/>
          <w:sz w:val="24"/>
        </w:rPr>
        <w:fldChar w:fldCharType="end"/>
      </w:r>
      <w:r>
        <w:rPr>
          <w:rFonts w:ascii="Times New Roman" w:hAnsi="Times New Roman"/>
          <w:color w:val="auto"/>
          <w:sz w:val="24"/>
        </w:rPr>
        <w:fldChar w:fldCharType="end"/>
      </w:r>
    </w:p>
    <w:p w14:paraId="6693D9DF">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_Toc12619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4</w:t>
      </w:r>
      <w:r>
        <w:rPr>
          <w:rFonts w:ascii="Times New Roman" w:hAnsi="Times New Roman"/>
          <w:color w:val="auto"/>
          <w:sz w:val="24"/>
          <w:szCs w:val="28"/>
          <w:lang w:val="en-GB"/>
        </w:rPr>
        <w:t>.</w:t>
      </w:r>
      <w:r>
        <w:rPr>
          <w:rFonts w:ascii="Times New Roman" w:hAnsi="Times New Roman"/>
          <w:color w:val="auto"/>
          <w:sz w:val="24"/>
          <w:szCs w:val="28"/>
        </w:rPr>
        <w:t>2</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预先危险性分析</w:t>
      </w:r>
      <w:r>
        <w:rPr>
          <w:rFonts w:hint="eastAsia" w:ascii="Times New Roman" w:hAnsi="Times New Roman"/>
          <w:color w:val="auto"/>
          <w:sz w:val="24"/>
          <w:szCs w:val="28"/>
          <w:lang w:val="en-GB" w:eastAsia="zh-CN"/>
        </w:rPr>
        <w:t>（</w:t>
      </w:r>
      <w:r>
        <w:rPr>
          <w:rFonts w:ascii="Times New Roman" w:hAnsi="Times New Roman"/>
          <w:color w:val="auto"/>
          <w:sz w:val="24"/>
          <w:szCs w:val="28"/>
          <w:lang w:val="en-GB"/>
        </w:rPr>
        <w:t>PHA</w:t>
      </w:r>
      <w:r>
        <w:rPr>
          <w:rFonts w:hint="eastAsia" w:ascii="Times New Roman" w:hAnsi="Times New Roman"/>
          <w:color w:val="auto"/>
          <w:sz w:val="24"/>
          <w:szCs w:val="28"/>
          <w:lang w:val="en-GB" w:eastAsia="zh-CN"/>
        </w:rPr>
        <w:t>）</w:t>
      </w:r>
      <w:r>
        <w:rPr>
          <w:color w:val="auto"/>
          <w:sz w:val="24"/>
        </w:rPr>
        <w:tab/>
      </w:r>
      <w:r>
        <w:rPr>
          <w:color w:val="auto"/>
          <w:sz w:val="24"/>
        </w:rPr>
        <w:fldChar w:fldCharType="begin"/>
      </w:r>
      <w:r>
        <w:rPr>
          <w:color w:val="auto"/>
          <w:sz w:val="24"/>
        </w:rPr>
        <w:instrText xml:space="preserve"> PAGEREF _Toc12619 \h </w:instrText>
      </w:r>
      <w:r>
        <w:rPr>
          <w:color w:val="auto"/>
          <w:sz w:val="24"/>
        </w:rPr>
        <w:fldChar w:fldCharType="separate"/>
      </w:r>
      <w:r>
        <w:rPr>
          <w:color w:val="auto"/>
          <w:sz w:val="24"/>
        </w:rPr>
        <w:t>114</w:t>
      </w:r>
      <w:r>
        <w:rPr>
          <w:color w:val="auto"/>
          <w:sz w:val="24"/>
        </w:rPr>
        <w:fldChar w:fldCharType="end"/>
      </w:r>
      <w:r>
        <w:rPr>
          <w:rFonts w:ascii="Times New Roman" w:hAnsi="Times New Roman"/>
          <w:color w:val="auto"/>
          <w:sz w:val="24"/>
        </w:rPr>
        <w:fldChar w:fldCharType="end"/>
      </w:r>
    </w:p>
    <w:p w14:paraId="7F2C8CE4">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_Toc17068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4</w:t>
      </w:r>
      <w:r>
        <w:rPr>
          <w:rFonts w:ascii="Times New Roman" w:hAnsi="Times New Roman"/>
          <w:color w:val="auto"/>
          <w:sz w:val="24"/>
          <w:szCs w:val="28"/>
          <w:lang w:val="en-GB"/>
        </w:rPr>
        <w:t>.</w:t>
      </w:r>
      <w:r>
        <w:rPr>
          <w:rFonts w:ascii="Times New Roman" w:hAnsi="Times New Roman"/>
          <w:color w:val="auto"/>
          <w:sz w:val="24"/>
          <w:szCs w:val="28"/>
        </w:rPr>
        <w:t>3</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安全检查表</w:t>
      </w:r>
      <w:r>
        <w:rPr>
          <w:color w:val="auto"/>
          <w:sz w:val="24"/>
        </w:rPr>
        <w:tab/>
      </w:r>
      <w:r>
        <w:rPr>
          <w:color w:val="auto"/>
          <w:sz w:val="24"/>
        </w:rPr>
        <w:fldChar w:fldCharType="begin"/>
      </w:r>
      <w:r>
        <w:rPr>
          <w:color w:val="auto"/>
          <w:sz w:val="24"/>
        </w:rPr>
        <w:instrText xml:space="preserve"> PAGEREF _Toc17068 \h </w:instrText>
      </w:r>
      <w:r>
        <w:rPr>
          <w:color w:val="auto"/>
          <w:sz w:val="24"/>
        </w:rPr>
        <w:fldChar w:fldCharType="separate"/>
      </w:r>
      <w:r>
        <w:rPr>
          <w:color w:val="auto"/>
          <w:sz w:val="24"/>
        </w:rPr>
        <w:t>115</w:t>
      </w:r>
      <w:r>
        <w:rPr>
          <w:color w:val="auto"/>
          <w:sz w:val="24"/>
        </w:rPr>
        <w:fldChar w:fldCharType="end"/>
      </w:r>
      <w:r>
        <w:rPr>
          <w:rFonts w:ascii="Times New Roman" w:hAnsi="Times New Roman"/>
          <w:color w:val="auto"/>
          <w:sz w:val="24"/>
        </w:rPr>
        <w:fldChar w:fldCharType="end"/>
      </w:r>
    </w:p>
    <w:p w14:paraId="77DD0E53">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_Toc18172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4</w:t>
      </w:r>
      <w:r>
        <w:rPr>
          <w:rFonts w:ascii="Times New Roman" w:hAnsi="Times New Roman"/>
          <w:color w:val="auto"/>
          <w:sz w:val="24"/>
          <w:szCs w:val="28"/>
          <w:lang w:val="en-GB"/>
        </w:rPr>
        <w:t>.</w:t>
      </w:r>
      <w:r>
        <w:rPr>
          <w:rFonts w:ascii="Times New Roman" w:hAnsi="Times New Roman"/>
          <w:color w:val="auto"/>
          <w:sz w:val="24"/>
          <w:szCs w:val="28"/>
        </w:rPr>
        <w:t>4</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触电危险性评价</w:t>
      </w:r>
      <w:r>
        <w:rPr>
          <w:color w:val="auto"/>
          <w:sz w:val="24"/>
        </w:rPr>
        <w:tab/>
      </w:r>
      <w:r>
        <w:rPr>
          <w:color w:val="auto"/>
          <w:sz w:val="24"/>
        </w:rPr>
        <w:fldChar w:fldCharType="begin"/>
      </w:r>
      <w:r>
        <w:rPr>
          <w:color w:val="auto"/>
          <w:sz w:val="24"/>
        </w:rPr>
        <w:instrText xml:space="preserve"> PAGEREF _Toc18172 \h </w:instrText>
      </w:r>
      <w:r>
        <w:rPr>
          <w:color w:val="auto"/>
          <w:sz w:val="24"/>
        </w:rPr>
        <w:fldChar w:fldCharType="separate"/>
      </w:r>
      <w:r>
        <w:rPr>
          <w:color w:val="auto"/>
          <w:sz w:val="24"/>
        </w:rPr>
        <w:t>116</w:t>
      </w:r>
      <w:r>
        <w:rPr>
          <w:color w:val="auto"/>
          <w:sz w:val="24"/>
        </w:rPr>
        <w:fldChar w:fldCharType="end"/>
      </w:r>
      <w:r>
        <w:rPr>
          <w:rFonts w:ascii="Times New Roman" w:hAnsi="Times New Roman"/>
          <w:color w:val="auto"/>
          <w:sz w:val="24"/>
        </w:rPr>
        <w:fldChar w:fldCharType="end"/>
      </w:r>
    </w:p>
    <w:p w14:paraId="3886EB9F">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_Toc11364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4</w:t>
      </w:r>
      <w:r>
        <w:rPr>
          <w:rFonts w:ascii="Times New Roman" w:hAnsi="Times New Roman"/>
          <w:color w:val="auto"/>
          <w:sz w:val="24"/>
          <w:szCs w:val="28"/>
          <w:lang w:val="en-GB"/>
        </w:rPr>
        <w:t>.</w:t>
      </w:r>
      <w:r>
        <w:rPr>
          <w:rFonts w:ascii="Times New Roman" w:hAnsi="Times New Roman"/>
          <w:color w:val="auto"/>
          <w:sz w:val="24"/>
          <w:szCs w:val="28"/>
        </w:rPr>
        <w:t>5</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电气火灾和爆炸危险性评价</w:t>
      </w:r>
      <w:r>
        <w:rPr>
          <w:color w:val="auto"/>
          <w:sz w:val="24"/>
        </w:rPr>
        <w:tab/>
      </w:r>
      <w:r>
        <w:rPr>
          <w:color w:val="auto"/>
          <w:sz w:val="24"/>
        </w:rPr>
        <w:fldChar w:fldCharType="begin"/>
      </w:r>
      <w:r>
        <w:rPr>
          <w:color w:val="auto"/>
          <w:sz w:val="24"/>
        </w:rPr>
        <w:instrText xml:space="preserve"> PAGEREF _Toc11364 \h </w:instrText>
      </w:r>
      <w:r>
        <w:rPr>
          <w:color w:val="auto"/>
          <w:sz w:val="24"/>
        </w:rPr>
        <w:fldChar w:fldCharType="separate"/>
      </w:r>
      <w:r>
        <w:rPr>
          <w:color w:val="auto"/>
          <w:sz w:val="24"/>
        </w:rPr>
        <w:t>116</w:t>
      </w:r>
      <w:r>
        <w:rPr>
          <w:color w:val="auto"/>
          <w:sz w:val="24"/>
        </w:rPr>
        <w:fldChar w:fldCharType="end"/>
      </w:r>
      <w:r>
        <w:rPr>
          <w:rFonts w:ascii="Times New Roman" w:hAnsi="Times New Roman"/>
          <w:color w:val="auto"/>
          <w:sz w:val="24"/>
        </w:rPr>
        <w:fldChar w:fldCharType="end"/>
      </w:r>
    </w:p>
    <w:p w14:paraId="7EB4CB34">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_Toc4631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4</w:t>
      </w:r>
      <w:r>
        <w:rPr>
          <w:rFonts w:ascii="Times New Roman" w:hAnsi="Times New Roman"/>
          <w:color w:val="auto"/>
          <w:sz w:val="24"/>
          <w:szCs w:val="28"/>
          <w:lang w:val="en-GB"/>
        </w:rPr>
        <w:t>.</w:t>
      </w:r>
      <w:r>
        <w:rPr>
          <w:rFonts w:ascii="Times New Roman" w:hAnsi="Times New Roman"/>
          <w:color w:val="auto"/>
          <w:sz w:val="24"/>
          <w:szCs w:val="28"/>
        </w:rPr>
        <w:t>6</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雷电危险性评价</w:t>
      </w:r>
      <w:r>
        <w:rPr>
          <w:color w:val="auto"/>
          <w:sz w:val="24"/>
        </w:rPr>
        <w:tab/>
      </w:r>
      <w:r>
        <w:rPr>
          <w:color w:val="auto"/>
          <w:sz w:val="24"/>
        </w:rPr>
        <w:fldChar w:fldCharType="begin"/>
      </w:r>
      <w:r>
        <w:rPr>
          <w:color w:val="auto"/>
          <w:sz w:val="24"/>
        </w:rPr>
        <w:instrText xml:space="preserve"> PAGEREF _Toc4631 \h </w:instrText>
      </w:r>
      <w:r>
        <w:rPr>
          <w:color w:val="auto"/>
          <w:sz w:val="24"/>
        </w:rPr>
        <w:fldChar w:fldCharType="separate"/>
      </w:r>
      <w:r>
        <w:rPr>
          <w:color w:val="auto"/>
          <w:sz w:val="24"/>
        </w:rPr>
        <w:t>117</w:t>
      </w:r>
      <w:r>
        <w:rPr>
          <w:color w:val="auto"/>
          <w:sz w:val="24"/>
        </w:rPr>
        <w:fldChar w:fldCharType="end"/>
      </w:r>
      <w:r>
        <w:rPr>
          <w:rFonts w:ascii="Times New Roman" w:hAnsi="Times New Roman"/>
          <w:color w:val="auto"/>
          <w:sz w:val="24"/>
        </w:rPr>
        <w:fldChar w:fldCharType="end"/>
      </w:r>
    </w:p>
    <w:p w14:paraId="58FB867E">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_Toc6249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4</w:t>
      </w:r>
      <w:r>
        <w:rPr>
          <w:rFonts w:ascii="Times New Roman" w:hAnsi="Times New Roman"/>
          <w:color w:val="auto"/>
          <w:sz w:val="24"/>
          <w:szCs w:val="28"/>
          <w:lang w:val="en-GB"/>
        </w:rPr>
        <w:t>.</w:t>
      </w:r>
      <w:r>
        <w:rPr>
          <w:rFonts w:ascii="Times New Roman" w:hAnsi="Times New Roman"/>
          <w:color w:val="auto"/>
          <w:sz w:val="24"/>
          <w:szCs w:val="28"/>
        </w:rPr>
        <w:t>7</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单元小结</w:t>
      </w:r>
      <w:r>
        <w:rPr>
          <w:color w:val="auto"/>
          <w:sz w:val="24"/>
        </w:rPr>
        <w:tab/>
      </w:r>
      <w:r>
        <w:rPr>
          <w:color w:val="auto"/>
          <w:sz w:val="24"/>
        </w:rPr>
        <w:fldChar w:fldCharType="begin"/>
      </w:r>
      <w:r>
        <w:rPr>
          <w:color w:val="auto"/>
          <w:sz w:val="24"/>
        </w:rPr>
        <w:instrText xml:space="preserve"> PAGEREF _Toc6249 \h </w:instrText>
      </w:r>
      <w:r>
        <w:rPr>
          <w:color w:val="auto"/>
          <w:sz w:val="24"/>
        </w:rPr>
        <w:fldChar w:fldCharType="separate"/>
      </w:r>
      <w:r>
        <w:rPr>
          <w:color w:val="auto"/>
          <w:sz w:val="24"/>
        </w:rPr>
        <w:t>117</w:t>
      </w:r>
      <w:r>
        <w:rPr>
          <w:color w:val="auto"/>
          <w:sz w:val="24"/>
        </w:rPr>
        <w:fldChar w:fldCharType="end"/>
      </w:r>
      <w:r>
        <w:rPr>
          <w:rFonts w:ascii="Times New Roman" w:hAnsi="Times New Roman"/>
          <w:color w:val="auto"/>
          <w:sz w:val="24"/>
        </w:rPr>
        <w:fldChar w:fldCharType="end"/>
      </w:r>
    </w:p>
    <w:p w14:paraId="673B091D">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_Toc13220 </w:instrText>
      </w:r>
      <w:r>
        <w:rPr>
          <w:rFonts w:ascii="Times New Roman" w:hAnsi="Times New Roman"/>
          <w:color w:val="auto"/>
          <w:sz w:val="24"/>
        </w:rPr>
        <w:fldChar w:fldCharType="separate"/>
      </w:r>
      <w:r>
        <w:rPr>
          <w:rFonts w:ascii="Times New Roman" w:hAnsi="Times New Roman"/>
          <w:color w:val="auto"/>
          <w:sz w:val="24"/>
        </w:rPr>
        <w:t>3.5</w:t>
      </w:r>
      <w:r>
        <w:rPr>
          <w:rFonts w:hint="eastAsia" w:ascii="Times New Roman" w:hAnsi="Times New Roman"/>
          <w:color w:val="auto"/>
          <w:sz w:val="24"/>
          <w:lang w:val="en-US" w:eastAsia="zh-CN"/>
        </w:rPr>
        <w:t xml:space="preserve"> </w:t>
      </w:r>
      <w:r>
        <w:rPr>
          <w:rFonts w:ascii="Times New Roman" w:hAnsi="Times New Roman"/>
          <w:color w:val="auto"/>
          <w:sz w:val="24"/>
        </w:rPr>
        <w:t>防排水</w:t>
      </w:r>
      <w:r>
        <w:rPr>
          <w:rFonts w:hint="eastAsia" w:ascii="Times New Roman" w:hAnsi="Times New Roman"/>
          <w:color w:val="auto"/>
          <w:sz w:val="24"/>
          <w:lang w:val="en-US" w:eastAsia="zh-CN"/>
        </w:rPr>
        <w:t>与防灭火</w:t>
      </w:r>
      <w:r>
        <w:rPr>
          <w:rFonts w:ascii="Times New Roman" w:hAnsi="Times New Roman"/>
          <w:color w:val="auto"/>
          <w:sz w:val="24"/>
        </w:rPr>
        <w:t>单元</w:t>
      </w:r>
      <w:r>
        <w:rPr>
          <w:color w:val="auto"/>
          <w:sz w:val="24"/>
        </w:rPr>
        <w:tab/>
      </w:r>
      <w:r>
        <w:rPr>
          <w:color w:val="auto"/>
          <w:sz w:val="24"/>
        </w:rPr>
        <w:fldChar w:fldCharType="begin"/>
      </w:r>
      <w:r>
        <w:rPr>
          <w:color w:val="auto"/>
          <w:sz w:val="24"/>
        </w:rPr>
        <w:instrText xml:space="preserve"> PAGEREF _Toc13220 \h </w:instrText>
      </w:r>
      <w:r>
        <w:rPr>
          <w:color w:val="auto"/>
          <w:sz w:val="24"/>
        </w:rPr>
        <w:fldChar w:fldCharType="separate"/>
      </w:r>
      <w:r>
        <w:rPr>
          <w:color w:val="auto"/>
          <w:sz w:val="24"/>
        </w:rPr>
        <w:t>118</w:t>
      </w:r>
      <w:r>
        <w:rPr>
          <w:color w:val="auto"/>
          <w:sz w:val="24"/>
        </w:rPr>
        <w:fldChar w:fldCharType="end"/>
      </w:r>
      <w:r>
        <w:rPr>
          <w:rFonts w:ascii="Times New Roman" w:hAnsi="Times New Roman"/>
          <w:color w:val="auto"/>
          <w:sz w:val="24"/>
        </w:rPr>
        <w:fldChar w:fldCharType="end"/>
      </w:r>
    </w:p>
    <w:p w14:paraId="542FCA85">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_Toc6673 </w:instrText>
      </w:r>
      <w:r>
        <w:rPr>
          <w:rFonts w:ascii="Times New Roman" w:hAnsi="Times New Roman"/>
          <w:color w:val="auto"/>
          <w:sz w:val="24"/>
        </w:rPr>
        <w:fldChar w:fldCharType="separate"/>
      </w:r>
      <w:r>
        <w:rPr>
          <w:rFonts w:ascii="Times New Roman" w:hAnsi="Times New Roman"/>
          <w:color w:val="auto"/>
          <w:sz w:val="24"/>
          <w:szCs w:val="28"/>
          <w:lang w:val="en-GB"/>
        </w:rPr>
        <w:t>3.</w:t>
      </w:r>
      <w:r>
        <w:rPr>
          <w:rFonts w:ascii="Times New Roman" w:hAnsi="Times New Roman"/>
          <w:color w:val="auto"/>
          <w:sz w:val="24"/>
          <w:szCs w:val="28"/>
        </w:rPr>
        <w:t>5</w:t>
      </w:r>
      <w:r>
        <w:rPr>
          <w:rFonts w:ascii="Times New Roman" w:hAnsi="Times New Roman"/>
          <w:color w:val="auto"/>
          <w:sz w:val="24"/>
          <w:szCs w:val="28"/>
          <w:lang w:val="en-GB"/>
        </w:rPr>
        <w:t>.</w:t>
      </w:r>
      <w:r>
        <w:rPr>
          <w:rFonts w:ascii="Times New Roman" w:hAnsi="Times New Roman"/>
          <w:color w:val="auto"/>
          <w:sz w:val="24"/>
          <w:szCs w:val="28"/>
        </w:rPr>
        <w:t>1</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防排水</w:t>
      </w:r>
      <w:r>
        <w:rPr>
          <w:rFonts w:hint="eastAsia" w:ascii="Times New Roman" w:hAnsi="Times New Roman"/>
          <w:color w:val="auto"/>
          <w:sz w:val="24"/>
          <w:szCs w:val="28"/>
          <w:lang w:val="en-GB"/>
        </w:rPr>
        <w:t>和防灭火</w:t>
      </w:r>
      <w:r>
        <w:rPr>
          <w:rFonts w:ascii="Times New Roman" w:hAnsi="Times New Roman"/>
          <w:color w:val="auto"/>
          <w:sz w:val="24"/>
          <w:szCs w:val="28"/>
          <w:lang w:val="en-GB"/>
        </w:rPr>
        <w:t>危险有害因素辨识与分析</w:t>
      </w:r>
      <w:r>
        <w:rPr>
          <w:color w:val="auto"/>
          <w:sz w:val="24"/>
        </w:rPr>
        <w:tab/>
      </w:r>
      <w:r>
        <w:rPr>
          <w:color w:val="auto"/>
          <w:sz w:val="24"/>
        </w:rPr>
        <w:fldChar w:fldCharType="begin"/>
      </w:r>
      <w:r>
        <w:rPr>
          <w:color w:val="auto"/>
          <w:sz w:val="24"/>
        </w:rPr>
        <w:instrText xml:space="preserve"> PAGEREF _Toc6673 \h </w:instrText>
      </w:r>
      <w:r>
        <w:rPr>
          <w:color w:val="auto"/>
          <w:sz w:val="24"/>
        </w:rPr>
        <w:fldChar w:fldCharType="separate"/>
      </w:r>
      <w:r>
        <w:rPr>
          <w:color w:val="auto"/>
          <w:sz w:val="24"/>
        </w:rPr>
        <w:t>118</w:t>
      </w:r>
      <w:r>
        <w:rPr>
          <w:color w:val="auto"/>
          <w:sz w:val="24"/>
        </w:rPr>
        <w:fldChar w:fldCharType="end"/>
      </w:r>
      <w:r>
        <w:rPr>
          <w:rFonts w:ascii="Times New Roman" w:hAnsi="Times New Roman"/>
          <w:color w:val="auto"/>
          <w:sz w:val="24"/>
        </w:rPr>
        <w:fldChar w:fldCharType="end"/>
      </w:r>
    </w:p>
    <w:p w14:paraId="5709A11C">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_Toc13921 </w:instrText>
      </w:r>
      <w:r>
        <w:rPr>
          <w:rFonts w:ascii="Times New Roman" w:hAnsi="Times New Roman"/>
          <w:color w:val="auto"/>
          <w:sz w:val="24"/>
        </w:rPr>
        <w:fldChar w:fldCharType="separate"/>
      </w:r>
      <w:r>
        <w:rPr>
          <w:rFonts w:ascii="Times New Roman" w:hAnsi="Times New Roman"/>
          <w:color w:val="auto"/>
          <w:sz w:val="24"/>
        </w:rPr>
        <w:t>3.5.2</w:t>
      </w:r>
      <w:r>
        <w:rPr>
          <w:rFonts w:hint="eastAsia" w:ascii="Times New Roman" w:hAnsi="Times New Roman"/>
          <w:color w:val="auto"/>
          <w:sz w:val="24"/>
          <w:lang w:val="en-US" w:eastAsia="zh-CN"/>
        </w:rPr>
        <w:t xml:space="preserve"> </w:t>
      </w:r>
      <w:r>
        <w:rPr>
          <w:rFonts w:ascii="Times New Roman" w:hAnsi="Times New Roman"/>
          <w:color w:val="auto"/>
          <w:sz w:val="24"/>
        </w:rPr>
        <w:t>防排水</w:t>
      </w:r>
      <w:r>
        <w:rPr>
          <w:rFonts w:hint="eastAsia" w:ascii="Times New Roman" w:hAnsi="Times New Roman"/>
          <w:color w:val="auto"/>
          <w:sz w:val="24"/>
          <w:lang w:val="en-US" w:eastAsia="zh-CN"/>
        </w:rPr>
        <w:t>与防灭火</w:t>
      </w:r>
      <w:r>
        <w:rPr>
          <w:rFonts w:ascii="Times New Roman" w:hAnsi="Times New Roman"/>
          <w:color w:val="auto"/>
          <w:sz w:val="24"/>
        </w:rPr>
        <w:t>单元预先危险性分析</w:t>
      </w:r>
      <w:r>
        <w:rPr>
          <w:color w:val="auto"/>
          <w:sz w:val="24"/>
        </w:rPr>
        <w:tab/>
      </w:r>
      <w:r>
        <w:rPr>
          <w:color w:val="auto"/>
          <w:sz w:val="24"/>
        </w:rPr>
        <w:fldChar w:fldCharType="begin"/>
      </w:r>
      <w:r>
        <w:rPr>
          <w:color w:val="auto"/>
          <w:sz w:val="24"/>
        </w:rPr>
        <w:instrText xml:space="preserve"> PAGEREF _Toc13921 \h </w:instrText>
      </w:r>
      <w:r>
        <w:rPr>
          <w:color w:val="auto"/>
          <w:sz w:val="24"/>
        </w:rPr>
        <w:fldChar w:fldCharType="separate"/>
      </w:r>
      <w:r>
        <w:rPr>
          <w:color w:val="auto"/>
          <w:sz w:val="24"/>
        </w:rPr>
        <w:t>120</w:t>
      </w:r>
      <w:r>
        <w:rPr>
          <w:color w:val="auto"/>
          <w:sz w:val="24"/>
        </w:rPr>
        <w:fldChar w:fldCharType="end"/>
      </w:r>
      <w:r>
        <w:rPr>
          <w:rFonts w:ascii="Times New Roman" w:hAnsi="Times New Roman"/>
          <w:color w:val="auto"/>
          <w:sz w:val="24"/>
        </w:rPr>
        <w:fldChar w:fldCharType="end"/>
      </w:r>
    </w:p>
    <w:p w14:paraId="2C7C7035">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_Toc19161 </w:instrText>
      </w:r>
      <w:r>
        <w:rPr>
          <w:rFonts w:ascii="Times New Roman" w:hAnsi="Times New Roman"/>
          <w:color w:val="auto"/>
          <w:sz w:val="24"/>
        </w:rPr>
        <w:fldChar w:fldCharType="separate"/>
      </w:r>
      <w:r>
        <w:rPr>
          <w:rFonts w:ascii="Times New Roman" w:hAnsi="Times New Roman"/>
          <w:color w:val="auto"/>
          <w:sz w:val="24"/>
        </w:rPr>
        <w:t>3.5.3</w:t>
      </w:r>
      <w:r>
        <w:rPr>
          <w:rFonts w:hint="eastAsia" w:ascii="Times New Roman" w:hAnsi="Times New Roman"/>
          <w:color w:val="auto"/>
          <w:sz w:val="24"/>
          <w:lang w:val="en-US" w:eastAsia="zh-CN"/>
        </w:rPr>
        <w:t xml:space="preserve"> </w:t>
      </w:r>
      <w:r>
        <w:rPr>
          <w:rFonts w:ascii="Times New Roman" w:hAnsi="Times New Roman"/>
          <w:color w:val="auto"/>
          <w:sz w:val="24"/>
        </w:rPr>
        <w:t>防排水</w:t>
      </w:r>
      <w:r>
        <w:rPr>
          <w:rFonts w:hint="eastAsia" w:ascii="Times New Roman" w:hAnsi="Times New Roman"/>
          <w:color w:val="auto"/>
          <w:sz w:val="24"/>
          <w:lang w:val="en-US" w:eastAsia="zh-CN"/>
        </w:rPr>
        <w:t>与防灭火</w:t>
      </w:r>
      <w:r>
        <w:rPr>
          <w:rFonts w:ascii="Times New Roman" w:hAnsi="Times New Roman"/>
          <w:color w:val="auto"/>
          <w:sz w:val="24"/>
        </w:rPr>
        <w:t>单元安全检查表</w:t>
      </w:r>
      <w:r>
        <w:rPr>
          <w:color w:val="auto"/>
          <w:sz w:val="24"/>
        </w:rPr>
        <w:tab/>
      </w:r>
      <w:r>
        <w:rPr>
          <w:color w:val="auto"/>
          <w:sz w:val="24"/>
        </w:rPr>
        <w:fldChar w:fldCharType="begin"/>
      </w:r>
      <w:r>
        <w:rPr>
          <w:color w:val="auto"/>
          <w:sz w:val="24"/>
        </w:rPr>
        <w:instrText xml:space="preserve"> PAGEREF _Toc19161 \h </w:instrText>
      </w:r>
      <w:r>
        <w:rPr>
          <w:color w:val="auto"/>
          <w:sz w:val="24"/>
        </w:rPr>
        <w:fldChar w:fldCharType="separate"/>
      </w:r>
      <w:r>
        <w:rPr>
          <w:color w:val="auto"/>
          <w:sz w:val="24"/>
        </w:rPr>
        <w:t>121</w:t>
      </w:r>
      <w:r>
        <w:rPr>
          <w:color w:val="auto"/>
          <w:sz w:val="24"/>
        </w:rPr>
        <w:fldChar w:fldCharType="end"/>
      </w:r>
      <w:r>
        <w:rPr>
          <w:rFonts w:ascii="Times New Roman" w:hAnsi="Times New Roman"/>
          <w:color w:val="auto"/>
          <w:sz w:val="24"/>
        </w:rPr>
        <w:fldChar w:fldCharType="end"/>
      </w:r>
    </w:p>
    <w:p w14:paraId="348F74D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_Toc2219 </w:instrText>
      </w:r>
      <w:r>
        <w:rPr>
          <w:rFonts w:ascii="Times New Roman" w:hAnsi="Times New Roman"/>
          <w:color w:val="auto"/>
          <w:sz w:val="24"/>
        </w:rPr>
        <w:fldChar w:fldCharType="separate"/>
      </w:r>
      <w:r>
        <w:rPr>
          <w:rFonts w:ascii="Times New Roman" w:hAnsi="Times New Roman"/>
          <w:color w:val="auto"/>
          <w:sz w:val="24"/>
        </w:rPr>
        <w:t>3.5.4</w:t>
      </w:r>
      <w:r>
        <w:rPr>
          <w:rFonts w:hint="eastAsia" w:ascii="Times New Roman" w:hAnsi="Times New Roman"/>
          <w:color w:val="auto"/>
          <w:sz w:val="24"/>
          <w:lang w:val="en-US" w:eastAsia="zh-CN"/>
        </w:rPr>
        <w:t xml:space="preserve"> </w:t>
      </w:r>
      <w:r>
        <w:rPr>
          <w:rFonts w:ascii="Times New Roman" w:hAnsi="Times New Roman"/>
          <w:color w:val="auto"/>
          <w:sz w:val="24"/>
        </w:rPr>
        <w:t>防排水</w:t>
      </w:r>
      <w:r>
        <w:rPr>
          <w:rFonts w:hint="eastAsia" w:ascii="Times New Roman" w:hAnsi="Times New Roman"/>
          <w:color w:val="auto"/>
          <w:sz w:val="24"/>
        </w:rPr>
        <w:t>设计方案评述</w:t>
      </w:r>
      <w:r>
        <w:rPr>
          <w:color w:val="auto"/>
          <w:sz w:val="24"/>
        </w:rPr>
        <w:tab/>
      </w:r>
      <w:r>
        <w:rPr>
          <w:color w:val="auto"/>
          <w:sz w:val="24"/>
        </w:rPr>
        <w:fldChar w:fldCharType="begin"/>
      </w:r>
      <w:r>
        <w:rPr>
          <w:color w:val="auto"/>
          <w:sz w:val="24"/>
        </w:rPr>
        <w:instrText xml:space="preserve"> PAGEREF _Toc2219 \h </w:instrText>
      </w:r>
      <w:r>
        <w:rPr>
          <w:color w:val="auto"/>
          <w:sz w:val="24"/>
        </w:rPr>
        <w:fldChar w:fldCharType="separate"/>
      </w:r>
      <w:r>
        <w:rPr>
          <w:color w:val="auto"/>
          <w:sz w:val="24"/>
        </w:rPr>
        <w:t>122</w:t>
      </w:r>
      <w:r>
        <w:rPr>
          <w:color w:val="auto"/>
          <w:sz w:val="24"/>
        </w:rPr>
        <w:fldChar w:fldCharType="end"/>
      </w:r>
      <w:r>
        <w:rPr>
          <w:rFonts w:ascii="Times New Roman" w:hAnsi="Times New Roman"/>
          <w:color w:val="auto"/>
          <w:sz w:val="24"/>
        </w:rPr>
        <w:fldChar w:fldCharType="end"/>
      </w:r>
    </w:p>
    <w:p w14:paraId="44BE916F">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_Toc30518 </w:instrText>
      </w:r>
      <w:r>
        <w:rPr>
          <w:rFonts w:ascii="Times New Roman" w:hAnsi="Times New Roman"/>
          <w:color w:val="auto"/>
          <w:sz w:val="24"/>
        </w:rPr>
        <w:fldChar w:fldCharType="separate"/>
      </w:r>
      <w:r>
        <w:rPr>
          <w:rFonts w:ascii="Times New Roman" w:hAnsi="Times New Roman"/>
          <w:color w:val="auto"/>
          <w:sz w:val="24"/>
        </w:rPr>
        <w:t>3.5.5</w:t>
      </w:r>
      <w:r>
        <w:rPr>
          <w:rFonts w:hint="eastAsia" w:ascii="Times New Roman" w:hAnsi="Times New Roman"/>
          <w:color w:val="auto"/>
          <w:sz w:val="24"/>
          <w:lang w:val="en-US" w:eastAsia="zh-CN"/>
        </w:rPr>
        <w:t xml:space="preserve"> </w:t>
      </w:r>
      <w:r>
        <w:rPr>
          <w:rFonts w:ascii="Times New Roman" w:hAnsi="Times New Roman"/>
          <w:color w:val="auto"/>
          <w:sz w:val="24"/>
        </w:rPr>
        <w:t>单元小结</w:t>
      </w:r>
      <w:r>
        <w:rPr>
          <w:color w:val="auto"/>
          <w:sz w:val="24"/>
        </w:rPr>
        <w:tab/>
      </w:r>
      <w:r>
        <w:rPr>
          <w:color w:val="auto"/>
          <w:sz w:val="24"/>
        </w:rPr>
        <w:fldChar w:fldCharType="begin"/>
      </w:r>
      <w:r>
        <w:rPr>
          <w:color w:val="auto"/>
          <w:sz w:val="24"/>
        </w:rPr>
        <w:instrText xml:space="preserve"> PAGEREF _Toc30518 \h </w:instrText>
      </w:r>
      <w:r>
        <w:rPr>
          <w:color w:val="auto"/>
          <w:sz w:val="24"/>
        </w:rPr>
        <w:fldChar w:fldCharType="separate"/>
      </w:r>
      <w:r>
        <w:rPr>
          <w:color w:val="auto"/>
          <w:sz w:val="24"/>
        </w:rPr>
        <w:t>126</w:t>
      </w:r>
      <w:r>
        <w:rPr>
          <w:color w:val="auto"/>
          <w:sz w:val="24"/>
        </w:rPr>
        <w:fldChar w:fldCharType="end"/>
      </w:r>
      <w:r>
        <w:rPr>
          <w:rFonts w:ascii="Times New Roman" w:hAnsi="Times New Roman"/>
          <w:color w:val="auto"/>
          <w:sz w:val="24"/>
        </w:rPr>
        <w:fldChar w:fldCharType="end"/>
      </w:r>
    </w:p>
    <w:p w14:paraId="6E0E6415">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_Toc9861 </w:instrText>
      </w:r>
      <w:r>
        <w:rPr>
          <w:rFonts w:ascii="Times New Roman" w:hAnsi="Times New Roman"/>
          <w:color w:val="auto"/>
          <w:sz w:val="24"/>
        </w:rPr>
        <w:fldChar w:fldCharType="separate"/>
      </w:r>
      <w:r>
        <w:rPr>
          <w:rFonts w:ascii="Times New Roman" w:hAnsi="Times New Roman"/>
          <w:color w:val="auto"/>
          <w:sz w:val="24"/>
        </w:rPr>
        <w:t>3.</w:t>
      </w:r>
      <w:r>
        <w:rPr>
          <w:rFonts w:hint="eastAsia" w:ascii="Times New Roman" w:hAnsi="Times New Roman"/>
          <w:color w:val="auto"/>
          <w:sz w:val="24"/>
          <w:lang w:val="en-US" w:eastAsia="zh-CN"/>
        </w:rPr>
        <w:t xml:space="preserve">6 </w:t>
      </w:r>
      <w:r>
        <w:rPr>
          <w:rFonts w:ascii="Times New Roman" w:hAnsi="Times New Roman"/>
          <w:color w:val="auto"/>
          <w:sz w:val="24"/>
        </w:rPr>
        <w:t>安全管理及其他单元</w:t>
      </w:r>
      <w:r>
        <w:rPr>
          <w:color w:val="auto"/>
          <w:sz w:val="24"/>
        </w:rPr>
        <w:tab/>
      </w:r>
      <w:r>
        <w:rPr>
          <w:color w:val="auto"/>
          <w:sz w:val="24"/>
        </w:rPr>
        <w:fldChar w:fldCharType="begin"/>
      </w:r>
      <w:r>
        <w:rPr>
          <w:color w:val="auto"/>
          <w:sz w:val="24"/>
        </w:rPr>
        <w:instrText xml:space="preserve"> PAGEREF _Toc9861 \h </w:instrText>
      </w:r>
      <w:r>
        <w:rPr>
          <w:color w:val="auto"/>
          <w:sz w:val="24"/>
        </w:rPr>
        <w:fldChar w:fldCharType="separate"/>
      </w:r>
      <w:r>
        <w:rPr>
          <w:color w:val="auto"/>
          <w:sz w:val="24"/>
        </w:rPr>
        <w:t>127</w:t>
      </w:r>
      <w:r>
        <w:rPr>
          <w:color w:val="auto"/>
          <w:sz w:val="24"/>
        </w:rPr>
        <w:fldChar w:fldCharType="end"/>
      </w:r>
      <w:r>
        <w:rPr>
          <w:rFonts w:ascii="Times New Roman" w:hAnsi="Times New Roman"/>
          <w:color w:val="auto"/>
          <w:sz w:val="24"/>
        </w:rPr>
        <w:fldChar w:fldCharType="end"/>
      </w:r>
    </w:p>
    <w:p w14:paraId="062D176B">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_Toc3832 </w:instrText>
      </w:r>
      <w:r>
        <w:rPr>
          <w:rFonts w:ascii="Times New Roman" w:hAnsi="Times New Roman"/>
          <w:color w:val="auto"/>
          <w:sz w:val="24"/>
        </w:rPr>
        <w:fldChar w:fldCharType="separate"/>
      </w:r>
      <w:r>
        <w:rPr>
          <w:rFonts w:ascii="Times New Roman" w:hAnsi="Times New Roman"/>
          <w:color w:val="auto"/>
          <w:sz w:val="24"/>
          <w:szCs w:val="28"/>
        </w:rPr>
        <w:t>3.</w:t>
      </w:r>
      <w:r>
        <w:rPr>
          <w:rFonts w:hint="eastAsia" w:ascii="Times New Roman" w:hAnsi="Times New Roman"/>
          <w:color w:val="auto"/>
          <w:sz w:val="24"/>
          <w:szCs w:val="28"/>
          <w:lang w:val="en-US" w:eastAsia="zh-CN"/>
        </w:rPr>
        <w:t>6</w:t>
      </w:r>
      <w:r>
        <w:rPr>
          <w:rFonts w:ascii="Times New Roman" w:hAnsi="Times New Roman"/>
          <w:color w:val="auto"/>
          <w:sz w:val="24"/>
          <w:szCs w:val="28"/>
        </w:rPr>
        <w:t>.1</w:t>
      </w:r>
      <w:r>
        <w:rPr>
          <w:rFonts w:hint="eastAsia" w:ascii="Times New Roman" w:hAnsi="Times New Roman"/>
          <w:color w:val="auto"/>
          <w:sz w:val="24"/>
          <w:szCs w:val="28"/>
          <w:lang w:val="en-US" w:eastAsia="zh-CN"/>
        </w:rPr>
        <w:t xml:space="preserve"> </w:t>
      </w:r>
      <w:r>
        <w:rPr>
          <w:rFonts w:ascii="Times New Roman" w:hAnsi="Times New Roman"/>
          <w:color w:val="auto"/>
          <w:sz w:val="24"/>
          <w:szCs w:val="28"/>
          <w:lang w:val="en-GB"/>
        </w:rPr>
        <w:t>安全管理及其他单元危险有害因素辨识与分析</w:t>
      </w:r>
      <w:r>
        <w:rPr>
          <w:color w:val="auto"/>
          <w:sz w:val="24"/>
        </w:rPr>
        <w:tab/>
      </w:r>
      <w:r>
        <w:rPr>
          <w:color w:val="auto"/>
          <w:sz w:val="24"/>
        </w:rPr>
        <w:fldChar w:fldCharType="begin"/>
      </w:r>
      <w:r>
        <w:rPr>
          <w:color w:val="auto"/>
          <w:sz w:val="24"/>
        </w:rPr>
        <w:instrText xml:space="preserve"> PAGEREF _Toc3832 \h </w:instrText>
      </w:r>
      <w:r>
        <w:rPr>
          <w:color w:val="auto"/>
          <w:sz w:val="24"/>
        </w:rPr>
        <w:fldChar w:fldCharType="separate"/>
      </w:r>
      <w:r>
        <w:rPr>
          <w:color w:val="auto"/>
          <w:sz w:val="24"/>
        </w:rPr>
        <w:t>127</w:t>
      </w:r>
      <w:r>
        <w:rPr>
          <w:color w:val="auto"/>
          <w:sz w:val="24"/>
        </w:rPr>
        <w:fldChar w:fldCharType="end"/>
      </w:r>
      <w:r>
        <w:rPr>
          <w:rFonts w:ascii="Times New Roman" w:hAnsi="Times New Roman"/>
          <w:color w:val="auto"/>
          <w:sz w:val="24"/>
        </w:rPr>
        <w:fldChar w:fldCharType="end"/>
      </w:r>
    </w:p>
    <w:p w14:paraId="16DE2344">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_Toc31983 </w:instrText>
      </w:r>
      <w:r>
        <w:rPr>
          <w:rFonts w:ascii="Times New Roman" w:hAnsi="Times New Roman"/>
          <w:color w:val="auto"/>
          <w:sz w:val="24"/>
        </w:rPr>
        <w:fldChar w:fldCharType="separate"/>
      </w:r>
      <w:r>
        <w:rPr>
          <w:rFonts w:ascii="Times New Roman" w:hAnsi="Times New Roman"/>
          <w:color w:val="auto"/>
          <w:sz w:val="24"/>
        </w:rPr>
        <w:t>3.6.2</w:t>
      </w:r>
      <w:r>
        <w:rPr>
          <w:rFonts w:hint="eastAsia" w:ascii="Times New Roman" w:hAnsi="Times New Roman"/>
          <w:color w:val="auto"/>
          <w:sz w:val="24"/>
          <w:lang w:val="en-US" w:eastAsia="zh-CN"/>
        </w:rPr>
        <w:t xml:space="preserve"> </w:t>
      </w:r>
      <w:r>
        <w:rPr>
          <w:rFonts w:ascii="Times New Roman" w:hAnsi="Times New Roman"/>
          <w:color w:val="auto"/>
          <w:sz w:val="24"/>
        </w:rPr>
        <w:t>预先危险分析</w:t>
      </w:r>
      <w:r>
        <w:rPr>
          <w:color w:val="auto"/>
          <w:sz w:val="24"/>
        </w:rPr>
        <w:tab/>
      </w:r>
      <w:r>
        <w:rPr>
          <w:color w:val="auto"/>
          <w:sz w:val="24"/>
        </w:rPr>
        <w:fldChar w:fldCharType="begin"/>
      </w:r>
      <w:r>
        <w:rPr>
          <w:color w:val="auto"/>
          <w:sz w:val="24"/>
        </w:rPr>
        <w:instrText xml:space="preserve"> PAGEREF _Toc31983 \h </w:instrText>
      </w:r>
      <w:r>
        <w:rPr>
          <w:color w:val="auto"/>
          <w:sz w:val="24"/>
        </w:rPr>
        <w:fldChar w:fldCharType="separate"/>
      </w:r>
      <w:r>
        <w:rPr>
          <w:color w:val="auto"/>
          <w:sz w:val="24"/>
        </w:rPr>
        <w:t>128</w:t>
      </w:r>
      <w:r>
        <w:rPr>
          <w:color w:val="auto"/>
          <w:sz w:val="24"/>
        </w:rPr>
        <w:fldChar w:fldCharType="end"/>
      </w:r>
      <w:r>
        <w:rPr>
          <w:rFonts w:ascii="Times New Roman" w:hAnsi="Times New Roman"/>
          <w:color w:val="auto"/>
          <w:sz w:val="24"/>
        </w:rPr>
        <w:fldChar w:fldCharType="end"/>
      </w:r>
    </w:p>
    <w:p w14:paraId="6CDFCD7E">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_Toc24007 </w:instrText>
      </w:r>
      <w:r>
        <w:rPr>
          <w:rFonts w:ascii="Times New Roman" w:hAnsi="Times New Roman"/>
          <w:color w:val="auto"/>
          <w:sz w:val="24"/>
        </w:rPr>
        <w:fldChar w:fldCharType="separate"/>
      </w:r>
      <w:r>
        <w:rPr>
          <w:rFonts w:ascii="Times New Roman" w:hAnsi="Times New Roman"/>
          <w:color w:val="auto"/>
          <w:sz w:val="24"/>
        </w:rPr>
        <w:t>3.</w:t>
      </w:r>
      <w:r>
        <w:rPr>
          <w:rFonts w:hint="eastAsia" w:ascii="Times New Roman" w:hAnsi="Times New Roman"/>
          <w:color w:val="auto"/>
          <w:sz w:val="24"/>
          <w:lang w:val="en-US" w:eastAsia="zh-CN"/>
        </w:rPr>
        <w:t>6</w:t>
      </w:r>
      <w:r>
        <w:rPr>
          <w:rFonts w:ascii="Times New Roman" w:hAnsi="Times New Roman"/>
          <w:color w:val="auto"/>
          <w:sz w:val="24"/>
        </w:rPr>
        <w:t>.</w:t>
      </w:r>
      <w:r>
        <w:rPr>
          <w:rFonts w:hint="eastAsia" w:ascii="Times New Roman" w:hAnsi="Times New Roman"/>
          <w:color w:val="auto"/>
          <w:sz w:val="24"/>
        </w:rPr>
        <w:t>3</w:t>
      </w:r>
      <w:r>
        <w:rPr>
          <w:rFonts w:hint="eastAsia" w:ascii="Times New Roman" w:hAnsi="Times New Roman"/>
          <w:color w:val="auto"/>
          <w:sz w:val="24"/>
          <w:lang w:val="en-US" w:eastAsia="zh-CN"/>
        </w:rPr>
        <w:t xml:space="preserve"> </w:t>
      </w:r>
      <w:r>
        <w:rPr>
          <w:rFonts w:hint="eastAsia" w:ascii="Times New Roman" w:hAnsi="Times New Roman"/>
          <w:color w:val="auto"/>
          <w:sz w:val="24"/>
        </w:rPr>
        <w:t>安全管理分析评价</w:t>
      </w:r>
      <w:r>
        <w:rPr>
          <w:color w:val="auto"/>
          <w:sz w:val="24"/>
        </w:rPr>
        <w:tab/>
      </w:r>
      <w:r>
        <w:rPr>
          <w:color w:val="auto"/>
          <w:sz w:val="24"/>
        </w:rPr>
        <w:fldChar w:fldCharType="begin"/>
      </w:r>
      <w:r>
        <w:rPr>
          <w:color w:val="auto"/>
          <w:sz w:val="24"/>
        </w:rPr>
        <w:instrText xml:space="preserve"> PAGEREF _Toc24007 \h </w:instrText>
      </w:r>
      <w:r>
        <w:rPr>
          <w:color w:val="auto"/>
          <w:sz w:val="24"/>
        </w:rPr>
        <w:fldChar w:fldCharType="separate"/>
      </w:r>
      <w:r>
        <w:rPr>
          <w:color w:val="auto"/>
          <w:sz w:val="24"/>
        </w:rPr>
        <w:t>131</w:t>
      </w:r>
      <w:r>
        <w:rPr>
          <w:color w:val="auto"/>
          <w:sz w:val="24"/>
        </w:rPr>
        <w:fldChar w:fldCharType="end"/>
      </w:r>
      <w:r>
        <w:rPr>
          <w:rFonts w:ascii="Times New Roman" w:hAnsi="Times New Roman"/>
          <w:color w:val="auto"/>
          <w:sz w:val="24"/>
        </w:rPr>
        <w:fldChar w:fldCharType="end"/>
      </w:r>
    </w:p>
    <w:p w14:paraId="6D0EDC1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_Toc6388 </w:instrText>
      </w:r>
      <w:r>
        <w:rPr>
          <w:rFonts w:ascii="Times New Roman" w:hAnsi="Times New Roman"/>
          <w:color w:val="auto"/>
          <w:sz w:val="24"/>
        </w:rPr>
        <w:fldChar w:fldCharType="separate"/>
      </w:r>
      <w:r>
        <w:rPr>
          <w:rFonts w:ascii="Times New Roman" w:hAnsi="Times New Roman"/>
          <w:color w:val="auto"/>
          <w:sz w:val="24"/>
        </w:rPr>
        <w:t>3.</w:t>
      </w:r>
      <w:r>
        <w:rPr>
          <w:rFonts w:hint="eastAsia" w:ascii="Times New Roman" w:hAnsi="Times New Roman"/>
          <w:color w:val="auto"/>
          <w:sz w:val="24"/>
          <w:lang w:val="en-US" w:eastAsia="zh-CN"/>
        </w:rPr>
        <w:t>6</w:t>
      </w:r>
      <w:r>
        <w:rPr>
          <w:rFonts w:ascii="Times New Roman" w:hAnsi="Times New Roman"/>
          <w:color w:val="auto"/>
          <w:sz w:val="24"/>
        </w:rPr>
        <w:t>.</w:t>
      </w:r>
      <w:r>
        <w:rPr>
          <w:rFonts w:hint="eastAsia" w:ascii="Times New Roman" w:hAnsi="Times New Roman"/>
          <w:color w:val="auto"/>
          <w:sz w:val="24"/>
        </w:rPr>
        <w:t>4</w:t>
      </w:r>
      <w:r>
        <w:rPr>
          <w:rFonts w:hint="eastAsia" w:ascii="Times New Roman" w:hAnsi="Times New Roman"/>
          <w:color w:val="auto"/>
          <w:sz w:val="24"/>
          <w:lang w:val="en-US" w:eastAsia="zh-CN"/>
        </w:rPr>
        <w:t xml:space="preserve"> </w:t>
      </w:r>
      <w:r>
        <w:rPr>
          <w:rFonts w:ascii="Times New Roman" w:hAnsi="Times New Roman"/>
          <w:color w:val="auto"/>
          <w:sz w:val="24"/>
        </w:rPr>
        <w:t>单元小结</w:t>
      </w:r>
      <w:r>
        <w:rPr>
          <w:color w:val="auto"/>
          <w:sz w:val="24"/>
        </w:rPr>
        <w:tab/>
      </w:r>
      <w:r>
        <w:rPr>
          <w:color w:val="auto"/>
          <w:sz w:val="24"/>
        </w:rPr>
        <w:fldChar w:fldCharType="begin"/>
      </w:r>
      <w:r>
        <w:rPr>
          <w:color w:val="auto"/>
          <w:sz w:val="24"/>
        </w:rPr>
        <w:instrText xml:space="preserve"> PAGEREF _Toc6388 \h </w:instrText>
      </w:r>
      <w:r>
        <w:rPr>
          <w:color w:val="auto"/>
          <w:sz w:val="24"/>
        </w:rPr>
        <w:fldChar w:fldCharType="separate"/>
      </w:r>
      <w:r>
        <w:rPr>
          <w:color w:val="auto"/>
          <w:sz w:val="24"/>
        </w:rPr>
        <w:t>134</w:t>
      </w:r>
      <w:r>
        <w:rPr>
          <w:color w:val="auto"/>
          <w:sz w:val="24"/>
        </w:rPr>
        <w:fldChar w:fldCharType="end"/>
      </w:r>
      <w:r>
        <w:rPr>
          <w:rFonts w:ascii="Times New Roman" w:hAnsi="Times New Roman"/>
          <w:color w:val="auto"/>
          <w:sz w:val="24"/>
        </w:rPr>
        <w:fldChar w:fldCharType="end"/>
      </w:r>
    </w:p>
    <w:p w14:paraId="32FA349B">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_Toc29824 </w:instrText>
      </w:r>
      <w:r>
        <w:rPr>
          <w:rFonts w:ascii="Times New Roman" w:hAnsi="Times New Roman"/>
          <w:color w:val="auto"/>
          <w:sz w:val="24"/>
        </w:rPr>
        <w:fldChar w:fldCharType="separate"/>
      </w:r>
      <w:r>
        <w:rPr>
          <w:rFonts w:ascii="Times New Roman" w:hAnsi="Times New Roman"/>
          <w:color w:val="auto"/>
          <w:sz w:val="24"/>
        </w:rPr>
        <w:t>3.</w:t>
      </w:r>
      <w:r>
        <w:rPr>
          <w:rFonts w:hint="eastAsia" w:ascii="Times New Roman" w:hAnsi="Times New Roman"/>
          <w:color w:val="auto"/>
          <w:sz w:val="24"/>
          <w:lang w:val="en-US" w:eastAsia="zh-CN"/>
        </w:rPr>
        <w:t xml:space="preserve">7 </w:t>
      </w:r>
      <w:r>
        <w:rPr>
          <w:rFonts w:ascii="Times New Roman" w:hAnsi="Times New Roman"/>
          <w:color w:val="auto"/>
          <w:sz w:val="24"/>
        </w:rPr>
        <w:t>重大危险源辨识单元</w:t>
      </w:r>
      <w:r>
        <w:rPr>
          <w:color w:val="auto"/>
          <w:sz w:val="24"/>
        </w:rPr>
        <w:tab/>
      </w:r>
      <w:r>
        <w:rPr>
          <w:color w:val="auto"/>
          <w:sz w:val="24"/>
        </w:rPr>
        <w:fldChar w:fldCharType="begin"/>
      </w:r>
      <w:r>
        <w:rPr>
          <w:color w:val="auto"/>
          <w:sz w:val="24"/>
        </w:rPr>
        <w:instrText xml:space="preserve"> PAGEREF _Toc29824 \h </w:instrText>
      </w:r>
      <w:r>
        <w:rPr>
          <w:color w:val="auto"/>
          <w:sz w:val="24"/>
        </w:rPr>
        <w:fldChar w:fldCharType="separate"/>
      </w:r>
      <w:r>
        <w:rPr>
          <w:color w:val="auto"/>
          <w:sz w:val="24"/>
        </w:rPr>
        <w:t>135</w:t>
      </w:r>
      <w:r>
        <w:rPr>
          <w:color w:val="auto"/>
          <w:sz w:val="24"/>
        </w:rPr>
        <w:fldChar w:fldCharType="end"/>
      </w:r>
      <w:r>
        <w:rPr>
          <w:rFonts w:ascii="Times New Roman" w:hAnsi="Times New Roman"/>
          <w:color w:val="auto"/>
          <w:sz w:val="24"/>
        </w:rPr>
        <w:fldChar w:fldCharType="end"/>
      </w:r>
    </w:p>
    <w:p w14:paraId="0BEECEB7">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_Toc2063 </w:instrText>
      </w:r>
      <w:r>
        <w:rPr>
          <w:rFonts w:ascii="Times New Roman" w:hAnsi="Times New Roman"/>
          <w:color w:val="auto"/>
          <w:sz w:val="24"/>
        </w:rPr>
        <w:fldChar w:fldCharType="separate"/>
      </w:r>
      <w:r>
        <w:rPr>
          <w:rFonts w:ascii="Times New Roman" w:hAnsi="Times New Roman"/>
          <w:color w:val="auto"/>
          <w:sz w:val="24"/>
        </w:rPr>
        <w:t>3.</w:t>
      </w:r>
      <w:r>
        <w:rPr>
          <w:rFonts w:hint="eastAsia" w:ascii="Times New Roman" w:hAnsi="Times New Roman"/>
          <w:color w:val="auto"/>
          <w:sz w:val="24"/>
          <w:lang w:val="en-US" w:eastAsia="zh-CN"/>
        </w:rPr>
        <w:t>7</w:t>
      </w:r>
      <w:r>
        <w:rPr>
          <w:rFonts w:ascii="Times New Roman" w:hAnsi="Times New Roman"/>
          <w:color w:val="auto"/>
          <w:sz w:val="24"/>
        </w:rPr>
        <w:t>.1</w:t>
      </w:r>
      <w:r>
        <w:rPr>
          <w:rFonts w:hint="eastAsia" w:ascii="Times New Roman" w:hAnsi="Times New Roman"/>
          <w:color w:val="auto"/>
          <w:sz w:val="24"/>
          <w:lang w:val="en-US" w:eastAsia="zh-CN"/>
        </w:rPr>
        <w:t xml:space="preserve"> </w:t>
      </w:r>
      <w:r>
        <w:rPr>
          <w:rFonts w:ascii="Times New Roman" w:hAnsi="Times New Roman"/>
          <w:color w:val="auto"/>
          <w:sz w:val="24"/>
        </w:rPr>
        <w:t>按《危险化学品重大危险源辨识》（GB18218-2018）辨识</w:t>
      </w:r>
      <w:r>
        <w:rPr>
          <w:color w:val="auto"/>
          <w:sz w:val="24"/>
        </w:rPr>
        <w:tab/>
      </w:r>
      <w:r>
        <w:rPr>
          <w:color w:val="auto"/>
          <w:sz w:val="24"/>
        </w:rPr>
        <w:fldChar w:fldCharType="begin"/>
      </w:r>
      <w:r>
        <w:rPr>
          <w:color w:val="auto"/>
          <w:sz w:val="24"/>
        </w:rPr>
        <w:instrText xml:space="preserve"> PAGEREF _Toc2063 \h </w:instrText>
      </w:r>
      <w:r>
        <w:rPr>
          <w:color w:val="auto"/>
          <w:sz w:val="24"/>
        </w:rPr>
        <w:fldChar w:fldCharType="separate"/>
      </w:r>
      <w:r>
        <w:rPr>
          <w:color w:val="auto"/>
          <w:sz w:val="24"/>
        </w:rPr>
        <w:t>135</w:t>
      </w:r>
      <w:r>
        <w:rPr>
          <w:color w:val="auto"/>
          <w:sz w:val="24"/>
        </w:rPr>
        <w:fldChar w:fldCharType="end"/>
      </w:r>
      <w:r>
        <w:rPr>
          <w:rFonts w:ascii="Times New Roman" w:hAnsi="Times New Roman"/>
          <w:color w:val="auto"/>
          <w:sz w:val="24"/>
        </w:rPr>
        <w:fldChar w:fldCharType="end"/>
      </w:r>
    </w:p>
    <w:p w14:paraId="1980B33F">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_Toc12923 </w:instrText>
      </w:r>
      <w:r>
        <w:rPr>
          <w:rFonts w:ascii="Times New Roman" w:hAnsi="Times New Roman"/>
          <w:color w:val="auto"/>
          <w:sz w:val="24"/>
        </w:rPr>
        <w:fldChar w:fldCharType="separate"/>
      </w:r>
      <w:r>
        <w:rPr>
          <w:rFonts w:ascii="Times New Roman" w:hAnsi="Times New Roman"/>
          <w:color w:val="auto"/>
          <w:sz w:val="24"/>
        </w:rPr>
        <w:t>3.</w:t>
      </w:r>
      <w:r>
        <w:rPr>
          <w:rFonts w:hint="eastAsia" w:ascii="Times New Roman" w:hAnsi="Times New Roman"/>
          <w:color w:val="auto"/>
          <w:sz w:val="24"/>
          <w:lang w:val="en-US" w:eastAsia="zh-CN"/>
        </w:rPr>
        <w:t>7</w:t>
      </w:r>
      <w:r>
        <w:rPr>
          <w:rFonts w:ascii="Times New Roman" w:hAnsi="Times New Roman"/>
          <w:color w:val="auto"/>
          <w:sz w:val="24"/>
        </w:rPr>
        <w:t>.2</w:t>
      </w:r>
      <w:r>
        <w:rPr>
          <w:rFonts w:hint="eastAsia" w:ascii="Times New Roman" w:hAnsi="Times New Roman"/>
          <w:color w:val="auto"/>
          <w:sz w:val="24"/>
          <w:lang w:val="en-US" w:eastAsia="zh-CN"/>
        </w:rPr>
        <w:t xml:space="preserve"> </w:t>
      </w:r>
      <w:r>
        <w:rPr>
          <w:rFonts w:ascii="Times New Roman" w:hAnsi="Times New Roman"/>
          <w:color w:val="auto"/>
          <w:sz w:val="24"/>
        </w:rPr>
        <w:t>重大危险源辨识小结</w:t>
      </w:r>
      <w:r>
        <w:rPr>
          <w:color w:val="auto"/>
          <w:sz w:val="24"/>
        </w:rPr>
        <w:tab/>
      </w:r>
      <w:r>
        <w:rPr>
          <w:color w:val="auto"/>
          <w:sz w:val="24"/>
        </w:rPr>
        <w:fldChar w:fldCharType="begin"/>
      </w:r>
      <w:r>
        <w:rPr>
          <w:color w:val="auto"/>
          <w:sz w:val="24"/>
        </w:rPr>
        <w:instrText xml:space="preserve"> PAGEREF _Toc12923 \h </w:instrText>
      </w:r>
      <w:r>
        <w:rPr>
          <w:color w:val="auto"/>
          <w:sz w:val="24"/>
        </w:rPr>
        <w:fldChar w:fldCharType="separate"/>
      </w:r>
      <w:r>
        <w:rPr>
          <w:color w:val="auto"/>
          <w:sz w:val="24"/>
        </w:rPr>
        <w:t>136</w:t>
      </w:r>
      <w:r>
        <w:rPr>
          <w:color w:val="auto"/>
          <w:sz w:val="24"/>
        </w:rPr>
        <w:fldChar w:fldCharType="end"/>
      </w:r>
      <w:r>
        <w:rPr>
          <w:rFonts w:ascii="Times New Roman" w:hAnsi="Times New Roman"/>
          <w:color w:val="auto"/>
          <w:sz w:val="24"/>
        </w:rPr>
        <w:fldChar w:fldCharType="end"/>
      </w:r>
    </w:p>
    <w:p w14:paraId="392B84D1">
      <w:pPr>
        <w:pStyle w:val="10"/>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_Toc15579 </w:instrText>
      </w:r>
      <w:r>
        <w:rPr>
          <w:rFonts w:ascii="Times New Roman" w:hAnsi="Times New Roman"/>
          <w:color w:val="auto"/>
          <w:sz w:val="24"/>
        </w:rPr>
        <w:fldChar w:fldCharType="separate"/>
      </w:r>
      <w:r>
        <w:rPr>
          <w:rFonts w:ascii="Times New Roman" w:hAnsi="Times New Roman"/>
          <w:color w:val="auto"/>
          <w:sz w:val="24"/>
        </w:rPr>
        <w:t>4</w:t>
      </w:r>
      <w:r>
        <w:rPr>
          <w:rFonts w:hint="eastAsia" w:ascii="Times New Roman" w:hAnsi="Times New Roman"/>
          <w:color w:val="auto"/>
          <w:sz w:val="24"/>
          <w:lang w:val="en-US" w:eastAsia="zh-CN"/>
        </w:rPr>
        <w:t xml:space="preserve"> </w:t>
      </w:r>
      <w:r>
        <w:rPr>
          <w:rFonts w:ascii="Times New Roman" w:hAnsi="Times New Roman"/>
          <w:color w:val="auto"/>
          <w:sz w:val="24"/>
        </w:rPr>
        <w:t>安全对策措施建议</w:t>
      </w:r>
      <w:r>
        <w:rPr>
          <w:color w:val="auto"/>
          <w:sz w:val="24"/>
        </w:rPr>
        <w:tab/>
      </w:r>
      <w:r>
        <w:rPr>
          <w:color w:val="auto"/>
          <w:sz w:val="24"/>
        </w:rPr>
        <w:fldChar w:fldCharType="begin"/>
      </w:r>
      <w:r>
        <w:rPr>
          <w:color w:val="auto"/>
          <w:sz w:val="24"/>
        </w:rPr>
        <w:instrText xml:space="preserve"> PAGEREF _Toc15579 \h </w:instrText>
      </w:r>
      <w:r>
        <w:rPr>
          <w:color w:val="auto"/>
          <w:sz w:val="24"/>
        </w:rPr>
        <w:fldChar w:fldCharType="separate"/>
      </w:r>
      <w:r>
        <w:rPr>
          <w:color w:val="auto"/>
          <w:sz w:val="24"/>
        </w:rPr>
        <w:t>137</w:t>
      </w:r>
      <w:r>
        <w:rPr>
          <w:color w:val="auto"/>
          <w:sz w:val="24"/>
        </w:rPr>
        <w:fldChar w:fldCharType="end"/>
      </w:r>
      <w:r>
        <w:rPr>
          <w:rFonts w:ascii="Times New Roman" w:hAnsi="Times New Roman"/>
          <w:color w:val="auto"/>
          <w:sz w:val="24"/>
        </w:rPr>
        <w:fldChar w:fldCharType="end"/>
      </w:r>
    </w:p>
    <w:p w14:paraId="1C3EDB21">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_Toc5634 </w:instrText>
      </w:r>
      <w:r>
        <w:rPr>
          <w:rFonts w:ascii="Times New Roman" w:hAnsi="Times New Roman"/>
          <w:color w:val="auto"/>
          <w:sz w:val="24"/>
        </w:rPr>
        <w:fldChar w:fldCharType="separate"/>
      </w:r>
      <w:r>
        <w:rPr>
          <w:rFonts w:ascii="Times New Roman" w:hAnsi="Times New Roman"/>
          <w:color w:val="auto"/>
          <w:sz w:val="24"/>
        </w:rPr>
        <w:t>4.1</w:t>
      </w:r>
      <w:r>
        <w:rPr>
          <w:rFonts w:hint="eastAsia" w:ascii="Times New Roman" w:hAnsi="Times New Roman"/>
          <w:color w:val="auto"/>
          <w:sz w:val="24"/>
          <w:lang w:val="en-US" w:eastAsia="zh-CN"/>
        </w:rPr>
        <w:t xml:space="preserve"> </w:t>
      </w:r>
      <w:r>
        <w:rPr>
          <w:rFonts w:ascii="Times New Roman" w:hAnsi="Times New Roman"/>
          <w:color w:val="auto"/>
          <w:sz w:val="24"/>
        </w:rPr>
        <w:t>各单元安全对策措施建议</w:t>
      </w:r>
      <w:r>
        <w:rPr>
          <w:color w:val="auto"/>
          <w:sz w:val="24"/>
        </w:rPr>
        <w:tab/>
      </w:r>
      <w:r>
        <w:rPr>
          <w:color w:val="auto"/>
          <w:sz w:val="24"/>
        </w:rPr>
        <w:fldChar w:fldCharType="begin"/>
      </w:r>
      <w:r>
        <w:rPr>
          <w:color w:val="auto"/>
          <w:sz w:val="24"/>
        </w:rPr>
        <w:instrText xml:space="preserve"> PAGEREF _Toc5634 \h </w:instrText>
      </w:r>
      <w:r>
        <w:rPr>
          <w:color w:val="auto"/>
          <w:sz w:val="24"/>
        </w:rPr>
        <w:fldChar w:fldCharType="separate"/>
      </w:r>
      <w:r>
        <w:rPr>
          <w:color w:val="auto"/>
          <w:sz w:val="24"/>
        </w:rPr>
        <w:t>137</w:t>
      </w:r>
      <w:r>
        <w:rPr>
          <w:color w:val="auto"/>
          <w:sz w:val="24"/>
        </w:rPr>
        <w:fldChar w:fldCharType="end"/>
      </w:r>
      <w:r>
        <w:rPr>
          <w:rFonts w:ascii="Times New Roman" w:hAnsi="Times New Roman"/>
          <w:color w:val="auto"/>
          <w:sz w:val="24"/>
        </w:rPr>
        <w:fldChar w:fldCharType="end"/>
      </w:r>
    </w:p>
    <w:p w14:paraId="48D51608">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_Toc8747 </w:instrText>
      </w:r>
      <w:r>
        <w:rPr>
          <w:rFonts w:ascii="Times New Roman" w:hAnsi="Times New Roman"/>
          <w:color w:val="auto"/>
          <w:sz w:val="24"/>
        </w:rPr>
        <w:fldChar w:fldCharType="separate"/>
      </w:r>
      <w:r>
        <w:rPr>
          <w:rFonts w:ascii="Times New Roman" w:hAnsi="Times New Roman"/>
          <w:color w:val="auto"/>
          <w:sz w:val="24"/>
        </w:rPr>
        <w:t>4.1.1</w:t>
      </w:r>
      <w:r>
        <w:rPr>
          <w:rFonts w:hint="eastAsia" w:ascii="Times New Roman" w:hAnsi="Times New Roman"/>
          <w:color w:val="auto"/>
          <w:sz w:val="24"/>
          <w:lang w:val="en-US" w:eastAsia="zh-CN"/>
        </w:rPr>
        <w:t xml:space="preserve"> </w:t>
      </w:r>
      <w:r>
        <w:rPr>
          <w:rFonts w:ascii="Times New Roman" w:hAnsi="Times New Roman"/>
          <w:color w:val="auto"/>
          <w:sz w:val="24"/>
        </w:rPr>
        <w:t>总平面布置单元</w:t>
      </w:r>
      <w:r>
        <w:rPr>
          <w:color w:val="auto"/>
          <w:sz w:val="24"/>
        </w:rPr>
        <w:tab/>
      </w:r>
      <w:r>
        <w:rPr>
          <w:color w:val="auto"/>
          <w:sz w:val="24"/>
        </w:rPr>
        <w:fldChar w:fldCharType="begin"/>
      </w:r>
      <w:r>
        <w:rPr>
          <w:color w:val="auto"/>
          <w:sz w:val="24"/>
        </w:rPr>
        <w:instrText xml:space="preserve"> PAGEREF _Toc8747 \h </w:instrText>
      </w:r>
      <w:r>
        <w:rPr>
          <w:color w:val="auto"/>
          <w:sz w:val="24"/>
        </w:rPr>
        <w:fldChar w:fldCharType="separate"/>
      </w:r>
      <w:r>
        <w:rPr>
          <w:color w:val="auto"/>
          <w:sz w:val="24"/>
        </w:rPr>
        <w:t>137</w:t>
      </w:r>
      <w:r>
        <w:rPr>
          <w:color w:val="auto"/>
          <w:sz w:val="24"/>
        </w:rPr>
        <w:fldChar w:fldCharType="end"/>
      </w:r>
      <w:r>
        <w:rPr>
          <w:rFonts w:ascii="Times New Roman" w:hAnsi="Times New Roman"/>
          <w:color w:val="auto"/>
          <w:sz w:val="24"/>
        </w:rPr>
        <w:fldChar w:fldCharType="end"/>
      </w:r>
    </w:p>
    <w:p w14:paraId="54E44C6C">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_Toc30081 </w:instrText>
      </w:r>
      <w:r>
        <w:rPr>
          <w:rFonts w:ascii="Times New Roman" w:hAnsi="Times New Roman"/>
          <w:color w:val="auto"/>
          <w:sz w:val="24"/>
        </w:rPr>
        <w:fldChar w:fldCharType="separate"/>
      </w:r>
      <w:r>
        <w:rPr>
          <w:rFonts w:ascii="Times New Roman" w:hAnsi="Times New Roman"/>
          <w:color w:val="auto"/>
          <w:sz w:val="24"/>
        </w:rPr>
        <w:t>4.1.2</w:t>
      </w:r>
      <w:r>
        <w:rPr>
          <w:rFonts w:hint="eastAsia" w:ascii="Times New Roman" w:hAnsi="Times New Roman"/>
          <w:color w:val="auto"/>
          <w:sz w:val="24"/>
          <w:lang w:val="en-US" w:eastAsia="zh-CN"/>
        </w:rPr>
        <w:t xml:space="preserve"> </w:t>
      </w:r>
      <w:r>
        <w:rPr>
          <w:rFonts w:ascii="Times New Roman" w:hAnsi="Times New Roman"/>
          <w:color w:val="auto"/>
          <w:sz w:val="24"/>
        </w:rPr>
        <w:t>开拓运输单元</w:t>
      </w:r>
      <w:r>
        <w:rPr>
          <w:color w:val="auto"/>
          <w:sz w:val="24"/>
        </w:rPr>
        <w:tab/>
      </w:r>
      <w:r>
        <w:rPr>
          <w:color w:val="auto"/>
          <w:sz w:val="24"/>
        </w:rPr>
        <w:fldChar w:fldCharType="begin"/>
      </w:r>
      <w:r>
        <w:rPr>
          <w:color w:val="auto"/>
          <w:sz w:val="24"/>
        </w:rPr>
        <w:instrText xml:space="preserve"> PAGEREF _Toc30081 \h </w:instrText>
      </w:r>
      <w:r>
        <w:rPr>
          <w:color w:val="auto"/>
          <w:sz w:val="24"/>
        </w:rPr>
        <w:fldChar w:fldCharType="separate"/>
      </w:r>
      <w:r>
        <w:rPr>
          <w:color w:val="auto"/>
          <w:sz w:val="24"/>
        </w:rPr>
        <w:t>137</w:t>
      </w:r>
      <w:r>
        <w:rPr>
          <w:color w:val="auto"/>
          <w:sz w:val="24"/>
        </w:rPr>
        <w:fldChar w:fldCharType="end"/>
      </w:r>
      <w:r>
        <w:rPr>
          <w:rFonts w:ascii="Times New Roman" w:hAnsi="Times New Roman"/>
          <w:color w:val="auto"/>
          <w:sz w:val="24"/>
        </w:rPr>
        <w:fldChar w:fldCharType="end"/>
      </w:r>
    </w:p>
    <w:p w14:paraId="27C8172D">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_Toc6143 </w:instrText>
      </w:r>
      <w:r>
        <w:rPr>
          <w:rFonts w:ascii="Times New Roman" w:hAnsi="Times New Roman"/>
          <w:color w:val="auto"/>
          <w:sz w:val="24"/>
        </w:rPr>
        <w:fldChar w:fldCharType="separate"/>
      </w:r>
      <w:r>
        <w:rPr>
          <w:rFonts w:ascii="Times New Roman" w:hAnsi="Times New Roman"/>
          <w:color w:val="auto"/>
          <w:sz w:val="24"/>
        </w:rPr>
        <w:t>4.1.3</w:t>
      </w:r>
      <w:r>
        <w:rPr>
          <w:rFonts w:hint="eastAsia" w:ascii="Times New Roman" w:hAnsi="Times New Roman"/>
          <w:color w:val="auto"/>
          <w:sz w:val="24"/>
          <w:lang w:val="en-US" w:eastAsia="zh-CN"/>
        </w:rPr>
        <w:t xml:space="preserve"> </w:t>
      </w:r>
      <w:r>
        <w:rPr>
          <w:rFonts w:ascii="Times New Roman" w:hAnsi="Times New Roman"/>
          <w:color w:val="auto"/>
          <w:sz w:val="24"/>
        </w:rPr>
        <w:t>采剥单元</w:t>
      </w:r>
      <w:r>
        <w:rPr>
          <w:color w:val="auto"/>
          <w:sz w:val="24"/>
        </w:rPr>
        <w:tab/>
      </w:r>
      <w:r>
        <w:rPr>
          <w:color w:val="auto"/>
          <w:sz w:val="24"/>
        </w:rPr>
        <w:fldChar w:fldCharType="begin"/>
      </w:r>
      <w:r>
        <w:rPr>
          <w:color w:val="auto"/>
          <w:sz w:val="24"/>
        </w:rPr>
        <w:instrText xml:space="preserve"> PAGEREF _Toc6143 \h </w:instrText>
      </w:r>
      <w:r>
        <w:rPr>
          <w:color w:val="auto"/>
          <w:sz w:val="24"/>
        </w:rPr>
        <w:fldChar w:fldCharType="separate"/>
      </w:r>
      <w:r>
        <w:rPr>
          <w:color w:val="auto"/>
          <w:sz w:val="24"/>
        </w:rPr>
        <w:t>138</w:t>
      </w:r>
      <w:r>
        <w:rPr>
          <w:color w:val="auto"/>
          <w:sz w:val="24"/>
        </w:rPr>
        <w:fldChar w:fldCharType="end"/>
      </w:r>
      <w:r>
        <w:rPr>
          <w:rFonts w:ascii="Times New Roman" w:hAnsi="Times New Roman"/>
          <w:color w:val="auto"/>
          <w:sz w:val="24"/>
        </w:rPr>
        <w:fldChar w:fldCharType="end"/>
      </w:r>
    </w:p>
    <w:p w14:paraId="752B5D7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_Toc3894 </w:instrText>
      </w:r>
      <w:r>
        <w:rPr>
          <w:rFonts w:ascii="Times New Roman" w:hAnsi="Times New Roman"/>
          <w:color w:val="auto"/>
          <w:sz w:val="24"/>
        </w:rPr>
        <w:fldChar w:fldCharType="separate"/>
      </w:r>
      <w:r>
        <w:rPr>
          <w:rFonts w:ascii="Times New Roman" w:hAnsi="Times New Roman"/>
          <w:color w:val="auto"/>
          <w:sz w:val="24"/>
        </w:rPr>
        <w:t>4.1.4</w:t>
      </w:r>
      <w:r>
        <w:rPr>
          <w:rFonts w:hint="eastAsia" w:ascii="Times New Roman" w:hAnsi="Times New Roman"/>
          <w:color w:val="auto"/>
          <w:sz w:val="24"/>
          <w:lang w:val="en-US" w:eastAsia="zh-CN"/>
        </w:rPr>
        <w:t xml:space="preserve"> </w:t>
      </w:r>
      <w:r>
        <w:rPr>
          <w:rFonts w:ascii="Times New Roman" w:hAnsi="Times New Roman"/>
          <w:color w:val="auto"/>
          <w:sz w:val="24"/>
        </w:rPr>
        <w:t>矿山供配电设施单元</w:t>
      </w:r>
      <w:r>
        <w:rPr>
          <w:color w:val="auto"/>
          <w:sz w:val="24"/>
        </w:rPr>
        <w:tab/>
      </w:r>
      <w:r>
        <w:rPr>
          <w:color w:val="auto"/>
          <w:sz w:val="24"/>
        </w:rPr>
        <w:fldChar w:fldCharType="begin"/>
      </w:r>
      <w:r>
        <w:rPr>
          <w:color w:val="auto"/>
          <w:sz w:val="24"/>
        </w:rPr>
        <w:instrText xml:space="preserve"> PAGEREF _Toc3894 \h </w:instrText>
      </w:r>
      <w:r>
        <w:rPr>
          <w:color w:val="auto"/>
          <w:sz w:val="24"/>
        </w:rPr>
        <w:fldChar w:fldCharType="separate"/>
      </w:r>
      <w:r>
        <w:rPr>
          <w:color w:val="auto"/>
          <w:sz w:val="24"/>
        </w:rPr>
        <w:t>140</w:t>
      </w:r>
      <w:r>
        <w:rPr>
          <w:color w:val="auto"/>
          <w:sz w:val="24"/>
        </w:rPr>
        <w:fldChar w:fldCharType="end"/>
      </w:r>
      <w:r>
        <w:rPr>
          <w:rFonts w:ascii="Times New Roman" w:hAnsi="Times New Roman"/>
          <w:color w:val="auto"/>
          <w:sz w:val="24"/>
        </w:rPr>
        <w:fldChar w:fldCharType="end"/>
      </w:r>
    </w:p>
    <w:p w14:paraId="0E6EF540">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_Toc12523 </w:instrText>
      </w:r>
      <w:r>
        <w:rPr>
          <w:rFonts w:ascii="Times New Roman" w:hAnsi="Times New Roman"/>
          <w:color w:val="auto"/>
          <w:sz w:val="24"/>
        </w:rPr>
        <w:fldChar w:fldCharType="separate"/>
      </w:r>
      <w:r>
        <w:rPr>
          <w:rFonts w:ascii="Times New Roman" w:hAnsi="Times New Roman"/>
          <w:color w:val="auto"/>
          <w:sz w:val="24"/>
        </w:rPr>
        <w:t>4.1.5</w:t>
      </w:r>
      <w:r>
        <w:rPr>
          <w:rFonts w:hint="eastAsia" w:ascii="Times New Roman" w:hAnsi="Times New Roman"/>
          <w:color w:val="auto"/>
          <w:sz w:val="24"/>
          <w:lang w:val="en-US" w:eastAsia="zh-CN"/>
        </w:rPr>
        <w:t xml:space="preserve"> </w:t>
      </w:r>
      <w:r>
        <w:rPr>
          <w:rFonts w:ascii="Times New Roman" w:hAnsi="Times New Roman"/>
          <w:color w:val="auto"/>
          <w:sz w:val="24"/>
        </w:rPr>
        <w:t>防排水</w:t>
      </w:r>
      <w:r>
        <w:rPr>
          <w:rFonts w:hint="eastAsia" w:ascii="Times New Roman" w:hAnsi="Times New Roman"/>
          <w:color w:val="auto"/>
          <w:sz w:val="24"/>
          <w:lang w:val="en-US" w:eastAsia="zh-CN"/>
        </w:rPr>
        <w:t>与防灭火</w:t>
      </w:r>
      <w:r>
        <w:rPr>
          <w:rFonts w:ascii="Times New Roman" w:hAnsi="Times New Roman"/>
          <w:color w:val="auto"/>
          <w:sz w:val="24"/>
        </w:rPr>
        <w:t>单元</w:t>
      </w:r>
      <w:r>
        <w:rPr>
          <w:color w:val="auto"/>
          <w:sz w:val="24"/>
        </w:rPr>
        <w:tab/>
      </w:r>
      <w:r>
        <w:rPr>
          <w:color w:val="auto"/>
          <w:sz w:val="24"/>
        </w:rPr>
        <w:fldChar w:fldCharType="begin"/>
      </w:r>
      <w:r>
        <w:rPr>
          <w:color w:val="auto"/>
          <w:sz w:val="24"/>
        </w:rPr>
        <w:instrText xml:space="preserve"> PAGEREF _Toc12523 \h </w:instrText>
      </w:r>
      <w:r>
        <w:rPr>
          <w:color w:val="auto"/>
          <w:sz w:val="24"/>
        </w:rPr>
        <w:fldChar w:fldCharType="separate"/>
      </w:r>
      <w:r>
        <w:rPr>
          <w:color w:val="auto"/>
          <w:sz w:val="24"/>
        </w:rPr>
        <w:t>140</w:t>
      </w:r>
      <w:r>
        <w:rPr>
          <w:color w:val="auto"/>
          <w:sz w:val="24"/>
        </w:rPr>
        <w:fldChar w:fldCharType="end"/>
      </w:r>
      <w:r>
        <w:rPr>
          <w:rFonts w:ascii="Times New Roman" w:hAnsi="Times New Roman"/>
          <w:color w:val="auto"/>
          <w:sz w:val="24"/>
        </w:rPr>
        <w:fldChar w:fldCharType="end"/>
      </w:r>
    </w:p>
    <w:p w14:paraId="68FEA938">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_Toc2927 </w:instrText>
      </w:r>
      <w:r>
        <w:rPr>
          <w:rFonts w:ascii="Times New Roman" w:hAnsi="Times New Roman"/>
          <w:color w:val="auto"/>
          <w:sz w:val="24"/>
        </w:rPr>
        <w:fldChar w:fldCharType="separate"/>
      </w:r>
      <w:r>
        <w:rPr>
          <w:rFonts w:ascii="Times New Roman" w:hAnsi="Times New Roman"/>
          <w:color w:val="auto"/>
          <w:sz w:val="24"/>
        </w:rPr>
        <w:t>4.1.</w:t>
      </w:r>
      <w:r>
        <w:rPr>
          <w:rFonts w:hint="eastAsia" w:ascii="Times New Roman" w:hAnsi="Times New Roman"/>
          <w:color w:val="auto"/>
          <w:sz w:val="24"/>
          <w:lang w:val="en-US" w:eastAsia="zh-CN"/>
        </w:rPr>
        <w:t xml:space="preserve">6 </w:t>
      </w:r>
      <w:r>
        <w:rPr>
          <w:rFonts w:ascii="Times New Roman" w:hAnsi="Times New Roman"/>
          <w:color w:val="auto"/>
          <w:sz w:val="24"/>
        </w:rPr>
        <w:t>安全管理单元</w:t>
      </w:r>
      <w:r>
        <w:rPr>
          <w:color w:val="auto"/>
          <w:sz w:val="24"/>
        </w:rPr>
        <w:tab/>
      </w:r>
      <w:r>
        <w:rPr>
          <w:color w:val="auto"/>
          <w:sz w:val="24"/>
        </w:rPr>
        <w:fldChar w:fldCharType="begin"/>
      </w:r>
      <w:r>
        <w:rPr>
          <w:color w:val="auto"/>
          <w:sz w:val="24"/>
        </w:rPr>
        <w:instrText xml:space="preserve"> PAGEREF _Toc2927 \h </w:instrText>
      </w:r>
      <w:r>
        <w:rPr>
          <w:color w:val="auto"/>
          <w:sz w:val="24"/>
        </w:rPr>
        <w:fldChar w:fldCharType="separate"/>
      </w:r>
      <w:r>
        <w:rPr>
          <w:color w:val="auto"/>
          <w:sz w:val="24"/>
        </w:rPr>
        <w:t>140</w:t>
      </w:r>
      <w:r>
        <w:rPr>
          <w:color w:val="auto"/>
          <w:sz w:val="24"/>
        </w:rPr>
        <w:fldChar w:fldCharType="end"/>
      </w:r>
      <w:r>
        <w:rPr>
          <w:rFonts w:ascii="Times New Roman" w:hAnsi="Times New Roman"/>
          <w:color w:val="auto"/>
          <w:sz w:val="24"/>
        </w:rPr>
        <w:fldChar w:fldCharType="end"/>
      </w:r>
    </w:p>
    <w:p w14:paraId="7E8BF2B8">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_Toc31723 </w:instrText>
      </w:r>
      <w:r>
        <w:rPr>
          <w:rFonts w:ascii="Times New Roman" w:hAnsi="Times New Roman"/>
          <w:color w:val="auto"/>
          <w:sz w:val="24"/>
        </w:rPr>
        <w:fldChar w:fldCharType="separate"/>
      </w:r>
      <w:r>
        <w:rPr>
          <w:rFonts w:ascii="Times New Roman" w:hAnsi="Times New Roman"/>
          <w:color w:val="auto"/>
          <w:sz w:val="24"/>
        </w:rPr>
        <w:t>4.2</w:t>
      </w:r>
      <w:r>
        <w:rPr>
          <w:rFonts w:hint="eastAsia" w:ascii="Times New Roman" w:hAnsi="Times New Roman"/>
          <w:color w:val="auto"/>
          <w:sz w:val="24"/>
          <w:lang w:val="en-US" w:eastAsia="zh-CN"/>
        </w:rPr>
        <w:t xml:space="preserve"> </w:t>
      </w:r>
      <w:r>
        <w:rPr>
          <w:rFonts w:ascii="Times New Roman" w:hAnsi="Times New Roman"/>
          <w:color w:val="auto"/>
          <w:sz w:val="24"/>
        </w:rPr>
        <w:t>其他对策措施及建议</w:t>
      </w:r>
      <w:r>
        <w:rPr>
          <w:color w:val="auto"/>
          <w:sz w:val="24"/>
        </w:rPr>
        <w:tab/>
      </w:r>
      <w:r>
        <w:rPr>
          <w:color w:val="auto"/>
          <w:sz w:val="24"/>
        </w:rPr>
        <w:fldChar w:fldCharType="begin"/>
      </w:r>
      <w:r>
        <w:rPr>
          <w:color w:val="auto"/>
          <w:sz w:val="24"/>
        </w:rPr>
        <w:instrText xml:space="preserve"> PAGEREF _Toc31723 \h </w:instrText>
      </w:r>
      <w:r>
        <w:rPr>
          <w:color w:val="auto"/>
          <w:sz w:val="24"/>
        </w:rPr>
        <w:fldChar w:fldCharType="separate"/>
      </w:r>
      <w:r>
        <w:rPr>
          <w:color w:val="auto"/>
          <w:sz w:val="24"/>
        </w:rPr>
        <w:t>141</w:t>
      </w:r>
      <w:r>
        <w:rPr>
          <w:color w:val="auto"/>
          <w:sz w:val="24"/>
        </w:rPr>
        <w:fldChar w:fldCharType="end"/>
      </w:r>
      <w:r>
        <w:rPr>
          <w:rFonts w:ascii="Times New Roman" w:hAnsi="Times New Roman"/>
          <w:color w:val="auto"/>
          <w:sz w:val="24"/>
        </w:rPr>
        <w:fldChar w:fldCharType="end"/>
      </w:r>
    </w:p>
    <w:p w14:paraId="77E7FF8F">
      <w:pPr>
        <w:pStyle w:val="10"/>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_Toc11664 </w:instrText>
      </w:r>
      <w:r>
        <w:rPr>
          <w:rFonts w:ascii="Times New Roman" w:hAnsi="Times New Roman"/>
          <w:color w:val="auto"/>
          <w:sz w:val="24"/>
        </w:rPr>
        <w:fldChar w:fldCharType="separate"/>
      </w:r>
      <w:r>
        <w:rPr>
          <w:rFonts w:hint="eastAsia" w:ascii="Times New Roman" w:hAnsi="Times New Roman"/>
          <w:color w:val="auto"/>
          <w:sz w:val="24"/>
          <w:lang w:val="en-US" w:eastAsia="zh-CN"/>
        </w:rPr>
        <w:t xml:space="preserve">5 </w:t>
      </w:r>
      <w:r>
        <w:rPr>
          <w:rFonts w:ascii="Times New Roman" w:hAnsi="Times New Roman"/>
          <w:color w:val="auto"/>
          <w:sz w:val="24"/>
        </w:rPr>
        <w:t>评价结论</w:t>
      </w:r>
      <w:r>
        <w:rPr>
          <w:color w:val="auto"/>
          <w:sz w:val="24"/>
        </w:rPr>
        <w:tab/>
      </w:r>
      <w:r>
        <w:rPr>
          <w:color w:val="auto"/>
          <w:sz w:val="24"/>
        </w:rPr>
        <w:fldChar w:fldCharType="begin"/>
      </w:r>
      <w:r>
        <w:rPr>
          <w:color w:val="auto"/>
          <w:sz w:val="24"/>
        </w:rPr>
        <w:instrText xml:space="preserve"> PAGEREF _Toc11664 \h </w:instrText>
      </w:r>
      <w:r>
        <w:rPr>
          <w:color w:val="auto"/>
          <w:sz w:val="24"/>
        </w:rPr>
        <w:fldChar w:fldCharType="separate"/>
      </w:r>
      <w:r>
        <w:rPr>
          <w:color w:val="auto"/>
          <w:sz w:val="24"/>
        </w:rPr>
        <w:t>143</w:t>
      </w:r>
      <w:r>
        <w:rPr>
          <w:color w:val="auto"/>
          <w:sz w:val="24"/>
        </w:rPr>
        <w:fldChar w:fldCharType="end"/>
      </w:r>
      <w:r>
        <w:rPr>
          <w:rFonts w:ascii="Times New Roman" w:hAnsi="Times New Roman"/>
          <w:color w:val="auto"/>
          <w:sz w:val="24"/>
        </w:rPr>
        <w:fldChar w:fldCharType="end"/>
      </w:r>
    </w:p>
    <w:p w14:paraId="3C1EA188">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_Toc17859 </w:instrText>
      </w:r>
      <w:r>
        <w:rPr>
          <w:rFonts w:ascii="Times New Roman" w:hAnsi="Times New Roman"/>
          <w:color w:val="auto"/>
          <w:sz w:val="24"/>
        </w:rPr>
        <w:fldChar w:fldCharType="separate"/>
      </w:r>
      <w:r>
        <w:rPr>
          <w:rFonts w:ascii="Times New Roman" w:hAnsi="Times New Roman"/>
          <w:color w:val="auto"/>
          <w:sz w:val="24"/>
        </w:rPr>
        <w:t>5.1</w:t>
      </w:r>
      <w:r>
        <w:rPr>
          <w:rFonts w:hint="eastAsia" w:ascii="Times New Roman" w:hAnsi="Times New Roman"/>
          <w:color w:val="auto"/>
          <w:sz w:val="24"/>
          <w:lang w:val="en-US" w:eastAsia="zh-CN"/>
        </w:rPr>
        <w:t xml:space="preserve"> </w:t>
      </w:r>
      <w:r>
        <w:rPr>
          <w:rFonts w:ascii="Times New Roman" w:hAnsi="Times New Roman"/>
          <w:color w:val="auto"/>
          <w:sz w:val="24"/>
        </w:rPr>
        <w:t>主要危险、有害因素评价结果</w:t>
      </w:r>
      <w:r>
        <w:rPr>
          <w:color w:val="auto"/>
          <w:sz w:val="24"/>
        </w:rPr>
        <w:tab/>
      </w:r>
      <w:r>
        <w:rPr>
          <w:color w:val="auto"/>
          <w:sz w:val="24"/>
        </w:rPr>
        <w:fldChar w:fldCharType="begin"/>
      </w:r>
      <w:r>
        <w:rPr>
          <w:color w:val="auto"/>
          <w:sz w:val="24"/>
        </w:rPr>
        <w:instrText xml:space="preserve"> PAGEREF _Toc17859 \h </w:instrText>
      </w:r>
      <w:r>
        <w:rPr>
          <w:color w:val="auto"/>
          <w:sz w:val="24"/>
        </w:rPr>
        <w:fldChar w:fldCharType="separate"/>
      </w:r>
      <w:r>
        <w:rPr>
          <w:color w:val="auto"/>
          <w:sz w:val="24"/>
        </w:rPr>
        <w:t>143</w:t>
      </w:r>
      <w:r>
        <w:rPr>
          <w:color w:val="auto"/>
          <w:sz w:val="24"/>
        </w:rPr>
        <w:fldChar w:fldCharType="end"/>
      </w:r>
      <w:r>
        <w:rPr>
          <w:rFonts w:ascii="Times New Roman" w:hAnsi="Times New Roman"/>
          <w:color w:val="auto"/>
          <w:sz w:val="24"/>
        </w:rPr>
        <w:fldChar w:fldCharType="end"/>
      </w:r>
    </w:p>
    <w:p w14:paraId="42AB5D35">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_Toc4731 </w:instrText>
      </w:r>
      <w:r>
        <w:rPr>
          <w:rFonts w:ascii="Times New Roman" w:hAnsi="Times New Roman"/>
          <w:color w:val="auto"/>
          <w:sz w:val="24"/>
        </w:rPr>
        <w:fldChar w:fldCharType="separate"/>
      </w:r>
      <w:r>
        <w:rPr>
          <w:rFonts w:ascii="Times New Roman" w:hAnsi="Times New Roman"/>
          <w:color w:val="auto"/>
          <w:sz w:val="24"/>
        </w:rPr>
        <w:t>5.1.1</w:t>
      </w:r>
      <w:r>
        <w:rPr>
          <w:rFonts w:hint="eastAsia" w:ascii="Times New Roman" w:hAnsi="Times New Roman"/>
          <w:color w:val="auto"/>
          <w:sz w:val="24"/>
          <w:lang w:val="en-US" w:eastAsia="zh-CN"/>
        </w:rPr>
        <w:t xml:space="preserve"> </w:t>
      </w:r>
      <w:r>
        <w:rPr>
          <w:rFonts w:ascii="Times New Roman" w:hAnsi="Times New Roman"/>
          <w:color w:val="auto"/>
          <w:sz w:val="24"/>
        </w:rPr>
        <w:t>该项目存在的主要危险、有害因素</w:t>
      </w:r>
      <w:r>
        <w:rPr>
          <w:color w:val="auto"/>
          <w:sz w:val="24"/>
        </w:rPr>
        <w:tab/>
      </w:r>
      <w:r>
        <w:rPr>
          <w:color w:val="auto"/>
          <w:sz w:val="24"/>
        </w:rPr>
        <w:fldChar w:fldCharType="begin"/>
      </w:r>
      <w:r>
        <w:rPr>
          <w:color w:val="auto"/>
          <w:sz w:val="24"/>
        </w:rPr>
        <w:instrText xml:space="preserve"> PAGEREF _Toc4731 \h </w:instrText>
      </w:r>
      <w:r>
        <w:rPr>
          <w:color w:val="auto"/>
          <w:sz w:val="24"/>
        </w:rPr>
        <w:fldChar w:fldCharType="separate"/>
      </w:r>
      <w:r>
        <w:rPr>
          <w:color w:val="auto"/>
          <w:sz w:val="24"/>
        </w:rPr>
        <w:t>143</w:t>
      </w:r>
      <w:r>
        <w:rPr>
          <w:color w:val="auto"/>
          <w:sz w:val="24"/>
        </w:rPr>
        <w:fldChar w:fldCharType="end"/>
      </w:r>
      <w:r>
        <w:rPr>
          <w:rFonts w:ascii="Times New Roman" w:hAnsi="Times New Roman"/>
          <w:color w:val="auto"/>
          <w:sz w:val="24"/>
        </w:rPr>
        <w:fldChar w:fldCharType="end"/>
      </w:r>
    </w:p>
    <w:p w14:paraId="3D52DBC2">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_Toc22094 </w:instrText>
      </w:r>
      <w:r>
        <w:rPr>
          <w:rFonts w:ascii="Times New Roman" w:hAnsi="Times New Roman"/>
          <w:color w:val="auto"/>
          <w:sz w:val="24"/>
        </w:rPr>
        <w:fldChar w:fldCharType="separate"/>
      </w:r>
      <w:r>
        <w:rPr>
          <w:rFonts w:ascii="Times New Roman" w:hAnsi="Times New Roman"/>
          <w:color w:val="auto"/>
          <w:sz w:val="24"/>
        </w:rPr>
        <w:t>5.1.2</w:t>
      </w:r>
      <w:r>
        <w:rPr>
          <w:rFonts w:hint="eastAsia" w:ascii="Times New Roman" w:hAnsi="Times New Roman"/>
          <w:color w:val="auto"/>
          <w:sz w:val="24"/>
          <w:lang w:val="en-US" w:eastAsia="zh-CN"/>
        </w:rPr>
        <w:t xml:space="preserve"> </w:t>
      </w:r>
      <w:r>
        <w:rPr>
          <w:rFonts w:ascii="Times New Roman" w:hAnsi="Times New Roman"/>
          <w:color w:val="auto"/>
          <w:sz w:val="24"/>
        </w:rPr>
        <w:t>该项目存在的主要危险、有害因素存在的部位</w:t>
      </w:r>
      <w:r>
        <w:rPr>
          <w:color w:val="auto"/>
          <w:sz w:val="24"/>
        </w:rPr>
        <w:tab/>
      </w:r>
      <w:r>
        <w:rPr>
          <w:color w:val="auto"/>
          <w:sz w:val="24"/>
        </w:rPr>
        <w:fldChar w:fldCharType="begin"/>
      </w:r>
      <w:r>
        <w:rPr>
          <w:color w:val="auto"/>
          <w:sz w:val="24"/>
        </w:rPr>
        <w:instrText xml:space="preserve"> PAGEREF _Toc22094 \h </w:instrText>
      </w:r>
      <w:r>
        <w:rPr>
          <w:color w:val="auto"/>
          <w:sz w:val="24"/>
        </w:rPr>
        <w:fldChar w:fldCharType="separate"/>
      </w:r>
      <w:r>
        <w:rPr>
          <w:color w:val="auto"/>
          <w:sz w:val="24"/>
        </w:rPr>
        <w:t>143</w:t>
      </w:r>
      <w:r>
        <w:rPr>
          <w:color w:val="auto"/>
          <w:sz w:val="24"/>
        </w:rPr>
        <w:fldChar w:fldCharType="end"/>
      </w:r>
      <w:r>
        <w:rPr>
          <w:rFonts w:ascii="Times New Roman" w:hAnsi="Times New Roman"/>
          <w:color w:val="auto"/>
          <w:sz w:val="24"/>
        </w:rPr>
        <w:fldChar w:fldCharType="end"/>
      </w:r>
    </w:p>
    <w:p w14:paraId="7BEAF735">
      <w:pPr>
        <w:pStyle w:val="7"/>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_Toc3859 </w:instrText>
      </w:r>
      <w:r>
        <w:rPr>
          <w:rFonts w:ascii="Times New Roman" w:hAnsi="Times New Roman"/>
          <w:color w:val="auto"/>
          <w:sz w:val="24"/>
        </w:rPr>
        <w:fldChar w:fldCharType="separate"/>
      </w:r>
      <w:r>
        <w:rPr>
          <w:rFonts w:ascii="Times New Roman" w:hAnsi="Times New Roman"/>
          <w:color w:val="auto"/>
          <w:sz w:val="24"/>
        </w:rPr>
        <w:t>5.1.3</w:t>
      </w:r>
      <w:r>
        <w:rPr>
          <w:rFonts w:hint="eastAsia" w:ascii="Times New Roman" w:hAnsi="Times New Roman"/>
          <w:color w:val="auto"/>
          <w:sz w:val="24"/>
          <w:lang w:val="en-US" w:eastAsia="zh-CN"/>
        </w:rPr>
        <w:t xml:space="preserve"> </w:t>
      </w:r>
      <w:r>
        <w:rPr>
          <w:rFonts w:ascii="Times New Roman" w:hAnsi="Times New Roman"/>
          <w:color w:val="auto"/>
          <w:sz w:val="24"/>
        </w:rPr>
        <w:t>该项目应重点防范的危险、有害因素</w:t>
      </w:r>
      <w:r>
        <w:rPr>
          <w:color w:val="auto"/>
          <w:sz w:val="24"/>
        </w:rPr>
        <w:tab/>
      </w:r>
      <w:r>
        <w:rPr>
          <w:color w:val="auto"/>
          <w:sz w:val="24"/>
        </w:rPr>
        <w:fldChar w:fldCharType="begin"/>
      </w:r>
      <w:r>
        <w:rPr>
          <w:color w:val="auto"/>
          <w:sz w:val="24"/>
        </w:rPr>
        <w:instrText xml:space="preserve"> PAGEREF _Toc3859 \h </w:instrText>
      </w:r>
      <w:r>
        <w:rPr>
          <w:color w:val="auto"/>
          <w:sz w:val="24"/>
        </w:rPr>
        <w:fldChar w:fldCharType="separate"/>
      </w:r>
      <w:r>
        <w:rPr>
          <w:color w:val="auto"/>
          <w:sz w:val="24"/>
        </w:rPr>
        <w:t>144</w:t>
      </w:r>
      <w:r>
        <w:rPr>
          <w:color w:val="auto"/>
          <w:sz w:val="24"/>
        </w:rPr>
        <w:fldChar w:fldCharType="end"/>
      </w:r>
      <w:r>
        <w:rPr>
          <w:rFonts w:ascii="Times New Roman" w:hAnsi="Times New Roman"/>
          <w:color w:val="auto"/>
          <w:sz w:val="24"/>
        </w:rPr>
        <w:fldChar w:fldCharType="end"/>
      </w:r>
    </w:p>
    <w:p w14:paraId="48713739">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_Toc4469 </w:instrText>
      </w:r>
      <w:r>
        <w:rPr>
          <w:rFonts w:ascii="Times New Roman" w:hAnsi="Times New Roman"/>
          <w:color w:val="auto"/>
          <w:sz w:val="24"/>
        </w:rPr>
        <w:fldChar w:fldCharType="separate"/>
      </w:r>
      <w:r>
        <w:rPr>
          <w:rFonts w:ascii="Times New Roman" w:hAnsi="Times New Roman"/>
          <w:color w:val="auto"/>
          <w:sz w:val="24"/>
        </w:rPr>
        <w:t>5.2</w:t>
      </w:r>
      <w:r>
        <w:rPr>
          <w:rFonts w:hint="eastAsia" w:ascii="Times New Roman" w:hAnsi="Times New Roman"/>
          <w:color w:val="auto"/>
          <w:sz w:val="24"/>
          <w:lang w:val="en-US" w:eastAsia="zh-CN"/>
        </w:rPr>
        <w:t xml:space="preserve"> </w:t>
      </w:r>
      <w:r>
        <w:rPr>
          <w:rFonts w:ascii="Times New Roman" w:hAnsi="Times New Roman"/>
          <w:color w:val="auto"/>
          <w:sz w:val="24"/>
        </w:rPr>
        <w:t>该项目应重视的安全对策措施建议</w:t>
      </w:r>
      <w:r>
        <w:rPr>
          <w:color w:val="auto"/>
          <w:sz w:val="24"/>
        </w:rPr>
        <w:tab/>
      </w:r>
      <w:r>
        <w:rPr>
          <w:color w:val="auto"/>
          <w:sz w:val="24"/>
        </w:rPr>
        <w:fldChar w:fldCharType="begin"/>
      </w:r>
      <w:r>
        <w:rPr>
          <w:color w:val="auto"/>
          <w:sz w:val="24"/>
        </w:rPr>
        <w:instrText xml:space="preserve"> PAGEREF _Toc4469 \h </w:instrText>
      </w:r>
      <w:r>
        <w:rPr>
          <w:color w:val="auto"/>
          <w:sz w:val="24"/>
        </w:rPr>
        <w:fldChar w:fldCharType="separate"/>
      </w:r>
      <w:r>
        <w:rPr>
          <w:color w:val="auto"/>
          <w:sz w:val="24"/>
        </w:rPr>
        <w:t>144</w:t>
      </w:r>
      <w:r>
        <w:rPr>
          <w:color w:val="auto"/>
          <w:sz w:val="24"/>
        </w:rPr>
        <w:fldChar w:fldCharType="end"/>
      </w:r>
      <w:r>
        <w:rPr>
          <w:rFonts w:ascii="Times New Roman" w:hAnsi="Times New Roman"/>
          <w:color w:val="auto"/>
          <w:sz w:val="24"/>
        </w:rPr>
        <w:fldChar w:fldCharType="end"/>
      </w:r>
    </w:p>
    <w:p w14:paraId="637A2206">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_Toc6125 </w:instrText>
      </w:r>
      <w:r>
        <w:rPr>
          <w:rFonts w:ascii="Times New Roman" w:hAnsi="Times New Roman"/>
          <w:color w:val="auto"/>
          <w:sz w:val="24"/>
        </w:rPr>
        <w:fldChar w:fldCharType="separate"/>
      </w:r>
      <w:r>
        <w:rPr>
          <w:rFonts w:ascii="Times New Roman" w:hAnsi="Times New Roman"/>
          <w:color w:val="auto"/>
          <w:sz w:val="24"/>
        </w:rPr>
        <w:t>5.3</w:t>
      </w:r>
      <w:r>
        <w:rPr>
          <w:rFonts w:hint="eastAsia" w:ascii="Times New Roman" w:hAnsi="Times New Roman"/>
          <w:color w:val="auto"/>
          <w:sz w:val="24"/>
          <w:lang w:val="en-US" w:eastAsia="zh-CN"/>
        </w:rPr>
        <w:t xml:space="preserve"> </w:t>
      </w:r>
      <w:r>
        <w:rPr>
          <w:rFonts w:ascii="Times New Roman" w:hAnsi="Times New Roman"/>
          <w:color w:val="auto"/>
          <w:sz w:val="24"/>
        </w:rPr>
        <w:t>安全预评价结论</w:t>
      </w:r>
      <w:r>
        <w:rPr>
          <w:color w:val="auto"/>
          <w:sz w:val="24"/>
        </w:rPr>
        <w:tab/>
      </w:r>
      <w:r>
        <w:rPr>
          <w:color w:val="auto"/>
          <w:sz w:val="24"/>
        </w:rPr>
        <w:fldChar w:fldCharType="begin"/>
      </w:r>
      <w:r>
        <w:rPr>
          <w:color w:val="auto"/>
          <w:sz w:val="24"/>
        </w:rPr>
        <w:instrText xml:space="preserve"> PAGEREF _Toc6125 \h </w:instrText>
      </w:r>
      <w:r>
        <w:rPr>
          <w:color w:val="auto"/>
          <w:sz w:val="24"/>
        </w:rPr>
        <w:fldChar w:fldCharType="separate"/>
      </w:r>
      <w:r>
        <w:rPr>
          <w:color w:val="auto"/>
          <w:sz w:val="24"/>
        </w:rPr>
        <w:t>145</w:t>
      </w:r>
      <w:r>
        <w:rPr>
          <w:color w:val="auto"/>
          <w:sz w:val="24"/>
        </w:rPr>
        <w:fldChar w:fldCharType="end"/>
      </w:r>
      <w:r>
        <w:rPr>
          <w:rFonts w:ascii="Times New Roman" w:hAnsi="Times New Roman"/>
          <w:color w:val="auto"/>
          <w:sz w:val="24"/>
        </w:rPr>
        <w:fldChar w:fldCharType="end"/>
      </w:r>
    </w:p>
    <w:p w14:paraId="50D00212">
      <w:pPr>
        <w:pStyle w:val="10"/>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_Toc24735 </w:instrText>
      </w:r>
      <w:r>
        <w:rPr>
          <w:rFonts w:ascii="Times New Roman" w:hAnsi="Times New Roman"/>
          <w:color w:val="auto"/>
          <w:sz w:val="24"/>
        </w:rPr>
        <w:fldChar w:fldCharType="separate"/>
      </w:r>
      <w:r>
        <w:rPr>
          <w:rFonts w:hint="eastAsia" w:ascii="Times New Roman" w:hAnsi="Times New Roman"/>
          <w:color w:val="auto"/>
          <w:sz w:val="24"/>
          <w:lang w:val="en-US" w:eastAsia="zh-CN"/>
        </w:rPr>
        <w:t>6</w:t>
      </w:r>
      <w:r>
        <w:rPr>
          <w:rFonts w:hint="eastAsia" w:ascii="Times New Roman" w:hAnsi="Times New Roman"/>
          <w:color w:val="auto"/>
          <w:sz w:val="24"/>
        </w:rPr>
        <w:t xml:space="preserve"> 附件和附图</w:t>
      </w:r>
      <w:r>
        <w:rPr>
          <w:color w:val="auto"/>
          <w:sz w:val="24"/>
        </w:rPr>
        <w:tab/>
      </w:r>
      <w:r>
        <w:rPr>
          <w:color w:val="auto"/>
          <w:sz w:val="24"/>
        </w:rPr>
        <w:fldChar w:fldCharType="begin"/>
      </w:r>
      <w:r>
        <w:rPr>
          <w:color w:val="auto"/>
          <w:sz w:val="24"/>
        </w:rPr>
        <w:instrText xml:space="preserve"> PAGEREF _Toc24735 \h </w:instrText>
      </w:r>
      <w:r>
        <w:rPr>
          <w:color w:val="auto"/>
          <w:sz w:val="24"/>
        </w:rPr>
        <w:fldChar w:fldCharType="separate"/>
      </w:r>
      <w:r>
        <w:rPr>
          <w:color w:val="auto"/>
          <w:sz w:val="24"/>
        </w:rPr>
        <w:t>147</w:t>
      </w:r>
      <w:r>
        <w:rPr>
          <w:color w:val="auto"/>
          <w:sz w:val="24"/>
        </w:rPr>
        <w:fldChar w:fldCharType="end"/>
      </w:r>
      <w:r>
        <w:rPr>
          <w:rFonts w:ascii="Times New Roman" w:hAnsi="Times New Roman"/>
          <w:color w:val="auto"/>
          <w:sz w:val="24"/>
        </w:rPr>
        <w:fldChar w:fldCharType="end"/>
      </w:r>
    </w:p>
    <w:p w14:paraId="51A7ECDC">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sz w:val="24"/>
        </w:rPr>
      </w:pPr>
      <w:r>
        <w:rPr>
          <w:rFonts w:ascii="Times New Roman" w:hAnsi="Times New Roman"/>
          <w:color w:val="auto"/>
          <w:sz w:val="24"/>
        </w:rPr>
        <w:fldChar w:fldCharType="begin"/>
      </w:r>
      <w:r>
        <w:rPr>
          <w:rFonts w:ascii="Times New Roman" w:hAnsi="Times New Roman"/>
          <w:color w:val="auto"/>
          <w:sz w:val="24"/>
        </w:rPr>
        <w:instrText xml:space="preserve"> HYPERLINK \l _Toc9066 </w:instrText>
      </w:r>
      <w:r>
        <w:rPr>
          <w:rFonts w:ascii="Times New Roman" w:hAnsi="Times New Roman"/>
          <w:color w:val="auto"/>
          <w:sz w:val="24"/>
        </w:rPr>
        <w:fldChar w:fldCharType="separate"/>
      </w:r>
      <w:r>
        <w:rPr>
          <w:rFonts w:hint="eastAsia" w:ascii="Times New Roman" w:hAnsi="Times New Roman"/>
          <w:color w:val="auto"/>
          <w:sz w:val="24"/>
          <w:lang w:val="en-US" w:eastAsia="zh-CN"/>
        </w:rPr>
        <w:t>6</w:t>
      </w:r>
      <w:r>
        <w:rPr>
          <w:rFonts w:hint="eastAsia" w:ascii="Times New Roman" w:hAnsi="Times New Roman"/>
          <w:color w:val="auto"/>
          <w:sz w:val="24"/>
        </w:rPr>
        <w:t>.1 附件</w:t>
      </w:r>
      <w:r>
        <w:rPr>
          <w:color w:val="auto"/>
          <w:sz w:val="24"/>
        </w:rPr>
        <w:tab/>
      </w:r>
      <w:r>
        <w:rPr>
          <w:color w:val="auto"/>
          <w:sz w:val="24"/>
        </w:rPr>
        <w:fldChar w:fldCharType="begin"/>
      </w:r>
      <w:r>
        <w:rPr>
          <w:color w:val="auto"/>
          <w:sz w:val="24"/>
        </w:rPr>
        <w:instrText xml:space="preserve"> PAGEREF _Toc9066 \h </w:instrText>
      </w:r>
      <w:r>
        <w:rPr>
          <w:color w:val="auto"/>
          <w:sz w:val="24"/>
        </w:rPr>
        <w:fldChar w:fldCharType="separate"/>
      </w:r>
      <w:r>
        <w:rPr>
          <w:color w:val="auto"/>
          <w:sz w:val="24"/>
        </w:rPr>
        <w:t>147</w:t>
      </w:r>
      <w:r>
        <w:rPr>
          <w:color w:val="auto"/>
          <w:sz w:val="24"/>
        </w:rPr>
        <w:fldChar w:fldCharType="end"/>
      </w:r>
      <w:r>
        <w:rPr>
          <w:rFonts w:ascii="Times New Roman" w:hAnsi="Times New Roman"/>
          <w:color w:val="auto"/>
          <w:sz w:val="24"/>
        </w:rPr>
        <w:fldChar w:fldCharType="end"/>
      </w:r>
    </w:p>
    <w:p w14:paraId="4B929055">
      <w:pPr>
        <w:pStyle w:val="11"/>
        <w:keepNext w:val="0"/>
        <w:keepLines w:val="0"/>
        <w:pageBreakBefore w:val="0"/>
        <w:widowControl w:val="0"/>
        <w:tabs>
          <w:tab w:val="right" w:leader="dot" w:pos="9185"/>
        </w:tabs>
        <w:kinsoku/>
        <w:wordWrap/>
        <w:overflowPunct/>
        <w:topLinePunct w:val="0"/>
        <w:autoSpaceDE/>
        <w:autoSpaceDN/>
        <w:bidi w:val="0"/>
        <w:adjustRightInd/>
        <w:snapToGrid/>
        <w:ind w:firstLine="0" w:firstLineChars="0"/>
        <w:textAlignment w:val="auto"/>
        <w:rPr>
          <w:color w:val="auto"/>
        </w:rPr>
      </w:pPr>
      <w:r>
        <w:rPr>
          <w:rFonts w:ascii="Times New Roman" w:hAnsi="Times New Roman"/>
          <w:color w:val="auto"/>
          <w:sz w:val="24"/>
        </w:rPr>
        <w:fldChar w:fldCharType="begin"/>
      </w:r>
      <w:r>
        <w:rPr>
          <w:rFonts w:ascii="Times New Roman" w:hAnsi="Times New Roman"/>
          <w:color w:val="auto"/>
          <w:sz w:val="24"/>
        </w:rPr>
        <w:instrText xml:space="preserve"> HYPERLINK \l _Toc12503 </w:instrText>
      </w:r>
      <w:r>
        <w:rPr>
          <w:rFonts w:ascii="Times New Roman" w:hAnsi="Times New Roman"/>
          <w:color w:val="auto"/>
          <w:sz w:val="24"/>
        </w:rPr>
        <w:fldChar w:fldCharType="separate"/>
      </w:r>
      <w:r>
        <w:rPr>
          <w:rFonts w:hint="eastAsia" w:ascii="Times New Roman" w:hAnsi="Times New Roman"/>
          <w:color w:val="auto"/>
          <w:sz w:val="24"/>
          <w:lang w:val="en-US" w:eastAsia="zh-CN"/>
        </w:rPr>
        <w:t>6.2 附图</w:t>
      </w:r>
      <w:r>
        <w:rPr>
          <w:color w:val="auto"/>
          <w:sz w:val="24"/>
        </w:rPr>
        <w:tab/>
      </w:r>
      <w:r>
        <w:rPr>
          <w:color w:val="auto"/>
          <w:sz w:val="24"/>
        </w:rPr>
        <w:fldChar w:fldCharType="begin"/>
      </w:r>
      <w:r>
        <w:rPr>
          <w:color w:val="auto"/>
          <w:sz w:val="24"/>
        </w:rPr>
        <w:instrText xml:space="preserve"> PAGEREF _Toc12503 \h </w:instrText>
      </w:r>
      <w:r>
        <w:rPr>
          <w:color w:val="auto"/>
          <w:sz w:val="24"/>
        </w:rPr>
        <w:fldChar w:fldCharType="separate"/>
      </w:r>
      <w:r>
        <w:rPr>
          <w:color w:val="auto"/>
          <w:sz w:val="24"/>
        </w:rPr>
        <w:t>147</w:t>
      </w:r>
      <w:r>
        <w:rPr>
          <w:color w:val="auto"/>
          <w:sz w:val="24"/>
        </w:rPr>
        <w:fldChar w:fldCharType="end"/>
      </w:r>
      <w:r>
        <w:rPr>
          <w:rFonts w:ascii="Times New Roman" w:hAnsi="Times New Roman"/>
          <w:color w:val="auto"/>
          <w:sz w:val="24"/>
        </w:rPr>
        <w:fldChar w:fldCharType="end"/>
      </w:r>
    </w:p>
    <w:p w14:paraId="5ACB2D0E">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ascii="Times New Roman" w:hAnsi="Times New Roman"/>
          <w:color w:val="auto"/>
        </w:rPr>
        <w:sectPr>
          <w:headerReference r:id="rId10" w:type="default"/>
          <w:footerReference r:id="rId11" w:type="default"/>
          <w:pgSz w:w="11906" w:h="16838"/>
          <w:pgMar w:top="1417" w:right="1134" w:bottom="1134" w:left="1587" w:header="851" w:footer="992" w:gutter="0"/>
          <w:pgBorders>
            <w:top w:val="thinThickMediumGap" w:color="auto" w:sz="12" w:space="1"/>
            <w:left w:val="none" w:sz="0" w:space="0"/>
            <w:bottom w:val="thickThinMediumGap" w:color="auto" w:sz="12" w:space="1"/>
            <w:right w:val="none" w:sz="0" w:space="0"/>
          </w:pgBorders>
          <w:pgNumType w:fmt="upperRoman" w:start="1"/>
          <w:cols w:space="0" w:num="1"/>
          <w:rtlGutter w:val="0"/>
          <w:docGrid w:type="lines" w:linePitch="386" w:charSpace="0"/>
        </w:sectPr>
      </w:pPr>
      <w:r>
        <w:rPr>
          <w:rFonts w:ascii="Times New Roman" w:hAnsi="Times New Roman"/>
          <w:color w:val="auto"/>
        </w:rPr>
        <w:fldChar w:fldCharType="end"/>
      </w:r>
    </w:p>
    <w:p w14:paraId="623D487D">
      <w:pPr>
        <w:pStyle w:val="2"/>
        <w:bidi w:val="0"/>
        <w:rPr>
          <w:rFonts w:hint="eastAsia" w:ascii="Times New Roman" w:hAnsi="Times New Roman"/>
          <w:color w:val="auto"/>
        </w:rPr>
      </w:pPr>
      <w:bookmarkStart w:id="51" w:name="_Toc21746"/>
      <w:r>
        <w:rPr>
          <w:rFonts w:hint="eastAsia" w:ascii="Times New Roman" w:hAnsi="Times New Roman"/>
          <w:color w:val="auto"/>
        </w:rPr>
        <w:t>1 评价范围与依据</w:t>
      </w:r>
      <w:bookmarkEnd w:id="51"/>
    </w:p>
    <w:p w14:paraId="21DFBD91">
      <w:pPr>
        <w:pStyle w:val="3"/>
        <w:bidi w:val="0"/>
        <w:rPr>
          <w:rFonts w:hint="eastAsia" w:ascii="Times New Roman" w:hAnsi="Times New Roman"/>
          <w:color w:val="auto"/>
        </w:rPr>
      </w:pPr>
      <w:bookmarkStart w:id="52" w:name="_Toc27738"/>
      <w:r>
        <w:rPr>
          <w:rFonts w:hint="eastAsia" w:ascii="Times New Roman" w:hAnsi="Times New Roman"/>
          <w:color w:val="auto"/>
        </w:rPr>
        <w:t>1.1 评价对象和范围</w:t>
      </w:r>
      <w:bookmarkEnd w:id="52"/>
    </w:p>
    <w:p w14:paraId="50910B73">
      <w:pPr>
        <w:pStyle w:val="4"/>
        <w:bidi w:val="0"/>
        <w:rPr>
          <w:rFonts w:hint="eastAsia" w:ascii="Times New Roman" w:hAnsi="Times New Roman"/>
          <w:color w:val="auto"/>
        </w:rPr>
      </w:pPr>
      <w:bookmarkStart w:id="53" w:name="_Toc12532"/>
      <w:r>
        <w:rPr>
          <w:rFonts w:hint="eastAsia" w:ascii="Times New Roman" w:hAnsi="Times New Roman"/>
          <w:color w:val="auto"/>
        </w:rPr>
        <w:t>1.1.1 评价对象</w:t>
      </w:r>
      <w:bookmarkEnd w:id="53"/>
    </w:p>
    <w:p w14:paraId="3F586E9F">
      <w:pPr>
        <w:bidi w:val="0"/>
        <w:rPr>
          <w:rFonts w:hint="eastAsia" w:ascii="Times New Roman" w:hAnsi="Times New Roman"/>
          <w:color w:val="auto"/>
        </w:rPr>
      </w:pPr>
      <w:r>
        <w:rPr>
          <w:rFonts w:hint="eastAsia" w:ascii="Times New Roman" w:hAnsi="Times New Roman"/>
          <w:color w:val="auto"/>
        </w:rPr>
        <w:t>根据《</w:t>
      </w:r>
      <w:r>
        <w:rPr>
          <w:rFonts w:hint="eastAsia" w:ascii="Times New Roman" w:hAnsi="Times New Roman"/>
          <w:color w:val="auto"/>
          <w:lang w:eastAsia="zh-CN"/>
        </w:rPr>
        <w:t>昭阳区文辉矿业有限公司洒渔大桥石灰岩矿70万t/a露天采矿工程初步设计（代可研）</w:t>
      </w:r>
      <w:r>
        <w:rPr>
          <w:rFonts w:hint="eastAsia" w:ascii="Times New Roman" w:hAnsi="Times New Roman"/>
          <w:color w:val="auto"/>
        </w:rPr>
        <w:t>》和《金属非金属矿山建设项目安全设施目录（试行）》（国家安全监管总局令第75号）等有关法律法规的规定，本次评价对象为</w:t>
      </w:r>
      <w:r>
        <w:rPr>
          <w:rFonts w:hint="eastAsia" w:ascii="Times New Roman" w:hAnsi="Times New Roman"/>
          <w:color w:val="auto"/>
          <w:lang w:eastAsia="zh-CN"/>
        </w:rPr>
        <w:t>昭阳区文辉矿业有限公司洒渔大桥石灰岩矿70万t/a露天采矿工程</w:t>
      </w:r>
      <w:r>
        <w:rPr>
          <w:rFonts w:hint="eastAsia" w:ascii="Times New Roman" w:hAnsi="Times New Roman"/>
          <w:color w:val="auto"/>
        </w:rPr>
        <w:t>。</w:t>
      </w:r>
    </w:p>
    <w:p w14:paraId="2F5DC183">
      <w:pPr>
        <w:pStyle w:val="4"/>
        <w:bidi w:val="0"/>
        <w:rPr>
          <w:rFonts w:hint="eastAsia" w:ascii="Times New Roman" w:hAnsi="Times New Roman"/>
          <w:color w:val="auto"/>
        </w:rPr>
      </w:pPr>
      <w:bookmarkStart w:id="54" w:name="_Toc2722"/>
      <w:r>
        <w:rPr>
          <w:rFonts w:hint="eastAsia" w:ascii="Times New Roman" w:hAnsi="Times New Roman"/>
          <w:color w:val="auto"/>
        </w:rPr>
        <w:t>1.1.2 评价范围</w:t>
      </w:r>
      <w:bookmarkEnd w:id="54"/>
    </w:p>
    <w:p w14:paraId="09EF9E31">
      <w:pPr>
        <w:bidi w:val="0"/>
        <w:rPr>
          <w:rFonts w:hint="eastAsia" w:ascii="Times New Roman" w:hAnsi="Times New Roman"/>
          <w:color w:val="auto"/>
        </w:rPr>
      </w:pPr>
      <w:r>
        <w:rPr>
          <w:rFonts w:hint="eastAsia" w:ascii="Times New Roman" w:hAnsi="Times New Roman"/>
          <w:color w:val="auto"/>
        </w:rPr>
        <w:t>本次安全预评价范围的确定包含安全评价空间范围和评价的项目系统范围两部分内容。</w:t>
      </w:r>
    </w:p>
    <w:p w14:paraId="3B8440A2">
      <w:pPr>
        <w:pStyle w:val="5"/>
        <w:bidi w:val="0"/>
        <w:rPr>
          <w:rFonts w:hint="eastAsia" w:ascii="Times New Roman" w:hAnsi="Times New Roman"/>
          <w:color w:val="auto"/>
        </w:rPr>
      </w:pPr>
      <w:r>
        <w:rPr>
          <w:rFonts w:hint="eastAsia" w:ascii="Times New Roman" w:hAnsi="Times New Roman"/>
          <w:color w:val="auto"/>
        </w:rPr>
        <w:t>1.1.2.1 空间范围</w:t>
      </w:r>
    </w:p>
    <w:p w14:paraId="4ABDD408">
      <w:pPr>
        <w:bidi w:val="0"/>
        <w:rPr>
          <w:rFonts w:hint="eastAsia" w:ascii="Times New Roman" w:hAnsi="Times New Roman" w:eastAsia="宋体"/>
          <w:color w:val="auto"/>
          <w:lang w:eastAsia="zh-CN"/>
        </w:rPr>
      </w:pPr>
      <w:r>
        <w:rPr>
          <w:rFonts w:hint="eastAsia" w:ascii="Times New Roman" w:hAnsi="Times New Roman"/>
          <w:color w:val="auto"/>
        </w:rPr>
        <w:t>本次安全预评价的空间范围是根据昭阳区文辉矿业有限公司洒渔大桥石灰岩矿的矿区范围和《</w:t>
      </w:r>
      <w:r>
        <w:rPr>
          <w:rFonts w:hint="eastAsia" w:ascii="Times New Roman" w:hAnsi="Times New Roman"/>
          <w:color w:val="auto"/>
          <w:lang w:eastAsia="zh-CN"/>
        </w:rPr>
        <w:t>昭阳区文辉矿业有限公司洒渔大桥石灰岩矿70万t/a露天采矿工程初步设计（代可研）</w:t>
      </w:r>
      <w:r>
        <w:rPr>
          <w:rFonts w:hint="eastAsia" w:ascii="Times New Roman" w:hAnsi="Times New Roman"/>
          <w:color w:val="auto"/>
        </w:rPr>
        <w:t>》设计范围确定</w:t>
      </w:r>
      <w:r>
        <w:rPr>
          <w:rFonts w:hint="eastAsia" w:ascii="Times New Roman" w:hAnsi="Times New Roman"/>
          <w:color w:val="auto"/>
          <w:lang w:val="en-US" w:eastAsia="zh-CN"/>
        </w:rPr>
        <w:t>的</w:t>
      </w:r>
      <w:r>
        <w:rPr>
          <w:rFonts w:hint="eastAsia" w:ascii="Times New Roman" w:hAnsi="Times New Roman"/>
          <w:color w:val="auto"/>
          <w:lang w:eastAsia="zh-CN"/>
        </w:rPr>
        <w:t>。</w:t>
      </w:r>
    </w:p>
    <w:p w14:paraId="0FAA11CA">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1、昭阳区文辉矿业有限公司洒渔大桥石灰岩矿的矿区范围</w:t>
      </w:r>
    </w:p>
    <w:p w14:paraId="6EF5FEDE">
      <w:pPr>
        <w:bidi w:val="0"/>
        <w:rPr>
          <w:rFonts w:hint="default" w:ascii="Times New Roman" w:hAnsi="Times New Roman" w:eastAsia="宋体"/>
          <w:color w:val="auto"/>
          <w:vertAlign w:val="baseline"/>
          <w:lang w:val="en-US" w:eastAsia="zh-CN"/>
        </w:rPr>
      </w:pPr>
      <w:r>
        <w:rPr>
          <w:rFonts w:hint="eastAsia" w:ascii="Times New Roman" w:hAnsi="Times New Roman"/>
          <w:color w:val="auto"/>
        </w:rPr>
        <w:t>采矿许可证允许开采范围由</w:t>
      </w:r>
      <w:r>
        <w:rPr>
          <w:rFonts w:hint="eastAsia" w:ascii="Times New Roman" w:hAnsi="Times New Roman"/>
          <w:color w:val="auto"/>
          <w:lang w:val="en-US" w:eastAsia="zh-CN"/>
        </w:rPr>
        <w:t>4</w:t>
      </w:r>
      <w:r>
        <w:rPr>
          <w:rFonts w:hint="eastAsia" w:ascii="Times New Roman" w:hAnsi="Times New Roman"/>
          <w:color w:val="auto"/>
        </w:rPr>
        <w:t>个拐点圈定，面积为0.1215km</w:t>
      </w:r>
      <w:r>
        <w:rPr>
          <w:rFonts w:hint="eastAsia" w:ascii="Times New Roman" w:hAnsi="Times New Roman"/>
          <w:color w:val="auto"/>
          <w:vertAlign w:val="superscript"/>
        </w:rPr>
        <w:t>2</w:t>
      </w:r>
      <w:r>
        <w:rPr>
          <w:rFonts w:hint="eastAsia" w:ascii="Times New Roman" w:hAnsi="Times New Roman"/>
          <w:color w:val="auto"/>
          <w:vertAlign w:val="baseline"/>
          <w:lang w:eastAsia="zh-CN"/>
        </w:rPr>
        <w:t>，标高为2060m-1960m，高度</w:t>
      </w:r>
      <w:r>
        <w:rPr>
          <w:rFonts w:hint="eastAsia" w:ascii="Times New Roman" w:hAnsi="Times New Roman"/>
          <w:color w:val="auto"/>
          <w:vertAlign w:val="baseline"/>
          <w:lang w:val="en-US" w:eastAsia="zh-CN"/>
        </w:rPr>
        <w:t>100m。矿区范围坐标见表1.1-1。</w:t>
      </w:r>
    </w:p>
    <w:p w14:paraId="0B4C080B">
      <w:pPr>
        <w:pStyle w:val="16"/>
        <w:bidi w:val="0"/>
        <w:rPr>
          <w:rFonts w:hint="eastAsia" w:ascii="Times New Roman" w:hAnsi="Times New Roman"/>
          <w:color w:val="auto"/>
        </w:rPr>
      </w:pPr>
      <w:r>
        <w:rPr>
          <w:rFonts w:hint="eastAsia" w:ascii="Times New Roman" w:hAnsi="Times New Roman"/>
          <w:color w:val="auto"/>
        </w:rPr>
        <w:t>表1.1-1  矿区范围拐点坐标表</w:t>
      </w:r>
    </w:p>
    <w:p w14:paraId="2C60AB72">
      <w:pPr>
        <w:bidi w:val="0"/>
        <w:ind w:left="0" w:leftChars="0" w:right="0" w:rightChars="0" w:firstLine="0" w:firstLineChars="0"/>
        <w:jc w:val="center"/>
        <w:rPr>
          <w:rFonts w:hint="default" w:ascii="Times New Roman" w:hAnsi="Times New Roman"/>
          <w:color w:val="auto"/>
          <w:lang w:val="en-US" w:eastAsia="zh-CN"/>
        </w:rPr>
      </w:pPr>
      <w:r>
        <w:rPr>
          <w:rFonts w:hint="eastAsia"/>
          <w:color w:val="auto"/>
          <w:lang w:val="en-US" w:eastAsia="zh-CN"/>
        </w:rPr>
        <w:t xml:space="preserve">        </w:t>
      </w:r>
    </w:p>
    <w:p w14:paraId="03981AED">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2、本项目初步设计（代可研）的设计范围</w:t>
      </w:r>
    </w:p>
    <w:p w14:paraId="7E94ADB2">
      <w:pPr>
        <w:bidi w:val="0"/>
        <w:rPr>
          <w:rFonts w:hint="eastAsia" w:ascii="Times New Roman" w:hAnsi="Times New Roman"/>
          <w:color w:val="auto"/>
          <w:lang w:eastAsia="zh-CN"/>
        </w:rPr>
      </w:pPr>
      <w:r>
        <w:rPr>
          <w:rFonts w:hint="eastAsia" w:ascii="Times New Roman" w:hAnsi="Times New Roman"/>
          <w:color w:val="auto"/>
          <w:lang w:eastAsia="zh-CN"/>
        </w:rPr>
        <w:t>该矿山为改扩建矿山，采矿许可证标高：2060m~1960m，矿区面积：0.1215km</w:t>
      </w:r>
      <w:r>
        <w:rPr>
          <w:rFonts w:hint="eastAsia" w:ascii="Times New Roman" w:hAnsi="Times New Roman"/>
          <w:color w:val="auto"/>
          <w:vertAlign w:val="superscript"/>
          <w:lang w:eastAsia="zh-CN"/>
        </w:rPr>
        <w:t>2</w:t>
      </w:r>
      <w:r>
        <w:rPr>
          <w:rFonts w:hint="eastAsia" w:ascii="Times New Roman" w:hAnsi="Times New Roman"/>
          <w:color w:val="auto"/>
          <w:lang w:eastAsia="zh-CN"/>
        </w:rPr>
        <w:t>。</w:t>
      </w:r>
    </w:p>
    <w:p w14:paraId="56BF1C30">
      <w:pPr>
        <w:bidi w:val="0"/>
        <w:rPr>
          <w:rFonts w:hint="eastAsia" w:ascii="Times New Roman" w:hAnsi="Times New Roman"/>
          <w:color w:val="auto"/>
          <w:lang w:eastAsia="zh-CN"/>
        </w:rPr>
      </w:pPr>
      <w:r>
        <w:rPr>
          <w:rFonts w:hint="eastAsia" w:ascii="Times New Roman" w:hAnsi="Times New Roman"/>
          <w:color w:val="auto"/>
          <w:lang w:eastAsia="zh-CN"/>
        </w:rPr>
        <w:t>由于矿区西部是中小湾子村村小组民房，民房距矿区最短距离为193m，西北部是下小湾子村村小组民房，民房距矿区最短距离为129m，所以设计预留了300m的安全距离，将矿区西部距离中小湾子村、西北部距离下小湾子村300m的范围设为禁采区Ⅰ。禁采区Ⅰ由7个拐点圈定，禁采区Ⅰ面积为0.049km</w:t>
      </w:r>
      <w:r>
        <w:rPr>
          <w:rFonts w:hint="eastAsia" w:ascii="Times New Roman" w:hAnsi="Times New Roman"/>
          <w:color w:val="auto"/>
          <w:vertAlign w:val="superscript"/>
          <w:lang w:eastAsia="zh-CN"/>
        </w:rPr>
        <w:t>2</w:t>
      </w:r>
      <w:r>
        <w:rPr>
          <w:rFonts w:hint="eastAsia" w:ascii="Times New Roman" w:hAnsi="Times New Roman"/>
          <w:color w:val="auto"/>
          <w:lang w:eastAsia="zh-CN"/>
        </w:rPr>
        <w:t>。禁采区Ⅰ范围拐点坐标见表</w:t>
      </w:r>
      <w:r>
        <w:rPr>
          <w:rFonts w:hint="eastAsia" w:ascii="Times New Roman" w:hAnsi="Times New Roman"/>
          <w:color w:val="auto"/>
          <w:lang w:val="en-US" w:eastAsia="zh-CN"/>
        </w:rPr>
        <w:t>1.1-2</w:t>
      </w:r>
      <w:r>
        <w:rPr>
          <w:rFonts w:hint="eastAsia" w:ascii="Times New Roman" w:hAnsi="Times New Roman"/>
          <w:color w:val="auto"/>
          <w:lang w:eastAsia="zh-CN"/>
        </w:rPr>
        <w:t>。</w:t>
      </w:r>
    </w:p>
    <w:p w14:paraId="55094330">
      <w:pPr>
        <w:bidi w:val="0"/>
        <w:rPr>
          <w:rFonts w:hint="eastAsia" w:ascii="Times New Roman" w:hAnsi="Times New Roman"/>
          <w:color w:val="auto"/>
          <w:lang w:eastAsia="zh-CN"/>
        </w:rPr>
      </w:pPr>
      <w:r>
        <w:rPr>
          <w:rFonts w:hint="eastAsia" w:ascii="Times New Roman" w:hAnsi="Times New Roman"/>
          <w:color w:val="auto"/>
          <w:lang w:eastAsia="zh-CN"/>
        </w:rPr>
        <w:t>由于矿区东南部存在与村民协商后仍无法征用的土地，现将该部分区域划为禁采区Ⅱ，禁采区Ⅱ由</w:t>
      </w:r>
      <w:r>
        <w:rPr>
          <w:rFonts w:hint="eastAsia"/>
          <w:color w:val="auto"/>
          <w:lang w:val="en-US" w:eastAsia="zh-CN"/>
        </w:rPr>
        <w:t>9</w:t>
      </w:r>
      <w:r>
        <w:rPr>
          <w:rFonts w:hint="eastAsia" w:ascii="Times New Roman" w:hAnsi="Times New Roman"/>
          <w:color w:val="auto"/>
          <w:lang w:eastAsia="zh-CN"/>
        </w:rPr>
        <w:t>个拐点圈定，禁采区Ⅱ的面积为</w:t>
      </w:r>
      <w:r>
        <w:rPr>
          <w:rFonts w:hint="eastAsia"/>
          <w:color w:val="auto"/>
          <w:lang w:val="en-US" w:eastAsia="zh-CN"/>
        </w:rPr>
        <w:t>7919</w:t>
      </w:r>
      <w:r>
        <w:rPr>
          <w:rFonts w:hint="eastAsia" w:ascii="Times New Roman" w:hAnsi="Times New Roman"/>
          <w:color w:val="auto"/>
          <w:lang w:eastAsia="zh-CN"/>
        </w:rPr>
        <w:t>m</w:t>
      </w:r>
      <w:r>
        <w:rPr>
          <w:rFonts w:hint="eastAsia" w:ascii="Times New Roman" w:hAnsi="Times New Roman"/>
          <w:color w:val="auto"/>
          <w:vertAlign w:val="superscript"/>
          <w:lang w:eastAsia="zh-CN"/>
        </w:rPr>
        <w:t>2</w:t>
      </w:r>
      <w:r>
        <w:rPr>
          <w:rFonts w:hint="eastAsia" w:ascii="Times New Roman" w:hAnsi="Times New Roman"/>
          <w:color w:val="auto"/>
          <w:lang w:eastAsia="zh-CN"/>
        </w:rPr>
        <w:t>。禁采区Ⅱ范围拐点坐标详见表</w:t>
      </w:r>
      <w:r>
        <w:rPr>
          <w:rFonts w:hint="eastAsia" w:ascii="Times New Roman" w:hAnsi="Times New Roman"/>
          <w:color w:val="auto"/>
          <w:lang w:val="en-US" w:eastAsia="zh-CN"/>
        </w:rPr>
        <w:t>1.1-3</w:t>
      </w:r>
      <w:r>
        <w:rPr>
          <w:rFonts w:hint="eastAsia" w:ascii="Times New Roman" w:hAnsi="Times New Roman"/>
          <w:color w:val="auto"/>
          <w:lang w:eastAsia="zh-CN"/>
        </w:rPr>
        <w:t>。</w:t>
      </w:r>
    </w:p>
    <w:p w14:paraId="0601A02D">
      <w:pPr>
        <w:bidi w:val="0"/>
        <w:rPr>
          <w:rFonts w:hint="eastAsia" w:ascii="Times New Roman" w:hAnsi="Times New Roman"/>
          <w:color w:val="auto"/>
          <w:lang w:eastAsia="zh-CN"/>
        </w:rPr>
      </w:pPr>
      <w:r>
        <w:rPr>
          <w:rFonts w:hint="eastAsia" w:ascii="Times New Roman" w:hAnsi="Times New Roman"/>
          <w:color w:val="auto"/>
          <w:lang w:eastAsia="zh-CN"/>
        </w:rPr>
        <w:t>综上所述，结合矿山采矿许可证许可范围及矿山现状实测图，设计范围主要为矿区内两个禁采区外2060m-1960m标高的矿体</w:t>
      </w:r>
    </w:p>
    <w:p w14:paraId="041DF9BC">
      <w:pPr>
        <w:pStyle w:val="16"/>
        <w:bidi w:val="0"/>
        <w:rPr>
          <w:rFonts w:hint="eastAsia" w:ascii="Times New Roman" w:hAnsi="Times New Roman"/>
          <w:color w:val="auto"/>
          <w:lang w:eastAsia="zh-CN"/>
        </w:rPr>
      </w:pPr>
      <w:r>
        <w:rPr>
          <w:rFonts w:hint="eastAsia" w:ascii="Times New Roman" w:hAnsi="Times New Roman"/>
          <w:color w:val="auto"/>
          <w:lang w:eastAsia="zh-CN"/>
        </w:rPr>
        <w:t>表</w:t>
      </w:r>
      <w:r>
        <w:rPr>
          <w:rFonts w:hint="eastAsia" w:ascii="Times New Roman" w:hAnsi="Times New Roman"/>
          <w:color w:val="auto"/>
          <w:lang w:val="en-US" w:eastAsia="zh-CN"/>
        </w:rPr>
        <w:t>1.1-2</w:t>
      </w:r>
      <w:r>
        <w:rPr>
          <w:rFonts w:hint="eastAsia" w:ascii="Times New Roman" w:hAnsi="Times New Roman"/>
          <w:color w:val="auto"/>
          <w:lang w:eastAsia="zh-CN"/>
        </w:rPr>
        <w:t xml:space="preserve">  禁采区Ⅰ范围拐点坐标表</w:t>
      </w:r>
    </w:p>
    <w:p w14:paraId="60CBC442">
      <w:pPr>
        <w:pStyle w:val="16"/>
        <w:bidi w:val="0"/>
        <w:rPr>
          <w:rFonts w:hint="default" w:ascii="Times New Roman" w:hAnsi="Times New Roman"/>
          <w:color w:val="auto"/>
          <w:lang w:val="en-US" w:eastAsia="zh-CN"/>
        </w:rPr>
      </w:pPr>
      <w:r>
        <w:rPr>
          <w:rFonts w:hint="eastAsia"/>
          <w:color w:val="auto"/>
          <w:lang w:val="en-US" w:eastAsia="zh-CN"/>
        </w:rPr>
        <w:t>****</w:t>
      </w:r>
    </w:p>
    <w:p w14:paraId="4E19601C">
      <w:pPr>
        <w:pStyle w:val="16"/>
        <w:bidi w:val="0"/>
        <w:rPr>
          <w:rFonts w:hint="eastAsia" w:ascii="Times New Roman" w:hAnsi="Times New Roman"/>
          <w:color w:val="auto"/>
          <w:lang w:eastAsia="zh-CN"/>
        </w:rPr>
      </w:pPr>
      <w:r>
        <w:rPr>
          <w:rFonts w:hint="eastAsia" w:ascii="Times New Roman" w:hAnsi="Times New Roman"/>
          <w:color w:val="auto"/>
          <w:lang w:eastAsia="zh-CN"/>
        </w:rPr>
        <w:t>表</w:t>
      </w:r>
      <w:r>
        <w:rPr>
          <w:rFonts w:hint="eastAsia" w:ascii="Times New Roman" w:hAnsi="Times New Roman"/>
          <w:color w:val="auto"/>
          <w:lang w:val="en-US" w:eastAsia="zh-CN"/>
        </w:rPr>
        <w:t>1.1.3</w:t>
      </w:r>
      <w:r>
        <w:rPr>
          <w:rFonts w:hint="eastAsia" w:ascii="Times New Roman" w:hAnsi="Times New Roman"/>
          <w:color w:val="auto"/>
          <w:lang w:eastAsia="zh-CN"/>
        </w:rPr>
        <w:t xml:space="preserve">  禁采区Ⅱ范围拐点坐标表</w:t>
      </w:r>
    </w:p>
    <w:p w14:paraId="6923C449">
      <w:pPr>
        <w:pStyle w:val="16"/>
        <w:bidi w:val="0"/>
        <w:rPr>
          <w:rFonts w:hint="default" w:ascii="Times New Roman" w:hAnsi="Times New Roman"/>
          <w:color w:val="auto"/>
          <w:lang w:val="en-US" w:eastAsia="zh-CN"/>
        </w:rPr>
      </w:pPr>
      <w:r>
        <w:rPr>
          <w:rFonts w:hint="eastAsia"/>
          <w:color w:val="auto"/>
          <w:lang w:val="en-US" w:eastAsia="zh-CN"/>
        </w:rPr>
        <w:t>*****</w:t>
      </w:r>
    </w:p>
    <w:p w14:paraId="4C20B98A">
      <w:pPr>
        <w:bidi w:val="0"/>
        <w:rPr>
          <w:rFonts w:hint="eastAsia" w:ascii="Times New Roman" w:hAnsi="Times New Roman"/>
          <w:color w:val="auto"/>
          <w:lang w:val="en-US" w:eastAsia="zh-CN"/>
        </w:rPr>
      </w:pPr>
      <w:r>
        <w:rPr>
          <w:rFonts w:hint="eastAsia" w:ascii="Times New Roman" w:hAnsi="Times New Roman"/>
          <w:color w:val="auto"/>
          <w:lang w:val="en-US" w:eastAsia="zh-CN"/>
        </w:rPr>
        <w:t>3、本次安全预评价空间范围</w:t>
      </w:r>
    </w:p>
    <w:p w14:paraId="274E6D9A">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本次安全预评价的空间范围与初步设计（代可研）的设计范围一致。</w:t>
      </w:r>
    </w:p>
    <w:p w14:paraId="7DEF7A85">
      <w:pPr>
        <w:pStyle w:val="5"/>
        <w:bidi w:val="0"/>
        <w:rPr>
          <w:rFonts w:hint="eastAsia" w:ascii="Times New Roman" w:hAnsi="Times New Roman"/>
          <w:color w:val="auto"/>
        </w:rPr>
      </w:pPr>
      <w:r>
        <w:rPr>
          <w:rFonts w:hint="eastAsia" w:ascii="Times New Roman" w:hAnsi="Times New Roman"/>
          <w:color w:val="auto"/>
        </w:rPr>
        <w:t>1.1.2.2 项目系统范围</w:t>
      </w:r>
    </w:p>
    <w:p w14:paraId="090F95D8">
      <w:pPr>
        <w:bidi w:val="0"/>
        <w:rPr>
          <w:rFonts w:hint="eastAsia" w:ascii="Times New Roman" w:hAnsi="Times New Roman"/>
          <w:color w:val="auto"/>
        </w:rPr>
      </w:pPr>
      <w:r>
        <w:rPr>
          <w:rFonts w:hint="eastAsia" w:ascii="Times New Roman" w:hAnsi="Times New Roman"/>
          <w:color w:val="auto"/>
        </w:rPr>
        <w:t>本次安全预评价根据《</w:t>
      </w:r>
      <w:r>
        <w:rPr>
          <w:rFonts w:hint="eastAsia" w:ascii="Times New Roman" w:hAnsi="Times New Roman"/>
          <w:color w:val="auto"/>
          <w:lang w:eastAsia="zh-CN"/>
        </w:rPr>
        <w:t>昭阳区文辉矿业有限公司洒渔大桥石灰岩矿70万t/a露天采矿工程初步设计（代可研）</w:t>
      </w:r>
      <w:r>
        <w:rPr>
          <w:rFonts w:hint="eastAsia" w:ascii="Times New Roman" w:hAnsi="Times New Roman"/>
          <w:color w:val="auto"/>
        </w:rPr>
        <w:t>》确定的露天开采系统开展评价工作。评价工作以露天开采生产工艺为主线，以安全设施（包括基本安全设施和专用安全设施）为重点的安全评价。本次安全预评价范围包括</w:t>
      </w:r>
      <w:r>
        <w:rPr>
          <w:rFonts w:hint="eastAsia" w:ascii="Times New Roman" w:hAnsi="Times New Roman"/>
          <w:color w:val="auto"/>
          <w:lang w:eastAsia="zh-CN"/>
        </w:rPr>
        <w:t>昭阳区文辉矿业有限公司洒渔大桥石灰岩矿70万t/a露天采矿工程</w:t>
      </w:r>
      <w:r>
        <w:rPr>
          <w:rFonts w:hint="eastAsia" w:ascii="Times New Roman" w:hAnsi="Times New Roman"/>
          <w:color w:val="auto"/>
        </w:rPr>
        <w:t>总平面布置、开拓运输、采剥工艺、供配电、防排水及安全管理等方面的基本安全设施和专用安全设施。</w:t>
      </w:r>
    </w:p>
    <w:p w14:paraId="58E56218">
      <w:pPr>
        <w:bidi w:val="0"/>
        <w:rPr>
          <w:rFonts w:hint="eastAsia" w:ascii="Times New Roman" w:hAnsi="Times New Roman"/>
          <w:color w:val="auto"/>
        </w:rPr>
      </w:pPr>
      <w:r>
        <w:rPr>
          <w:rFonts w:hint="eastAsia" w:ascii="Times New Roman" w:hAnsi="Times New Roman"/>
          <w:color w:val="auto"/>
        </w:rPr>
        <w:t>凡涉及本工程的油类存储、消防、加工系统、职业病及防治、环保、地质灾害评估问题，不在本次评价范围之内，但评价报告中会涉及到相关内容，企业应执行国家相关法律、法规、标准和规范要求。</w:t>
      </w:r>
    </w:p>
    <w:p w14:paraId="5CF9D9D5">
      <w:pPr>
        <w:pStyle w:val="3"/>
        <w:bidi w:val="0"/>
        <w:rPr>
          <w:rFonts w:hint="eastAsia" w:ascii="Times New Roman" w:hAnsi="Times New Roman"/>
          <w:color w:val="auto"/>
        </w:rPr>
      </w:pPr>
      <w:bookmarkStart w:id="55" w:name="_Toc28500"/>
      <w:r>
        <w:rPr>
          <w:rFonts w:hint="eastAsia" w:ascii="Times New Roman" w:hAnsi="Times New Roman"/>
          <w:color w:val="auto"/>
        </w:rPr>
        <w:t>1.2 评价依据</w:t>
      </w:r>
      <w:bookmarkEnd w:id="55"/>
    </w:p>
    <w:p w14:paraId="601A7318">
      <w:pPr>
        <w:bidi w:val="0"/>
        <w:rPr>
          <w:rFonts w:hint="eastAsia" w:ascii="Times New Roman" w:hAnsi="Times New Roman"/>
          <w:color w:val="auto"/>
        </w:rPr>
      </w:pPr>
      <w:r>
        <w:rPr>
          <w:rFonts w:hint="eastAsia" w:ascii="Times New Roman" w:hAnsi="Times New Roman"/>
          <w:color w:val="auto"/>
        </w:rPr>
        <w:t>本次评价主要依据以下国家有关安全生产方面的法律、法规、规章、规范性文件、标准、规范。</w:t>
      </w:r>
    </w:p>
    <w:p w14:paraId="2C978BAA">
      <w:pPr>
        <w:pStyle w:val="4"/>
        <w:bidi w:val="0"/>
        <w:rPr>
          <w:rFonts w:hint="default" w:ascii="Times New Roman" w:hAnsi="Times New Roman"/>
          <w:color w:val="auto"/>
          <w:lang w:val="en-US" w:eastAsia="zh-CN"/>
        </w:rPr>
      </w:pPr>
      <w:bookmarkStart w:id="56" w:name="_Toc29564"/>
      <w:r>
        <w:rPr>
          <w:rFonts w:hint="eastAsia" w:ascii="Times New Roman" w:hAnsi="Times New Roman"/>
          <w:color w:val="auto"/>
          <w:lang w:val="en-US" w:eastAsia="zh-CN"/>
        </w:rPr>
        <w:t>1.2.1 法律法规</w:t>
      </w:r>
      <w:bookmarkEnd w:id="56"/>
    </w:p>
    <w:p w14:paraId="09FA3411">
      <w:pPr>
        <w:pStyle w:val="5"/>
        <w:bidi w:val="0"/>
        <w:rPr>
          <w:rFonts w:hint="eastAsia" w:ascii="Times New Roman" w:hAnsi="Times New Roman"/>
          <w:color w:val="auto"/>
        </w:rPr>
      </w:pPr>
      <w:r>
        <w:rPr>
          <w:rFonts w:hint="eastAsia" w:ascii="Times New Roman" w:hAnsi="Times New Roman"/>
          <w:color w:val="auto"/>
        </w:rPr>
        <w:t>1.2.1</w:t>
      </w:r>
      <w:r>
        <w:rPr>
          <w:rFonts w:hint="eastAsia" w:ascii="Times New Roman" w:hAnsi="Times New Roman"/>
          <w:color w:val="auto"/>
          <w:lang w:val="en-US" w:eastAsia="zh-CN"/>
        </w:rPr>
        <w:t>.1</w:t>
      </w:r>
      <w:r>
        <w:rPr>
          <w:rFonts w:hint="eastAsia" w:ascii="Times New Roman" w:hAnsi="Times New Roman"/>
          <w:color w:val="auto"/>
        </w:rPr>
        <w:t xml:space="preserve"> 国家法律</w:t>
      </w:r>
    </w:p>
    <w:p w14:paraId="12F2DE20">
      <w:pPr>
        <w:bidi w:val="0"/>
        <w:rPr>
          <w:rFonts w:hint="eastAsia" w:ascii="Times New Roman" w:hAnsi="Times New Roman"/>
          <w:color w:val="auto"/>
        </w:rPr>
      </w:pPr>
      <w:r>
        <w:rPr>
          <w:rFonts w:hint="eastAsia" w:ascii="Times New Roman" w:hAnsi="Times New Roman"/>
          <w:color w:val="auto"/>
        </w:rPr>
        <w:t>1</w:t>
      </w:r>
      <w:r>
        <w:rPr>
          <w:rFonts w:hint="eastAsia" w:ascii="Times New Roman" w:hAnsi="Times New Roman"/>
          <w:color w:val="auto"/>
          <w:lang w:eastAsia="zh-CN"/>
        </w:rPr>
        <w:t>、</w:t>
      </w:r>
      <w:r>
        <w:rPr>
          <w:rFonts w:hint="eastAsia" w:ascii="Times New Roman" w:hAnsi="Times New Roman"/>
          <w:color w:val="auto"/>
        </w:rPr>
        <w:t>《中华人民共和国安全生产法》（中华人民共和国主席令十三号，2014年12月1日起施行；中华人民共和国主席令第八十八号，中华人民共和国第十三届全国人民代表大会常务委员会第二十九次会议于通过《全国人民代表大会常务委员会关于修改〈中华人民共和国安全生产法〉的决定》，自2021年9月1日起施行）；</w:t>
      </w:r>
    </w:p>
    <w:p w14:paraId="2FD3B1B8">
      <w:pPr>
        <w:tabs>
          <w:tab w:val="left" w:pos="7840"/>
        </w:tabs>
        <w:bidi w:val="0"/>
        <w:rPr>
          <w:rFonts w:hint="eastAsia"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《中华人民共和国矿产资源法》(1986年3月19日第六届全国人民代表大会常务委员会第十五次会议通过　根据1996年8月29日第八届全国人民代表大会常务委员会第二十一次会议《关于修改〈中华人民共和国矿产资源法〉的决定》第一次修正　根据2009年8月27日第十一届全国人民代表大会常务委员会第十次会议《关于修改部分法律的决定》第二次修正　2024年11月8日第十四届全国人民代表大会常务委员会第十二次会议修订，自2025年07月01日起施行）；</w:t>
      </w:r>
    </w:p>
    <w:p w14:paraId="673D9C80">
      <w:pPr>
        <w:bidi w:val="0"/>
        <w:rPr>
          <w:rFonts w:hint="eastAsia"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中华人民共和国矿山安全法》（中华人民共和国主席令第六十五号，中华人民共和国主席令第十八号，根据2009年8月27日第十一届全国人民代表大会常务委员会第十次会议《全国人民代表大会常务委员会关于修改部分法律的决定》修正，自2009年8月27日起施行）；</w:t>
      </w:r>
    </w:p>
    <w:p w14:paraId="36078512">
      <w:pPr>
        <w:bidi w:val="0"/>
        <w:rPr>
          <w:rFonts w:hint="eastAsia" w:ascii="Times New Roman" w:hAnsi="Times New Roman"/>
          <w:color w:val="auto"/>
        </w:rPr>
      </w:pPr>
      <w:r>
        <w:rPr>
          <w:rFonts w:hint="eastAsia" w:ascii="Times New Roman" w:hAnsi="Times New Roman"/>
          <w:color w:val="auto"/>
        </w:rPr>
        <w:t>4</w:t>
      </w:r>
      <w:r>
        <w:rPr>
          <w:rFonts w:hint="eastAsia" w:ascii="Times New Roman" w:hAnsi="Times New Roman"/>
          <w:color w:val="auto"/>
          <w:lang w:eastAsia="zh-CN"/>
        </w:rPr>
        <w:t>、</w:t>
      </w:r>
      <w:r>
        <w:rPr>
          <w:rFonts w:hint="eastAsia" w:ascii="Times New Roman" w:hAnsi="Times New Roman"/>
          <w:color w:val="auto"/>
        </w:rPr>
        <w:t>《中华人民共和国劳动法》（中华人民共和国主席令第二十八号，1995年1月1日起实施；根据2018年12月29日第十三届全国人民代表大会常务委员会第七次会议《关于修改〈中华人民共和国劳动法〉等七部法律的决定》第二次修正，自2018年12月29日起施行）；</w:t>
      </w:r>
    </w:p>
    <w:p w14:paraId="6712B117">
      <w:pPr>
        <w:bidi w:val="0"/>
        <w:rPr>
          <w:rFonts w:hint="eastAsia" w:ascii="Times New Roman" w:hAnsi="Times New Roman"/>
          <w:color w:val="auto"/>
        </w:rPr>
      </w:pPr>
      <w:r>
        <w:rPr>
          <w:rFonts w:hint="eastAsia" w:ascii="Times New Roman" w:hAnsi="Times New Roman"/>
          <w:color w:val="auto"/>
        </w:rPr>
        <w:t>5</w:t>
      </w:r>
      <w:r>
        <w:rPr>
          <w:rFonts w:hint="eastAsia" w:ascii="Times New Roman" w:hAnsi="Times New Roman"/>
          <w:color w:val="auto"/>
          <w:lang w:eastAsia="zh-CN"/>
        </w:rPr>
        <w:t>、</w:t>
      </w:r>
      <w:r>
        <w:rPr>
          <w:rFonts w:hint="eastAsia" w:ascii="Times New Roman" w:hAnsi="Times New Roman"/>
          <w:color w:val="auto"/>
        </w:rPr>
        <w:t>《中华人民共和国突发事件应对法》（2007年8月30日第十届全国人民代表大会常务委员会第二十九次会议通过　2024年6月28日第十四届全国人民代表大会常务委员会第十次会议修订，2024年11月1日起施行）；</w:t>
      </w:r>
    </w:p>
    <w:p w14:paraId="584FB4F9">
      <w:pPr>
        <w:bidi w:val="0"/>
        <w:rPr>
          <w:rFonts w:hint="eastAsia" w:ascii="Times New Roman" w:hAnsi="Times New Roman"/>
          <w:color w:val="auto"/>
        </w:rPr>
      </w:pPr>
      <w:r>
        <w:rPr>
          <w:rFonts w:hint="eastAsia" w:ascii="Times New Roman" w:hAnsi="Times New Roman"/>
          <w:color w:val="auto"/>
        </w:rPr>
        <w:t>6</w:t>
      </w:r>
      <w:r>
        <w:rPr>
          <w:rFonts w:hint="eastAsia" w:ascii="Times New Roman" w:hAnsi="Times New Roman"/>
          <w:color w:val="auto"/>
          <w:lang w:eastAsia="zh-CN"/>
        </w:rPr>
        <w:t>、</w:t>
      </w:r>
      <w:r>
        <w:rPr>
          <w:rFonts w:hint="eastAsia" w:ascii="Times New Roman" w:hAnsi="Times New Roman"/>
          <w:color w:val="auto"/>
        </w:rPr>
        <w:t>《中华人民共和国消防法》（中华人民共和国主席令第八十一号，根据2021年4月29日第十三届全国人民代表大会常务委员会第二十八次会议通过《全国人民代表大会常务委员会关于修改&lt;中华人民共和国道路交通安全法&gt;等八部法律的决定》，2021年4月29日实施）；</w:t>
      </w:r>
    </w:p>
    <w:p w14:paraId="41DF4281">
      <w:pPr>
        <w:bidi w:val="0"/>
        <w:rPr>
          <w:rFonts w:hint="eastAsia" w:ascii="Times New Roman" w:hAnsi="Times New Roman"/>
          <w:color w:val="auto"/>
        </w:rPr>
      </w:pPr>
      <w:r>
        <w:rPr>
          <w:rFonts w:hint="eastAsia" w:ascii="Times New Roman" w:hAnsi="Times New Roman"/>
          <w:color w:val="auto"/>
        </w:rPr>
        <w:t>7</w:t>
      </w:r>
      <w:r>
        <w:rPr>
          <w:rFonts w:hint="eastAsia" w:ascii="Times New Roman" w:hAnsi="Times New Roman"/>
          <w:color w:val="auto"/>
          <w:lang w:eastAsia="zh-CN"/>
        </w:rPr>
        <w:t>、</w:t>
      </w:r>
      <w:r>
        <w:rPr>
          <w:rFonts w:hint="eastAsia" w:ascii="Times New Roman" w:hAnsi="Times New Roman"/>
          <w:color w:val="auto"/>
        </w:rPr>
        <w:t>《中华人民共和国特种设备安全法》（中华人民共和国主席令第四号，2014年1月1日起施行）；</w:t>
      </w:r>
    </w:p>
    <w:p w14:paraId="7BDAF5AC">
      <w:pPr>
        <w:bidi w:val="0"/>
        <w:rPr>
          <w:rFonts w:hint="eastAsia" w:ascii="Times New Roman" w:hAnsi="Times New Roman"/>
          <w:color w:val="auto"/>
        </w:rPr>
      </w:pPr>
      <w:r>
        <w:rPr>
          <w:rFonts w:hint="eastAsia" w:ascii="Times New Roman" w:hAnsi="Times New Roman"/>
          <w:color w:val="auto"/>
        </w:rPr>
        <w:t>8</w:t>
      </w:r>
      <w:r>
        <w:rPr>
          <w:rFonts w:hint="eastAsia" w:ascii="Times New Roman" w:hAnsi="Times New Roman"/>
          <w:color w:val="auto"/>
          <w:lang w:eastAsia="zh-CN"/>
        </w:rPr>
        <w:t>、</w:t>
      </w:r>
      <w:r>
        <w:rPr>
          <w:rFonts w:hint="eastAsia" w:ascii="Times New Roman" w:hAnsi="Times New Roman"/>
          <w:color w:val="auto"/>
        </w:rPr>
        <w:t>《中华人民共和国职业病防治法》（中华人民共和国主席令第五十二号，2011年12月31日中华人民共和国第十一届全国人民代表大会常务委员会第二十四次会议《全国人民代表大会常务委员会关于修改〈中华人民共和国职业病防治法〉的决定》通过；2018年12月29日第十三届全国人民代表大会常务委员会第七次会议《关于修改等七部法律的决定》第四次修正，2018年12月30日起施行）。</w:t>
      </w:r>
    </w:p>
    <w:p w14:paraId="49E98179">
      <w:pPr>
        <w:pStyle w:val="5"/>
        <w:bidi w:val="0"/>
        <w:rPr>
          <w:rFonts w:hint="eastAsia" w:ascii="Times New Roman" w:hAnsi="Times New Roman"/>
          <w:color w:val="auto"/>
        </w:rPr>
      </w:pPr>
      <w:r>
        <w:rPr>
          <w:rFonts w:hint="eastAsia" w:ascii="Times New Roman" w:hAnsi="Times New Roman"/>
          <w:color w:val="auto"/>
        </w:rPr>
        <w:t>1.2.</w:t>
      </w:r>
      <w:r>
        <w:rPr>
          <w:rFonts w:hint="eastAsia" w:ascii="Times New Roman" w:hAnsi="Times New Roman"/>
          <w:color w:val="auto"/>
          <w:lang w:val="en-US" w:eastAsia="zh-CN"/>
        </w:rPr>
        <w:t>1.</w:t>
      </w:r>
      <w:r>
        <w:rPr>
          <w:rFonts w:hint="eastAsia" w:ascii="Times New Roman" w:hAnsi="Times New Roman"/>
          <w:color w:val="auto"/>
        </w:rPr>
        <w:t>2 行政法规</w:t>
      </w:r>
    </w:p>
    <w:p w14:paraId="57EBD924">
      <w:pPr>
        <w:bidi w:val="0"/>
        <w:rPr>
          <w:rFonts w:hint="eastAsia" w:ascii="Times New Roman" w:hAnsi="Times New Roman"/>
          <w:color w:val="auto"/>
        </w:rPr>
      </w:pPr>
      <w:r>
        <w:rPr>
          <w:rFonts w:hint="eastAsia" w:ascii="Times New Roman" w:hAnsi="Times New Roman"/>
          <w:color w:val="auto"/>
        </w:rPr>
        <w:t>1</w:t>
      </w:r>
      <w:r>
        <w:rPr>
          <w:rFonts w:hint="eastAsia" w:ascii="Times New Roman" w:hAnsi="Times New Roman"/>
          <w:color w:val="auto"/>
          <w:lang w:eastAsia="zh-CN"/>
        </w:rPr>
        <w:t>、</w:t>
      </w:r>
      <w:r>
        <w:rPr>
          <w:rFonts w:hint="eastAsia" w:ascii="Times New Roman" w:hAnsi="Times New Roman"/>
          <w:color w:val="auto"/>
        </w:rPr>
        <w:t>《中华人民共和国矿山安全法实施条例》（中华人民共和国劳动部令第4号，1996年10月30日施行）；</w:t>
      </w:r>
    </w:p>
    <w:p w14:paraId="0C2F536A">
      <w:pPr>
        <w:bidi w:val="0"/>
        <w:rPr>
          <w:rFonts w:hint="eastAsia"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《建设工程安全生产管理条例》（中华人民共和国国务院令第393号，2003年11月12日国务院第28次常务会议通过，自2004年2月1日起施行）；</w:t>
      </w:r>
    </w:p>
    <w:p w14:paraId="1FBDE805">
      <w:pPr>
        <w:bidi w:val="0"/>
        <w:rPr>
          <w:rFonts w:hint="eastAsia"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《地质灾害防治条例》（中华人民共和国国务院令第394号，自2004年3月1日起施行）；</w:t>
      </w:r>
    </w:p>
    <w:p w14:paraId="189D7EA3">
      <w:pPr>
        <w:bidi w:val="0"/>
        <w:rPr>
          <w:rFonts w:hint="eastAsia" w:ascii="Times New Roman" w:hAnsi="Times New Roman"/>
          <w:color w:val="auto"/>
        </w:rPr>
      </w:pPr>
      <w:r>
        <w:rPr>
          <w:rFonts w:hint="eastAsia" w:ascii="Times New Roman" w:hAnsi="Times New Roman"/>
          <w:color w:val="auto"/>
        </w:rPr>
        <w:t>4</w:t>
      </w:r>
      <w:r>
        <w:rPr>
          <w:rFonts w:hint="eastAsia" w:ascii="Times New Roman" w:hAnsi="Times New Roman"/>
          <w:color w:val="auto"/>
          <w:lang w:eastAsia="zh-CN"/>
        </w:rPr>
        <w:t>、</w:t>
      </w:r>
      <w:r>
        <w:rPr>
          <w:rFonts w:hint="eastAsia" w:ascii="Times New Roman" w:hAnsi="Times New Roman"/>
          <w:color w:val="auto"/>
        </w:rPr>
        <w:t>《生产安全事故报告和调查处理条例》（中华人民共和国国务院令第493号，2007年6月1日起施行）；</w:t>
      </w:r>
    </w:p>
    <w:p w14:paraId="61E5E1D3">
      <w:pPr>
        <w:bidi w:val="0"/>
        <w:rPr>
          <w:rFonts w:hint="eastAsia" w:ascii="Times New Roman" w:hAnsi="Times New Roman"/>
          <w:color w:val="auto"/>
        </w:rPr>
      </w:pPr>
      <w:r>
        <w:rPr>
          <w:rFonts w:hint="eastAsia" w:ascii="Times New Roman" w:hAnsi="Times New Roman"/>
          <w:color w:val="auto"/>
        </w:rPr>
        <w:t>5</w:t>
      </w:r>
      <w:r>
        <w:rPr>
          <w:rFonts w:hint="eastAsia" w:ascii="Times New Roman" w:hAnsi="Times New Roman"/>
          <w:color w:val="auto"/>
          <w:lang w:eastAsia="zh-CN"/>
        </w:rPr>
        <w:t>、</w:t>
      </w:r>
      <w:r>
        <w:rPr>
          <w:rFonts w:hint="eastAsia" w:ascii="Times New Roman" w:hAnsi="Times New Roman"/>
          <w:color w:val="auto"/>
        </w:rPr>
        <w:t>《特种设备安全监察条例》（中华人民共和国国务院令第549号修订，2009年5月1日起施行）；</w:t>
      </w:r>
    </w:p>
    <w:p w14:paraId="2CD8A4FA">
      <w:pPr>
        <w:bidi w:val="0"/>
        <w:rPr>
          <w:rFonts w:hint="eastAsia" w:ascii="Times New Roman" w:hAnsi="Times New Roman"/>
          <w:color w:val="auto"/>
        </w:rPr>
      </w:pPr>
      <w:r>
        <w:rPr>
          <w:rFonts w:hint="eastAsia" w:ascii="Times New Roman" w:hAnsi="Times New Roman"/>
          <w:color w:val="auto"/>
        </w:rPr>
        <w:t>6</w:t>
      </w:r>
      <w:r>
        <w:rPr>
          <w:rFonts w:hint="eastAsia" w:ascii="Times New Roman" w:hAnsi="Times New Roman"/>
          <w:color w:val="auto"/>
          <w:lang w:eastAsia="zh-CN"/>
        </w:rPr>
        <w:t>、</w:t>
      </w:r>
      <w:r>
        <w:rPr>
          <w:rFonts w:hint="eastAsia" w:ascii="Times New Roman" w:hAnsi="Times New Roman"/>
          <w:color w:val="auto"/>
        </w:rPr>
        <w:t>《工伤保险条例》（2003年4月27日中华人民共和国国务院令第375号公布根据2010年12月20日《国务院关于修改〈工伤保险条例〉的决定》修订）；</w:t>
      </w:r>
    </w:p>
    <w:p w14:paraId="63D6D4E5">
      <w:pPr>
        <w:bidi w:val="0"/>
        <w:rPr>
          <w:rFonts w:hint="eastAsia" w:ascii="Times New Roman" w:hAnsi="Times New Roman"/>
          <w:color w:val="auto"/>
        </w:rPr>
      </w:pPr>
      <w:r>
        <w:rPr>
          <w:rFonts w:hint="eastAsia" w:ascii="Times New Roman" w:hAnsi="Times New Roman"/>
          <w:color w:val="auto"/>
        </w:rPr>
        <w:t>7</w:t>
      </w:r>
      <w:r>
        <w:rPr>
          <w:rFonts w:hint="eastAsia" w:ascii="Times New Roman" w:hAnsi="Times New Roman"/>
          <w:color w:val="auto"/>
          <w:lang w:eastAsia="zh-CN"/>
        </w:rPr>
        <w:t>、</w:t>
      </w:r>
      <w:r>
        <w:rPr>
          <w:rFonts w:hint="eastAsia" w:ascii="Times New Roman" w:hAnsi="Times New Roman"/>
          <w:color w:val="auto"/>
        </w:rPr>
        <w:t>《安全生产许可证条例》（中华人民共和国国务院令397号，2004年1月13日中华人民共和国国务院令第397号公布；根据2014年7月29日《国务院关于修改部分行政法规的决定》修订，2014年7月29日起施行）；</w:t>
      </w:r>
    </w:p>
    <w:p w14:paraId="2FD6CAF4">
      <w:pPr>
        <w:bidi w:val="0"/>
        <w:rPr>
          <w:rFonts w:hint="eastAsia" w:ascii="Times New Roman" w:hAnsi="Times New Roman"/>
          <w:color w:val="auto"/>
        </w:rPr>
      </w:pPr>
      <w:r>
        <w:rPr>
          <w:rFonts w:hint="eastAsia" w:ascii="Times New Roman" w:hAnsi="Times New Roman"/>
          <w:color w:val="auto"/>
        </w:rPr>
        <w:t>8</w:t>
      </w:r>
      <w:r>
        <w:rPr>
          <w:rFonts w:hint="eastAsia" w:ascii="Times New Roman" w:hAnsi="Times New Roman"/>
          <w:color w:val="auto"/>
          <w:lang w:eastAsia="zh-CN"/>
        </w:rPr>
        <w:t>、</w:t>
      </w:r>
      <w:r>
        <w:rPr>
          <w:rFonts w:hint="eastAsia" w:ascii="Times New Roman" w:hAnsi="Times New Roman"/>
          <w:color w:val="auto"/>
        </w:rPr>
        <w:t>《生产安全事故应急条例》（中华人民共和国国务院令第708号，2019年4月1日起施行）。</w:t>
      </w:r>
    </w:p>
    <w:p w14:paraId="111F5C8F">
      <w:pPr>
        <w:pStyle w:val="5"/>
        <w:bidi w:val="0"/>
        <w:rPr>
          <w:rFonts w:hint="eastAsia" w:ascii="Times New Roman" w:hAnsi="Times New Roman"/>
          <w:color w:val="auto"/>
        </w:rPr>
      </w:pPr>
      <w:r>
        <w:rPr>
          <w:rFonts w:hint="eastAsia" w:ascii="Times New Roman" w:hAnsi="Times New Roman"/>
          <w:color w:val="auto"/>
        </w:rPr>
        <w:t>1.2</w:t>
      </w:r>
      <w:r>
        <w:rPr>
          <w:rFonts w:hint="eastAsia" w:ascii="Times New Roman" w:hAnsi="Times New Roman"/>
          <w:color w:val="auto"/>
          <w:lang w:val="en-US" w:eastAsia="zh-CN"/>
        </w:rPr>
        <w:t>.1</w:t>
      </w:r>
      <w:r>
        <w:rPr>
          <w:rFonts w:hint="eastAsia" w:ascii="Times New Roman" w:hAnsi="Times New Roman"/>
          <w:color w:val="auto"/>
        </w:rPr>
        <w:t>.3</w:t>
      </w:r>
      <w:r>
        <w:rPr>
          <w:rFonts w:hint="eastAsia" w:ascii="Times New Roman" w:hAnsi="Times New Roman"/>
          <w:color w:val="auto"/>
          <w:lang w:val="en-US" w:eastAsia="zh-CN"/>
        </w:rPr>
        <w:t xml:space="preserve"> </w:t>
      </w:r>
      <w:r>
        <w:rPr>
          <w:rFonts w:hint="eastAsia" w:ascii="Times New Roman" w:hAnsi="Times New Roman"/>
          <w:color w:val="auto"/>
        </w:rPr>
        <w:t>部门规章及政府规范性文件</w:t>
      </w:r>
    </w:p>
    <w:p w14:paraId="53D7099A">
      <w:pPr>
        <w:bidi w:val="0"/>
        <w:rPr>
          <w:rFonts w:hint="eastAsia" w:ascii="Times New Roman" w:hAnsi="Times New Roman"/>
          <w:color w:val="auto"/>
        </w:rPr>
      </w:pPr>
      <w:r>
        <w:rPr>
          <w:rFonts w:hint="eastAsia" w:ascii="Times New Roman" w:hAnsi="Times New Roman"/>
          <w:color w:val="auto"/>
        </w:rPr>
        <w:t>1</w:t>
      </w:r>
      <w:r>
        <w:rPr>
          <w:rFonts w:hint="eastAsia" w:ascii="Times New Roman" w:hAnsi="Times New Roman"/>
          <w:color w:val="auto"/>
          <w:lang w:eastAsia="zh-CN"/>
        </w:rPr>
        <w:t>、</w:t>
      </w:r>
      <w:r>
        <w:rPr>
          <w:rFonts w:hint="eastAsia" w:ascii="Times New Roman" w:hAnsi="Times New Roman"/>
          <w:color w:val="auto"/>
        </w:rPr>
        <w:t>《生产安全事故信息报告和处置办法》（原国家安全生产监督管理总局令第21号，2009年7月1日实施）；</w:t>
      </w:r>
    </w:p>
    <w:p w14:paraId="57BDB201">
      <w:pPr>
        <w:bidi w:val="0"/>
        <w:rPr>
          <w:rFonts w:hint="eastAsia"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《企业安全生产费用提取和使用管理办法》（财资〔2022〕136号，2022年11月21日实施）；</w:t>
      </w:r>
    </w:p>
    <w:p w14:paraId="12F9F123">
      <w:pPr>
        <w:bidi w:val="0"/>
        <w:rPr>
          <w:rFonts w:hint="eastAsia"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《国家安全监管总局关于修改&lt;生产安全事故报告和调查处理条例&gt;罚款处罚暂行规定》等四部规章的决定（原国家安全生产监督管理总局令第77号，2015年5月1日实施）；</w:t>
      </w:r>
    </w:p>
    <w:p w14:paraId="24A2366B">
      <w:pPr>
        <w:bidi w:val="0"/>
        <w:rPr>
          <w:rFonts w:hint="eastAsia" w:ascii="Times New Roman" w:hAnsi="Times New Roman"/>
          <w:color w:val="auto"/>
        </w:rPr>
      </w:pPr>
      <w:r>
        <w:rPr>
          <w:rFonts w:hint="eastAsia" w:ascii="Times New Roman" w:hAnsi="Times New Roman"/>
          <w:color w:val="auto"/>
        </w:rPr>
        <w:t>4</w:t>
      </w:r>
      <w:r>
        <w:rPr>
          <w:rFonts w:hint="eastAsia" w:ascii="Times New Roman" w:hAnsi="Times New Roman"/>
          <w:color w:val="auto"/>
          <w:lang w:eastAsia="zh-CN"/>
        </w:rPr>
        <w:t>、</w:t>
      </w:r>
      <w:r>
        <w:rPr>
          <w:rFonts w:hint="eastAsia" w:ascii="Times New Roman" w:hAnsi="Times New Roman"/>
          <w:color w:val="auto"/>
        </w:rPr>
        <w:t>《非煤矿矿山企业安全生产许可证实施办法》（原国家安全生产监督管理总局第20号令，自2009年6月8日起实施；原国家安全生产监管总局令第78号《国家安全监管总局关于废止和修改非煤矿矿山领域九部规章的决定》修正，自2015年7月1日起实施）；</w:t>
      </w:r>
    </w:p>
    <w:p w14:paraId="7345DB46">
      <w:pPr>
        <w:bidi w:val="0"/>
        <w:rPr>
          <w:rFonts w:hint="eastAsia" w:ascii="Times New Roman" w:hAnsi="Times New Roman"/>
          <w:color w:val="auto"/>
        </w:rPr>
      </w:pPr>
      <w:r>
        <w:rPr>
          <w:rFonts w:hint="eastAsia" w:ascii="Times New Roman" w:hAnsi="Times New Roman"/>
          <w:color w:val="auto"/>
        </w:rPr>
        <w:t>5</w:t>
      </w:r>
      <w:r>
        <w:rPr>
          <w:rFonts w:hint="eastAsia" w:ascii="Times New Roman" w:hAnsi="Times New Roman"/>
          <w:color w:val="auto"/>
          <w:lang w:eastAsia="zh-CN"/>
        </w:rPr>
        <w:t>、</w:t>
      </w:r>
      <w:r>
        <w:rPr>
          <w:rFonts w:hint="eastAsia" w:ascii="Times New Roman" w:hAnsi="Times New Roman"/>
          <w:color w:val="auto"/>
        </w:rPr>
        <w:t>《建设项目安全设施</w:t>
      </w:r>
      <w:r>
        <w:rPr>
          <w:rFonts w:hint="eastAsia" w:ascii="Times New Roman" w:hAnsi="Times New Roman"/>
          <w:color w:val="auto"/>
          <w:lang w:eastAsia="zh-CN"/>
        </w:rPr>
        <w:t>“</w:t>
      </w:r>
      <w:r>
        <w:rPr>
          <w:rFonts w:hint="eastAsia" w:ascii="Times New Roman" w:hAnsi="Times New Roman"/>
          <w:color w:val="auto"/>
        </w:rPr>
        <w:t>三同时</w:t>
      </w:r>
      <w:r>
        <w:rPr>
          <w:rFonts w:hint="eastAsia" w:ascii="Times New Roman" w:hAnsi="Times New Roman"/>
          <w:color w:val="auto"/>
          <w:lang w:eastAsia="zh-CN"/>
        </w:rPr>
        <w:t>”</w:t>
      </w:r>
      <w:r>
        <w:rPr>
          <w:rFonts w:hint="eastAsia" w:ascii="Times New Roman" w:hAnsi="Times New Roman"/>
          <w:color w:val="auto"/>
        </w:rPr>
        <w:t>监督管理办法》（原国家安全生产监督管理总局令第36号，原国家安全生产监督管理总局令第77号修正，自2015年5月1日起施行）；</w:t>
      </w:r>
    </w:p>
    <w:p w14:paraId="12E61F93">
      <w:pPr>
        <w:bidi w:val="0"/>
        <w:rPr>
          <w:rFonts w:hint="eastAsia" w:ascii="Times New Roman" w:hAnsi="Times New Roman"/>
          <w:color w:val="auto"/>
        </w:rPr>
      </w:pPr>
      <w:r>
        <w:rPr>
          <w:rFonts w:hint="eastAsia" w:ascii="Times New Roman" w:hAnsi="Times New Roman"/>
          <w:color w:val="auto"/>
        </w:rPr>
        <w:t>6</w:t>
      </w:r>
      <w:r>
        <w:rPr>
          <w:rFonts w:hint="eastAsia" w:ascii="Times New Roman" w:hAnsi="Times New Roman"/>
          <w:color w:val="auto"/>
          <w:lang w:eastAsia="zh-CN"/>
        </w:rPr>
        <w:t>、</w:t>
      </w:r>
      <w:r>
        <w:rPr>
          <w:rFonts w:hint="eastAsia" w:ascii="Times New Roman" w:hAnsi="Times New Roman"/>
          <w:color w:val="auto"/>
        </w:rPr>
        <w:t>《国家安全监管总局&lt;关于发布金属非金属矿山禁止使用的设备及工艺目录（第二批）&gt;的通知》（原安监总管13号，2015年2月13日）；</w:t>
      </w:r>
    </w:p>
    <w:p w14:paraId="43443A88">
      <w:pPr>
        <w:bidi w:val="0"/>
        <w:rPr>
          <w:rFonts w:hint="eastAsia" w:ascii="Times New Roman" w:hAnsi="Times New Roman"/>
          <w:color w:val="auto"/>
        </w:rPr>
      </w:pPr>
      <w:r>
        <w:rPr>
          <w:rFonts w:hint="eastAsia" w:ascii="Times New Roman" w:hAnsi="Times New Roman"/>
          <w:color w:val="auto"/>
        </w:rPr>
        <w:t>7</w:t>
      </w:r>
      <w:r>
        <w:rPr>
          <w:rFonts w:hint="eastAsia" w:ascii="Times New Roman" w:hAnsi="Times New Roman"/>
          <w:color w:val="auto"/>
          <w:lang w:eastAsia="zh-CN"/>
        </w:rPr>
        <w:t>、</w:t>
      </w:r>
      <w:r>
        <w:rPr>
          <w:rFonts w:hint="eastAsia" w:ascii="Times New Roman" w:hAnsi="Times New Roman"/>
          <w:color w:val="auto"/>
        </w:rPr>
        <w:t>《特种作业人员安全技术培训考核管理规定》（2010年5月24日，原国家安全生产监督管理总局令第30号公布，自2010年7月1日起施行；根据2013年8月29日原国家安全生产监督管理总局令第63号第一次修正，2015年5月29日原国家安全生产监督管理总局令第80号第二次修正）；</w:t>
      </w:r>
    </w:p>
    <w:p w14:paraId="6B043830">
      <w:pPr>
        <w:bidi w:val="0"/>
        <w:rPr>
          <w:rFonts w:hint="eastAsia" w:ascii="Times New Roman" w:hAnsi="Times New Roman"/>
          <w:color w:val="auto"/>
        </w:rPr>
      </w:pPr>
      <w:r>
        <w:rPr>
          <w:rFonts w:hint="eastAsia" w:ascii="Times New Roman" w:hAnsi="Times New Roman"/>
          <w:color w:val="auto"/>
        </w:rPr>
        <w:t>8</w:t>
      </w:r>
      <w:r>
        <w:rPr>
          <w:rFonts w:hint="eastAsia" w:ascii="Times New Roman" w:hAnsi="Times New Roman"/>
          <w:color w:val="auto"/>
          <w:lang w:eastAsia="zh-CN"/>
        </w:rPr>
        <w:t>、</w:t>
      </w:r>
      <w:r>
        <w:rPr>
          <w:rFonts w:hint="eastAsia" w:ascii="Times New Roman" w:hAnsi="Times New Roman"/>
          <w:color w:val="auto"/>
        </w:rPr>
        <w:t>《安全生产培训管理办法》（原国家安全生产监督管理总局令第44号，原国家安全生产监督管理总局令第80号修正，2015年7月1日起施行）；</w:t>
      </w:r>
    </w:p>
    <w:p w14:paraId="51FABC64">
      <w:pPr>
        <w:bidi w:val="0"/>
        <w:rPr>
          <w:rFonts w:hint="eastAsia" w:ascii="Times New Roman" w:hAnsi="Times New Roman"/>
          <w:color w:val="auto"/>
        </w:rPr>
      </w:pPr>
      <w:r>
        <w:rPr>
          <w:rFonts w:hint="eastAsia" w:ascii="Times New Roman" w:hAnsi="Times New Roman"/>
          <w:color w:val="auto"/>
        </w:rPr>
        <w:t>9</w:t>
      </w:r>
      <w:r>
        <w:rPr>
          <w:rFonts w:hint="eastAsia" w:ascii="Times New Roman" w:hAnsi="Times New Roman"/>
          <w:color w:val="auto"/>
          <w:lang w:eastAsia="zh-CN"/>
        </w:rPr>
        <w:t>、</w:t>
      </w:r>
      <w:r>
        <w:rPr>
          <w:rFonts w:hint="eastAsia" w:ascii="Times New Roman" w:hAnsi="Times New Roman"/>
          <w:color w:val="auto"/>
        </w:rPr>
        <w:t>《国家安全监管总局关于废止和修改劳动防护用品和安全培训等领域十部规章的决定》（原国家安全生产监督管理总局令第80号，2015年7月1日起施行）；</w:t>
      </w:r>
    </w:p>
    <w:p w14:paraId="7F737D5B">
      <w:pPr>
        <w:bidi w:val="0"/>
        <w:rPr>
          <w:rFonts w:hint="eastAsia" w:ascii="Times New Roman" w:hAnsi="Times New Roman"/>
          <w:color w:val="auto"/>
        </w:rPr>
      </w:pPr>
      <w:r>
        <w:rPr>
          <w:rFonts w:hint="eastAsia" w:ascii="Times New Roman" w:hAnsi="Times New Roman"/>
          <w:color w:val="auto"/>
        </w:rPr>
        <w:t>10</w:t>
      </w:r>
      <w:r>
        <w:rPr>
          <w:rFonts w:hint="eastAsia" w:ascii="Times New Roman" w:hAnsi="Times New Roman"/>
          <w:color w:val="auto"/>
          <w:lang w:eastAsia="zh-CN"/>
        </w:rPr>
        <w:t>、</w:t>
      </w:r>
      <w:r>
        <w:rPr>
          <w:rFonts w:hint="eastAsia" w:ascii="Times New Roman" w:hAnsi="Times New Roman"/>
          <w:color w:val="auto"/>
        </w:rPr>
        <w:t>《金属非金属矿山建设项目安全设施目录（试行）》（原安监总管—〔2015〕75号，2015年7月1日起施行）；</w:t>
      </w:r>
    </w:p>
    <w:p w14:paraId="7A152C35">
      <w:pPr>
        <w:bidi w:val="0"/>
        <w:rPr>
          <w:rFonts w:hint="eastAsia" w:ascii="Times New Roman" w:hAnsi="Times New Roman"/>
          <w:color w:val="auto"/>
        </w:rPr>
      </w:pPr>
      <w:r>
        <w:rPr>
          <w:rFonts w:hint="eastAsia" w:ascii="Times New Roman" w:hAnsi="Times New Roman"/>
          <w:color w:val="auto"/>
        </w:rPr>
        <w:t>11</w:t>
      </w:r>
      <w:r>
        <w:rPr>
          <w:rFonts w:hint="eastAsia" w:ascii="Times New Roman" w:hAnsi="Times New Roman"/>
          <w:color w:val="auto"/>
          <w:lang w:eastAsia="zh-CN"/>
        </w:rPr>
        <w:t>、</w:t>
      </w:r>
      <w:r>
        <w:rPr>
          <w:rFonts w:hint="eastAsia" w:ascii="Times New Roman" w:hAnsi="Times New Roman"/>
          <w:color w:val="auto"/>
        </w:rPr>
        <w:t>《国家安全监管总局关于印发金属非金属矿山建设项目安全设施设计重大变更范围的通知》（矿安〔2023〕147号，2023年11月14日施行）；</w:t>
      </w:r>
    </w:p>
    <w:p w14:paraId="03A5FFD9">
      <w:pPr>
        <w:bidi w:val="0"/>
        <w:rPr>
          <w:rFonts w:hint="eastAsia" w:ascii="Times New Roman" w:hAnsi="Times New Roman"/>
          <w:color w:val="auto"/>
        </w:rPr>
      </w:pPr>
      <w:r>
        <w:rPr>
          <w:rFonts w:hint="eastAsia" w:ascii="Times New Roman" w:hAnsi="Times New Roman"/>
          <w:color w:val="auto"/>
        </w:rPr>
        <w:t>12</w:t>
      </w:r>
      <w:r>
        <w:rPr>
          <w:rFonts w:hint="eastAsia" w:ascii="Times New Roman" w:hAnsi="Times New Roman"/>
          <w:color w:val="auto"/>
          <w:lang w:eastAsia="zh-CN"/>
        </w:rPr>
        <w:t>、</w:t>
      </w:r>
      <w:r>
        <w:rPr>
          <w:rFonts w:hint="eastAsia" w:ascii="Times New Roman" w:hAnsi="Times New Roman"/>
          <w:color w:val="auto"/>
        </w:rPr>
        <w:t>《国家安全监管总局关于印发金属非金属矿山建设项目安全评价报告编写提纲的通知》（安监总管一〔2016〕第49号）附件《金属非金属露天矿山建设项目安全预评价报告编写提纲，2016年5月30日》；</w:t>
      </w:r>
    </w:p>
    <w:p w14:paraId="6F47CCD8">
      <w:pPr>
        <w:bidi w:val="0"/>
        <w:rPr>
          <w:rFonts w:hint="eastAsia" w:ascii="Times New Roman" w:hAnsi="Times New Roman"/>
          <w:color w:val="auto"/>
        </w:rPr>
      </w:pPr>
      <w:r>
        <w:rPr>
          <w:rFonts w:hint="eastAsia" w:ascii="Times New Roman" w:hAnsi="Times New Roman"/>
          <w:color w:val="auto"/>
        </w:rPr>
        <w:t>13</w:t>
      </w:r>
      <w:r>
        <w:rPr>
          <w:rFonts w:hint="eastAsia" w:ascii="Times New Roman" w:hAnsi="Times New Roman"/>
          <w:color w:val="auto"/>
          <w:lang w:eastAsia="zh-CN"/>
        </w:rPr>
        <w:t>、</w:t>
      </w:r>
      <w:r>
        <w:rPr>
          <w:rFonts w:hint="eastAsia" w:ascii="Times New Roman" w:hAnsi="Times New Roman"/>
          <w:color w:val="auto"/>
        </w:rPr>
        <w:t>《国家安全监管总局关于印发非煤矿山领域遏制重特大事故工作方案的通知》（原安监总管一〔2016〕60号，2016年5月27日）；</w:t>
      </w:r>
    </w:p>
    <w:p w14:paraId="18D80FF9">
      <w:pPr>
        <w:bidi w:val="0"/>
        <w:rPr>
          <w:rFonts w:hint="eastAsia" w:ascii="Times New Roman" w:hAnsi="Times New Roman"/>
          <w:color w:val="auto"/>
        </w:rPr>
      </w:pPr>
      <w:r>
        <w:rPr>
          <w:rFonts w:hint="eastAsia" w:ascii="Times New Roman" w:hAnsi="Times New Roman"/>
          <w:color w:val="auto"/>
        </w:rPr>
        <w:t>14</w:t>
      </w:r>
      <w:r>
        <w:rPr>
          <w:rFonts w:hint="eastAsia" w:ascii="Times New Roman" w:hAnsi="Times New Roman"/>
          <w:color w:val="auto"/>
          <w:lang w:eastAsia="zh-CN"/>
        </w:rPr>
        <w:t>、</w:t>
      </w:r>
      <w:r>
        <w:rPr>
          <w:rFonts w:hint="eastAsia" w:ascii="Times New Roman" w:hAnsi="Times New Roman"/>
          <w:color w:val="auto"/>
        </w:rPr>
        <w:t>《用人单位劳动防护用品管理规范》（原安监总厅安健〔2018〕3号，自2018年1月15日起施行）；</w:t>
      </w:r>
    </w:p>
    <w:p w14:paraId="273830BA">
      <w:pPr>
        <w:bidi w:val="0"/>
        <w:rPr>
          <w:rFonts w:hint="eastAsia" w:ascii="Times New Roman" w:hAnsi="Times New Roman"/>
          <w:color w:val="auto"/>
        </w:rPr>
      </w:pPr>
      <w:r>
        <w:rPr>
          <w:rFonts w:hint="eastAsia" w:ascii="Times New Roman" w:hAnsi="Times New Roman"/>
          <w:color w:val="auto"/>
        </w:rPr>
        <w:t>15</w:t>
      </w:r>
      <w:r>
        <w:rPr>
          <w:rFonts w:hint="eastAsia" w:ascii="Times New Roman" w:hAnsi="Times New Roman"/>
          <w:color w:val="auto"/>
          <w:lang w:eastAsia="zh-CN"/>
        </w:rPr>
        <w:t>、</w:t>
      </w:r>
      <w:r>
        <w:rPr>
          <w:rFonts w:hint="eastAsia" w:ascii="Times New Roman" w:hAnsi="Times New Roman"/>
          <w:color w:val="auto"/>
        </w:rPr>
        <w:t>《安全生产责任保险实施办法》（应急〔2025〕27号，2025年3月29日起施行）；</w:t>
      </w:r>
    </w:p>
    <w:p w14:paraId="43B3F827">
      <w:pPr>
        <w:bidi w:val="0"/>
        <w:rPr>
          <w:rFonts w:hint="eastAsia" w:ascii="Times New Roman" w:hAnsi="Times New Roman"/>
          <w:color w:val="auto"/>
        </w:rPr>
      </w:pPr>
      <w:r>
        <w:rPr>
          <w:rFonts w:hint="eastAsia" w:ascii="Times New Roman" w:hAnsi="Times New Roman"/>
          <w:color w:val="auto"/>
        </w:rPr>
        <w:t>16</w:t>
      </w:r>
      <w:r>
        <w:rPr>
          <w:rFonts w:hint="eastAsia" w:ascii="Times New Roman" w:hAnsi="Times New Roman"/>
          <w:color w:val="auto"/>
          <w:lang w:eastAsia="zh-CN"/>
        </w:rPr>
        <w:t>、</w:t>
      </w:r>
      <w:r>
        <w:rPr>
          <w:rFonts w:hint="eastAsia" w:ascii="Times New Roman" w:hAnsi="Times New Roman"/>
          <w:color w:val="auto"/>
        </w:rPr>
        <w:t>《生产安全事故应急预案管理办法》（2016年6月3日原国家安全生产监督管理总局令第88号公布，自2016年7月1日起施行；根据2019年7月11日应急管理部令第2号修正，2019年9月1日施行）；</w:t>
      </w:r>
    </w:p>
    <w:p w14:paraId="747168E9">
      <w:pPr>
        <w:bidi w:val="0"/>
        <w:rPr>
          <w:rFonts w:hint="eastAsia" w:ascii="Times New Roman" w:hAnsi="Times New Roman"/>
          <w:color w:val="auto"/>
        </w:rPr>
      </w:pPr>
      <w:r>
        <w:rPr>
          <w:rFonts w:hint="eastAsia" w:ascii="Times New Roman" w:hAnsi="Times New Roman"/>
          <w:color w:val="auto"/>
        </w:rPr>
        <w:t>17</w:t>
      </w:r>
      <w:r>
        <w:rPr>
          <w:rFonts w:hint="eastAsia" w:ascii="Times New Roman" w:hAnsi="Times New Roman"/>
          <w:color w:val="auto"/>
          <w:lang w:eastAsia="zh-CN"/>
        </w:rPr>
        <w:t>、</w:t>
      </w:r>
      <w:r>
        <w:rPr>
          <w:rFonts w:hint="eastAsia" w:ascii="Times New Roman" w:hAnsi="Times New Roman"/>
          <w:color w:val="auto"/>
        </w:rPr>
        <w:t>《国家矿山安全监察局关于印发〈关于加强非煤矿山安全生产工作的指导意见》（矿安〔2022〕4号，自2022年2月8日起实施）；</w:t>
      </w:r>
    </w:p>
    <w:p w14:paraId="52ED6524">
      <w:pPr>
        <w:bidi w:val="0"/>
        <w:rPr>
          <w:rFonts w:hint="eastAsia" w:ascii="Times New Roman" w:hAnsi="Times New Roman"/>
          <w:color w:val="auto"/>
        </w:rPr>
      </w:pPr>
      <w:r>
        <w:rPr>
          <w:rFonts w:hint="eastAsia" w:ascii="Times New Roman" w:hAnsi="Times New Roman"/>
          <w:color w:val="auto"/>
        </w:rPr>
        <w:t>18</w:t>
      </w:r>
      <w:r>
        <w:rPr>
          <w:rFonts w:hint="eastAsia" w:ascii="Times New Roman" w:hAnsi="Times New Roman"/>
          <w:color w:val="auto"/>
          <w:lang w:eastAsia="zh-CN"/>
        </w:rPr>
        <w:t>、</w:t>
      </w:r>
      <w:r>
        <w:rPr>
          <w:rFonts w:hint="eastAsia" w:ascii="Times New Roman" w:hAnsi="Times New Roman"/>
          <w:color w:val="auto"/>
        </w:rPr>
        <w:t>《国家矿山安全监察局关于印发&lt;金属非金属矿山重大事故隐患判定标准&gt;的通知》（矿安〔2022〕88号，自2022年9月1日起施行）；</w:t>
      </w:r>
    </w:p>
    <w:p w14:paraId="7A95AF0D">
      <w:pPr>
        <w:bidi w:val="0"/>
        <w:rPr>
          <w:rFonts w:hint="eastAsia" w:ascii="Times New Roman" w:hAnsi="Times New Roman"/>
          <w:color w:val="auto"/>
        </w:rPr>
      </w:pPr>
      <w:r>
        <w:rPr>
          <w:rFonts w:hint="eastAsia" w:ascii="Times New Roman" w:hAnsi="Times New Roman"/>
          <w:color w:val="auto"/>
        </w:rPr>
        <w:t>19</w:t>
      </w:r>
      <w:r>
        <w:rPr>
          <w:rFonts w:hint="eastAsia" w:ascii="Times New Roman" w:hAnsi="Times New Roman"/>
          <w:color w:val="auto"/>
          <w:lang w:eastAsia="zh-CN"/>
        </w:rPr>
        <w:t>、</w:t>
      </w:r>
      <w:r>
        <w:rPr>
          <w:rFonts w:hint="eastAsia" w:ascii="Times New Roman" w:hAnsi="Times New Roman"/>
          <w:color w:val="auto"/>
        </w:rPr>
        <w:t>《国家矿山安全监察局关于开展露天矿山安全生产专项整治的通知》（矿安〔2023〕16号，2023年2月27日施行）；</w:t>
      </w:r>
    </w:p>
    <w:p w14:paraId="67173EAA">
      <w:pPr>
        <w:bidi w:val="0"/>
        <w:rPr>
          <w:rFonts w:hint="eastAsia" w:ascii="Times New Roman" w:hAnsi="Times New Roman"/>
          <w:color w:val="auto"/>
        </w:rPr>
      </w:pPr>
      <w:r>
        <w:rPr>
          <w:rFonts w:hint="eastAsia" w:ascii="Times New Roman" w:hAnsi="Times New Roman"/>
          <w:color w:val="auto"/>
        </w:rPr>
        <w:t>20</w:t>
      </w:r>
      <w:r>
        <w:rPr>
          <w:rFonts w:hint="eastAsia" w:ascii="Times New Roman" w:hAnsi="Times New Roman"/>
          <w:color w:val="auto"/>
          <w:lang w:eastAsia="zh-CN"/>
        </w:rPr>
        <w:t>、</w:t>
      </w:r>
      <w:r>
        <w:rPr>
          <w:rFonts w:hint="eastAsia" w:ascii="Times New Roman" w:hAnsi="Times New Roman"/>
          <w:color w:val="auto"/>
        </w:rPr>
        <w:t>《中共中央办公厅 国务院办公厅关于进一步加强矿山安全生产工作的意见》（2023年8月25日）；</w:t>
      </w:r>
    </w:p>
    <w:p w14:paraId="2B27A407">
      <w:pPr>
        <w:bidi w:val="0"/>
        <w:rPr>
          <w:rFonts w:hint="eastAsia" w:ascii="Times New Roman" w:hAnsi="Times New Roman"/>
          <w:color w:val="auto"/>
        </w:rPr>
      </w:pPr>
      <w:r>
        <w:rPr>
          <w:rFonts w:hint="eastAsia" w:ascii="Times New Roman" w:hAnsi="Times New Roman"/>
          <w:color w:val="auto"/>
        </w:rPr>
        <w:t>21</w:t>
      </w:r>
      <w:r>
        <w:rPr>
          <w:rFonts w:hint="eastAsia" w:ascii="Times New Roman" w:hAnsi="Times New Roman"/>
          <w:color w:val="auto"/>
          <w:lang w:eastAsia="zh-CN"/>
        </w:rPr>
        <w:t>、</w:t>
      </w:r>
      <w:r>
        <w:rPr>
          <w:rFonts w:hint="eastAsia" w:ascii="Times New Roman" w:hAnsi="Times New Roman"/>
          <w:color w:val="auto"/>
        </w:rPr>
        <w:t>《国务院安委会办公室关于学习宣传贯彻&lt;中共中央办公厅 国务院办公厅关于进一步加强矿山安全生产工作的意见&gt;的通知》（安委办〔2023〕7号，2023年9月9日）；</w:t>
      </w:r>
    </w:p>
    <w:p w14:paraId="5EB43FBC">
      <w:pPr>
        <w:bidi w:val="0"/>
        <w:rPr>
          <w:rFonts w:hint="eastAsia" w:ascii="Times New Roman" w:hAnsi="Times New Roman"/>
          <w:color w:val="auto"/>
        </w:rPr>
      </w:pPr>
      <w:r>
        <w:rPr>
          <w:rFonts w:hint="eastAsia" w:ascii="Times New Roman" w:hAnsi="Times New Roman"/>
          <w:color w:val="auto"/>
        </w:rPr>
        <w:t>22</w:t>
      </w:r>
      <w:r>
        <w:rPr>
          <w:rFonts w:hint="eastAsia" w:ascii="Times New Roman" w:hAnsi="Times New Roman"/>
          <w:color w:val="auto"/>
          <w:lang w:eastAsia="zh-CN"/>
        </w:rPr>
        <w:t>、</w:t>
      </w:r>
      <w:r>
        <w:rPr>
          <w:rFonts w:hint="eastAsia" w:ascii="Times New Roman" w:hAnsi="Times New Roman"/>
          <w:color w:val="auto"/>
        </w:rPr>
        <w:t>《国务院安全生产委员会印发&lt;关于防范遏制矿山领域重特大生产安全事故的硬措施&gt;的通知》（安委〔2024〕1号，2024年1月16日施行）；</w:t>
      </w:r>
    </w:p>
    <w:p w14:paraId="79ACE9F0">
      <w:pPr>
        <w:bidi w:val="0"/>
        <w:rPr>
          <w:rFonts w:hint="eastAsia" w:ascii="Times New Roman" w:hAnsi="Times New Roman"/>
          <w:color w:val="auto"/>
        </w:rPr>
      </w:pPr>
      <w:r>
        <w:rPr>
          <w:rFonts w:hint="eastAsia" w:ascii="Times New Roman" w:hAnsi="Times New Roman"/>
          <w:color w:val="auto"/>
        </w:rPr>
        <w:t>23</w:t>
      </w:r>
      <w:r>
        <w:rPr>
          <w:rFonts w:hint="eastAsia" w:ascii="Times New Roman" w:hAnsi="Times New Roman"/>
          <w:color w:val="auto"/>
          <w:lang w:eastAsia="zh-CN"/>
        </w:rPr>
        <w:t>、</w:t>
      </w:r>
      <w:r>
        <w:rPr>
          <w:rFonts w:hint="eastAsia" w:ascii="Times New Roman" w:hAnsi="Times New Roman"/>
          <w:color w:val="auto"/>
        </w:rPr>
        <w:t>《国家矿山安全监察局关于印发&lt;金属非金属矿山重大事故隐患判定标准补充情形&gt;的通知》（矿安〔2024〕41号，2024年4月23日）；</w:t>
      </w:r>
    </w:p>
    <w:p w14:paraId="0E0C3D2C">
      <w:pPr>
        <w:bidi w:val="0"/>
        <w:rPr>
          <w:rFonts w:hint="eastAsia" w:ascii="Times New Roman" w:hAnsi="Times New Roman"/>
          <w:color w:val="auto"/>
        </w:rPr>
      </w:pPr>
      <w:r>
        <w:rPr>
          <w:rFonts w:hint="eastAsia" w:ascii="Times New Roman" w:hAnsi="Times New Roman"/>
          <w:color w:val="auto"/>
        </w:rPr>
        <w:t>24</w:t>
      </w:r>
      <w:r>
        <w:rPr>
          <w:rFonts w:hint="eastAsia" w:ascii="Times New Roman" w:hAnsi="Times New Roman"/>
          <w:color w:val="auto"/>
          <w:lang w:eastAsia="zh-CN"/>
        </w:rPr>
        <w:t>、</w:t>
      </w:r>
      <w:r>
        <w:rPr>
          <w:rFonts w:hint="eastAsia" w:ascii="Times New Roman" w:hAnsi="Times New Roman"/>
          <w:color w:val="auto"/>
        </w:rPr>
        <w:t>《国家矿山安全监察局关于进一步加强非煤矿山安全生产行政许可工作的通知》（矿安〔2024〕70号，2024年6月28日）；</w:t>
      </w:r>
    </w:p>
    <w:p w14:paraId="5E068A51">
      <w:pPr>
        <w:bidi w:val="0"/>
        <w:rPr>
          <w:rFonts w:hint="eastAsia" w:ascii="Times New Roman" w:hAnsi="Times New Roman"/>
          <w:color w:val="auto"/>
        </w:rPr>
      </w:pPr>
      <w:r>
        <w:rPr>
          <w:rFonts w:hint="eastAsia" w:ascii="Times New Roman" w:hAnsi="Times New Roman"/>
          <w:color w:val="auto"/>
        </w:rPr>
        <w:t>25</w:t>
      </w:r>
      <w:r>
        <w:rPr>
          <w:rFonts w:hint="eastAsia" w:ascii="Times New Roman" w:hAnsi="Times New Roman"/>
          <w:color w:val="auto"/>
          <w:lang w:eastAsia="zh-CN"/>
        </w:rPr>
        <w:t>、</w:t>
      </w:r>
      <w:r>
        <w:rPr>
          <w:rFonts w:hint="eastAsia" w:ascii="Times New Roman" w:hAnsi="Times New Roman"/>
          <w:color w:val="auto"/>
        </w:rPr>
        <w:t>《国家矿山安全监察局关于印发&lt;</w:t>
      </w:r>
      <w:r>
        <w:rPr>
          <w:rFonts w:hint="eastAsia" w:ascii="Times New Roman" w:hAnsi="Times New Roman"/>
          <w:color w:val="auto"/>
          <w:lang w:eastAsia="zh-CN"/>
        </w:rPr>
        <w:t>“</w:t>
      </w:r>
      <w:r>
        <w:rPr>
          <w:rFonts w:hint="eastAsia" w:ascii="Times New Roman" w:hAnsi="Times New Roman"/>
          <w:color w:val="auto"/>
        </w:rPr>
        <w:t>学铁规、明责任、硬落实、保安全</w:t>
      </w:r>
      <w:r>
        <w:rPr>
          <w:rFonts w:hint="eastAsia" w:ascii="Times New Roman" w:hAnsi="Times New Roman"/>
          <w:color w:val="auto"/>
          <w:lang w:eastAsia="zh-CN"/>
        </w:rPr>
        <w:t>”</w:t>
      </w:r>
      <w:r>
        <w:rPr>
          <w:rFonts w:hint="eastAsia" w:ascii="Times New Roman" w:hAnsi="Times New Roman"/>
          <w:color w:val="auto"/>
        </w:rPr>
        <w:t>专项活动方案&gt;的通知》（矿安〔2024〕72号，2024年7月14日）；</w:t>
      </w:r>
    </w:p>
    <w:p w14:paraId="42D73D7A">
      <w:pPr>
        <w:bidi w:val="0"/>
        <w:rPr>
          <w:rFonts w:hint="eastAsia" w:ascii="Times New Roman" w:hAnsi="Times New Roman"/>
          <w:color w:val="auto"/>
        </w:rPr>
      </w:pPr>
      <w:r>
        <w:rPr>
          <w:rFonts w:hint="eastAsia" w:ascii="Times New Roman" w:hAnsi="Times New Roman"/>
          <w:color w:val="auto"/>
        </w:rPr>
        <w:t>26</w:t>
      </w:r>
      <w:r>
        <w:rPr>
          <w:rFonts w:hint="eastAsia" w:ascii="Times New Roman" w:hAnsi="Times New Roman"/>
          <w:color w:val="auto"/>
          <w:lang w:eastAsia="zh-CN"/>
        </w:rPr>
        <w:t>、</w:t>
      </w:r>
      <w:r>
        <w:rPr>
          <w:rFonts w:hint="eastAsia" w:ascii="Times New Roman" w:hAnsi="Times New Roman"/>
          <w:color w:val="auto"/>
        </w:rPr>
        <w:t>国家矿山安全监察局关于印发《防范非煤矿山典型多发事故六十条措施》的通知（矿安〔2023〕124号，2023年09月13日）；</w:t>
      </w:r>
    </w:p>
    <w:p w14:paraId="31DA927D">
      <w:pPr>
        <w:bidi w:val="0"/>
        <w:rPr>
          <w:rFonts w:hint="eastAsia" w:ascii="Times New Roman" w:hAnsi="Times New Roman" w:eastAsia="宋体"/>
          <w:color w:val="auto"/>
          <w:lang w:eastAsia="zh-CN"/>
        </w:rPr>
      </w:pPr>
      <w:r>
        <w:rPr>
          <w:rFonts w:hint="eastAsia" w:ascii="Times New Roman" w:hAnsi="Times New Roman"/>
          <w:color w:val="auto"/>
        </w:rPr>
        <w:t>27</w:t>
      </w:r>
      <w:r>
        <w:rPr>
          <w:rFonts w:hint="eastAsia" w:ascii="Times New Roman" w:hAnsi="Times New Roman"/>
          <w:color w:val="auto"/>
          <w:lang w:eastAsia="zh-CN"/>
        </w:rPr>
        <w:t>、</w:t>
      </w:r>
      <w:r>
        <w:rPr>
          <w:rFonts w:hint="eastAsia" w:ascii="Times New Roman" w:hAnsi="Times New Roman"/>
          <w:color w:val="auto"/>
        </w:rPr>
        <w:t>《国家矿山安全监察局综合司关于明确矿山</w:t>
      </w:r>
      <w:r>
        <w:rPr>
          <w:rFonts w:hint="eastAsia" w:ascii="Times New Roman" w:hAnsi="Times New Roman"/>
          <w:color w:val="auto"/>
          <w:lang w:eastAsia="zh-CN"/>
        </w:rPr>
        <w:t>“</w:t>
      </w:r>
      <w:r>
        <w:rPr>
          <w:rFonts w:hint="eastAsia" w:ascii="Times New Roman" w:hAnsi="Times New Roman"/>
          <w:color w:val="auto"/>
        </w:rPr>
        <w:t>五职</w:t>
      </w:r>
      <w:r>
        <w:rPr>
          <w:rFonts w:hint="eastAsia" w:ascii="Times New Roman" w:hAnsi="Times New Roman"/>
          <w:color w:val="auto"/>
          <w:lang w:eastAsia="zh-CN"/>
        </w:rPr>
        <w:t>”</w:t>
      </w:r>
      <w:r>
        <w:rPr>
          <w:rFonts w:hint="eastAsia" w:ascii="Times New Roman" w:hAnsi="Times New Roman"/>
          <w:color w:val="auto"/>
        </w:rPr>
        <w:t>矿长和</w:t>
      </w:r>
      <w:r>
        <w:rPr>
          <w:rFonts w:hint="eastAsia" w:ascii="Times New Roman" w:hAnsi="Times New Roman"/>
          <w:color w:val="auto"/>
          <w:lang w:eastAsia="zh-CN"/>
        </w:rPr>
        <w:t>“</w:t>
      </w:r>
      <w:r>
        <w:rPr>
          <w:rFonts w:hint="eastAsia" w:ascii="Times New Roman" w:hAnsi="Times New Roman"/>
          <w:color w:val="auto"/>
        </w:rPr>
        <w:t>五科</w:t>
      </w:r>
      <w:r>
        <w:rPr>
          <w:rFonts w:hint="eastAsia" w:ascii="Times New Roman" w:hAnsi="Times New Roman"/>
          <w:color w:val="auto"/>
          <w:lang w:eastAsia="zh-CN"/>
        </w:rPr>
        <w:t>”</w:t>
      </w:r>
      <w:r>
        <w:rPr>
          <w:rFonts w:hint="eastAsia" w:ascii="Times New Roman" w:hAnsi="Times New Roman"/>
          <w:color w:val="auto"/>
        </w:rPr>
        <w:t>相关人员范围及相关要求的通知》（矿安综〔2025〕12号，2025年7月1日）</w:t>
      </w:r>
      <w:r>
        <w:rPr>
          <w:rFonts w:hint="eastAsia" w:ascii="Times New Roman" w:hAnsi="Times New Roman"/>
          <w:color w:val="auto"/>
          <w:lang w:eastAsia="zh-CN"/>
        </w:rPr>
        <w:t>；</w:t>
      </w:r>
    </w:p>
    <w:p w14:paraId="4DD376B2">
      <w:pPr>
        <w:bidi w:val="0"/>
        <w:rPr>
          <w:rFonts w:hint="eastAsia" w:ascii="Times New Roman" w:hAnsi="Times New Roman"/>
          <w:color w:val="auto"/>
        </w:rPr>
      </w:pPr>
      <w:r>
        <w:rPr>
          <w:rFonts w:hint="eastAsia" w:ascii="Times New Roman" w:hAnsi="Times New Roman"/>
          <w:color w:val="auto"/>
          <w:lang w:val="en-US" w:eastAsia="zh-CN"/>
        </w:rPr>
        <w:t>28、</w:t>
      </w:r>
      <w:r>
        <w:rPr>
          <w:rFonts w:hint="eastAsia" w:ascii="Times New Roman" w:hAnsi="Times New Roman"/>
          <w:color w:val="auto"/>
        </w:rPr>
        <w:t>《中华人民共和国应急管理部令 第16号 矿山救援规程》（2024年4月15日应急管理部第12次部务会议审议通过，自2024年7月1日起施行）。</w:t>
      </w:r>
    </w:p>
    <w:p w14:paraId="262654E2">
      <w:pPr>
        <w:pStyle w:val="5"/>
        <w:bidi w:val="0"/>
        <w:rPr>
          <w:rFonts w:hint="eastAsia" w:ascii="Times New Roman" w:hAnsi="Times New Roman"/>
          <w:color w:val="auto"/>
        </w:rPr>
      </w:pPr>
      <w:r>
        <w:rPr>
          <w:rFonts w:hint="eastAsia" w:ascii="Times New Roman" w:hAnsi="Times New Roman"/>
          <w:color w:val="auto"/>
        </w:rPr>
        <w:t>1.2</w:t>
      </w:r>
      <w:r>
        <w:rPr>
          <w:rFonts w:hint="eastAsia" w:ascii="Times New Roman" w:hAnsi="Times New Roman"/>
          <w:color w:val="auto"/>
          <w:lang w:val="en-US" w:eastAsia="zh-CN"/>
        </w:rPr>
        <w:t>.1</w:t>
      </w:r>
      <w:r>
        <w:rPr>
          <w:rFonts w:hint="eastAsia" w:ascii="Times New Roman" w:hAnsi="Times New Roman"/>
          <w:color w:val="auto"/>
        </w:rPr>
        <w:t>.4</w:t>
      </w:r>
      <w:r>
        <w:rPr>
          <w:rFonts w:hint="eastAsia" w:ascii="Times New Roman" w:hAnsi="Times New Roman"/>
          <w:color w:val="auto"/>
          <w:lang w:val="en-US" w:eastAsia="zh-CN"/>
        </w:rPr>
        <w:t xml:space="preserve"> </w:t>
      </w:r>
      <w:r>
        <w:rPr>
          <w:rFonts w:hint="eastAsia" w:ascii="Times New Roman" w:hAnsi="Times New Roman"/>
          <w:color w:val="auto"/>
        </w:rPr>
        <w:t>地方性法规、地方政府规章和有关规范性文件</w:t>
      </w:r>
    </w:p>
    <w:p w14:paraId="75683919">
      <w:pPr>
        <w:bidi w:val="0"/>
        <w:rPr>
          <w:rFonts w:hint="eastAsia" w:ascii="Times New Roman" w:hAnsi="Times New Roman"/>
          <w:color w:val="auto"/>
        </w:rPr>
      </w:pPr>
      <w:r>
        <w:rPr>
          <w:rFonts w:hint="eastAsia" w:ascii="Times New Roman" w:hAnsi="Times New Roman"/>
          <w:color w:val="auto"/>
        </w:rPr>
        <w:t>1</w:t>
      </w:r>
      <w:r>
        <w:rPr>
          <w:rFonts w:hint="eastAsia" w:ascii="Times New Roman" w:hAnsi="Times New Roman"/>
          <w:color w:val="auto"/>
          <w:lang w:eastAsia="zh-CN"/>
        </w:rPr>
        <w:t>、</w:t>
      </w:r>
      <w:r>
        <w:rPr>
          <w:rFonts w:hint="eastAsia" w:ascii="Times New Roman" w:hAnsi="Times New Roman"/>
          <w:color w:val="auto"/>
        </w:rPr>
        <w:t>《云南省电力设施保护条例》（2007年9月29日云南省第十届人民代表大会常务委员会第三十一次会议通过，根据2012年3月31日云南省第十一届人民代表大会常务委员会第三十次会议《关于修改25件涉及行政强制的地方性法规的决定》第一次修正，根据2024年11月28日云南省第十四届人民代表大会常务委员会第十三次会议《关于废止和修改部分地方性法规的决定》第二次修正，2024年11月28日起施行）；</w:t>
      </w:r>
    </w:p>
    <w:p w14:paraId="487D13BC">
      <w:pPr>
        <w:bidi w:val="0"/>
        <w:rPr>
          <w:rFonts w:hint="eastAsia"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《云南省人民政府关于进一步加强安全生产工作的决定》（云政发[2011]229号，自2011年11月14日起施行）；</w:t>
      </w:r>
    </w:p>
    <w:p w14:paraId="2C41253A">
      <w:pPr>
        <w:bidi w:val="0"/>
        <w:rPr>
          <w:rFonts w:hint="eastAsia"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《云南省安全生产委员会关于贯彻落实云南省人民政府进一步加强安全生产工作决定的通知》（云安发电[2011]12号，自2011年11月15日起施行）；</w:t>
      </w:r>
    </w:p>
    <w:p w14:paraId="05590382">
      <w:pPr>
        <w:bidi w:val="0"/>
        <w:rPr>
          <w:rFonts w:hint="eastAsia" w:ascii="Times New Roman" w:hAnsi="Times New Roman"/>
          <w:color w:val="auto"/>
        </w:rPr>
      </w:pPr>
      <w:r>
        <w:rPr>
          <w:rFonts w:hint="eastAsia" w:ascii="Times New Roman" w:hAnsi="Times New Roman"/>
          <w:color w:val="auto"/>
        </w:rPr>
        <w:t>4</w:t>
      </w:r>
      <w:r>
        <w:rPr>
          <w:rFonts w:hint="eastAsia" w:ascii="Times New Roman" w:hAnsi="Times New Roman"/>
          <w:color w:val="auto"/>
          <w:lang w:eastAsia="zh-CN"/>
        </w:rPr>
        <w:t>、</w:t>
      </w:r>
      <w:r>
        <w:rPr>
          <w:rFonts w:hint="eastAsia" w:ascii="Times New Roman" w:hAnsi="Times New Roman"/>
          <w:color w:val="auto"/>
        </w:rPr>
        <w:t>《云南省安全生产监督管理局&lt;关于进一步夯实非煤矿山安全生产基础的意见&gt;》（原云南省安全生产监督管理局，自2013年3月19日起施行）；</w:t>
      </w:r>
    </w:p>
    <w:p w14:paraId="6D7727C4">
      <w:pPr>
        <w:bidi w:val="0"/>
        <w:rPr>
          <w:rFonts w:hint="eastAsia" w:ascii="Times New Roman" w:hAnsi="Times New Roman"/>
          <w:color w:val="auto"/>
        </w:rPr>
      </w:pPr>
      <w:r>
        <w:rPr>
          <w:rFonts w:hint="eastAsia" w:ascii="Times New Roman" w:hAnsi="Times New Roman"/>
          <w:color w:val="auto"/>
        </w:rPr>
        <w:t>5</w:t>
      </w:r>
      <w:r>
        <w:rPr>
          <w:rFonts w:hint="eastAsia" w:ascii="Times New Roman" w:hAnsi="Times New Roman"/>
          <w:color w:val="auto"/>
          <w:lang w:eastAsia="zh-CN"/>
        </w:rPr>
        <w:t>、</w:t>
      </w:r>
      <w:r>
        <w:rPr>
          <w:rFonts w:hint="eastAsia" w:ascii="Times New Roman" w:hAnsi="Times New Roman"/>
          <w:color w:val="auto"/>
        </w:rPr>
        <w:t>《云南省人民政府关于促进非煤矿山转型升级的实施意见》（云政发[2015]38号，自2015年5月29日起施行）；</w:t>
      </w:r>
    </w:p>
    <w:p w14:paraId="6A29DF39">
      <w:pPr>
        <w:bidi w:val="0"/>
        <w:rPr>
          <w:rFonts w:hint="eastAsia" w:ascii="Times New Roman" w:hAnsi="Times New Roman"/>
          <w:color w:val="auto"/>
        </w:rPr>
      </w:pPr>
      <w:r>
        <w:rPr>
          <w:rFonts w:hint="eastAsia" w:ascii="Times New Roman" w:hAnsi="Times New Roman"/>
          <w:color w:val="auto"/>
        </w:rPr>
        <w:t>6</w:t>
      </w:r>
      <w:r>
        <w:rPr>
          <w:rFonts w:hint="eastAsia" w:ascii="Times New Roman" w:hAnsi="Times New Roman"/>
          <w:color w:val="auto"/>
          <w:lang w:eastAsia="zh-CN"/>
        </w:rPr>
        <w:t>、</w:t>
      </w:r>
      <w:r>
        <w:rPr>
          <w:rFonts w:hint="eastAsia" w:ascii="Times New Roman" w:hAnsi="Times New Roman"/>
          <w:color w:val="auto"/>
        </w:rPr>
        <w:t>《云南省安全生产监督管理局&lt;关于进一步规范金属非金属矿山建设项目安全</w:t>
      </w:r>
      <w:r>
        <w:rPr>
          <w:rFonts w:hint="eastAsia" w:ascii="Times New Roman" w:hAnsi="Times New Roman"/>
          <w:color w:val="auto"/>
          <w:lang w:eastAsia="zh-CN"/>
        </w:rPr>
        <w:t>“</w:t>
      </w:r>
      <w:r>
        <w:rPr>
          <w:rFonts w:hint="eastAsia" w:ascii="Times New Roman" w:hAnsi="Times New Roman"/>
          <w:color w:val="auto"/>
        </w:rPr>
        <w:t>三同时</w:t>
      </w:r>
      <w:r>
        <w:rPr>
          <w:rFonts w:hint="eastAsia" w:ascii="Times New Roman" w:hAnsi="Times New Roman"/>
          <w:color w:val="auto"/>
          <w:lang w:eastAsia="zh-CN"/>
        </w:rPr>
        <w:t>”</w:t>
      </w:r>
      <w:r>
        <w:rPr>
          <w:rFonts w:hint="eastAsia" w:ascii="Times New Roman" w:hAnsi="Times New Roman"/>
          <w:color w:val="auto"/>
        </w:rPr>
        <w:t>工作的通知&gt;》（原云南省安全生产监督管理局，自2016年3月21日起施行）；</w:t>
      </w:r>
    </w:p>
    <w:p w14:paraId="058A395B">
      <w:pPr>
        <w:bidi w:val="0"/>
        <w:rPr>
          <w:rFonts w:hint="eastAsia" w:ascii="Times New Roman" w:hAnsi="Times New Roman"/>
          <w:color w:val="auto"/>
        </w:rPr>
      </w:pPr>
      <w:r>
        <w:rPr>
          <w:rFonts w:hint="eastAsia" w:ascii="Times New Roman" w:hAnsi="Times New Roman"/>
          <w:color w:val="auto"/>
        </w:rPr>
        <w:t>7</w:t>
      </w:r>
      <w:r>
        <w:rPr>
          <w:rFonts w:hint="eastAsia" w:ascii="Times New Roman" w:hAnsi="Times New Roman"/>
          <w:color w:val="auto"/>
          <w:lang w:eastAsia="zh-CN"/>
        </w:rPr>
        <w:t>、</w:t>
      </w:r>
      <w:r>
        <w:rPr>
          <w:rFonts w:hint="eastAsia" w:ascii="Times New Roman" w:hAnsi="Times New Roman"/>
          <w:color w:val="auto"/>
        </w:rPr>
        <w:t>《云南省安全生产监督管理局、云南省财政厅&lt;关于取消企业安全生产风险抵押金的通知&gt;》（原云安监管〔2017〕18号，自2017年4月1日起施行）；</w:t>
      </w:r>
    </w:p>
    <w:p w14:paraId="4E5327AC">
      <w:pPr>
        <w:bidi w:val="0"/>
        <w:rPr>
          <w:rFonts w:hint="eastAsia" w:ascii="Times New Roman" w:hAnsi="Times New Roman"/>
          <w:color w:val="auto"/>
        </w:rPr>
      </w:pPr>
      <w:r>
        <w:rPr>
          <w:rFonts w:hint="eastAsia" w:ascii="Times New Roman" w:hAnsi="Times New Roman"/>
          <w:color w:val="auto"/>
        </w:rPr>
        <w:t>8</w:t>
      </w:r>
      <w:r>
        <w:rPr>
          <w:rFonts w:hint="eastAsia" w:ascii="Times New Roman" w:hAnsi="Times New Roman"/>
          <w:color w:val="auto"/>
          <w:lang w:eastAsia="zh-CN"/>
        </w:rPr>
        <w:t>、</w:t>
      </w:r>
      <w:r>
        <w:rPr>
          <w:rFonts w:hint="eastAsia" w:ascii="Times New Roman" w:hAnsi="Times New Roman"/>
          <w:color w:val="auto"/>
        </w:rPr>
        <w:t>《云南省安全生产条例》（云南省第十二届人民代表大会常务委员会第三十八次会议于2017年11月30日修订，云南省十二届人民代表大会常务委员会公告第63号，自2018年1月1日施行）；</w:t>
      </w:r>
    </w:p>
    <w:p w14:paraId="66F44D99">
      <w:pPr>
        <w:bidi w:val="0"/>
        <w:rPr>
          <w:rFonts w:hint="eastAsia" w:ascii="Times New Roman" w:hAnsi="Times New Roman"/>
          <w:color w:val="auto"/>
        </w:rPr>
      </w:pPr>
      <w:r>
        <w:rPr>
          <w:rFonts w:hint="eastAsia" w:ascii="Times New Roman" w:hAnsi="Times New Roman"/>
          <w:color w:val="auto"/>
        </w:rPr>
        <w:t>9</w:t>
      </w:r>
      <w:r>
        <w:rPr>
          <w:rFonts w:hint="eastAsia" w:ascii="Times New Roman" w:hAnsi="Times New Roman"/>
          <w:color w:val="auto"/>
          <w:lang w:eastAsia="zh-CN"/>
        </w:rPr>
        <w:t>、</w:t>
      </w:r>
      <w:r>
        <w:rPr>
          <w:rFonts w:hint="eastAsia" w:ascii="Times New Roman" w:hAnsi="Times New Roman"/>
          <w:color w:val="auto"/>
        </w:rPr>
        <w:t>《云南省安委会办公室&lt;关于进一步夯实安全基础坚决防范遏制非煤矿山重特大事故的通知&gt;》（云安办〔2019〕7号，自2019年3月1日起施行）；</w:t>
      </w:r>
    </w:p>
    <w:p w14:paraId="39709DAC">
      <w:pPr>
        <w:bidi w:val="0"/>
        <w:rPr>
          <w:rFonts w:hint="eastAsia" w:ascii="Times New Roman" w:hAnsi="Times New Roman"/>
          <w:color w:val="auto"/>
        </w:rPr>
      </w:pPr>
      <w:r>
        <w:rPr>
          <w:rFonts w:hint="eastAsia" w:ascii="Times New Roman" w:hAnsi="Times New Roman"/>
          <w:color w:val="auto"/>
        </w:rPr>
        <w:t>10</w:t>
      </w:r>
      <w:r>
        <w:rPr>
          <w:rFonts w:hint="eastAsia" w:ascii="Times New Roman" w:hAnsi="Times New Roman"/>
          <w:color w:val="auto"/>
          <w:lang w:eastAsia="zh-CN"/>
        </w:rPr>
        <w:t>、</w:t>
      </w:r>
      <w:r>
        <w:rPr>
          <w:rFonts w:hint="eastAsia" w:ascii="Times New Roman" w:hAnsi="Times New Roman"/>
          <w:color w:val="auto"/>
        </w:rPr>
        <w:t>《云南省应急管理厅云南银保监局关于规范推进安全生产责任保险工作的通知》（云应急〔2022〕48号，2022年4月26日）；</w:t>
      </w:r>
    </w:p>
    <w:p w14:paraId="523879A0">
      <w:pPr>
        <w:bidi w:val="0"/>
        <w:rPr>
          <w:rFonts w:hint="eastAsia" w:ascii="Times New Roman" w:hAnsi="Times New Roman"/>
          <w:color w:val="auto"/>
        </w:rPr>
      </w:pPr>
      <w:r>
        <w:rPr>
          <w:rFonts w:hint="eastAsia" w:ascii="Times New Roman" w:hAnsi="Times New Roman"/>
          <w:color w:val="auto"/>
        </w:rPr>
        <w:t>11</w:t>
      </w:r>
      <w:r>
        <w:rPr>
          <w:rFonts w:hint="eastAsia" w:ascii="Times New Roman" w:hAnsi="Times New Roman"/>
          <w:color w:val="auto"/>
          <w:lang w:eastAsia="zh-CN"/>
        </w:rPr>
        <w:t>、</w:t>
      </w:r>
      <w:r>
        <w:rPr>
          <w:rFonts w:hint="eastAsia" w:ascii="Times New Roman" w:hAnsi="Times New Roman"/>
          <w:color w:val="auto"/>
        </w:rPr>
        <w:t>《云南省安全生产委员会办公室关于切实做好当前矿山安全生产工作的紧急通知》（云安办函〔2023〕16号，2023年2月23日）；</w:t>
      </w:r>
    </w:p>
    <w:p w14:paraId="29C0A048">
      <w:pPr>
        <w:bidi w:val="0"/>
        <w:rPr>
          <w:rFonts w:hint="eastAsia" w:ascii="Times New Roman" w:hAnsi="Times New Roman"/>
          <w:color w:val="auto"/>
        </w:rPr>
      </w:pPr>
      <w:r>
        <w:rPr>
          <w:rFonts w:hint="eastAsia" w:ascii="Times New Roman" w:hAnsi="Times New Roman"/>
          <w:color w:val="auto"/>
        </w:rPr>
        <w:t>12</w:t>
      </w:r>
      <w:r>
        <w:rPr>
          <w:rFonts w:hint="eastAsia" w:ascii="Times New Roman" w:hAnsi="Times New Roman"/>
          <w:color w:val="auto"/>
          <w:lang w:eastAsia="zh-CN"/>
        </w:rPr>
        <w:t>、</w:t>
      </w:r>
      <w:r>
        <w:rPr>
          <w:rFonts w:hint="eastAsia" w:ascii="Times New Roman" w:hAnsi="Times New Roman"/>
          <w:color w:val="auto"/>
        </w:rPr>
        <w:t>《云南省应急管理厅 国家矿山安全监察局云南局&lt;关于开展非煤露天矿山安全生产专项整治的通知&gt;》（云应急[2023]31号，2023年3月9日）；</w:t>
      </w:r>
    </w:p>
    <w:p w14:paraId="21DED327">
      <w:pPr>
        <w:bidi w:val="0"/>
        <w:rPr>
          <w:rFonts w:ascii="Times New Roman" w:hAnsi="Times New Roman"/>
          <w:color w:val="auto"/>
        </w:rPr>
      </w:pPr>
      <w:r>
        <w:rPr>
          <w:rFonts w:hint="eastAsia" w:ascii="Times New Roman" w:hAnsi="Times New Roman"/>
          <w:color w:val="auto"/>
        </w:rPr>
        <w:t>13</w:t>
      </w:r>
      <w:r>
        <w:rPr>
          <w:rFonts w:hint="eastAsia" w:ascii="Times New Roman" w:hAnsi="Times New Roman"/>
          <w:color w:val="auto"/>
          <w:lang w:eastAsia="zh-CN"/>
        </w:rPr>
        <w:t>、</w:t>
      </w:r>
      <w:r>
        <w:rPr>
          <w:rFonts w:hint="eastAsia" w:ascii="Times New Roman" w:hAnsi="Times New Roman"/>
          <w:color w:val="auto"/>
        </w:rPr>
        <w:t>《云南省人民政府办公厅关于印发&lt;云南省全面加强非煤矿山安全生产工作若干措施&gt;的通知》（云政办发〔2024〕44号，2024年7月18日）</w:t>
      </w:r>
      <w:r>
        <w:rPr>
          <w:rFonts w:hint="eastAsia" w:ascii="Times New Roman" w:hAnsi="Times New Roman"/>
          <w:color w:val="auto"/>
          <w:lang w:eastAsia="zh-CN"/>
        </w:rPr>
        <w:t>；</w:t>
      </w:r>
    </w:p>
    <w:p w14:paraId="0532A417">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14、《云南省应急管理厅办公室关于调整非煤矿山安全生产行政许可权限的通知》（云应急办〔2025〕14号，2025年11月7日）。</w:t>
      </w:r>
    </w:p>
    <w:p w14:paraId="51C7F69B">
      <w:pPr>
        <w:pStyle w:val="4"/>
        <w:bidi w:val="0"/>
        <w:rPr>
          <w:rFonts w:hint="eastAsia" w:ascii="Times New Roman" w:hAnsi="Times New Roman"/>
          <w:color w:val="auto"/>
        </w:rPr>
      </w:pPr>
      <w:bookmarkStart w:id="57" w:name="_Toc31225"/>
      <w:r>
        <w:rPr>
          <w:rFonts w:hint="eastAsia" w:ascii="Times New Roman" w:hAnsi="Times New Roman"/>
          <w:color w:val="auto"/>
        </w:rPr>
        <w:t>1.2.</w:t>
      </w:r>
      <w:r>
        <w:rPr>
          <w:rFonts w:hint="eastAsia" w:ascii="Times New Roman" w:hAnsi="Times New Roman"/>
          <w:color w:val="auto"/>
          <w:lang w:val="en-US" w:eastAsia="zh-CN"/>
        </w:rPr>
        <w:t>2</w:t>
      </w:r>
      <w:r>
        <w:rPr>
          <w:rFonts w:hint="eastAsia" w:ascii="Times New Roman" w:hAnsi="Times New Roman"/>
          <w:color w:val="auto"/>
        </w:rPr>
        <w:t xml:space="preserve"> 标准规范</w:t>
      </w:r>
      <w:bookmarkEnd w:id="57"/>
    </w:p>
    <w:p w14:paraId="5F9E082E">
      <w:pPr>
        <w:bidi w:val="0"/>
        <w:rPr>
          <w:rFonts w:hint="eastAsia" w:ascii="Times New Roman" w:hAnsi="Times New Roman"/>
          <w:color w:val="auto"/>
        </w:rPr>
      </w:pPr>
      <w:r>
        <w:rPr>
          <w:rFonts w:hint="eastAsia" w:ascii="Times New Roman" w:hAnsi="Times New Roman"/>
          <w:color w:val="auto"/>
        </w:rPr>
        <w:t>1</w:t>
      </w:r>
      <w:r>
        <w:rPr>
          <w:rFonts w:hint="eastAsia" w:ascii="Times New Roman" w:hAnsi="Times New Roman"/>
          <w:color w:val="auto"/>
          <w:lang w:eastAsia="zh-CN"/>
        </w:rPr>
        <w:t>、</w:t>
      </w:r>
      <w:r>
        <w:rPr>
          <w:rFonts w:hint="eastAsia" w:ascii="Times New Roman" w:hAnsi="Times New Roman"/>
          <w:color w:val="auto"/>
        </w:rPr>
        <w:t>《企业职工伤亡事故分类》（GB6441-1986，1987年2月1日）；</w:t>
      </w:r>
    </w:p>
    <w:p w14:paraId="5AB4C419">
      <w:pPr>
        <w:bidi w:val="0"/>
        <w:rPr>
          <w:rFonts w:hint="eastAsia"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《厂矿道路设计规范》（GBJ22-1987，1988年8月1日）；</w:t>
      </w:r>
    </w:p>
    <w:p w14:paraId="5C90F5E4">
      <w:pPr>
        <w:bidi w:val="0"/>
        <w:rPr>
          <w:rFonts w:hint="eastAsia"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《爆破安全规程》（GB6722-2014/XG1-2016；2017年01月03日实施）；</w:t>
      </w:r>
    </w:p>
    <w:p w14:paraId="51A37499">
      <w:pPr>
        <w:bidi w:val="0"/>
        <w:rPr>
          <w:rFonts w:hint="eastAsia" w:ascii="Times New Roman" w:hAnsi="Times New Roman"/>
          <w:color w:val="auto"/>
        </w:rPr>
      </w:pPr>
      <w:r>
        <w:rPr>
          <w:rFonts w:hint="eastAsia" w:ascii="Times New Roman" w:hAnsi="Times New Roman"/>
          <w:color w:val="auto"/>
        </w:rPr>
        <w:t>4</w:t>
      </w:r>
      <w:r>
        <w:rPr>
          <w:rFonts w:hint="eastAsia" w:ascii="Times New Roman" w:hAnsi="Times New Roman"/>
          <w:color w:val="auto"/>
          <w:lang w:eastAsia="zh-CN"/>
        </w:rPr>
        <w:t>、</w:t>
      </w:r>
      <w:r>
        <w:rPr>
          <w:rFonts w:hint="eastAsia" w:ascii="Times New Roman" w:hAnsi="Times New Roman"/>
          <w:color w:val="auto"/>
        </w:rPr>
        <w:t>《机械安全 防止人体部位挤压的最小间距》（GB/T12265-2021，2021年12月1日）；</w:t>
      </w:r>
    </w:p>
    <w:p w14:paraId="676E0E27">
      <w:pPr>
        <w:bidi w:val="0"/>
        <w:rPr>
          <w:rFonts w:hint="eastAsia" w:ascii="Times New Roman" w:hAnsi="Times New Roman"/>
          <w:color w:val="auto"/>
        </w:rPr>
      </w:pPr>
      <w:r>
        <w:rPr>
          <w:rFonts w:hint="eastAsia" w:ascii="Times New Roman" w:hAnsi="Times New Roman"/>
          <w:color w:val="auto"/>
        </w:rPr>
        <w:t>5</w:t>
      </w:r>
      <w:r>
        <w:rPr>
          <w:rFonts w:hint="eastAsia" w:ascii="Times New Roman" w:hAnsi="Times New Roman"/>
          <w:color w:val="auto"/>
          <w:lang w:eastAsia="zh-CN"/>
        </w:rPr>
        <w:t>、</w:t>
      </w:r>
      <w:r>
        <w:rPr>
          <w:rFonts w:hint="eastAsia" w:ascii="Times New Roman" w:hAnsi="Times New Roman"/>
          <w:color w:val="auto"/>
        </w:rPr>
        <w:t>《生产设备安全卫生设计总则》（GB5083-2023，2025年01月01日实施）；</w:t>
      </w:r>
    </w:p>
    <w:p w14:paraId="4B73ADCC">
      <w:pPr>
        <w:bidi w:val="0"/>
        <w:rPr>
          <w:rFonts w:hint="eastAsia" w:ascii="Times New Roman" w:hAnsi="Times New Roman"/>
          <w:color w:val="auto"/>
        </w:rPr>
      </w:pPr>
      <w:r>
        <w:rPr>
          <w:rFonts w:hint="eastAsia" w:ascii="Times New Roman" w:hAnsi="Times New Roman"/>
          <w:color w:val="auto"/>
        </w:rPr>
        <w:t>6</w:t>
      </w:r>
      <w:r>
        <w:rPr>
          <w:rFonts w:hint="eastAsia" w:ascii="Times New Roman" w:hAnsi="Times New Roman"/>
          <w:color w:val="auto"/>
          <w:lang w:eastAsia="zh-CN"/>
        </w:rPr>
        <w:t>、</w:t>
      </w:r>
      <w:r>
        <w:rPr>
          <w:rFonts w:hint="eastAsia" w:ascii="Times New Roman" w:hAnsi="Times New Roman"/>
          <w:color w:val="auto"/>
        </w:rPr>
        <w:t>《工作场所有害因素职业接触限值 第1部分：化学有害因素》（GBZ2.1-2019，2020年4月1日）；</w:t>
      </w:r>
    </w:p>
    <w:p w14:paraId="185339A1">
      <w:pPr>
        <w:bidi w:val="0"/>
        <w:rPr>
          <w:rFonts w:hint="eastAsia" w:ascii="Times New Roman" w:hAnsi="Times New Roman"/>
          <w:color w:val="auto"/>
        </w:rPr>
      </w:pPr>
      <w:r>
        <w:rPr>
          <w:rFonts w:hint="eastAsia" w:ascii="Times New Roman" w:hAnsi="Times New Roman"/>
          <w:color w:val="auto"/>
        </w:rPr>
        <w:t>7</w:t>
      </w:r>
      <w:r>
        <w:rPr>
          <w:rFonts w:hint="eastAsia" w:ascii="Times New Roman" w:hAnsi="Times New Roman"/>
          <w:color w:val="auto"/>
          <w:lang w:eastAsia="zh-CN"/>
        </w:rPr>
        <w:t>、</w:t>
      </w:r>
      <w:r>
        <w:rPr>
          <w:rFonts w:hint="eastAsia" w:ascii="Times New Roman" w:hAnsi="Times New Roman"/>
          <w:color w:val="auto"/>
        </w:rPr>
        <w:t>《工作场所有害因素职业接触限值 第2部分：物理因素》（GBZ2.2-2007，2007年11月1日）；</w:t>
      </w:r>
    </w:p>
    <w:p w14:paraId="62F60316">
      <w:pPr>
        <w:bidi w:val="0"/>
        <w:rPr>
          <w:rFonts w:hint="eastAsia" w:ascii="Times New Roman" w:hAnsi="Times New Roman"/>
          <w:color w:val="auto"/>
        </w:rPr>
      </w:pPr>
      <w:r>
        <w:rPr>
          <w:rFonts w:hint="eastAsia" w:ascii="Times New Roman" w:hAnsi="Times New Roman"/>
          <w:color w:val="auto"/>
        </w:rPr>
        <w:t>8</w:t>
      </w:r>
      <w:r>
        <w:rPr>
          <w:rFonts w:hint="eastAsia" w:ascii="Times New Roman" w:hAnsi="Times New Roman"/>
          <w:color w:val="auto"/>
          <w:lang w:eastAsia="zh-CN"/>
        </w:rPr>
        <w:t>、</w:t>
      </w:r>
      <w:r>
        <w:rPr>
          <w:rFonts w:hint="eastAsia" w:ascii="Times New Roman" w:hAnsi="Times New Roman"/>
          <w:color w:val="auto"/>
        </w:rPr>
        <w:t>《机械安全、防护装置、固定式和活动式防护装置设计与制造一般要求》（GB/T8196-2018，2019年7月1日）；</w:t>
      </w:r>
    </w:p>
    <w:p w14:paraId="05BDE627">
      <w:pPr>
        <w:bidi w:val="0"/>
        <w:rPr>
          <w:rFonts w:hint="eastAsia" w:ascii="Times New Roman" w:hAnsi="Times New Roman"/>
          <w:color w:val="auto"/>
        </w:rPr>
      </w:pPr>
      <w:r>
        <w:rPr>
          <w:rFonts w:hint="eastAsia" w:ascii="Times New Roman" w:hAnsi="Times New Roman"/>
          <w:color w:val="auto"/>
        </w:rPr>
        <w:t>9</w:t>
      </w:r>
      <w:r>
        <w:rPr>
          <w:rFonts w:hint="eastAsia" w:ascii="Times New Roman" w:hAnsi="Times New Roman"/>
          <w:color w:val="auto"/>
          <w:lang w:eastAsia="zh-CN"/>
        </w:rPr>
        <w:t>、</w:t>
      </w:r>
      <w:r>
        <w:rPr>
          <w:rFonts w:hint="eastAsia" w:ascii="Times New Roman" w:hAnsi="Times New Roman"/>
          <w:color w:val="auto"/>
        </w:rPr>
        <w:t>《建筑灭火器配置设计规范》（GB50140-2005；2005年10月1日）；</w:t>
      </w:r>
    </w:p>
    <w:p w14:paraId="373575DC">
      <w:pPr>
        <w:bidi w:val="0"/>
        <w:rPr>
          <w:rFonts w:hint="eastAsia" w:ascii="Times New Roman" w:hAnsi="Times New Roman"/>
          <w:color w:val="auto"/>
        </w:rPr>
      </w:pPr>
      <w:r>
        <w:rPr>
          <w:rFonts w:hint="eastAsia" w:ascii="Times New Roman" w:hAnsi="Times New Roman"/>
          <w:color w:val="auto"/>
        </w:rPr>
        <w:t>10</w:t>
      </w:r>
      <w:r>
        <w:rPr>
          <w:rFonts w:hint="eastAsia" w:ascii="Times New Roman" w:hAnsi="Times New Roman"/>
          <w:color w:val="auto"/>
          <w:lang w:eastAsia="zh-CN"/>
        </w:rPr>
        <w:t>、</w:t>
      </w:r>
      <w:r>
        <w:rPr>
          <w:rFonts w:hint="eastAsia" w:ascii="Times New Roman" w:hAnsi="Times New Roman"/>
          <w:color w:val="auto"/>
        </w:rPr>
        <w:t>《电气装置安装工程电气设备交接试验标准》(GB50150-2016，2016年12月01日)；</w:t>
      </w:r>
    </w:p>
    <w:p w14:paraId="064745D7">
      <w:pPr>
        <w:bidi w:val="0"/>
        <w:rPr>
          <w:rFonts w:hint="eastAsia" w:ascii="Times New Roman" w:hAnsi="Times New Roman"/>
          <w:color w:val="auto"/>
        </w:rPr>
      </w:pPr>
      <w:r>
        <w:rPr>
          <w:rFonts w:hint="eastAsia" w:ascii="Times New Roman" w:hAnsi="Times New Roman"/>
          <w:color w:val="auto"/>
        </w:rPr>
        <w:t>11</w:t>
      </w:r>
      <w:r>
        <w:rPr>
          <w:rFonts w:hint="eastAsia" w:ascii="Times New Roman" w:hAnsi="Times New Roman"/>
          <w:color w:val="auto"/>
          <w:lang w:eastAsia="zh-CN"/>
        </w:rPr>
        <w:t>、</w:t>
      </w:r>
      <w:r>
        <w:rPr>
          <w:rFonts w:hint="eastAsia" w:ascii="Times New Roman" w:hAnsi="Times New Roman"/>
          <w:color w:val="auto"/>
        </w:rPr>
        <w:t>《个体防护装备配备规范 第1部分：总则》（GB 39800.1-2020，自2022年1月1日）；</w:t>
      </w:r>
    </w:p>
    <w:p w14:paraId="5C5F3100">
      <w:pPr>
        <w:bidi w:val="0"/>
        <w:rPr>
          <w:rFonts w:hint="eastAsia" w:ascii="Times New Roman" w:hAnsi="Times New Roman"/>
          <w:color w:val="auto"/>
        </w:rPr>
      </w:pPr>
      <w:r>
        <w:rPr>
          <w:rFonts w:hint="eastAsia" w:ascii="Times New Roman" w:hAnsi="Times New Roman"/>
          <w:color w:val="auto"/>
        </w:rPr>
        <w:t>12</w:t>
      </w:r>
      <w:r>
        <w:rPr>
          <w:rFonts w:hint="eastAsia" w:ascii="Times New Roman" w:hAnsi="Times New Roman"/>
          <w:color w:val="auto"/>
          <w:lang w:eastAsia="zh-CN"/>
        </w:rPr>
        <w:t>、</w:t>
      </w:r>
      <w:r>
        <w:rPr>
          <w:rFonts w:hint="eastAsia" w:ascii="Times New Roman" w:hAnsi="Times New Roman"/>
          <w:color w:val="auto"/>
        </w:rPr>
        <w:t>《个体防护装备配备规范 第4部分：非煤矿山》（GB 39800.4-2020，自2022年1月1日）；</w:t>
      </w:r>
    </w:p>
    <w:p w14:paraId="360D03EE">
      <w:pPr>
        <w:bidi w:val="0"/>
        <w:rPr>
          <w:rFonts w:hint="eastAsia" w:ascii="Times New Roman" w:hAnsi="Times New Roman"/>
          <w:color w:val="auto"/>
        </w:rPr>
      </w:pPr>
      <w:r>
        <w:rPr>
          <w:rFonts w:hint="eastAsia" w:ascii="Times New Roman" w:hAnsi="Times New Roman"/>
          <w:color w:val="auto"/>
        </w:rPr>
        <w:t>13</w:t>
      </w:r>
      <w:r>
        <w:rPr>
          <w:rFonts w:hint="eastAsia" w:ascii="Times New Roman" w:hAnsi="Times New Roman"/>
          <w:color w:val="auto"/>
          <w:lang w:eastAsia="zh-CN"/>
        </w:rPr>
        <w:t>、</w:t>
      </w:r>
      <w:r>
        <w:rPr>
          <w:rFonts w:hint="eastAsia" w:ascii="Times New Roman" w:hAnsi="Times New Roman"/>
          <w:color w:val="auto"/>
        </w:rPr>
        <w:t>《头部防护 安全帽》（GB2811-2019，2020年7月1日）；</w:t>
      </w:r>
    </w:p>
    <w:p w14:paraId="3A6A24E2">
      <w:pPr>
        <w:bidi w:val="0"/>
        <w:rPr>
          <w:rFonts w:hint="eastAsia" w:ascii="Times New Roman" w:hAnsi="Times New Roman"/>
          <w:color w:val="auto"/>
        </w:rPr>
      </w:pPr>
      <w:r>
        <w:rPr>
          <w:rFonts w:hint="eastAsia" w:ascii="Times New Roman" w:hAnsi="Times New Roman"/>
          <w:color w:val="auto"/>
        </w:rPr>
        <w:t>14</w:t>
      </w:r>
      <w:r>
        <w:rPr>
          <w:rFonts w:hint="eastAsia" w:ascii="Times New Roman" w:hAnsi="Times New Roman"/>
          <w:color w:val="auto"/>
          <w:lang w:eastAsia="zh-CN"/>
        </w:rPr>
        <w:t>、</w:t>
      </w:r>
      <w:r>
        <w:rPr>
          <w:rFonts w:hint="eastAsia" w:ascii="Times New Roman" w:hAnsi="Times New Roman"/>
          <w:color w:val="auto"/>
        </w:rPr>
        <w:t>《金属非金属矿山安全规程》（GB16423-2020，2020年9月1日）；</w:t>
      </w:r>
    </w:p>
    <w:p w14:paraId="0CB8F3EB">
      <w:pPr>
        <w:bidi w:val="0"/>
        <w:rPr>
          <w:rFonts w:hint="eastAsia" w:ascii="Times New Roman" w:hAnsi="Times New Roman"/>
          <w:color w:val="auto"/>
        </w:rPr>
      </w:pPr>
      <w:r>
        <w:rPr>
          <w:rFonts w:hint="eastAsia" w:ascii="Times New Roman" w:hAnsi="Times New Roman"/>
          <w:color w:val="auto"/>
        </w:rPr>
        <w:t>15</w:t>
      </w:r>
      <w:r>
        <w:rPr>
          <w:rFonts w:hint="eastAsia" w:ascii="Times New Roman" w:hAnsi="Times New Roman"/>
          <w:color w:val="auto"/>
          <w:lang w:eastAsia="zh-CN"/>
        </w:rPr>
        <w:t>、</w:t>
      </w:r>
      <w:r>
        <w:rPr>
          <w:rFonts w:hint="eastAsia" w:ascii="Times New Roman" w:hAnsi="Times New Roman"/>
          <w:color w:val="auto"/>
        </w:rPr>
        <w:t>《一般工业固体废物贮存和填埋污染控制标准》（GB18599-2020，2021年7月1日）；</w:t>
      </w:r>
    </w:p>
    <w:p w14:paraId="1E5C9BB5">
      <w:pPr>
        <w:bidi w:val="0"/>
        <w:rPr>
          <w:rFonts w:hint="eastAsia" w:ascii="Times New Roman" w:hAnsi="Times New Roman"/>
          <w:color w:val="auto"/>
        </w:rPr>
      </w:pPr>
      <w:r>
        <w:rPr>
          <w:rFonts w:hint="eastAsia" w:ascii="Times New Roman" w:hAnsi="Times New Roman"/>
          <w:color w:val="auto"/>
        </w:rPr>
        <w:t>16</w:t>
      </w:r>
      <w:r>
        <w:rPr>
          <w:rFonts w:hint="eastAsia" w:ascii="Times New Roman" w:hAnsi="Times New Roman"/>
          <w:color w:val="auto"/>
          <w:lang w:eastAsia="zh-CN"/>
        </w:rPr>
        <w:t>、</w:t>
      </w:r>
      <w:r>
        <w:rPr>
          <w:rFonts w:hint="eastAsia" w:ascii="Times New Roman" w:hAnsi="Times New Roman"/>
          <w:color w:val="auto"/>
        </w:rPr>
        <w:t>《高处作业分级》（GB/T3608-2008，2009年6月1日）；</w:t>
      </w:r>
    </w:p>
    <w:p w14:paraId="65022120">
      <w:pPr>
        <w:bidi w:val="0"/>
        <w:rPr>
          <w:rFonts w:hint="eastAsia" w:ascii="Times New Roman" w:hAnsi="Times New Roman"/>
          <w:color w:val="auto"/>
        </w:rPr>
      </w:pPr>
      <w:r>
        <w:rPr>
          <w:rFonts w:hint="eastAsia" w:ascii="Times New Roman" w:hAnsi="Times New Roman"/>
          <w:color w:val="auto"/>
        </w:rPr>
        <w:t>17</w:t>
      </w:r>
      <w:r>
        <w:rPr>
          <w:rFonts w:hint="eastAsia" w:ascii="Times New Roman" w:hAnsi="Times New Roman"/>
          <w:color w:val="auto"/>
          <w:lang w:eastAsia="zh-CN"/>
        </w:rPr>
        <w:t>、</w:t>
      </w:r>
      <w:r>
        <w:rPr>
          <w:rFonts w:hint="eastAsia" w:ascii="Times New Roman" w:hAnsi="Times New Roman"/>
          <w:color w:val="auto"/>
        </w:rPr>
        <w:t>《安全色和安全标志》(GB2894-2025，2026年3月1日)；</w:t>
      </w:r>
    </w:p>
    <w:p w14:paraId="10A4BFCC">
      <w:pPr>
        <w:bidi w:val="0"/>
        <w:rPr>
          <w:rFonts w:hint="eastAsia" w:ascii="Times New Roman" w:hAnsi="Times New Roman"/>
          <w:color w:val="auto"/>
        </w:rPr>
      </w:pPr>
      <w:r>
        <w:rPr>
          <w:rFonts w:hint="eastAsia" w:ascii="Times New Roman" w:hAnsi="Times New Roman"/>
          <w:color w:val="auto"/>
        </w:rPr>
        <w:t>18</w:t>
      </w:r>
      <w:r>
        <w:rPr>
          <w:rFonts w:hint="eastAsia" w:ascii="Times New Roman" w:hAnsi="Times New Roman"/>
          <w:color w:val="auto"/>
          <w:lang w:eastAsia="zh-CN"/>
        </w:rPr>
        <w:t>、</w:t>
      </w:r>
      <w:r>
        <w:rPr>
          <w:rFonts w:hint="eastAsia" w:ascii="Times New Roman" w:hAnsi="Times New Roman"/>
          <w:color w:val="auto"/>
        </w:rPr>
        <w:t>《工业企业厂内铁路、道路运输安全规程》(GB4387-2008，2009年10月1日)；</w:t>
      </w:r>
    </w:p>
    <w:p w14:paraId="21782137">
      <w:pPr>
        <w:bidi w:val="0"/>
        <w:rPr>
          <w:rFonts w:hint="eastAsia" w:ascii="Times New Roman" w:hAnsi="Times New Roman"/>
          <w:color w:val="auto"/>
        </w:rPr>
      </w:pPr>
      <w:r>
        <w:rPr>
          <w:rFonts w:hint="eastAsia" w:ascii="Times New Roman" w:hAnsi="Times New Roman"/>
          <w:color w:val="auto"/>
        </w:rPr>
        <w:t>19</w:t>
      </w:r>
      <w:r>
        <w:rPr>
          <w:rFonts w:hint="eastAsia" w:ascii="Times New Roman" w:hAnsi="Times New Roman"/>
          <w:color w:val="auto"/>
          <w:lang w:eastAsia="zh-CN"/>
        </w:rPr>
        <w:t>、</w:t>
      </w:r>
      <w:r>
        <w:rPr>
          <w:rFonts w:hint="eastAsia" w:ascii="Times New Roman" w:hAnsi="Times New Roman"/>
          <w:color w:val="auto"/>
        </w:rPr>
        <w:t>《生产过程安全卫生要求总则》（GB/T12801-2008，2009年10月1日）；</w:t>
      </w:r>
    </w:p>
    <w:p w14:paraId="6AC1BE49">
      <w:pPr>
        <w:bidi w:val="0"/>
        <w:rPr>
          <w:rFonts w:hint="eastAsia" w:ascii="Times New Roman" w:hAnsi="Times New Roman"/>
          <w:color w:val="auto"/>
        </w:rPr>
      </w:pPr>
      <w:r>
        <w:rPr>
          <w:rFonts w:hint="eastAsia" w:ascii="Times New Roman" w:hAnsi="Times New Roman"/>
          <w:color w:val="auto"/>
        </w:rPr>
        <w:t>20</w:t>
      </w:r>
      <w:r>
        <w:rPr>
          <w:rFonts w:hint="eastAsia" w:ascii="Times New Roman" w:hAnsi="Times New Roman"/>
          <w:color w:val="auto"/>
          <w:lang w:eastAsia="zh-CN"/>
        </w:rPr>
        <w:t>、</w:t>
      </w:r>
      <w:r>
        <w:rPr>
          <w:rFonts w:hint="eastAsia" w:ascii="Times New Roman" w:hAnsi="Times New Roman"/>
          <w:color w:val="auto"/>
        </w:rPr>
        <w:t>《生产过程危险和有害因素分类与代码》（GB/T13861-2022，2022年10月01日）；</w:t>
      </w:r>
    </w:p>
    <w:p w14:paraId="01BC1F49">
      <w:pPr>
        <w:bidi w:val="0"/>
        <w:rPr>
          <w:rFonts w:hint="eastAsia" w:ascii="Times New Roman" w:hAnsi="Times New Roman"/>
          <w:color w:val="auto"/>
        </w:rPr>
      </w:pPr>
      <w:r>
        <w:rPr>
          <w:rFonts w:hint="eastAsia" w:ascii="Times New Roman" w:hAnsi="Times New Roman"/>
          <w:color w:val="auto"/>
        </w:rPr>
        <w:t>21</w:t>
      </w:r>
      <w:r>
        <w:rPr>
          <w:rFonts w:hint="eastAsia" w:ascii="Times New Roman" w:hAnsi="Times New Roman"/>
          <w:color w:val="auto"/>
          <w:lang w:eastAsia="zh-CN"/>
        </w:rPr>
        <w:t>、</w:t>
      </w:r>
      <w:r>
        <w:rPr>
          <w:rFonts w:hint="eastAsia" w:ascii="Times New Roman" w:hAnsi="Times New Roman"/>
          <w:color w:val="auto"/>
        </w:rPr>
        <w:t>《矿山电力设计标准》（GB50070-2020，2020年10月1日）；</w:t>
      </w:r>
    </w:p>
    <w:p w14:paraId="4F4D58A4">
      <w:pPr>
        <w:bidi w:val="0"/>
        <w:rPr>
          <w:rFonts w:hint="eastAsia" w:ascii="Times New Roman" w:hAnsi="Times New Roman"/>
          <w:color w:val="auto"/>
        </w:rPr>
      </w:pPr>
      <w:r>
        <w:rPr>
          <w:rFonts w:hint="eastAsia" w:ascii="Times New Roman" w:hAnsi="Times New Roman"/>
          <w:color w:val="auto"/>
        </w:rPr>
        <w:t>22</w:t>
      </w:r>
      <w:r>
        <w:rPr>
          <w:rFonts w:hint="eastAsia" w:ascii="Times New Roman" w:hAnsi="Times New Roman"/>
          <w:color w:val="auto"/>
          <w:lang w:eastAsia="zh-CN"/>
        </w:rPr>
        <w:t>、</w:t>
      </w:r>
      <w:r>
        <w:rPr>
          <w:rFonts w:hint="eastAsia" w:ascii="Times New Roman" w:hAnsi="Times New Roman"/>
          <w:color w:val="auto"/>
        </w:rPr>
        <w:t>《机械安全防止上下肢触及危险区的安全距离》（GB/T23821-2022，2022年11月08日）；</w:t>
      </w:r>
    </w:p>
    <w:p w14:paraId="7BA98A93">
      <w:pPr>
        <w:bidi w:val="0"/>
        <w:rPr>
          <w:rFonts w:hint="eastAsia" w:ascii="Times New Roman" w:hAnsi="Times New Roman"/>
          <w:color w:val="auto"/>
        </w:rPr>
      </w:pPr>
      <w:r>
        <w:rPr>
          <w:rFonts w:hint="eastAsia" w:ascii="Times New Roman" w:hAnsi="Times New Roman"/>
          <w:color w:val="auto"/>
        </w:rPr>
        <w:t>23</w:t>
      </w:r>
      <w:r>
        <w:rPr>
          <w:rFonts w:hint="eastAsia" w:ascii="Times New Roman" w:hAnsi="Times New Roman"/>
          <w:color w:val="auto"/>
          <w:lang w:eastAsia="zh-CN"/>
        </w:rPr>
        <w:t>、</w:t>
      </w:r>
      <w:r>
        <w:rPr>
          <w:rFonts w:hint="eastAsia" w:ascii="Times New Roman" w:hAnsi="Times New Roman"/>
          <w:color w:val="auto"/>
        </w:rPr>
        <w:t>《危险化学品重大危险源辨识》(GB18218-2018，2019年3月1日)；</w:t>
      </w:r>
    </w:p>
    <w:p w14:paraId="3BBD0126">
      <w:pPr>
        <w:bidi w:val="0"/>
        <w:rPr>
          <w:rFonts w:hint="eastAsia" w:ascii="Times New Roman" w:hAnsi="Times New Roman"/>
          <w:color w:val="auto"/>
        </w:rPr>
      </w:pPr>
      <w:r>
        <w:rPr>
          <w:rFonts w:hint="eastAsia" w:ascii="Times New Roman" w:hAnsi="Times New Roman"/>
          <w:color w:val="auto"/>
        </w:rPr>
        <w:t>24</w:t>
      </w:r>
      <w:r>
        <w:rPr>
          <w:rFonts w:hint="eastAsia" w:ascii="Times New Roman" w:hAnsi="Times New Roman"/>
          <w:color w:val="auto"/>
          <w:lang w:eastAsia="zh-CN"/>
        </w:rPr>
        <w:t>、</w:t>
      </w:r>
      <w:r>
        <w:rPr>
          <w:rFonts w:hint="eastAsia" w:ascii="Times New Roman" w:hAnsi="Times New Roman"/>
          <w:color w:val="auto"/>
        </w:rPr>
        <w:t>《建筑抗震设计标准（2024年版）》（GB/T 50011-2010，2024年08月01日实施）；</w:t>
      </w:r>
    </w:p>
    <w:p w14:paraId="2796BD66">
      <w:pPr>
        <w:bidi w:val="0"/>
        <w:rPr>
          <w:rFonts w:hint="eastAsia" w:ascii="Times New Roman" w:hAnsi="Times New Roman"/>
          <w:color w:val="auto"/>
        </w:rPr>
      </w:pPr>
      <w:r>
        <w:rPr>
          <w:rFonts w:hint="eastAsia" w:ascii="Times New Roman" w:hAnsi="Times New Roman"/>
          <w:color w:val="auto"/>
        </w:rPr>
        <w:t>25</w:t>
      </w:r>
      <w:r>
        <w:rPr>
          <w:rFonts w:hint="eastAsia" w:ascii="Times New Roman" w:hAnsi="Times New Roman"/>
          <w:color w:val="auto"/>
          <w:lang w:eastAsia="zh-CN"/>
        </w:rPr>
        <w:t>、</w:t>
      </w:r>
      <w:r>
        <w:rPr>
          <w:rFonts w:hint="eastAsia" w:ascii="Times New Roman" w:hAnsi="Times New Roman"/>
          <w:color w:val="auto"/>
        </w:rPr>
        <w:t>《电气设备安全设计导则》(GB/T25295-2010，2011年5月1日)；</w:t>
      </w:r>
    </w:p>
    <w:p w14:paraId="2ACD3E40">
      <w:pPr>
        <w:bidi w:val="0"/>
        <w:rPr>
          <w:rFonts w:hint="eastAsia" w:ascii="Times New Roman" w:hAnsi="Times New Roman"/>
          <w:color w:val="auto"/>
        </w:rPr>
      </w:pPr>
      <w:r>
        <w:rPr>
          <w:rFonts w:hint="eastAsia" w:ascii="Times New Roman" w:hAnsi="Times New Roman"/>
          <w:color w:val="auto"/>
        </w:rPr>
        <w:t>26</w:t>
      </w:r>
      <w:r>
        <w:rPr>
          <w:rFonts w:hint="eastAsia" w:ascii="Times New Roman" w:hAnsi="Times New Roman"/>
          <w:color w:val="auto"/>
          <w:lang w:eastAsia="zh-CN"/>
        </w:rPr>
        <w:t>、</w:t>
      </w:r>
      <w:r>
        <w:rPr>
          <w:rFonts w:hint="eastAsia" w:ascii="Times New Roman" w:hAnsi="Times New Roman"/>
          <w:color w:val="auto"/>
        </w:rPr>
        <w:t>《建筑物防雷设计规范》（GB50057-2010，2011年10月1日）；</w:t>
      </w:r>
    </w:p>
    <w:p w14:paraId="7C4DC18F">
      <w:pPr>
        <w:bidi w:val="0"/>
        <w:rPr>
          <w:rFonts w:hint="eastAsia" w:ascii="Times New Roman" w:hAnsi="Times New Roman"/>
          <w:color w:val="auto"/>
        </w:rPr>
      </w:pPr>
      <w:r>
        <w:rPr>
          <w:rFonts w:hint="eastAsia" w:ascii="Times New Roman" w:hAnsi="Times New Roman"/>
          <w:color w:val="auto"/>
        </w:rPr>
        <w:t>27</w:t>
      </w:r>
      <w:r>
        <w:rPr>
          <w:rFonts w:hint="eastAsia" w:ascii="Times New Roman" w:hAnsi="Times New Roman"/>
          <w:color w:val="auto"/>
          <w:lang w:eastAsia="zh-CN"/>
        </w:rPr>
        <w:t>、</w:t>
      </w:r>
      <w:r>
        <w:rPr>
          <w:rFonts w:hint="eastAsia" w:ascii="Times New Roman" w:hAnsi="Times New Roman"/>
          <w:color w:val="auto"/>
        </w:rPr>
        <w:t>《用电安全导则》（GB/T13869-2017，2018年7月1日）；</w:t>
      </w:r>
    </w:p>
    <w:p w14:paraId="61DA3C0B">
      <w:pPr>
        <w:bidi w:val="0"/>
        <w:rPr>
          <w:rFonts w:hint="eastAsia" w:ascii="Times New Roman" w:hAnsi="Times New Roman"/>
          <w:color w:val="auto"/>
        </w:rPr>
      </w:pPr>
      <w:r>
        <w:rPr>
          <w:rFonts w:hint="eastAsia" w:ascii="Times New Roman" w:hAnsi="Times New Roman"/>
          <w:color w:val="auto"/>
        </w:rPr>
        <w:t>28</w:t>
      </w:r>
      <w:r>
        <w:rPr>
          <w:rFonts w:hint="eastAsia" w:ascii="Times New Roman" w:hAnsi="Times New Roman"/>
          <w:color w:val="auto"/>
          <w:lang w:eastAsia="zh-CN"/>
        </w:rPr>
        <w:t>、</w:t>
      </w:r>
      <w:r>
        <w:rPr>
          <w:rFonts w:hint="eastAsia" w:ascii="Times New Roman" w:hAnsi="Times New Roman"/>
          <w:color w:val="auto"/>
        </w:rPr>
        <w:t>《低压配电设计规范》（GB50054-2011，2012年6月1日）；</w:t>
      </w:r>
    </w:p>
    <w:p w14:paraId="1A1DB5F6">
      <w:pPr>
        <w:bidi w:val="0"/>
        <w:rPr>
          <w:rFonts w:hint="eastAsia" w:ascii="Times New Roman" w:hAnsi="Times New Roman"/>
          <w:color w:val="auto"/>
        </w:rPr>
      </w:pPr>
      <w:r>
        <w:rPr>
          <w:rFonts w:hint="eastAsia" w:ascii="Times New Roman" w:hAnsi="Times New Roman"/>
          <w:color w:val="auto"/>
        </w:rPr>
        <w:t>29</w:t>
      </w:r>
      <w:r>
        <w:rPr>
          <w:rFonts w:hint="eastAsia" w:ascii="Times New Roman" w:hAnsi="Times New Roman"/>
          <w:color w:val="auto"/>
          <w:lang w:eastAsia="zh-CN"/>
        </w:rPr>
        <w:t>、</w:t>
      </w:r>
      <w:r>
        <w:rPr>
          <w:rFonts w:hint="eastAsia" w:ascii="Times New Roman" w:hAnsi="Times New Roman"/>
          <w:color w:val="auto"/>
        </w:rPr>
        <w:t>《工业企业总平面设计规范》（GB50187-2012，2012年8月1日）；</w:t>
      </w:r>
    </w:p>
    <w:p w14:paraId="16FD6BBD">
      <w:pPr>
        <w:bidi w:val="0"/>
        <w:rPr>
          <w:rFonts w:hint="eastAsia" w:ascii="Times New Roman" w:hAnsi="Times New Roman"/>
          <w:color w:val="auto"/>
        </w:rPr>
      </w:pPr>
      <w:r>
        <w:rPr>
          <w:rFonts w:hint="eastAsia" w:ascii="Times New Roman" w:hAnsi="Times New Roman"/>
          <w:color w:val="auto"/>
        </w:rPr>
        <w:t>30</w:t>
      </w:r>
      <w:r>
        <w:rPr>
          <w:rFonts w:hint="eastAsia" w:ascii="Times New Roman" w:hAnsi="Times New Roman"/>
          <w:color w:val="auto"/>
          <w:lang w:eastAsia="zh-CN"/>
        </w:rPr>
        <w:t>、</w:t>
      </w:r>
      <w:r>
        <w:rPr>
          <w:rFonts w:hint="eastAsia" w:ascii="Times New Roman" w:hAnsi="Times New Roman"/>
          <w:color w:val="auto"/>
        </w:rPr>
        <w:t>《非煤露天矿边坡工程技术规范》（GB51016-2014，2015年5月1日）；</w:t>
      </w:r>
    </w:p>
    <w:p w14:paraId="232B96FD">
      <w:pPr>
        <w:bidi w:val="0"/>
        <w:rPr>
          <w:rFonts w:hint="eastAsia" w:ascii="Times New Roman" w:hAnsi="Times New Roman"/>
          <w:color w:val="auto"/>
        </w:rPr>
      </w:pPr>
      <w:r>
        <w:rPr>
          <w:rFonts w:hint="eastAsia" w:ascii="Times New Roman" w:hAnsi="Times New Roman"/>
          <w:color w:val="auto"/>
        </w:rPr>
        <w:t>31</w:t>
      </w:r>
      <w:r>
        <w:rPr>
          <w:rFonts w:hint="eastAsia" w:ascii="Times New Roman" w:hAnsi="Times New Roman"/>
          <w:color w:val="auto"/>
          <w:lang w:eastAsia="zh-CN"/>
        </w:rPr>
        <w:t>、</w:t>
      </w:r>
      <w:r>
        <w:rPr>
          <w:rFonts w:hint="eastAsia" w:ascii="Times New Roman" w:hAnsi="Times New Roman"/>
          <w:color w:val="auto"/>
        </w:rPr>
        <w:t>《生产经营单位生产安全事故应急预案编制导则》（GB/T 29639-2020，2021年04月01日）；</w:t>
      </w:r>
    </w:p>
    <w:p w14:paraId="02408761">
      <w:pPr>
        <w:bidi w:val="0"/>
        <w:rPr>
          <w:rFonts w:hint="eastAsia" w:ascii="Times New Roman" w:hAnsi="Times New Roman"/>
          <w:color w:val="auto"/>
        </w:rPr>
      </w:pPr>
      <w:r>
        <w:rPr>
          <w:rFonts w:hint="eastAsia" w:ascii="Times New Roman" w:hAnsi="Times New Roman"/>
          <w:color w:val="auto"/>
        </w:rPr>
        <w:t>32</w:t>
      </w:r>
      <w:r>
        <w:rPr>
          <w:rFonts w:hint="eastAsia" w:ascii="Times New Roman" w:hAnsi="Times New Roman"/>
          <w:color w:val="auto"/>
          <w:lang w:eastAsia="zh-CN"/>
        </w:rPr>
        <w:t>、</w:t>
      </w:r>
      <w:r>
        <w:rPr>
          <w:rFonts w:hint="eastAsia" w:ascii="Times New Roman" w:hAnsi="Times New Roman"/>
          <w:color w:val="auto"/>
        </w:rPr>
        <w:t>《矿区水文地质工程地质勘查规范》（GB/T12719-2021，2021年12月01日）；</w:t>
      </w:r>
    </w:p>
    <w:p w14:paraId="2DEA28CE">
      <w:pPr>
        <w:bidi w:val="0"/>
        <w:rPr>
          <w:rFonts w:hint="eastAsia" w:ascii="Times New Roman" w:hAnsi="Times New Roman"/>
          <w:color w:val="auto"/>
        </w:rPr>
      </w:pPr>
      <w:r>
        <w:rPr>
          <w:rFonts w:hint="eastAsia" w:ascii="Times New Roman" w:hAnsi="Times New Roman"/>
          <w:color w:val="auto"/>
        </w:rPr>
        <w:t>33</w:t>
      </w:r>
      <w:r>
        <w:rPr>
          <w:rFonts w:hint="eastAsia" w:ascii="Times New Roman" w:hAnsi="Times New Roman"/>
          <w:color w:val="auto"/>
          <w:lang w:eastAsia="zh-CN"/>
        </w:rPr>
        <w:t>、</w:t>
      </w:r>
      <w:r>
        <w:rPr>
          <w:rFonts w:hint="eastAsia" w:ascii="Times New Roman" w:hAnsi="Times New Roman"/>
          <w:color w:val="auto"/>
        </w:rPr>
        <w:t>《矿产资源储量规模划分标准》（DZ/T0400-2022，2022年11月01日实施）；</w:t>
      </w:r>
    </w:p>
    <w:p w14:paraId="32598402">
      <w:pPr>
        <w:bidi w:val="0"/>
        <w:rPr>
          <w:rFonts w:hint="eastAsia" w:ascii="Times New Roman" w:hAnsi="Times New Roman"/>
          <w:color w:val="auto"/>
        </w:rPr>
      </w:pPr>
      <w:r>
        <w:rPr>
          <w:rFonts w:hint="eastAsia" w:ascii="Times New Roman" w:hAnsi="Times New Roman"/>
          <w:color w:val="auto"/>
        </w:rPr>
        <w:t>34</w:t>
      </w:r>
      <w:r>
        <w:rPr>
          <w:rFonts w:hint="eastAsia" w:ascii="Times New Roman" w:hAnsi="Times New Roman"/>
          <w:color w:val="auto"/>
          <w:lang w:eastAsia="zh-CN"/>
        </w:rPr>
        <w:t>、</w:t>
      </w:r>
      <w:r>
        <w:rPr>
          <w:rFonts w:hint="eastAsia" w:ascii="Times New Roman" w:hAnsi="Times New Roman"/>
          <w:color w:val="auto"/>
        </w:rPr>
        <w:t>《建筑设计防火规范》（GB50016-2014[2018版]，2018年10月1日）；</w:t>
      </w:r>
    </w:p>
    <w:p w14:paraId="37AF7B5E">
      <w:pPr>
        <w:bidi w:val="0"/>
        <w:rPr>
          <w:rFonts w:hint="eastAsia" w:ascii="Times New Roman" w:hAnsi="Times New Roman"/>
          <w:color w:val="auto"/>
        </w:rPr>
      </w:pPr>
      <w:r>
        <w:rPr>
          <w:rFonts w:hint="eastAsia" w:ascii="Times New Roman" w:hAnsi="Times New Roman"/>
          <w:color w:val="auto"/>
        </w:rPr>
        <w:t>35</w:t>
      </w:r>
      <w:r>
        <w:rPr>
          <w:rFonts w:hint="eastAsia" w:ascii="Times New Roman" w:hAnsi="Times New Roman"/>
          <w:color w:val="auto"/>
          <w:lang w:eastAsia="zh-CN"/>
        </w:rPr>
        <w:t>、</w:t>
      </w:r>
      <w:r>
        <w:rPr>
          <w:rFonts w:hint="eastAsia" w:ascii="Times New Roman" w:hAnsi="Times New Roman"/>
          <w:color w:val="auto"/>
        </w:rPr>
        <w:t>《建筑防火通用规范》（GB55037-2022，2023年6月1日）；</w:t>
      </w:r>
    </w:p>
    <w:p w14:paraId="7DFE029A">
      <w:pPr>
        <w:bidi w:val="0"/>
        <w:rPr>
          <w:rFonts w:hint="eastAsia" w:ascii="Times New Roman" w:hAnsi="Times New Roman"/>
          <w:color w:val="auto"/>
        </w:rPr>
      </w:pPr>
      <w:r>
        <w:rPr>
          <w:rFonts w:hint="eastAsia" w:ascii="Times New Roman" w:hAnsi="Times New Roman"/>
          <w:color w:val="auto"/>
        </w:rPr>
        <w:t>36</w:t>
      </w:r>
      <w:r>
        <w:rPr>
          <w:rFonts w:hint="eastAsia" w:ascii="Times New Roman" w:hAnsi="Times New Roman"/>
          <w:color w:val="auto"/>
          <w:lang w:eastAsia="zh-CN"/>
        </w:rPr>
        <w:t>、</w:t>
      </w:r>
      <w:r>
        <w:rPr>
          <w:rFonts w:hint="eastAsia" w:ascii="Times New Roman" w:hAnsi="Times New Roman"/>
          <w:color w:val="auto"/>
        </w:rPr>
        <w:t>《安全评价通则》（AQ8001-2007，2007年4月1日）；</w:t>
      </w:r>
    </w:p>
    <w:p w14:paraId="5AD6D4EF">
      <w:pPr>
        <w:bidi w:val="0"/>
        <w:rPr>
          <w:rFonts w:hint="eastAsia" w:ascii="Times New Roman" w:hAnsi="Times New Roman"/>
          <w:color w:val="auto"/>
        </w:rPr>
      </w:pPr>
      <w:r>
        <w:rPr>
          <w:rFonts w:hint="eastAsia" w:ascii="Times New Roman" w:hAnsi="Times New Roman"/>
          <w:color w:val="auto"/>
        </w:rPr>
        <w:t>37</w:t>
      </w:r>
      <w:r>
        <w:rPr>
          <w:rFonts w:hint="eastAsia" w:ascii="Times New Roman" w:hAnsi="Times New Roman"/>
          <w:color w:val="auto"/>
          <w:lang w:eastAsia="zh-CN"/>
        </w:rPr>
        <w:t>、</w:t>
      </w:r>
      <w:r>
        <w:rPr>
          <w:rFonts w:hint="eastAsia" w:ascii="Times New Roman" w:hAnsi="Times New Roman"/>
          <w:color w:val="auto"/>
        </w:rPr>
        <w:t>《安全预评价导则》（AQ8002-2007，2007年4月1日）；</w:t>
      </w:r>
    </w:p>
    <w:p w14:paraId="44FFDE20">
      <w:pPr>
        <w:bidi w:val="0"/>
        <w:rPr>
          <w:rFonts w:hint="eastAsia" w:ascii="Times New Roman" w:hAnsi="Times New Roman"/>
          <w:color w:val="auto"/>
        </w:rPr>
      </w:pPr>
      <w:r>
        <w:rPr>
          <w:rFonts w:hint="eastAsia" w:ascii="Times New Roman" w:hAnsi="Times New Roman"/>
          <w:color w:val="auto"/>
        </w:rPr>
        <w:t>38</w:t>
      </w:r>
      <w:r>
        <w:rPr>
          <w:rFonts w:hint="eastAsia" w:ascii="Times New Roman" w:hAnsi="Times New Roman"/>
          <w:color w:val="auto"/>
          <w:lang w:eastAsia="zh-CN"/>
        </w:rPr>
        <w:t>、</w:t>
      </w:r>
      <w:r>
        <w:rPr>
          <w:rFonts w:hint="eastAsia" w:ascii="Times New Roman" w:hAnsi="Times New Roman"/>
          <w:color w:val="auto"/>
        </w:rPr>
        <w:t>《金属非金属露天矿山在用矿用自卸汽车安全检验规范》（AQ2027-2010，自2011年5月1日）；</w:t>
      </w:r>
    </w:p>
    <w:p w14:paraId="370BCCCD">
      <w:pPr>
        <w:bidi w:val="0"/>
        <w:rPr>
          <w:rFonts w:hint="eastAsia" w:ascii="Times New Roman" w:hAnsi="Times New Roman"/>
          <w:color w:val="auto"/>
        </w:rPr>
      </w:pPr>
      <w:r>
        <w:rPr>
          <w:rFonts w:hint="eastAsia" w:ascii="Times New Roman" w:hAnsi="Times New Roman"/>
          <w:color w:val="auto"/>
        </w:rPr>
        <w:t>39</w:t>
      </w:r>
      <w:r>
        <w:rPr>
          <w:rFonts w:hint="eastAsia" w:ascii="Times New Roman" w:hAnsi="Times New Roman"/>
          <w:color w:val="auto"/>
          <w:lang w:eastAsia="zh-CN"/>
        </w:rPr>
        <w:t>、</w:t>
      </w:r>
      <w:r>
        <w:rPr>
          <w:rFonts w:hint="eastAsia" w:ascii="Times New Roman" w:hAnsi="Times New Roman"/>
          <w:color w:val="auto"/>
        </w:rPr>
        <w:t>《金属非金属矿山在用空气压缩机安全检验规范第2部分：移动式空气压缩机》（AQ2056-2016，自2017年3月1日）；</w:t>
      </w:r>
    </w:p>
    <w:p w14:paraId="3144457F">
      <w:pPr>
        <w:bidi w:val="0"/>
        <w:rPr>
          <w:rFonts w:hint="eastAsia" w:ascii="Times New Roman" w:hAnsi="Times New Roman"/>
          <w:color w:val="auto"/>
        </w:rPr>
      </w:pPr>
      <w:r>
        <w:rPr>
          <w:rFonts w:hint="eastAsia" w:ascii="Times New Roman" w:hAnsi="Times New Roman"/>
          <w:color w:val="auto"/>
        </w:rPr>
        <w:t>40</w:t>
      </w:r>
      <w:r>
        <w:rPr>
          <w:rFonts w:hint="eastAsia" w:ascii="Times New Roman" w:hAnsi="Times New Roman"/>
          <w:color w:val="auto"/>
          <w:lang w:eastAsia="zh-CN"/>
        </w:rPr>
        <w:t>、</w:t>
      </w:r>
      <w:r>
        <w:rPr>
          <w:rFonts w:hint="eastAsia" w:ascii="Times New Roman" w:hAnsi="Times New Roman"/>
          <w:color w:val="auto"/>
        </w:rPr>
        <w:t>《金属非金属露天矿山高陡边坡安全监测技术规范》（KA/T 2063—2018，自2018年12月1日）；</w:t>
      </w:r>
    </w:p>
    <w:p w14:paraId="20000AD9">
      <w:pPr>
        <w:bidi w:val="0"/>
        <w:rPr>
          <w:rFonts w:hint="eastAsia" w:ascii="Times New Roman" w:hAnsi="Times New Roman"/>
          <w:color w:val="auto"/>
        </w:rPr>
      </w:pPr>
      <w:r>
        <w:rPr>
          <w:rFonts w:hint="eastAsia" w:ascii="Times New Roman" w:hAnsi="Times New Roman"/>
          <w:color w:val="auto"/>
        </w:rPr>
        <w:t>41</w:t>
      </w:r>
      <w:r>
        <w:rPr>
          <w:rFonts w:hint="eastAsia" w:ascii="Times New Roman" w:hAnsi="Times New Roman"/>
          <w:color w:val="auto"/>
          <w:lang w:eastAsia="zh-CN"/>
        </w:rPr>
        <w:t>、</w:t>
      </w:r>
      <w:r>
        <w:rPr>
          <w:rFonts w:hint="eastAsia" w:ascii="Times New Roman" w:hAnsi="Times New Roman"/>
          <w:color w:val="auto"/>
        </w:rPr>
        <w:t>《金属非金属矿山在用设备设施安全检测检验目录》（KA/T 2075—2019，自2020年2月1日）；</w:t>
      </w:r>
    </w:p>
    <w:p w14:paraId="7BB9CCD4">
      <w:pPr>
        <w:bidi w:val="0"/>
        <w:rPr>
          <w:rFonts w:hint="eastAsia" w:ascii="Times New Roman" w:hAnsi="Times New Roman"/>
          <w:color w:val="auto"/>
        </w:rPr>
      </w:pPr>
      <w:r>
        <w:rPr>
          <w:rFonts w:hint="eastAsia" w:ascii="Times New Roman" w:hAnsi="Times New Roman"/>
          <w:color w:val="auto"/>
        </w:rPr>
        <w:t>42</w:t>
      </w:r>
      <w:r>
        <w:rPr>
          <w:rFonts w:hint="eastAsia" w:ascii="Times New Roman" w:hAnsi="Times New Roman"/>
          <w:color w:val="auto"/>
          <w:lang w:eastAsia="zh-CN"/>
        </w:rPr>
        <w:t>、</w:t>
      </w:r>
      <w:r>
        <w:rPr>
          <w:rFonts w:hint="eastAsia" w:ascii="Times New Roman" w:hAnsi="Times New Roman"/>
          <w:color w:val="auto"/>
        </w:rPr>
        <w:t>《非煤矿山建设项目安全设施设计编写提纲 第2部分：金属非金属露天矿山建设项目安全设施设计编写提纲》（KA/T 20.2—2024）；</w:t>
      </w:r>
    </w:p>
    <w:p w14:paraId="4BE51408">
      <w:pPr>
        <w:bidi w:val="0"/>
        <w:rPr>
          <w:rFonts w:hint="eastAsia" w:ascii="Times New Roman" w:hAnsi="Times New Roman"/>
          <w:color w:val="auto"/>
        </w:rPr>
      </w:pPr>
      <w:r>
        <w:rPr>
          <w:rFonts w:hint="eastAsia" w:ascii="Times New Roman" w:hAnsi="Times New Roman"/>
          <w:color w:val="auto"/>
        </w:rPr>
        <w:t>43</w:t>
      </w:r>
      <w:r>
        <w:rPr>
          <w:rFonts w:hint="eastAsia" w:ascii="Times New Roman" w:hAnsi="Times New Roman"/>
          <w:color w:val="auto"/>
          <w:lang w:eastAsia="zh-CN"/>
        </w:rPr>
        <w:t>、</w:t>
      </w:r>
      <w:r>
        <w:rPr>
          <w:rFonts w:hint="eastAsia" w:ascii="Times New Roman" w:hAnsi="Times New Roman"/>
          <w:color w:val="auto"/>
        </w:rPr>
        <w:t>《矿山隐蔽致灾因素普查规范 第3部分：金属非金属矿山及尾矿库》（KA/T 22.3-2024，2024年11月01日实施）；</w:t>
      </w:r>
    </w:p>
    <w:p w14:paraId="0267757F">
      <w:pPr>
        <w:numPr>
          <w:ilvl w:val="0"/>
          <w:numId w:val="0"/>
        </w:numPr>
        <w:bidi w:val="0"/>
        <w:ind w:firstLine="560" w:firstLineChars="200"/>
        <w:rPr>
          <w:rFonts w:hint="default" w:ascii="Times New Roman" w:hAnsi="Times New Roman" w:eastAsia="宋体" w:cstheme="minorBidi"/>
          <w:color w:val="auto"/>
          <w:kern w:val="2"/>
          <w:sz w:val="28"/>
          <w:szCs w:val="28"/>
          <w:lang w:val="en-US" w:eastAsia="zh-CN" w:bidi="ar-SA"/>
        </w:rPr>
      </w:pPr>
      <w:r>
        <w:rPr>
          <w:rFonts w:hint="eastAsia" w:cstheme="minorBidi"/>
          <w:color w:val="auto"/>
          <w:kern w:val="2"/>
          <w:sz w:val="28"/>
          <w:szCs w:val="28"/>
          <w:lang w:val="en-US" w:eastAsia="zh-CN" w:bidi="ar-SA"/>
        </w:rPr>
        <w:t>44、《金属非金属矿山排土场安全生产规则》（KA 23-2025，2025年11月01日施行）；</w:t>
      </w:r>
    </w:p>
    <w:p w14:paraId="09C20458">
      <w:pPr>
        <w:numPr>
          <w:ilvl w:val="0"/>
          <w:numId w:val="0"/>
        </w:numPr>
        <w:bidi w:val="0"/>
        <w:ind w:firstLine="560" w:firstLineChars="200"/>
        <w:rPr>
          <w:rFonts w:hint="eastAsia" w:ascii="Times New Roman" w:hAnsi="Times New Roman"/>
          <w:color w:val="auto"/>
        </w:rPr>
      </w:pPr>
      <w:r>
        <w:rPr>
          <w:rFonts w:hint="eastAsia" w:ascii="Times New Roman" w:hAnsi="Times New Roman" w:eastAsia="宋体" w:cstheme="minorBidi"/>
          <w:color w:val="auto"/>
          <w:kern w:val="2"/>
          <w:sz w:val="28"/>
          <w:szCs w:val="28"/>
          <w:lang w:val="en-US" w:eastAsia="zh-CN" w:bidi="ar-SA"/>
        </w:rPr>
        <w:t>4</w:t>
      </w:r>
      <w:r>
        <w:rPr>
          <w:rFonts w:hint="eastAsia" w:cstheme="minorBidi"/>
          <w:color w:val="auto"/>
          <w:kern w:val="2"/>
          <w:sz w:val="28"/>
          <w:szCs w:val="28"/>
          <w:lang w:val="en-US" w:eastAsia="zh-CN" w:bidi="ar-SA"/>
        </w:rPr>
        <w:t>5</w:t>
      </w:r>
      <w:r>
        <w:rPr>
          <w:rFonts w:hint="eastAsia" w:ascii="Times New Roman" w:hAnsi="Times New Roman" w:cstheme="minorBidi"/>
          <w:color w:val="auto"/>
          <w:kern w:val="2"/>
          <w:sz w:val="28"/>
          <w:szCs w:val="28"/>
          <w:lang w:val="en-US" w:eastAsia="zh-CN" w:bidi="ar-SA"/>
        </w:rPr>
        <w:t>、</w:t>
      </w:r>
      <w:r>
        <w:rPr>
          <w:rFonts w:hint="eastAsia" w:ascii="Times New Roman" w:hAnsi="Times New Roman"/>
          <w:color w:val="auto"/>
        </w:rPr>
        <w:t>其他相关的标准及规范。</w:t>
      </w:r>
    </w:p>
    <w:p w14:paraId="689F650E">
      <w:pPr>
        <w:pStyle w:val="4"/>
        <w:bidi w:val="0"/>
        <w:rPr>
          <w:rFonts w:hint="eastAsia" w:ascii="Times New Roman" w:hAnsi="Times New Roman"/>
          <w:color w:val="auto"/>
        </w:rPr>
      </w:pPr>
      <w:bookmarkStart w:id="58" w:name="_Toc28823"/>
      <w:r>
        <w:rPr>
          <w:rFonts w:hint="eastAsia" w:ascii="Times New Roman" w:hAnsi="Times New Roman"/>
          <w:color w:val="auto"/>
        </w:rPr>
        <w:t>1.2.</w:t>
      </w:r>
      <w:r>
        <w:rPr>
          <w:rFonts w:hint="eastAsia" w:ascii="Times New Roman" w:hAnsi="Times New Roman"/>
          <w:color w:val="auto"/>
          <w:lang w:val="en-US" w:eastAsia="zh-CN"/>
        </w:rPr>
        <w:t xml:space="preserve">3 </w:t>
      </w:r>
      <w:r>
        <w:rPr>
          <w:rFonts w:hint="eastAsia" w:ascii="Times New Roman" w:hAnsi="Times New Roman"/>
          <w:color w:val="auto"/>
        </w:rPr>
        <w:t>建设项目合法性文件</w:t>
      </w:r>
      <w:bookmarkEnd w:id="58"/>
    </w:p>
    <w:p w14:paraId="66E4E88D">
      <w:pPr>
        <w:bidi w:val="0"/>
        <w:rPr>
          <w:rFonts w:hint="eastAsia" w:ascii="Times New Roman" w:hAnsi="Times New Roman"/>
          <w:color w:val="auto"/>
        </w:rPr>
      </w:pPr>
      <w:r>
        <w:rPr>
          <w:rFonts w:hint="eastAsia" w:ascii="Times New Roman" w:hAnsi="Times New Roman"/>
          <w:color w:val="auto"/>
        </w:rPr>
        <w:t>1</w:t>
      </w:r>
      <w:r>
        <w:rPr>
          <w:rFonts w:hint="eastAsia" w:ascii="Times New Roman" w:hAnsi="Times New Roman"/>
          <w:color w:val="auto"/>
          <w:lang w:eastAsia="zh-CN"/>
        </w:rPr>
        <w:t>、</w:t>
      </w:r>
      <w:r>
        <w:rPr>
          <w:rFonts w:hint="eastAsia" w:ascii="Times New Roman" w:hAnsi="Times New Roman"/>
          <w:color w:val="auto"/>
        </w:rPr>
        <w:t>投资备案证；</w:t>
      </w:r>
    </w:p>
    <w:p w14:paraId="514D97CB">
      <w:pPr>
        <w:bidi w:val="0"/>
        <w:rPr>
          <w:rFonts w:hint="eastAsia"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营业执照（统一社会信用代码：915306026930544304）；</w:t>
      </w:r>
    </w:p>
    <w:p w14:paraId="251416E9">
      <w:pPr>
        <w:bidi w:val="0"/>
        <w:rPr>
          <w:rFonts w:hint="eastAsia"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采矿许可证（证号：C5306002008096120013281）。</w:t>
      </w:r>
    </w:p>
    <w:p w14:paraId="33D2C6DA">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4、</w:t>
      </w:r>
      <w:r>
        <w:rPr>
          <w:rFonts w:hint="eastAsia" w:ascii="Times New Roman" w:hAnsi="Times New Roman" w:eastAsia="宋体"/>
          <w:color w:val="auto"/>
          <w:lang w:val="en-US" w:eastAsia="zh-CN"/>
        </w:rPr>
        <w:t>投资备案证；</w:t>
      </w:r>
    </w:p>
    <w:p w14:paraId="76A479E4">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5、电力设施保护协议；</w:t>
      </w:r>
    </w:p>
    <w:p w14:paraId="3BF89F4E">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6、土地征用情况说明。</w:t>
      </w:r>
    </w:p>
    <w:p w14:paraId="41AFC6A3">
      <w:pPr>
        <w:pStyle w:val="4"/>
        <w:bidi w:val="0"/>
        <w:rPr>
          <w:rFonts w:hint="eastAsia" w:ascii="Times New Roman" w:hAnsi="Times New Roman"/>
          <w:color w:val="auto"/>
          <w:lang w:val="en-US" w:eastAsia="zh-CN"/>
        </w:rPr>
      </w:pPr>
      <w:bookmarkStart w:id="59" w:name="_Toc26031"/>
      <w:r>
        <w:rPr>
          <w:rFonts w:hint="eastAsia" w:ascii="Times New Roman" w:hAnsi="Times New Roman"/>
          <w:color w:val="auto"/>
          <w:lang w:val="en-US" w:eastAsia="zh-CN"/>
        </w:rPr>
        <w:t>1.2.4 建设项目技术文件</w:t>
      </w:r>
      <w:bookmarkEnd w:id="59"/>
    </w:p>
    <w:p w14:paraId="18E9FF79">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1、《</w:t>
      </w:r>
      <w:r>
        <w:rPr>
          <w:rFonts w:hint="eastAsia" w:ascii="Times New Roman" w:hAnsi="Times New Roman" w:eastAsia="宋体"/>
          <w:color w:val="auto"/>
          <w:lang w:val="en-US" w:eastAsia="zh-CN"/>
        </w:rPr>
        <w:t>云南省昭阳区文辉矿业有限公司洒渔大桥普通建筑材料用石灰岩矿勘查地质报告</w:t>
      </w:r>
      <w:r>
        <w:rPr>
          <w:rFonts w:hint="eastAsia" w:ascii="Times New Roman" w:hAnsi="Times New Roman"/>
          <w:color w:val="auto"/>
          <w:lang w:val="en-US" w:eastAsia="zh-CN"/>
        </w:rPr>
        <w:t>》（2019年1月9日）</w:t>
      </w:r>
      <w:r>
        <w:rPr>
          <w:rFonts w:hint="eastAsia" w:ascii="Times New Roman" w:hAnsi="Times New Roman" w:eastAsia="宋体"/>
          <w:color w:val="auto"/>
          <w:lang w:val="en-US" w:eastAsia="zh-CN"/>
        </w:rPr>
        <w:t>评审意见书</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云华亿昭矿评储字</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2019</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001号</w:t>
      </w:r>
      <w:r>
        <w:rPr>
          <w:rFonts w:hint="eastAsia" w:ascii="Times New Roman" w:hAnsi="Times New Roman"/>
          <w:color w:val="auto"/>
          <w:lang w:val="en-US" w:eastAsia="zh-CN"/>
        </w:rPr>
        <w:t>）；</w:t>
      </w:r>
    </w:p>
    <w:p w14:paraId="298B6BD6">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2、</w:t>
      </w:r>
      <w:r>
        <w:rPr>
          <w:rFonts w:hint="eastAsia" w:ascii="Times New Roman" w:hAnsi="Times New Roman" w:eastAsia="宋体"/>
          <w:color w:val="auto"/>
          <w:lang w:val="en-US" w:eastAsia="zh-CN"/>
        </w:rPr>
        <w:t>昭通市国土资源局关于《云南省昭阳区文辉矿业有限公司酒渔大桥普通建筑材料用石灰岩矿勘查地质报告》</w:t>
      </w:r>
      <w:r>
        <w:rPr>
          <w:rFonts w:hint="eastAsia" w:ascii="Times New Roman" w:hAnsi="Times New Roman"/>
          <w:color w:val="auto"/>
          <w:lang w:val="en-US" w:eastAsia="zh-CN"/>
        </w:rPr>
        <w:t>（2019）</w:t>
      </w:r>
      <w:r>
        <w:rPr>
          <w:rFonts w:hint="eastAsia" w:ascii="Times New Roman" w:hAnsi="Times New Roman" w:eastAsia="宋体"/>
          <w:color w:val="auto"/>
          <w:lang w:val="en-US" w:eastAsia="zh-CN"/>
        </w:rPr>
        <w:t>矿产资源储量评审备案证明（昭市国土资矿储备字</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2019</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01号</w:t>
      </w:r>
      <w:r>
        <w:rPr>
          <w:rFonts w:hint="eastAsia" w:ascii="Times New Roman" w:hAnsi="Times New Roman"/>
          <w:color w:val="auto"/>
          <w:lang w:val="en-US" w:eastAsia="zh-CN"/>
        </w:rPr>
        <w:t>，2019年01月14日</w:t>
      </w:r>
      <w:r>
        <w:rPr>
          <w:rFonts w:hint="eastAsia" w:ascii="Times New Roman" w:hAnsi="Times New Roman" w:eastAsia="宋体"/>
          <w:color w:val="auto"/>
          <w:lang w:val="en-US" w:eastAsia="zh-CN"/>
        </w:rPr>
        <w:t>）；</w:t>
      </w:r>
    </w:p>
    <w:p w14:paraId="5E998C47">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3、</w:t>
      </w:r>
      <w:r>
        <w:rPr>
          <w:rFonts w:hint="eastAsia" w:ascii="Times New Roman" w:hAnsi="Times New Roman" w:eastAsia="宋体"/>
          <w:color w:val="auto"/>
          <w:lang w:val="en-US" w:eastAsia="zh-CN"/>
        </w:rPr>
        <w:t>《</w:t>
      </w:r>
      <w:r>
        <w:rPr>
          <w:rFonts w:hint="eastAsia" w:ascii="Times New Roman" w:hAnsi="Times New Roman"/>
          <w:color w:val="auto"/>
          <w:lang w:val="en-US" w:eastAsia="zh-CN"/>
        </w:rPr>
        <w:t>昭阳区文辉矿业有限公司洒渔大桥石灰岩矿70万t/a露天采矿工程初步设计（代可研）</w:t>
      </w:r>
      <w:r>
        <w:rPr>
          <w:rFonts w:hint="eastAsia" w:ascii="Times New Roman" w:hAnsi="Times New Roman" w:eastAsia="宋体"/>
          <w:color w:val="auto"/>
          <w:lang w:val="en-US" w:eastAsia="zh-CN"/>
        </w:rPr>
        <w:t>》（云南德成规划设计有限公司，2025年0</w:t>
      </w:r>
      <w:r>
        <w:rPr>
          <w:rFonts w:hint="eastAsia" w:ascii="Times New Roman" w:hAnsi="Times New Roman"/>
          <w:color w:val="auto"/>
          <w:lang w:val="en-US" w:eastAsia="zh-CN"/>
        </w:rPr>
        <w:t>8</w:t>
      </w:r>
      <w:r>
        <w:rPr>
          <w:rFonts w:hint="eastAsia" w:ascii="Times New Roman" w:hAnsi="Times New Roman" w:eastAsia="宋体"/>
          <w:color w:val="auto"/>
          <w:lang w:val="en-US" w:eastAsia="zh-CN"/>
        </w:rPr>
        <w:t>月）。</w:t>
      </w:r>
    </w:p>
    <w:p w14:paraId="073EA65A">
      <w:pPr>
        <w:pStyle w:val="4"/>
        <w:bidi w:val="0"/>
        <w:rPr>
          <w:rFonts w:hint="eastAsia" w:ascii="Times New Roman" w:hAnsi="Times New Roman"/>
          <w:color w:val="auto"/>
          <w:lang w:val="en-US" w:eastAsia="zh-CN"/>
        </w:rPr>
      </w:pPr>
      <w:bookmarkStart w:id="60" w:name="_Toc22011"/>
      <w:r>
        <w:rPr>
          <w:rFonts w:hint="eastAsia" w:ascii="Times New Roman" w:hAnsi="Times New Roman"/>
          <w:color w:val="auto"/>
          <w:lang w:val="en-US" w:eastAsia="zh-CN"/>
        </w:rPr>
        <w:t>1.2.5 其它评价依据</w:t>
      </w:r>
      <w:bookmarkEnd w:id="60"/>
    </w:p>
    <w:p w14:paraId="4FE9260A">
      <w:pPr>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1</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安全预评价委托书；</w:t>
      </w:r>
    </w:p>
    <w:p w14:paraId="56A702C1">
      <w:pPr>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2</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提供资料真实性承诺书；</w:t>
      </w:r>
    </w:p>
    <w:p w14:paraId="13EC72C2">
      <w:pPr>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3</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《采矿工程设计手册》，煤炭工业出版社，2003；</w:t>
      </w:r>
    </w:p>
    <w:p w14:paraId="48DD2499">
      <w:pPr>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4</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《矿山安全性评价与安全事故的预防及处理实务全书》，中国商业出版社，2001；</w:t>
      </w:r>
    </w:p>
    <w:p w14:paraId="4996793C">
      <w:pPr>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5</w:t>
      </w:r>
      <w:r>
        <w:rPr>
          <w:rFonts w:hint="eastAsia" w:ascii="Times New Roman" w:hAnsi="Times New Roman"/>
          <w:color w:val="auto"/>
          <w:lang w:val="en-US" w:eastAsia="zh-CN"/>
        </w:rPr>
        <w:t>、</w:t>
      </w:r>
      <w:r>
        <w:rPr>
          <w:rFonts w:hint="eastAsia" w:ascii="Times New Roman" w:hAnsi="Times New Roman" w:eastAsia="宋体"/>
          <w:color w:val="auto"/>
          <w:lang w:val="en-US" w:eastAsia="zh-CN"/>
        </w:rPr>
        <w:t>《注册安全工程师手册》（第三版），化学工业出版社，2020-08-01；</w:t>
      </w:r>
    </w:p>
    <w:p w14:paraId="55C4A6F3">
      <w:pPr>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《安全评价》（第三版），国家安全生产监督管理局编，煤炭工业出版社，2006。</w:t>
      </w:r>
    </w:p>
    <w:p w14:paraId="19CCBAF0">
      <w:pPr>
        <w:pStyle w:val="2"/>
        <w:bidi w:val="0"/>
        <w:rPr>
          <w:rFonts w:ascii="Times New Roman" w:hAnsi="Times New Roman"/>
          <w:color w:val="auto"/>
        </w:rPr>
      </w:pPr>
      <w:bookmarkStart w:id="61" w:name="_Toc18186"/>
      <w:r>
        <w:rPr>
          <w:rFonts w:hint="eastAsia" w:ascii="Times New Roman" w:hAnsi="Times New Roman"/>
          <w:color w:val="auto"/>
        </w:rPr>
        <w:t>2 建设项目概述</w:t>
      </w:r>
      <w:bookmarkEnd w:id="61"/>
    </w:p>
    <w:p w14:paraId="2189BC61">
      <w:pPr>
        <w:pStyle w:val="3"/>
        <w:bidi w:val="0"/>
        <w:rPr>
          <w:rFonts w:hint="eastAsia" w:ascii="Times New Roman" w:hAnsi="Times New Roman"/>
          <w:color w:val="auto"/>
        </w:rPr>
      </w:pPr>
      <w:bookmarkStart w:id="62" w:name="_Toc23542"/>
      <w:r>
        <w:rPr>
          <w:rFonts w:hint="eastAsia" w:ascii="Times New Roman" w:hAnsi="Times New Roman"/>
          <w:color w:val="auto"/>
        </w:rPr>
        <w:t>2.1 建设单位概况</w:t>
      </w:r>
      <w:bookmarkEnd w:id="62"/>
    </w:p>
    <w:p w14:paraId="337E0E7A">
      <w:pPr>
        <w:pStyle w:val="4"/>
        <w:bidi w:val="0"/>
        <w:rPr>
          <w:rFonts w:ascii="Times New Roman" w:hAnsi="Times New Roman"/>
          <w:color w:val="auto"/>
        </w:rPr>
      </w:pPr>
      <w:bookmarkStart w:id="63" w:name="_Toc6939"/>
      <w:r>
        <w:rPr>
          <w:rFonts w:hint="eastAsia" w:ascii="Times New Roman" w:hAnsi="Times New Roman"/>
          <w:color w:val="auto"/>
        </w:rPr>
        <w:t>2.1.1 建设单位简介</w:t>
      </w:r>
      <w:bookmarkEnd w:id="63"/>
    </w:p>
    <w:p w14:paraId="5FEB4EBB">
      <w:pPr>
        <w:bidi w:val="0"/>
        <w:rPr>
          <w:rFonts w:hint="eastAsia" w:ascii="Times New Roman" w:hAnsi="Times New Roman"/>
          <w:color w:val="auto"/>
          <w:lang w:eastAsia="zh-CN"/>
        </w:rPr>
      </w:pPr>
      <w:r>
        <w:rPr>
          <w:rFonts w:hint="eastAsia" w:ascii="Times New Roman" w:hAnsi="Times New Roman"/>
          <w:color w:val="auto"/>
          <w:lang w:eastAsia="zh-CN"/>
        </w:rPr>
        <w:t>昭阳区文辉矿业有限公司洒渔大桥石灰岩矿始建于2008年9月，原名昭阳区文辉矿业有限公司洒渔大桥方解石厂，该矿于2008年9月首次进行采矿权登记，后在2013年3月29日办理了采矿许可证延续登记手续，采矿许可证号C5306002008096120013281，有效期为2013年3月29日至2016年3月29日，开采矿种：方解石，开采方式：露天开采，生产规模5万t/a，矿区面积0.0695km</w:t>
      </w:r>
      <w:r>
        <w:rPr>
          <w:rFonts w:hint="eastAsia" w:ascii="Times New Roman" w:hAnsi="Times New Roman"/>
          <w:color w:val="auto"/>
          <w:vertAlign w:val="superscript"/>
          <w:lang w:eastAsia="zh-CN"/>
        </w:rPr>
        <w:t>2</w:t>
      </w:r>
      <w:r>
        <w:rPr>
          <w:rFonts w:hint="eastAsia" w:ascii="Times New Roman" w:hAnsi="Times New Roman"/>
          <w:color w:val="auto"/>
          <w:lang w:eastAsia="zh-CN"/>
        </w:rPr>
        <w:t>，开采深度2080m～1990m，矿界300m处是昭通市正宇昭通市昭阳区正宇砂石料厂。</w:t>
      </w:r>
    </w:p>
    <w:p w14:paraId="16FBE327">
      <w:pPr>
        <w:bidi w:val="0"/>
        <w:rPr>
          <w:rFonts w:hint="eastAsia" w:ascii="Times New Roman" w:hAnsi="Times New Roman"/>
          <w:color w:val="auto"/>
          <w:lang w:eastAsia="zh-CN"/>
        </w:rPr>
      </w:pPr>
      <w:r>
        <w:rPr>
          <w:rFonts w:hint="eastAsia" w:ascii="Times New Roman" w:hAnsi="Times New Roman"/>
          <w:color w:val="auto"/>
          <w:lang w:eastAsia="zh-CN"/>
        </w:rPr>
        <w:t>2018年与昭通市昭阳区正宇砂石料厂整合，更名为昭阳区文辉矿业有限公司洒渔大桥石灰岩矿，并办理了采矿许可证延续登记手续，采矿许可证号C5306002008096120013281，有效期2018年4月1日至2020年4月1日，开采矿种：石灰岩，开采方式：露天开采，生产规模10万t/a，矿区面积0.1216km</w:t>
      </w:r>
      <w:r>
        <w:rPr>
          <w:rFonts w:hint="eastAsia" w:ascii="Times New Roman" w:hAnsi="Times New Roman"/>
          <w:color w:val="auto"/>
          <w:vertAlign w:val="superscript"/>
          <w:lang w:eastAsia="zh-CN"/>
        </w:rPr>
        <w:t>2</w:t>
      </w:r>
      <w:r>
        <w:rPr>
          <w:rFonts w:hint="eastAsia" w:ascii="Times New Roman" w:hAnsi="Times New Roman"/>
          <w:color w:val="auto"/>
          <w:lang w:eastAsia="zh-CN"/>
        </w:rPr>
        <w:t>，开采深度2060m～1960m。2020年再次办理了采矿许可证延续等级手续，有效期为2020年3月31日至2025年3月31日。</w:t>
      </w:r>
    </w:p>
    <w:p w14:paraId="316FA95B">
      <w:pPr>
        <w:bidi w:val="0"/>
        <w:rPr>
          <w:rFonts w:hint="eastAsia" w:ascii="Times New Roman" w:hAnsi="Times New Roman"/>
          <w:color w:val="auto"/>
          <w:lang w:eastAsia="zh-CN"/>
        </w:rPr>
      </w:pPr>
      <w:r>
        <w:rPr>
          <w:rFonts w:hint="eastAsia" w:ascii="Times New Roman" w:hAnsi="Times New Roman"/>
          <w:color w:val="auto"/>
          <w:lang w:eastAsia="zh-CN"/>
        </w:rPr>
        <w:t>2025年4月取得新采矿许可证，证号C5306002008096120013281，矿区由4个拐点圈定，开采面积为0.1215km</w:t>
      </w:r>
      <w:r>
        <w:rPr>
          <w:rFonts w:hint="eastAsia" w:ascii="Times New Roman" w:hAnsi="Times New Roman"/>
          <w:color w:val="auto"/>
          <w:vertAlign w:val="superscript"/>
          <w:lang w:eastAsia="zh-CN"/>
        </w:rPr>
        <w:t>2</w:t>
      </w:r>
      <w:r>
        <w:rPr>
          <w:rFonts w:hint="eastAsia" w:ascii="Times New Roman" w:hAnsi="Times New Roman"/>
          <w:color w:val="auto"/>
          <w:lang w:eastAsia="zh-CN"/>
        </w:rPr>
        <w:t>，有效期：2025年4月8日至2026年11月8日，开采矿种：建筑石料用灰岩；开采方式：露天开采；开采规模：10万t/年；开采标高2060m-1960m。</w:t>
      </w:r>
    </w:p>
    <w:p w14:paraId="1D820CC1">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营业执照相关信息如下：</w:t>
      </w:r>
    </w:p>
    <w:p w14:paraId="5692818B">
      <w:pPr>
        <w:bidi w:val="0"/>
        <w:rPr>
          <w:rFonts w:hint="eastAsia" w:ascii="Times New Roman" w:hAnsi="Times New Roman"/>
          <w:color w:val="auto"/>
        </w:rPr>
      </w:pPr>
      <w:r>
        <w:rPr>
          <w:rFonts w:hint="eastAsia" w:ascii="Times New Roman" w:hAnsi="Times New Roman"/>
          <w:color w:val="auto"/>
        </w:rPr>
        <w:t>名    称：</w:t>
      </w:r>
      <w:r>
        <w:rPr>
          <w:rFonts w:hint="eastAsia" w:ascii="Times New Roman" w:hAnsi="Times New Roman"/>
          <w:color w:val="auto"/>
          <w:lang w:eastAsia="zh-CN"/>
        </w:rPr>
        <w:t>昭通市昭阳区文辉矿业有限公司</w:t>
      </w:r>
      <w:r>
        <w:rPr>
          <w:rFonts w:hint="eastAsia" w:ascii="Times New Roman" w:hAnsi="Times New Roman"/>
          <w:color w:val="auto"/>
        </w:rPr>
        <w:t>。</w:t>
      </w:r>
    </w:p>
    <w:p w14:paraId="03FDF601">
      <w:pPr>
        <w:bidi w:val="0"/>
        <w:rPr>
          <w:rFonts w:hint="eastAsia" w:ascii="Times New Roman" w:hAnsi="Times New Roman"/>
          <w:color w:val="auto"/>
        </w:rPr>
      </w:pPr>
      <w:r>
        <w:rPr>
          <w:rFonts w:hint="eastAsia" w:ascii="Times New Roman" w:hAnsi="Times New Roman"/>
          <w:color w:val="auto"/>
        </w:rPr>
        <w:t>统一社会信用代码：915306026930544304。</w:t>
      </w:r>
    </w:p>
    <w:p w14:paraId="4C066A3F">
      <w:pPr>
        <w:bidi w:val="0"/>
        <w:rPr>
          <w:rFonts w:hint="eastAsia" w:ascii="Times New Roman" w:hAnsi="Times New Roman"/>
          <w:color w:val="auto"/>
        </w:rPr>
      </w:pPr>
      <w:r>
        <w:rPr>
          <w:rFonts w:hint="eastAsia" w:ascii="Times New Roman" w:hAnsi="Times New Roman"/>
          <w:color w:val="auto"/>
        </w:rPr>
        <w:t>类    型：</w:t>
      </w:r>
      <w:r>
        <w:rPr>
          <w:rFonts w:hint="eastAsia" w:ascii="Times New Roman" w:hAnsi="Times New Roman"/>
          <w:color w:val="auto"/>
          <w:lang w:val="en-US" w:eastAsia="zh-CN"/>
        </w:rPr>
        <w:t>有限责任公司（自然人投资或控股）</w:t>
      </w:r>
      <w:r>
        <w:rPr>
          <w:rFonts w:hint="eastAsia" w:ascii="Times New Roman" w:hAnsi="Times New Roman"/>
          <w:color w:val="auto"/>
        </w:rPr>
        <w:t>。</w:t>
      </w:r>
    </w:p>
    <w:p w14:paraId="428737C5">
      <w:pPr>
        <w:bidi w:val="0"/>
        <w:rPr>
          <w:rFonts w:hint="eastAsia" w:ascii="Times New Roman" w:hAnsi="Times New Roman"/>
          <w:color w:val="auto"/>
        </w:rPr>
      </w:pPr>
      <w:r>
        <w:rPr>
          <w:rFonts w:hint="eastAsia" w:ascii="Times New Roman" w:hAnsi="Times New Roman"/>
          <w:color w:val="auto"/>
          <w:lang w:val="en-US" w:eastAsia="zh-CN"/>
        </w:rPr>
        <w:t>法定代表</w:t>
      </w:r>
      <w:r>
        <w:rPr>
          <w:rFonts w:hint="eastAsia" w:ascii="Times New Roman" w:hAnsi="Times New Roman"/>
          <w:color w:val="auto"/>
        </w:rPr>
        <w:t>人：</w:t>
      </w:r>
      <w:r>
        <w:rPr>
          <w:rFonts w:hint="eastAsia" w:ascii="Times New Roman" w:hAnsi="Times New Roman"/>
          <w:color w:val="auto"/>
          <w:lang w:val="en-US" w:eastAsia="zh-CN"/>
        </w:rPr>
        <w:t>陈茜</w:t>
      </w:r>
      <w:r>
        <w:rPr>
          <w:rFonts w:hint="eastAsia" w:ascii="Times New Roman" w:hAnsi="Times New Roman"/>
          <w:color w:val="auto"/>
        </w:rPr>
        <w:t>。</w:t>
      </w:r>
    </w:p>
    <w:p w14:paraId="5D7437C1">
      <w:pPr>
        <w:bidi w:val="0"/>
        <w:rPr>
          <w:rFonts w:hint="eastAsia" w:ascii="Times New Roman" w:hAnsi="Times New Roman"/>
          <w:color w:val="auto"/>
        </w:rPr>
      </w:pPr>
      <w:r>
        <w:rPr>
          <w:rFonts w:hint="eastAsia" w:ascii="Times New Roman" w:hAnsi="Times New Roman"/>
          <w:color w:val="auto"/>
        </w:rPr>
        <w:t>经营范围：方解石开采、加工销售。</w:t>
      </w:r>
    </w:p>
    <w:p w14:paraId="79A5EA35">
      <w:pPr>
        <w:bidi w:val="0"/>
        <w:rPr>
          <w:rFonts w:hint="eastAsia" w:ascii="Times New Roman" w:hAnsi="Times New Roman"/>
          <w:color w:val="auto"/>
        </w:rPr>
      </w:pPr>
      <w:r>
        <w:rPr>
          <w:rFonts w:hint="eastAsia" w:ascii="Times New Roman" w:hAnsi="Times New Roman"/>
          <w:color w:val="auto"/>
          <w:lang w:val="en-US" w:eastAsia="zh-CN"/>
        </w:rPr>
        <w:t>成立日期</w:t>
      </w:r>
      <w:r>
        <w:rPr>
          <w:rFonts w:hint="eastAsia" w:ascii="Times New Roman" w:hAnsi="Times New Roman"/>
          <w:color w:val="auto"/>
        </w:rPr>
        <w:t>：</w:t>
      </w:r>
      <w:r>
        <w:rPr>
          <w:rFonts w:hint="eastAsia" w:ascii="Times New Roman" w:hAnsi="Times New Roman"/>
          <w:color w:val="auto"/>
          <w:lang w:val="en-US" w:eastAsia="zh-CN"/>
        </w:rPr>
        <w:t>2009</w:t>
      </w:r>
      <w:r>
        <w:rPr>
          <w:rFonts w:hint="eastAsia" w:ascii="Times New Roman" w:hAnsi="Times New Roman"/>
          <w:color w:val="auto"/>
        </w:rPr>
        <w:t>年</w:t>
      </w:r>
      <w:r>
        <w:rPr>
          <w:rFonts w:hint="eastAsia" w:ascii="Times New Roman" w:hAnsi="Times New Roman"/>
          <w:color w:val="auto"/>
          <w:lang w:val="en-US" w:eastAsia="zh-CN"/>
        </w:rPr>
        <w:t>08</w:t>
      </w:r>
      <w:r>
        <w:rPr>
          <w:rFonts w:hint="eastAsia" w:ascii="Times New Roman" w:hAnsi="Times New Roman"/>
          <w:color w:val="auto"/>
        </w:rPr>
        <w:t>月</w:t>
      </w:r>
      <w:r>
        <w:rPr>
          <w:rFonts w:hint="eastAsia" w:ascii="Times New Roman" w:hAnsi="Times New Roman"/>
          <w:color w:val="auto"/>
          <w:lang w:val="en-US" w:eastAsia="zh-CN"/>
        </w:rPr>
        <w:t>07</w:t>
      </w:r>
      <w:r>
        <w:rPr>
          <w:rFonts w:hint="eastAsia" w:ascii="Times New Roman" w:hAnsi="Times New Roman"/>
          <w:color w:val="auto"/>
        </w:rPr>
        <w:t>日。</w:t>
      </w:r>
    </w:p>
    <w:p w14:paraId="01AC3775">
      <w:pPr>
        <w:bidi w:val="0"/>
        <w:rPr>
          <w:rFonts w:hint="eastAsia" w:ascii="Times New Roman" w:hAnsi="Times New Roman"/>
          <w:color w:val="auto"/>
        </w:rPr>
      </w:pPr>
      <w:r>
        <w:rPr>
          <w:rFonts w:hint="eastAsia" w:ascii="Times New Roman" w:hAnsi="Times New Roman"/>
          <w:color w:val="auto"/>
        </w:rPr>
        <w:t>住</w:t>
      </w:r>
      <w:r>
        <w:rPr>
          <w:rFonts w:hint="eastAsia" w:ascii="Times New Roman" w:hAnsi="Times New Roman"/>
          <w:color w:val="auto"/>
          <w:lang w:val="en-US" w:eastAsia="zh-CN"/>
        </w:rPr>
        <w:t xml:space="preserve">    </w:t>
      </w:r>
      <w:r>
        <w:rPr>
          <w:rFonts w:hint="eastAsia" w:ascii="Times New Roman" w:hAnsi="Times New Roman"/>
          <w:color w:val="auto"/>
        </w:rPr>
        <w:t>所：昭通市昭阳区酒渔乡大桥村公所二十六社。</w:t>
      </w:r>
    </w:p>
    <w:p w14:paraId="789C360E">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2、采矿许可证相关信息如下：</w:t>
      </w:r>
    </w:p>
    <w:p w14:paraId="3451C0A4">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证号：C5306002008096120013281。</w:t>
      </w:r>
    </w:p>
    <w:p w14:paraId="5317A3DD">
      <w:pPr>
        <w:bidi w:val="0"/>
        <w:rPr>
          <w:rFonts w:hint="default" w:ascii="Times New Roman" w:hAnsi="Times New Roman"/>
          <w:color w:val="auto"/>
          <w:lang w:val="en-US" w:eastAsia="zh-CN"/>
        </w:rPr>
      </w:pPr>
      <w:r>
        <w:rPr>
          <w:rFonts w:hint="eastAsia" w:ascii="Times New Roman" w:hAnsi="Times New Roman"/>
          <w:color w:val="auto"/>
          <w:lang w:val="en-US" w:eastAsia="zh-CN"/>
        </w:rPr>
        <w:t>采矿权人：昭阳区文辉矿业有限公司。</w:t>
      </w:r>
    </w:p>
    <w:p w14:paraId="30485FC1">
      <w:pPr>
        <w:bidi w:val="0"/>
        <w:rPr>
          <w:rFonts w:hint="default" w:ascii="Times New Roman" w:hAnsi="Times New Roman"/>
          <w:color w:val="auto"/>
          <w:lang w:val="en-US" w:eastAsia="zh-CN"/>
        </w:rPr>
      </w:pPr>
      <w:r>
        <w:rPr>
          <w:rFonts w:hint="eastAsia" w:ascii="Times New Roman" w:hAnsi="Times New Roman"/>
          <w:color w:val="auto"/>
          <w:lang w:val="en-US" w:eastAsia="zh-CN"/>
        </w:rPr>
        <w:t>地    址：</w:t>
      </w:r>
      <w:r>
        <w:rPr>
          <w:rFonts w:hint="eastAsia" w:ascii="Times New Roman" w:hAnsi="Times New Roman"/>
          <w:color w:val="auto"/>
        </w:rPr>
        <w:t>昭通市昭阳区酒渔乡大桥村公所二十六社</w:t>
      </w:r>
      <w:r>
        <w:rPr>
          <w:rFonts w:hint="eastAsia" w:ascii="Times New Roman" w:hAnsi="Times New Roman"/>
          <w:color w:val="auto"/>
          <w:lang w:eastAsia="zh-CN"/>
        </w:rPr>
        <w:t>。</w:t>
      </w:r>
    </w:p>
    <w:p w14:paraId="20D1A2D5">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矿山名称：昭阳区文辉矿业有限公司洒渔大桥石灰岩矿。</w:t>
      </w:r>
    </w:p>
    <w:p w14:paraId="4EFEE7C8">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开采矿种：建筑石料用灰岩。</w:t>
      </w:r>
    </w:p>
    <w:p w14:paraId="45580292">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开采方式：露天开采。</w:t>
      </w:r>
    </w:p>
    <w:p w14:paraId="4F07DE45">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生产规模：0.1215平方公里。</w:t>
      </w:r>
    </w:p>
    <w:p w14:paraId="265DAF69">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有效期限：2025年4月8日至2026年11月8日</w:t>
      </w:r>
    </w:p>
    <w:p w14:paraId="66606F26">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3、投资项目备案证相关信息如下：</w:t>
      </w:r>
    </w:p>
    <w:p w14:paraId="561B14A4">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项目代码：2018-530602-12-03-008704。</w:t>
      </w:r>
    </w:p>
    <w:p w14:paraId="31059B59">
      <w:pPr>
        <w:bidi w:val="0"/>
        <w:rPr>
          <w:rFonts w:hint="default" w:ascii="Times New Roman" w:hAnsi="Times New Roman" w:eastAsia="宋体"/>
          <w:color w:val="auto"/>
          <w:lang w:val="en-US" w:eastAsia="zh-CN"/>
        </w:rPr>
      </w:pPr>
      <w:r>
        <w:rPr>
          <w:rFonts w:hint="eastAsia" w:ascii="Times New Roman" w:hAnsi="Times New Roman"/>
          <w:color w:val="auto"/>
        </w:rPr>
        <w:t>项目名称：昭通市昭阳区文辉矿业有限公司</w:t>
      </w:r>
      <w:r>
        <w:rPr>
          <w:rFonts w:hint="eastAsia" w:ascii="Times New Roman" w:hAnsi="Times New Roman"/>
          <w:color w:val="auto"/>
          <w:lang w:val="en-US" w:eastAsia="zh-CN"/>
        </w:rPr>
        <w:t>年产70万吨石灰岩矿升级改造项目。</w:t>
      </w:r>
    </w:p>
    <w:p w14:paraId="4C00727F">
      <w:pPr>
        <w:bidi w:val="0"/>
        <w:rPr>
          <w:rFonts w:hint="eastAsia" w:ascii="Times New Roman" w:hAnsi="Times New Roman" w:eastAsia="宋体"/>
          <w:color w:val="auto"/>
          <w:lang w:eastAsia="zh-CN"/>
        </w:rPr>
      </w:pPr>
      <w:r>
        <w:rPr>
          <w:rFonts w:hint="eastAsia" w:ascii="Times New Roman" w:hAnsi="Times New Roman"/>
          <w:color w:val="auto"/>
        </w:rPr>
        <w:t>建设地点：昭通市昭阳区酒渔乡大桥村公所二十六社</w:t>
      </w:r>
      <w:r>
        <w:rPr>
          <w:rFonts w:hint="eastAsia" w:ascii="Times New Roman" w:hAnsi="Times New Roman"/>
          <w:color w:val="auto"/>
          <w:lang w:eastAsia="zh-CN"/>
        </w:rPr>
        <w:t>。</w:t>
      </w:r>
    </w:p>
    <w:p w14:paraId="4C98BC9E">
      <w:pPr>
        <w:bidi w:val="0"/>
        <w:rPr>
          <w:rFonts w:hint="eastAsia" w:ascii="Times New Roman" w:hAnsi="Times New Roman" w:eastAsia="宋体"/>
          <w:color w:val="auto"/>
          <w:lang w:eastAsia="zh-CN"/>
        </w:rPr>
      </w:pPr>
      <w:r>
        <w:rPr>
          <w:rFonts w:hint="eastAsia" w:ascii="Times New Roman" w:hAnsi="Times New Roman"/>
          <w:color w:val="auto"/>
        </w:rPr>
        <w:t>项目建设性质：</w:t>
      </w:r>
      <w:r>
        <w:rPr>
          <w:rFonts w:hint="eastAsia" w:ascii="Times New Roman" w:hAnsi="Times New Roman"/>
          <w:color w:val="auto"/>
          <w:lang w:val="en-US" w:eastAsia="zh-CN"/>
        </w:rPr>
        <w:t>改</w:t>
      </w:r>
      <w:r>
        <w:rPr>
          <w:rFonts w:hint="eastAsia" w:ascii="Times New Roman" w:hAnsi="Times New Roman"/>
          <w:color w:val="auto"/>
        </w:rPr>
        <w:t>建项目</w:t>
      </w:r>
      <w:r>
        <w:rPr>
          <w:rFonts w:hint="eastAsia" w:ascii="Times New Roman" w:hAnsi="Times New Roman"/>
          <w:color w:val="auto"/>
          <w:lang w:eastAsia="zh-CN"/>
        </w:rPr>
        <w:t>。</w:t>
      </w:r>
    </w:p>
    <w:p w14:paraId="431CFBD9">
      <w:pPr>
        <w:bidi w:val="0"/>
        <w:rPr>
          <w:rFonts w:hint="eastAsia" w:ascii="Times New Roman" w:hAnsi="Times New Roman" w:eastAsia="宋体"/>
          <w:color w:val="auto"/>
          <w:lang w:eastAsia="zh-CN"/>
        </w:rPr>
      </w:pPr>
      <w:r>
        <w:rPr>
          <w:rFonts w:hint="eastAsia" w:ascii="Times New Roman" w:hAnsi="Times New Roman"/>
          <w:color w:val="auto"/>
        </w:rPr>
        <w:t>主要建设内容及规模：年产70万吨石灰岩矿升级改造</w:t>
      </w:r>
      <w:r>
        <w:rPr>
          <w:rFonts w:hint="eastAsia" w:ascii="Times New Roman" w:hAnsi="Times New Roman"/>
          <w:color w:val="auto"/>
          <w:lang w:eastAsia="zh-CN"/>
        </w:rPr>
        <w:t>。</w:t>
      </w:r>
    </w:p>
    <w:p w14:paraId="20C93BC7">
      <w:pPr>
        <w:bidi w:val="0"/>
        <w:rPr>
          <w:rFonts w:ascii="Times New Roman" w:hAnsi="Times New Roman"/>
          <w:color w:val="auto"/>
        </w:rPr>
      </w:pPr>
      <w:r>
        <w:rPr>
          <w:rFonts w:hint="eastAsia" w:ascii="Times New Roman" w:hAnsi="Times New Roman"/>
          <w:color w:val="auto"/>
        </w:rPr>
        <w:t>计划总投资：</w:t>
      </w:r>
      <w:r>
        <w:rPr>
          <w:rFonts w:hint="eastAsia" w:ascii="Times New Roman" w:hAnsi="Times New Roman"/>
          <w:color w:val="auto"/>
          <w:lang w:val="en-US" w:eastAsia="zh-CN"/>
        </w:rPr>
        <w:t>8</w:t>
      </w:r>
      <w:r>
        <w:rPr>
          <w:rFonts w:hint="eastAsia" w:ascii="Times New Roman" w:hAnsi="Times New Roman"/>
          <w:color w:val="auto"/>
        </w:rPr>
        <w:t>00万元。资金来源：企业自有资金。</w:t>
      </w:r>
    </w:p>
    <w:p w14:paraId="475D219C">
      <w:pPr>
        <w:pStyle w:val="4"/>
        <w:bidi w:val="0"/>
        <w:rPr>
          <w:rFonts w:ascii="Times New Roman" w:hAnsi="Times New Roman"/>
          <w:color w:val="auto"/>
        </w:rPr>
      </w:pPr>
      <w:bookmarkStart w:id="64" w:name="_Toc353"/>
      <w:r>
        <w:rPr>
          <w:rFonts w:hint="eastAsia" w:ascii="Times New Roman" w:hAnsi="Times New Roman"/>
          <w:color w:val="auto"/>
        </w:rPr>
        <w:t>2.1.</w:t>
      </w:r>
      <w:r>
        <w:rPr>
          <w:rFonts w:hint="eastAsia" w:ascii="Times New Roman" w:hAnsi="Times New Roman"/>
          <w:color w:val="auto"/>
          <w:lang w:val="en-US" w:eastAsia="zh-CN"/>
        </w:rPr>
        <w:t>2</w:t>
      </w:r>
      <w:r>
        <w:rPr>
          <w:rFonts w:hint="eastAsia" w:ascii="Times New Roman" w:hAnsi="Times New Roman"/>
          <w:color w:val="auto"/>
        </w:rPr>
        <w:t xml:space="preserve"> </w:t>
      </w:r>
      <w:r>
        <w:rPr>
          <w:rFonts w:hint="eastAsia" w:ascii="Times New Roman" w:hAnsi="Times New Roman"/>
          <w:color w:val="auto"/>
          <w:lang w:val="en-US" w:eastAsia="zh-CN"/>
        </w:rPr>
        <w:t>矿区</w:t>
      </w:r>
      <w:r>
        <w:rPr>
          <w:rFonts w:hint="eastAsia" w:ascii="Times New Roman" w:hAnsi="Times New Roman"/>
          <w:color w:val="auto"/>
        </w:rPr>
        <w:t>地理位置及交通情况</w:t>
      </w:r>
      <w:bookmarkEnd w:id="64"/>
    </w:p>
    <w:p w14:paraId="0E36BA93">
      <w:pPr>
        <w:bidi w:val="0"/>
        <w:rPr>
          <w:rFonts w:hint="eastAsia" w:ascii="Times New Roman" w:hAnsi="Times New Roman"/>
          <w:color w:val="auto"/>
          <w:lang w:eastAsia="zh-CN"/>
        </w:rPr>
      </w:pPr>
      <w:r>
        <w:rPr>
          <w:rFonts w:hint="eastAsia" w:ascii="Times New Roman" w:hAnsi="Times New Roman"/>
          <w:color w:val="auto"/>
          <w:lang w:eastAsia="zh-CN"/>
        </w:rPr>
        <w:t>昭阳区文辉矿业有限公司洒渔大桥石灰岩矿位于昭阳区305°方向，直距约12km。行政隶属昭阳区洒渔乡所辖。地理坐标极值（西安80坐标系）：东经103°36′40″～103°36′58″；北纬27°24′16″～27°24′28″。</w:t>
      </w:r>
    </w:p>
    <w:p w14:paraId="09B0CAC3">
      <w:pPr>
        <w:bidi w:val="0"/>
        <w:rPr>
          <w:rFonts w:hint="eastAsia" w:ascii="Times New Roman" w:hAnsi="Times New Roman"/>
          <w:color w:val="auto"/>
          <w:lang w:eastAsia="zh-CN"/>
        </w:rPr>
      </w:pPr>
      <w:r>
        <w:rPr>
          <w:rFonts w:hint="eastAsia" w:ascii="Times New Roman" w:hAnsi="Times New Roman"/>
          <w:color w:val="auto"/>
          <w:lang w:eastAsia="zh-CN"/>
        </w:rPr>
        <w:t>昭阳区文辉矿业有限公司洒渔大桥石灰岩矿位于昭阳区305°方向，直距约12km，矿区有乡村公路与洒渔乡相连，距洒渔乡约5km，距昭阳区约12km，交通、通信较为便利。</w:t>
      </w:r>
    </w:p>
    <w:p w14:paraId="1F39A22D">
      <w:pPr>
        <w:pStyle w:val="16"/>
        <w:bidi w:val="0"/>
        <w:rPr>
          <w:rFonts w:hint="default" w:ascii="Times New Roman" w:hAnsi="Times New Roman"/>
          <w:color w:val="auto"/>
          <w:lang w:val="en-US" w:eastAsia="zh-CN"/>
        </w:rPr>
      </w:pPr>
      <w:r>
        <w:rPr>
          <w:rFonts w:hint="eastAsia"/>
          <w:color w:val="auto"/>
          <w:lang w:val="en-US" w:eastAsia="zh-CN"/>
        </w:rPr>
        <w:t>*********</w:t>
      </w:r>
    </w:p>
    <w:p w14:paraId="3F63EBFB">
      <w:pPr>
        <w:pStyle w:val="16"/>
        <w:bidi w:val="0"/>
        <w:rPr>
          <w:rFonts w:ascii="Times New Roman" w:hAnsi="Times New Roman"/>
          <w:color w:val="auto"/>
        </w:rPr>
      </w:pPr>
      <w:r>
        <w:rPr>
          <w:rFonts w:hint="eastAsia" w:ascii="Times New Roman" w:hAnsi="Times New Roman"/>
          <w:color w:val="auto"/>
          <w:lang w:val="en-US" w:eastAsia="zh-CN"/>
        </w:rPr>
        <w:t xml:space="preserve">图2.1-1  </w:t>
      </w:r>
      <w:r>
        <w:rPr>
          <w:rFonts w:hint="eastAsia" w:ascii="Times New Roman" w:hAnsi="Times New Roman"/>
          <w:color w:val="auto"/>
        </w:rPr>
        <w:t>矿区交通位置图</w:t>
      </w:r>
    </w:p>
    <w:p w14:paraId="324FC15D">
      <w:pPr>
        <w:pStyle w:val="4"/>
        <w:bidi w:val="0"/>
        <w:rPr>
          <w:rFonts w:hint="eastAsia" w:ascii="Times New Roman" w:hAnsi="Times New Roman"/>
          <w:color w:val="auto"/>
        </w:rPr>
      </w:pPr>
      <w:bookmarkStart w:id="65" w:name="_Toc19228"/>
      <w:r>
        <w:rPr>
          <w:rFonts w:hint="eastAsia" w:ascii="Times New Roman" w:hAnsi="Times New Roman"/>
          <w:color w:val="auto"/>
        </w:rPr>
        <w:t>2.1.3</w:t>
      </w:r>
      <w:r>
        <w:rPr>
          <w:rFonts w:hint="eastAsia" w:ascii="Times New Roman" w:hAnsi="Times New Roman"/>
          <w:color w:val="auto"/>
          <w:lang w:val="en-US" w:eastAsia="zh-CN"/>
        </w:rPr>
        <w:t xml:space="preserve"> </w:t>
      </w:r>
      <w:r>
        <w:rPr>
          <w:rFonts w:hint="eastAsia" w:ascii="Times New Roman" w:hAnsi="Times New Roman"/>
          <w:color w:val="auto"/>
        </w:rPr>
        <w:t>建设项目背景</w:t>
      </w:r>
      <w:bookmarkEnd w:id="65"/>
    </w:p>
    <w:p w14:paraId="7711DFE9">
      <w:pPr>
        <w:bidi w:val="0"/>
        <w:rPr>
          <w:rFonts w:hint="eastAsia" w:ascii="Times New Roman" w:hAnsi="Times New Roman"/>
          <w:color w:val="auto"/>
        </w:rPr>
      </w:pPr>
      <w:r>
        <w:rPr>
          <w:rFonts w:hint="eastAsia" w:ascii="Times New Roman" w:hAnsi="Times New Roman"/>
          <w:color w:val="auto"/>
        </w:rPr>
        <w:t>昭阳区文辉矿业有限公司洒渔大桥石灰岩矿始建于2008年9月，原名昭阳区文辉矿业有限公司洒渔大桥方解石厂，该矿于2008年9月首次进行采矿权登记，后在2013年3月29日办理了采矿许可证延续登记手续，采矿许可证号C5306002008096120013281，有效期为2013年3月29日至2016年3月29日，开采矿种：方解石，开采方式：露天开采，生产规模5万t/a，矿区面积0.0695km</w:t>
      </w:r>
      <w:r>
        <w:rPr>
          <w:rFonts w:hint="eastAsia" w:ascii="Times New Roman" w:hAnsi="Times New Roman"/>
          <w:color w:val="auto"/>
          <w:vertAlign w:val="superscript"/>
        </w:rPr>
        <w:t>2</w:t>
      </w:r>
      <w:r>
        <w:rPr>
          <w:rFonts w:hint="eastAsia" w:ascii="Times New Roman" w:hAnsi="Times New Roman"/>
          <w:color w:val="auto"/>
        </w:rPr>
        <w:t>，开采深度2080m～1990m，矿界300m处是昭通市正宇昭通市昭阳区正宇砂石料厂。</w:t>
      </w:r>
    </w:p>
    <w:p w14:paraId="49AC8F3B">
      <w:pPr>
        <w:bidi w:val="0"/>
        <w:rPr>
          <w:rFonts w:hint="eastAsia" w:ascii="Times New Roman" w:hAnsi="Times New Roman"/>
          <w:color w:val="auto"/>
        </w:rPr>
      </w:pPr>
      <w:r>
        <w:rPr>
          <w:rFonts w:hint="eastAsia" w:ascii="Times New Roman" w:hAnsi="Times New Roman"/>
          <w:color w:val="auto"/>
        </w:rPr>
        <w:t>2018年与昭通市昭阳区正宇砂石料厂整合，更名为昭阳区文辉矿业有限公司洒渔大桥石灰岩矿，并办理了采矿许可证延续登记手续，采矿许可证号C5306002008096120013281，有效期2018年4月1日至2020年4月1日，开采矿种：石灰岩，开采方式：露天开采，生产规模10万t/a，矿区面积0.1216km</w:t>
      </w:r>
      <w:r>
        <w:rPr>
          <w:rFonts w:hint="eastAsia" w:ascii="Times New Roman" w:hAnsi="Times New Roman"/>
          <w:color w:val="auto"/>
          <w:vertAlign w:val="superscript"/>
        </w:rPr>
        <w:t>2</w:t>
      </w:r>
      <w:r>
        <w:rPr>
          <w:rFonts w:hint="eastAsia" w:ascii="Times New Roman" w:hAnsi="Times New Roman"/>
          <w:color w:val="auto"/>
        </w:rPr>
        <w:t>，开采深度2060m～1960m。2020年再次办理了采矿许可证延续等级手续，有效期为2020年3月31日至2025年3月31日。</w:t>
      </w:r>
    </w:p>
    <w:p w14:paraId="7CCE08D3">
      <w:pPr>
        <w:bidi w:val="0"/>
        <w:rPr>
          <w:rFonts w:hint="eastAsia" w:ascii="Times New Roman" w:hAnsi="Times New Roman"/>
          <w:color w:val="auto"/>
        </w:rPr>
      </w:pPr>
      <w:r>
        <w:rPr>
          <w:rFonts w:hint="eastAsia" w:ascii="Times New Roman" w:hAnsi="Times New Roman"/>
          <w:color w:val="auto"/>
        </w:rPr>
        <w:t>2025年4月取得新采矿许可证，证号C5306002008096120013281，矿区由4个拐点圈定，开采面积为0.1215km</w:t>
      </w:r>
      <w:r>
        <w:rPr>
          <w:rFonts w:hint="eastAsia" w:ascii="Times New Roman" w:hAnsi="Times New Roman"/>
          <w:color w:val="auto"/>
          <w:vertAlign w:val="superscript"/>
        </w:rPr>
        <w:t>2</w:t>
      </w:r>
      <w:r>
        <w:rPr>
          <w:rFonts w:hint="eastAsia" w:ascii="Times New Roman" w:hAnsi="Times New Roman"/>
          <w:color w:val="auto"/>
        </w:rPr>
        <w:t>，有效期：2025年4月8日至2026年11月8日，开采矿种：建筑石料用灰岩；开采方式：露天开采；开采规模：10万t/年；开采标高2060m-1960m。</w:t>
      </w:r>
    </w:p>
    <w:p w14:paraId="1D7B421A">
      <w:pPr>
        <w:bidi w:val="0"/>
        <w:rPr>
          <w:rFonts w:hint="default" w:ascii="Times New Roman" w:hAnsi="Times New Roman" w:eastAsia="宋体"/>
          <w:color w:val="auto"/>
          <w:lang w:val="en-US" w:eastAsia="zh-CN"/>
        </w:rPr>
      </w:pPr>
      <w:r>
        <w:rPr>
          <w:rFonts w:hint="eastAsia" w:ascii="Times New Roman" w:hAnsi="Times New Roman"/>
          <w:color w:val="auto"/>
        </w:rPr>
        <w:t>为完成《云南省人民政府办公厅关于印发&lt;云南省全面加强非煤矿山安全生产工作若干措施&gt;的通知》（云政办发〔2024〕44号），第一条第一款</w:t>
      </w:r>
      <w:r>
        <w:rPr>
          <w:rFonts w:hint="eastAsia" w:ascii="Times New Roman" w:hAnsi="Times New Roman"/>
          <w:color w:val="auto"/>
          <w:lang w:eastAsia="zh-CN"/>
        </w:rPr>
        <w:t>“</w:t>
      </w:r>
      <w:r>
        <w:rPr>
          <w:rFonts w:hint="eastAsia" w:ascii="Times New Roman" w:hAnsi="Times New Roman"/>
          <w:color w:val="auto"/>
        </w:rPr>
        <w:t>提高露天采石（砂）准入门槛。除硅石、石英砂等特殊需求矿产外，停止新建开采规模低于100万吨/年的露天采石（砂）场。将现有采石（砂）场最小开采规模提高到50万吨/年，达不到该标准要求的，给予3年过渡期实施升级改造，到2026年底仍达不到标准要求的，由属地县级政府积极引导退出</w:t>
      </w:r>
      <w:r>
        <w:rPr>
          <w:rFonts w:hint="eastAsia" w:ascii="Times New Roman" w:hAnsi="Times New Roman"/>
          <w:color w:val="auto"/>
          <w:lang w:eastAsia="zh-CN"/>
        </w:rPr>
        <w:t>”</w:t>
      </w:r>
      <w:r>
        <w:rPr>
          <w:rFonts w:hint="eastAsia" w:ascii="Times New Roman" w:hAnsi="Times New Roman"/>
          <w:color w:val="auto"/>
        </w:rPr>
        <w:t>文件要求，矿山申请将生产规模扩大至</w:t>
      </w:r>
      <w:r>
        <w:rPr>
          <w:rFonts w:hint="eastAsia" w:ascii="Times New Roman" w:hAnsi="Times New Roman"/>
          <w:color w:val="auto"/>
          <w:lang w:val="en-US" w:eastAsia="zh-CN"/>
        </w:rPr>
        <w:t>70</w:t>
      </w:r>
      <w:r>
        <w:rPr>
          <w:rFonts w:hint="eastAsia" w:ascii="Times New Roman" w:hAnsi="Times New Roman"/>
          <w:color w:val="auto"/>
        </w:rPr>
        <w:t>万t/a。企业于2024年3月13日取得昭通市昭阳区行政审批局批复的《云南省固定资产投资项目备案证》，项目代码：2018-530602-12-03-008704，主要建设内容及规模为年产70万吨石灰岩矿升级改造。因此，2025年0</w:t>
      </w:r>
      <w:r>
        <w:rPr>
          <w:rFonts w:hint="eastAsia" w:ascii="Times New Roman" w:hAnsi="Times New Roman"/>
          <w:color w:val="auto"/>
          <w:lang w:val="en-US" w:eastAsia="zh-CN"/>
        </w:rPr>
        <w:t>8</w:t>
      </w:r>
      <w:r>
        <w:rPr>
          <w:rFonts w:hint="eastAsia" w:ascii="Times New Roman" w:hAnsi="Times New Roman"/>
          <w:color w:val="auto"/>
        </w:rPr>
        <w:t>月</w:t>
      </w:r>
      <w:r>
        <w:rPr>
          <w:rFonts w:hint="eastAsia" w:ascii="Times New Roman" w:hAnsi="Times New Roman"/>
          <w:color w:val="auto"/>
          <w:lang w:eastAsia="zh-CN"/>
        </w:rPr>
        <w:t>，昭通市昭阳区文辉矿业有限公司委托云南德成规划设计有限公司</w:t>
      </w:r>
      <w:r>
        <w:rPr>
          <w:rFonts w:hint="eastAsia" w:ascii="Times New Roman" w:hAnsi="Times New Roman"/>
          <w:color w:val="auto"/>
          <w:lang w:val="en-US" w:eastAsia="zh-CN"/>
        </w:rPr>
        <w:t>编制《昭阳区文辉矿业有限公司洒渔大桥石灰岩矿70万t/a露天采矿工程初步设计（代可研）》，2025年08月，</w:t>
      </w:r>
      <w:r>
        <w:rPr>
          <w:rFonts w:hint="eastAsia" w:ascii="Times New Roman" w:hAnsi="Times New Roman"/>
          <w:color w:val="auto"/>
          <w:lang w:eastAsia="zh-CN"/>
        </w:rPr>
        <w:t>昭通市昭阳区文辉矿业有限公司委托辽宁诺诚安全科技有限公司依据《国家安全监管总局关于印发金属非金属矿山建设项目安全评价报告编写提纲的通知》（原安监总管一〔2016〕49号）附件《金属非金属露天矿山建设项目安全预评价报告编写提纲》的要求，为该企业生产指导及申请办理安全生产许可证而编制《昭阳区文辉矿业有限公司洒渔大桥石灰岩矿70万t/a露天采矿工程安全预评价报告》，专属委托方使用。</w:t>
      </w:r>
    </w:p>
    <w:p w14:paraId="60279F9E">
      <w:pPr>
        <w:pStyle w:val="4"/>
        <w:bidi w:val="0"/>
        <w:rPr>
          <w:rFonts w:ascii="Times New Roman" w:hAnsi="Times New Roman"/>
          <w:color w:val="auto"/>
        </w:rPr>
      </w:pPr>
      <w:bookmarkStart w:id="66" w:name="_Toc309"/>
      <w:r>
        <w:rPr>
          <w:rFonts w:hint="eastAsia" w:ascii="Times New Roman" w:hAnsi="Times New Roman"/>
          <w:color w:val="auto"/>
        </w:rPr>
        <w:t xml:space="preserve">2.1.4 </w:t>
      </w:r>
      <w:r>
        <w:rPr>
          <w:rFonts w:hint="eastAsia" w:ascii="Times New Roman" w:hAnsi="Times New Roman"/>
          <w:color w:val="auto"/>
          <w:lang w:val="en-US" w:eastAsia="zh-CN"/>
        </w:rPr>
        <w:t>矿山</w:t>
      </w:r>
      <w:r>
        <w:rPr>
          <w:rFonts w:hint="eastAsia" w:ascii="Times New Roman" w:hAnsi="Times New Roman"/>
          <w:color w:val="auto"/>
        </w:rPr>
        <w:t>周边环境</w:t>
      </w:r>
      <w:bookmarkEnd w:id="66"/>
    </w:p>
    <w:p w14:paraId="57C278F2">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矿区周边主要有以下外部建构筑物：</w:t>
      </w:r>
    </w:p>
    <w:p w14:paraId="557E1619">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1、道路</w:t>
      </w:r>
    </w:p>
    <w:p w14:paraId="5C64C37D">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东北侧村组道路：距离设计露天境界最近为82m。</w:t>
      </w:r>
    </w:p>
    <w:p w14:paraId="35EE0557">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西侧村组道路：距离设计露天境界最近为78m。</w:t>
      </w:r>
    </w:p>
    <w:p w14:paraId="37C84829">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农耕道路：局部在矿区范围内穿过。</w:t>
      </w:r>
    </w:p>
    <w:p w14:paraId="2245ECC2">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2、高压线</w:t>
      </w:r>
    </w:p>
    <w:p w14:paraId="04BC9967">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矿区南东部有500kV永甘甲线、500kV永甘乙线两档高压输电设施经过，其中，500kV永甘甲线（电力线路、杆塔）与昭阳区文辉矿业有限公司洒渔大桥石灰岩矿距离最近距离为207m；500kV永甘乙线（电力线路、杆塔）与昭阳区文辉矿业有限公司洒渔大桥石灰岩矿距离最近距离为120m，昭通市昭阳区文辉矿业有限公司已与电力产权部门签订相关电力设施的安全保护协议，（电力设施的安全保护协议见附件）。</w:t>
      </w:r>
    </w:p>
    <w:p w14:paraId="6F143248">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3、民房</w:t>
      </w:r>
    </w:p>
    <w:p w14:paraId="19995798">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矿区露天境界300～500m范围内仅存在中小湾子村、下小湾子村两个村小组及距矿区的一处废弃房屋，此外无其他建筑物及设施。中小湾子村位于矿区西部，距矿区短距离为193m；下小湾子村位于矿区西北部，距矿区短距离为129m。设计对两个村子预留了300m的安全距离作为禁采区。</w:t>
      </w:r>
    </w:p>
    <w:p w14:paraId="2B5DB647">
      <w:pPr>
        <w:bidi w:val="0"/>
        <w:rPr>
          <w:rFonts w:hint="default" w:ascii="Times New Roman" w:hAnsi="Times New Roman" w:cs="宋体" w:eastAsiaTheme="minorEastAsia"/>
          <w:color w:val="auto"/>
          <w:szCs w:val="28"/>
          <w:lang w:val="en-US" w:eastAsia="zh-CN" w:bidi="ar"/>
        </w:rPr>
      </w:pPr>
      <w:r>
        <w:rPr>
          <w:rFonts w:hint="eastAsia" w:ascii="Times New Roman" w:hAnsi="Times New Roman" w:cs="宋体" w:eastAsiaTheme="minorEastAsia"/>
          <w:color w:val="auto"/>
          <w:szCs w:val="28"/>
          <w:lang w:val="en-US" w:eastAsia="zh-CN" w:bidi="ar"/>
        </w:rPr>
        <w:t>4、未征用土地</w:t>
      </w:r>
    </w:p>
    <w:p w14:paraId="2DD57B8A">
      <w:pPr>
        <w:bidi w:val="0"/>
        <w:rPr>
          <w:rFonts w:hint="eastAsia" w:ascii="Times New Roman" w:hAnsi="Times New Roman" w:cs="宋体" w:eastAsiaTheme="minorEastAsia"/>
          <w:color w:val="auto"/>
          <w:szCs w:val="28"/>
          <w:lang w:eastAsia="zh-CN" w:bidi="ar"/>
        </w:rPr>
      </w:pPr>
      <w:r>
        <w:rPr>
          <w:rFonts w:hint="eastAsia" w:ascii="Times New Roman" w:hAnsi="Times New Roman" w:cs="宋体" w:eastAsiaTheme="minorEastAsia"/>
          <w:color w:val="auto"/>
          <w:szCs w:val="28"/>
          <w:lang w:bidi="ar"/>
        </w:rPr>
        <w:t>由于矿区东南部存在与村民协商后仍无法征用的土地，现将该部分区域划为禁采区Ⅱ，禁采区Ⅱ的面积为7919m</w:t>
      </w:r>
      <w:r>
        <w:rPr>
          <w:rFonts w:hint="eastAsia" w:ascii="Times New Roman" w:hAnsi="Times New Roman" w:cs="宋体" w:eastAsiaTheme="minorEastAsia"/>
          <w:color w:val="auto"/>
          <w:szCs w:val="28"/>
          <w:vertAlign w:val="superscript"/>
          <w:lang w:bidi="ar"/>
        </w:rPr>
        <w:t>2</w:t>
      </w:r>
      <w:r>
        <w:rPr>
          <w:rFonts w:hint="eastAsia" w:ascii="Times New Roman" w:hAnsi="Times New Roman" w:cs="宋体" w:eastAsiaTheme="minorEastAsia"/>
          <w:color w:val="auto"/>
          <w:szCs w:val="28"/>
          <w:lang w:bidi="ar"/>
        </w:rPr>
        <w:t>。</w:t>
      </w:r>
    </w:p>
    <w:p w14:paraId="26101572">
      <w:pPr>
        <w:bidi w:val="0"/>
        <w:rPr>
          <w:rFonts w:hint="eastAsia" w:ascii="Times New Roman" w:hAnsi="Times New Roman" w:cs="宋体" w:eastAsiaTheme="minorEastAsia"/>
          <w:color w:val="auto"/>
          <w:szCs w:val="28"/>
          <w:lang w:bidi="ar"/>
        </w:rPr>
      </w:pPr>
      <w:r>
        <w:rPr>
          <w:rFonts w:hint="eastAsia" w:ascii="Times New Roman" w:hAnsi="Times New Roman" w:cs="宋体" w:eastAsiaTheme="minorEastAsia"/>
          <w:color w:val="auto"/>
          <w:szCs w:val="28"/>
          <w:lang w:bidi="ar"/>
        </w:rPr>
        <w:t>除此之外，矿区1000m范围内无铁路线，区内无珍稀动植物分布，区内不属于文物保护区和旅游区。周边关系详见表</w:t>
      </w:r>
      <w:r>
        <w:rPr>
          <w:rFonts w:hint="eastAsia" w:ascii="Times New Roman" w:hAnsi="Times New Roman" w:cs="宋体" w:eastAsiaTheme="minorEastAsia"/>
          <w:color w:val="auto"/>
          <w:szCs w:val="28"/>
          <w:lang w:val="en-US" w:eastAsia="zh-CN" w:bidi="ar"/>
        </w:rPr>
        <w:t>2.1-2</w:t>
      </w:r>
      <w:r>
        <w:rPr>
          <w:rFonts w:hint="eastAsia" w:ascii="Times New Roman" w:hAnsi="Times New Roman" w:cs="宋体" w:eastAsiaTheme="minorEastAsia"/>
          <w:color w:val="auto"/>
          <w:szCs w:val="28"/>
          <w:lang w:bidi="ar"/>
        </w:rPr>
        <w:t>、图</w:t>
      </w:r>
      <w:r>
        <w:rPr>
          <w:rFonts w:hint="eastAsia" w:ascii="Times New Roman" w:hAnsi="Times New Roman" w:cs="宋体" w:eastAsiaTheme="minorEastAsia"/>
          <w:color w:val="auto"/>
          <w:szCs w:val="28"/>
          <w:lang w:val="en-US" w:eastAsia="zh-CN" w:bidi="ar"/>
        </w:rPr>
        <w:t>2.</w:t>
      </w:r>
      <w:r>
        <w:rPr>
          <w:rFonts w:hint="eastAsia" w:ascii="Times New Roman" w:hAnsi="Times New Roman" w:cs="宋体" w:eastAsiaTheme="minorEastAsia"/>
          <w:color w:val="auto"/>
          <w:szCs w:val="28"/>
          <w:lang w:bidi="ar"/>
        </w:rPr>
        <w:t>1-</w:t>
      </w:r>
      <w:r>
        <w:rPr>
          <w:rFonts w:hint="eastAsia" w:ascii="Times New Roman" w:hAnsi="Times New Roman" w:cs="宋体" w:eastAsiaTheme="minorEastAsia"/>
          <w:color w:val="auto"/>
          <w:szCs w:val="28"/>
          <w:lang w:val="en-US" w:eastAsia="zh-CN" w:bidi="ar"/>
        </w:rPr>
        <w:t>2</w:t>
      </w:r>
      <w:r>
        <w:rPr>
          <w:rFonts w:hint="eastAsia" w:ascii="Times New Roman" w:hAnsi="Times New Roman" w:cs="宋体" w:eastAsiaTheme="minorEastAsia"/>
          <w:color w:val="auto"/>
          <w:szCs w:val="28"/>
          <w:lang w:bidi="ar"/>
        </w:rPr>
        <w:t>。</w:t>
      </w:r>
    </w:p>
    <w:p w14:paraId="5552AD1F">
      <w:pPr>
        <w:pStyle w:val="16"/>
        <w:bidi w:val="0"/>
        <w:rPr>
          <w:rFonts w:hint="eastAsia"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2.1-</w:t>
      </w:r>
      <w:r>
        <w:rPr>
          <w:rFonts w:hint="eastAsia"/>
          <w:color w:val="auto"/>
          <w:lang w:val="en-US" w:eastAsia="zh-CN"/>
        </w:rPr>
        <w:t>1</w:t>
      </w:r>
      <w:r>
        <w:rPr>
          <w:rFonts w:hint="eastAsia" w:ascii="Times New Roman" w:hAnsi="Times New Roman"/>
          <w:color w:val="auto"/>
          <w:lang w:val="en-US" w:eastAsia="zh-CN"/>
        </w:rPr>
        <w:t xml:space="preserve">  </w:t>
      </w:r>
      <w:r>
        <w:rPr>
          <w:rFonts w:hint="eastAsia" w:ascii="Times New Roman" w:hAnsi="Times New Roman"/>
          <w:color w:val="auto"/>
        </w:rPr>
        <w:t>矿区周边设施与开采范围最小距离表</w:t>
      </w:r>
    </w:p>
    <w:p w14:paraId="0242E39E">
      <w:pPr>
        <w:bidi w:val="0"/>
        <w:ind w:left="0" w:leftChars="0" w:firstLine="0" w:firstLineChars="0"/>
        <w:jc w:val="center"/>
        <w:rPr>
          <w:rFonts w:hint="default"/>
          <w:color w:val="auto"/>
          <w:lang w:val="en-US" w:eastAsia="zh-CN"/>
        </w:rPr>
      </w:pPr>
      <w:r>
        <w:rPr>
          <w:rFonts w:hint="eastAsia"/>
          <w:color w:val="auto"/>
          <w:lang w:val="en-US" w:eastAsia="zh-CN"/>
        </w:rPr>
        <w:t>************</w:t>
      </w:r>
    </w:p>
    <w:p w14:paraId="2E928F09">
      <w:pPr>
        <w:bidi w:val="0"/>
        <w:ind w:left="0" w:leftChars="0" w:firstLine="0" w:firstLineChars="0"/>
        <w:jc w:val="center"/>
        <w:rPr>
          <w:rFonts w:hint="default" w:ascii="Times New Roman" w:hAnsi="Times New Roman" w:eastAsia="宋体"/>
          <w:color w:val="auto"/>
          <w:lang w:val="en-US" w:eastAsia="zh-CN"/>
        </w:rPr>
      </w:pPr>
      <w:r>
        <w:rPr>
          <w:rFonts w:hint="eastAsia"/>
          <w:color w:val="auto"/>
          <w:lang w:val="en-US" w:eastAsia="zh-CN"/>
        </w:rPr>
        <w:t>************</w:t>
      </w:r>
    </w:p>
    <w:p w14:paraId="0503CAFC">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2.1-2  项目</w:t>
      </w:r>
      <w:r>
        <w:rPr>
          <w:rFonts w:hint="eastAsia" w:ascii="Times New Roman" w:hAnsi="Times New Roman"/>
          <w:color w:val="auto"/>
        </w:rPr>
        <w:t>周边环境</w:t>
      </w:r>
      <w:r>
        <w:rPr>
          <w:rFonts w:hint="eastAsia" w:ascii="Times New Roman" w:hAnsi="Times New Roman"/>
          <w:color w:val="auto"/>
          <w:lang w:val="en-US" w:eastAsia="zh-CN"/>
        </w:rPr>
        <w:t>图</w:t>
      </w:r>
    </w:p>
    <w:p w14:paraId="64AC2B16">
      <w:pPr>
        <w:pStyle w:val="3"/>
        <w:bidi w:val="0"/>
        <w:rPr>
          <w:rFonts w:hint="eastAsia" w:ascii="Times New Roman" w:hAnsi="Times New Roman" w:eastAsia="黑体"/>
          <w:color w:val="auto"/>
          <w:lang w:val="en-US" w:eastAsia="zh-CN"/>
        </w:rPr>
      </w:pPr>
      <w:bookmarkStart w:id="67" w:name="_Toc19011"/>
      <w:r>
        <w:rPr>
          <w:rFonts w:hint="eastAsia" w:ascii="Times New Roman" w:hAnsi="Times New Roman"/>
          <w:color w:val="auto"/>
        </w:rPr>
        <w:t>2.2 自然环境</w:t>
      </w:r>
      <w:r>
        <w:rPr>
          <w:rFonts w:hint="eastAsia" w:ascii="Times New Roman" w:hAnsi="Times New Roman"/>
          <w:color w:val="auto"/>
          <w:lang w:val="en-US" w:eastAsia="zh-CN"/>
        </w:rPr>
        <w:t>概况</w:t>
      </w:r>
      <w:bookmarkEnd w:id="67"/>
    </w:p>
    <w:p w14:paraId="248E4883">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地形地貌</w:t>
      </w:r>
    </w:p>
    <w:p w14:paraId="4F456998">
      <w:pPr>
        <w:bidi w:val="0"/>
        <w:rPr>
          <w:rFonts w:hint="eastAsia" w:ascii="Times New Roman" w:hAnsi="Times New Roman"/>
          <w:color w:val="auto"/>
        </w:rPr>
      </w:pPr>
      <w:r>
        <w:rPr>
          <w:rFonts w:hint="eastAsia" w:ascii="Times New Roman" w:hAnsi="Times New Roman"/>
          <w:color w:val="auto"/>
        </w:rPr>
        <w:t>矿区内地势为南东高北西低，地形起伏较大，坡度一般在20～30°。矿区内最高点位于矿区南东部矿3拐点附近，海拔标高为2060m；最低点位于矿区西北部破碎站附近，海拔标高为1922m，相对高差138m，属构造侵蚀、剥蚀、溶蚀低中山地貌。矿区为由碳酸盐岩层组成的石灰岩地区，基岩裸露，低洼处有少量薄层粘土覆盖，植被稀少，干旱缺水，自然条件较差。受土层制约，区内植被稀疏。以灌木杂草为主。</w:t>
      </w:r>
    </w:p>
    <w:p w14:paraId="3BA64D7B">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气象</w:t>
      </w:r>
    </w:p>
    <w:p w14:paraId="2A7B294A">
      <w:pPr>
        <w:bidi w:val="0"/>
        <w:rPr>
          <w:rFonts w:hint="eastAsia" w:ascii="Times New Roman" w:hAnsi="Times New Roman"/>
          <w:color w:val="auto"/>
        </w:rPr>
      </w:pPr>
      <w:r>
        <w:rPr>
          <w:rFonts w:hint="eastAsia" w:ascii="Times New Roman" w:hAnsi="Times New Roman"/>
          <w:color w:val="auto"/>
        </w:rPr>
        <w:t>本区属亚热带高原性气候区，为低纬度山地季风气候。年平均气温11℃，最低气温-10.5℃，多出现在12月至3月，并有结冰和积雪现象。最高气温33.5℃。无霜期180—240天，年日照1889小时，冬季长，夏季短，有明显的干、雨季之分。</w:t>
      </w:r>
    </w:p>
    <w:p w14:paraId="404C3075">
      <w:pPr>
        <w:bidi w:val="0"/>
        <w:rPr>
          <w:rFonts w:hint="eastAsia" w:ascii="Times New Roman" w:hAnsi="Times New Roman"/>
          <w:color w:val="auto"/>
        </w:rPr>
      </w:pPr>
      <w:r>
        <w:rPr>
          <w:rFonts w:hint="eastAsia" w:ascii="Times New Roman" w:hAnsi="Times New Roman"/>
          <w:color w:val="auto"/>
        </w:rPr>
        <w:t>年降雨量729.7mm，每年的5月下旬至9月下旬为潮湿多雨的雨季，降雨多集中在7、8、9三个月，占全年总降雨量的50%-59%，而11月至次年的5月为旱季，风向多为西南风，风力最大达18m／s。</w:t>
      </w:r>
    </w:p>
    <w:p w14:paraId="010B04CE">
      <w:pPr>
        <w:bidi w:val="0"/>
        <w:rPr>
          <w:rFonts w:hint="eastAsia" w:ascii="Times New Roman" w:hAnsi="Times New Roman"/>
          <w:color w:val="auto"/>
        </w:rPr>
      </w:pPr>
      <w:r>
        <w:rPr>
          <w:rFonts w:hint="eastAsia" w:ascii="Times New Roman" w:hAnsi="Times New Roman"/>
          <w:color w:val="auto"/>
          <w:lang w:val="en-US" w:eastAsia="zh-CN"/>
        </w:rPr>
        <w:t>3、</w:t>
      </w:r>
      <w:r>
        <w:rPr>
          <w:rFonts w:hint="eastAsia" w:ascii="Times New Roman" w:hAnsi="Times New Roman"/>
          <w:color w:val="auto"/>
        </w:rPr>
        <w:t>水文</w:t>
      </w:r>
    </w:p>
    <w:p w14:paraId="7757A896">
      <w:pPr>
        <w:bidi w:val="0"/>
        <w:rPr>
          <w:rFonts w:hint="eastAsia" w:ascii="Times New Roman" w:hAnsi="Times New Roman"/>
          <w:color w:val="auto"/>
        </w:rPr>
      </w:pPr>
      <w:r>
        <w:rPr>
          <w:rFonts w:hint="eastAsia" w:ascii="Times New Roman" w:hAnsi="Times New Roman"/>
          <w:color w:val="auto"/>
        </w:rPr>
        <w:t>矿区内无大的地表水体，冲沟旱季干涸无水。最近地表水体主要为西部距矿区约550m的洒渔河。大气降水到达地面后，大部分形成地面坡流沿矿区山坡汇入矿区西部外围的洒渔河；一部分渗入地下补给各含水层。地下水通过岩溶裂隙、岩溶管道、落水洞、伏流河由南东向北西径流，汇入洒渔河。矿区所在水系属长江水系，金沙江流域。当地最低自然排泄面标高为1920m（西侧中小湾子村庄附近）。区域最低侵蚀基准面为矿区西部约550m的洒渔河河床，标高约为1900m。洒渔河由南向北穿境而过，全长18.7km，河水清澈透明，两岸绿柳成荫，形成美丽神奇的</w:t>
      </w:r>
      <w:r>
        <w:rPr>
          <w:rFonts w:hint="eastAsia" w:ascii="Times New Roman" w:hAnsi="Times New Roman"/>
          <w:color w:val="auto"/>
          <w:lang w:eastAsia="zh-CN"/>
        </w:rPr>
        <w:t>“</w:t>
      </w:r>
      <w:r>
        <w:rPr>
          <w:rFonts w:hint="eastAsia" w:ascii="Times New Roman" w:hAnsi="Times New Roman"/>
          <w:color w:val="auto"/>
        </w:rPr>
        <w:t>洒渔烟柳</w:t>
      </w:r>
      <w:r>
        <w:rPr>
          <w:rFonts w:hint="eastAsia" w:ascii="Times New Roman" w:hAnsi="Times New Roman"/>
          <w:color w:val="auto"/>
          <w:lang w:eastAsia="zh-CN"/>
        </w:rPr>
        <w:t>”</w:t>
      </w:r>
      <w:r>
        <w:rPr>
          <w:rFonts w:hint="eastAsia" w:ascii="Times New Roman" w:hAnsi="Times New Roman"/>
          <w:color w:val="auto"/>
        </w:rPr>
        <w:t>景观，为</w:t>
      </w:r>
      <w:r>
        <w:rPr>
          <w:rFonts w:hint="eastAsia" w:ascii="Times New Roman" w:hAnsi="Times New Roman"/>
          <w:color w:val="auto"/>
          <w:lang w:eastAsia="zh-CN"/>
        </w:rPr>
        <w:t>“</w:t>
      </w:r>
      <w:r>
        <w:rPr>
          <w:rFonts w:hint="eastAsia" w:ascii="Times New Roman" w:hAnsi="Times New Roman"/>
          <w:color w:val="auto"/>
        </w:rPr>
        <w:t>昭阳八景</w:t>
      </w:r>
      <w:r>
        <w:rPr>
          <w:rFonts w:hint="eastAsia" w:ascii="Times New Roman" w:hAnsi="Times New Roman"/>
          <w:color w:val="auto"/>
          <w:lang w:eastAsia="zh-CN"/>
        </w:rPr>
        <w:t>”</w:t>
      </w:r>
      <w:r>
        <w:rPr>
          <w:rFonts w:hint="eastAsia" w:ascii="Times New Roman" w:hAnsi="Times New Roman"/>
          <w:color w:val="auto"/>
        </w:rPr>
        <w:t>之一。</w:t>
      </w:r>
    </w:p>
    <w:p w14:paraId="2BD0FF4C">
      <w:pPr>
        <w:bidi w:val="0"/>
        <w:rPr>
          <w:rFonts w:hint="eastAsia" w:ascii="Times New Roman" w:hAnsi="Times New Roman"/>
          <w:color w:val="auto"/>
          <w:lang w:val="en-US" w:eastAsia="zh-CN"/>
        </w:rPr>
      </w:pPr>
      <w:r>
        <w:rPr>
          <w:rFonts w:hint="eastAsia" w:ascii="Times New Roman" w:hAnsi="Times New Roman"/>
          <w:color w:val="auto"/>
          <w:lang w:val="en-US" w:eastAsia="zh-CN"/>
        </w:rPr>
        <w:t>4、地震</w:t>
      </w:r>
    </w:p>
    <w:p w14:paraId="72BBC03A">
      <w:pPr>
        <w:bidi w:val="0"/>
        <w:rPr>
          <w:rFonts w:hint="default" w:ascii="Times New Roman" w:hAnsi="Times New Roman"/>
          <w:color w:val="auto"/>
          <w:lang w:val="en-US" w:eastAsia="zh-CN"/>
        </w:rPr>
      </w:pPr>
      <w:r>
        <w:rPr>
          <w:rFonts w:hint="default" w:ascii="Times New Roman" w:hAnsi="Times New Roman"/>
          <w:color w:val="auto"/>
          <w:lang w:val="en-US" w:eastAsia="zh-CN"/>
        </w:rPr>
        <w:t>据《建筑抗震设计</w:t>
      </w:r>
      <w:r>
        <w:rPr>
          <w:rFonts w:hint="eastAsia"/>
          <w:color w:val="auto"/>
          <w:lang w:val="en-US" w:eastAsia="zh-CN"/>
        </w:rPr>
        <w:t>标准</w:t>
      </w:r>
      <w:r>
        <w:rPr>
          <w:rFonts w:hint="default" w:ascii="Times New Roman" w:hAnsi="Times New Roman"/>
          <w:color w:val="auto"/>
          <w:lang w:val="en-US" w:eastAsia="zh-CN"/>
        </w:rPr>
        <w:t>》(GB/T 50011-2010，20</w:t>
      </w:r>
      <w:r>
        <w:rPr>
          <w:rFonts w:hint="eastAsia" w:ascii="Times New Roman" w:hAnsi="Times New Roman"/>
          <w:color w:val="auto"/>
          <w:lang w:val="en-US" w:eastAsia="zh-CN"/>
        </w:rPr>
        <w:t>24</w:t>
      </w:r>
      <w:r>
        <w:rPr>
          <w:rFonts w:hint="default" w:ascii="Times New Roman" w:hAnsi="Times New Roman"/>
          <w:color w:val="auto"/>
          <w:lang w:val="en-US" w:eastAsia="zh-CN"/>
        </w:rPr>
        <w:t>年版)，矿区所在地抗震设防烈度为7度，设计基本地震加速值为0.10g，地震动反应谱特征周期为0.45s，所属地震分组为第三组。</w:t>
      </w:r>
    </w:p>
    <w:p w14:paraId="2CB73548">
      <w:pPr>
        <w:pStyle w:val="3"/>
        <w:bidi w:val="0"/>
        <w:rPr>
          <w:rFonts w:hint="eastAsia" w:ascii="Times New Roman" w:hAnsi="Times New Roman"/>
          <w:color w:val="auto"/>
        </w:rPr>
      </w:pPr>
      <w:bookmarkStart w:id="68" w:name="_Toc32123"/>
      <w:r>
        <w:rPr>
          <w:rFonts w:hint="eastAsia" w:ascii="Times New Roman" w:hAnsi="Times New Roman"/>
          <w:color w:val="auto"/>
          <w:lang w:val="en-US" w:eastAsia="zh-CN"/>
        </w:rPr>
        <w:t>2.3 建设项目</w:t>
      </w:r>
      <w:r>
        <w:rPr>
          <w:rFonts w:hint="eastAsia" w:ascii="Times New Roman" w:hAnsi="Times New Roman"/>
          <w:color w:val="auto"/>
        </w:rPr>
        <w:t>地质概况</w:t>
      </w:r>
      <w:bookmarkEnd w:id="68"/>
    </w:p>
    <w:p w14:paraId="71C41CA2">
      <w:pPr>
        <w:bidi w:val="0"/>
        <w:rPr>
          <w:rFonts w:hint="eastAsia" w:ascii="Times New Roman" w:hAnsi="Times New Roman"/>
          <w:color w:val="auto"/>
          <w:lang w:val="en-US" w:eastAsia="zh-CN"/>
        </w:rPr>
      </w:pPr>
      <w:bookmarkStart w:id="69" w:name="_Toc200581040"/>
      <w:r>
        <w:rPr>
          <w:rFonts w:hint="eastAsia" w:ascii="Times New Roman" w:hAnsi="Times New Roman"/>
          <w:color w:val="auto"/>
          <w:lang w:val="en-US" w:eastAsia="zh-CN"/>
        </w:rPr>
        <w:t>本评价报告的地质资料以2019年01月14日昭通市国土资源局关于《云南省昭阳区文辉矿业有限公司酒渔大桥普通建筑材料用石灰岩矿勘查地质报告》（2019）矿产资源储量评审备案证明（昭市国土资矿储备字[2019]01号）进行叙述。</w:t>
      </w:r>
    </w:p>
    <w:p w14:paraId="526BDB16">
      <w:pPr>
        <w:pStyle w:val="4"/>
        <w:bidi w:val="0"/>
        <w:rPr>
          <w:rFonts w:ascii="Times New Roman" w:hAnsi="Times New Roman"/>
          <w:color w:val="auto"/>
        </w:rPr>
      </w:pPr>
      <w:bookmarkStart w:id="70" w:name="_Toc1879"/>
      <w:r>
        <w:rPr>
          <w:rFonts w:hint="eastAsia" w:ascii="Times New Roman" w:hAnsi="Times New Roman"/>
          <w:color w:val="auto"/>
          <w:lang w:val="en-US" w:eastAsia="zh-CN"/>
        </w:rPr>
        <w:t xml:space="preserve">2.3.1 </w:t>
      </w:r>
      <w:r>
        <w:rPr>
          <w:rFonts w:ascii="Times New Roman" w:hAnsi="Times New Roman"/>
          <w:color w:val="auto"/>
        </w:rPr>
        <w:t>区域地质</w:t>
      </w:r>
      <w:bookmarkEnd w:id="69"/>
      <w:bookmarkEnd w:id="70"/>
    </w:p>
    <w:p w14:paraId="25457551">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区域地层</w:t>
      </w:r>
    </w:p>
    <w:p w14:paraId="4B6C8BC2">
      <w:pPr>
        <w:bidi w:val="0"/>
        <w:rPr>
          <w:rFonts w:hint="eastAsia" w:ascii="Times New Roman" w:hAnsi="Times New Roman"/>
          <w:color w:val="auto"/>
        </w:rPr>
      </w:pPr>
      <w:r>
        <w:rPr>
          <w:rFonts w:hint="eastAsia" w:ascii="Times New Roman" w:hAnsi="Times New Roman"/>
          <w:color w:val="auto"/>
        </w:rPr>
        <w:t>根据</w:t>
      </w:r>
      <w:r>
        <w:rPr>
          <w:rFonts w:hint="eastAsia" w:ascii="Times New Roman" w:hAnsi="Times New Roman"/>
          <w:color w:val="auto"/>
          <w:lang w:eastAsia="zh-CN"/>
        </w:rPr>
        <w:t>“</w:t>
      </w:r>
      <w:r>
        <w:rPr>
          <w:rFonts w:hint="eastAsia" w:ascii="Times New Roman" w:hAnsi="Times New Roman"/>
          <w:color w:val="auto"/>
        </w:rPr>
        <w:t>区域资料</w:t>
      </w:r>
      <w:r>
        <w:rPr>
          <w:rFonts w:hint="eastAsia" w:ascii="Times New Roman" w:hAnsi="Times New Roman"/>
          <w:color w:val="auto"/>
          <w:lang w:eastAsia="zh-CN"/>
        </w:rPr>
        <w:t>”</w:t>
      </w:r>
      <w:r>
        <w:rPr>
          <w:rFonts w:hint="eastAsia" w:ascii="Times New Roman" w:hAnsi="Times New Roman"/>
          <w:color w:val="auto"/>
        </w:rPr>
        <w:t>小龙洞地区，震旦亚界-古生界-中生界-新生界地层不完整，震旦系、寒武系、志留系、泥盆系、石炭系、二叠系、三叠系、侏罗系、第三系、第四系均有出露，缺失奥陶系、白垩系。矿区所在位置附近出露二叠系、泥盆系、第三系地层。地层岩性由新至老详见表</w:t>
      </w:r>
      <w:r>
        <w:rPr>
          <w:rFonts w:hint="eastAsia" w:ascii="Times New Roman" w:hAnsi="Times New Roman"/>
          <w:color w:val="auto"/>
          <w:lang w:val="en-US" w:eastAsia="zh-CN"/>
        </w:rPr>
        <w:t>2.3</w:t>
      </w:r>
      <w:r>
        <w:rPr>
          <w:rFonts w:hint="eastAsia" w:ascii="Times New Roman" w:hAnsi="Times New Roman"/>
          <w:color w:val="auto"/>
        </w:rPr>
        <w:t>-1。</w:t>
      </w:r>
    </w:p>
    <w:p w14:paraId="22BFDB8B">
      <w:pPr>
        <w:pStyle w:val="16"/>
        <w:bidi w:val="0"/>
        <w:rPr>
          <w:rFonts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2.3</w:t>
      </w:r>
      <w:r>
        <w:rPr>
          <w:rFonts w:hint="eastAsia" w:ascii="Times New Roman" w:hAnsi="Times New Roman"/>
          <w:color w:val="auto"/>
        </w:rPr>
        <w:t>-1</w:t>
      </w:r>
      <w:r>
        <w:rPr>
          <w:rFonts w:hint="eastAsia" w:ascii="Times New Roman" w:hAnsi="Times New Roman"/>
          <w:color w:val="auto"/>
          <w:lang w:val="en-US" w:eastAsia="zh-CN"/>
        </w:rPr>
        <w:t xml:space="preserve">  </w:t>
      </w:r>
      <w:r>
        <w:rPr>
          <w:rFonts w:hint="eastAsia" w:ascii="Times New Roman" w:hAnsi="Times New Roman"/>
          <w:color w:val="auto"/>
        </w:rPr>
        <w:t>区域地层层序及岩性一览表</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453"/>
        <w:gridCol w:w="447"/>
        <w:gridCol w:w="426"/>
        <w:gridCol w:w="918"/>
        <w:gridCol w:w="788"/>
        <w:gridCol w:w="1084"/>
        <w:gridCol w:w="4790"/>
      </w:tblGrid>
      <w:tr w14:paraId="6E65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blHeader/>
          <w:jc w:val="center"/>
        </w:trPr>
        <w:tc>
          <w:tcPr>
            <w:tcW w:w="264" w:type="pct"/>
            <w:vAlign w:val="center"/>
          </w:tcPr>
          <w:p w14:paraId="656A0546">
            <w:pPr>
              <w:pStyle w:val="17"/>
              <w:bidi w:val="0"/>
              <w:rPr>
                <w:rFonts w:ascii="Times New Roman" w:hAnsi="Times New Roman"/>
                <w:color w:val="auto"/>
              </w:rPr>
            </w:pPr>
            <w:r>
              <w:rPr>
                <w:rFonts w:ascii="Times New Roman" w:hAnsi="Times New Roman"/>
                <w:color w:val="auto"/>
              </w:rPr>
              <w:t>界</w:t>
            </w:r>
          </w:p>
        </w:tc>
        <w:tc>
          <w:tcPr>
            <w:tcW w:w="244" w:type="pct"/>
            <w:vAlign w:val="center"/>
          </w:tcPr>
          <w:p w14:paraId="2F5943B2">
            <w:pPr>
              <w:pStyle w:val="17"/>
              <w:bidi w:val="0"/>
              <w:rPr>
                <w:rFonts w:ascii="Times New Roman" w:hAnsi="Times New Roman"/>
                <w:color w:val="auto"/>
              </w:rPr>
            </w:pPr>
            <w:r>
              <w:rPr>
                <w:rFonts w:ascii="Times New Roman" w:hAnsi="Times New Roman"/>
                <w:color w:val="auto"/>
              </w:rPr>
              <w:t>系</w:t>
            </w:r>
          </w:p>
        </w:tc>
        <w:tc>
          <w:tcPr>
            <w:tcW w:w="241" w:type="pct"/>
            <w:vAlign w:val="center"/>
          </w:tcPr>
          <w:p w14:paraId="0E86D869">
            <w:pPr>
              <w:pStyle w:val="17"/>
              <w:bidi w:val="0"/>
              <w:rPr>
                <w:rFonts w:ascii="Times New Roman" w:hAnsi="Times New Roman"/>
                <w:color w:val="auto"/>
              </w:rPr>
            </w:pPr>
            <w:r>
              <w:rPr>
                <w:rFonts w:ascii="Times New Roman" w:hAnsi="Times New Roman"/>
                <w:color w:val="auto"/>
              </w:rPr>
              <w:t>统</w:t>
            </w:r>
          </w:p>
        </w:tc>
        <w:tc>
          <w:tcPr>
            <w:tcW w:w="697" w:type="pct"/>
            <w:gridSpan w:val="2"/>
            <w:vAlign w:val="center"/>
          </w:tcPr>
          <w:p w14:paraId="6628F854">
            <w:pPr>
              <w:pStyle w:val="17"/>
              <w:bidi w:val="0"/>
              <w:rPr>
                <w:rFonts w:ascii="Times New Roman" w:hAnsi="Times New Roman"/>
                <w:color w:val="auto"/>
              </w:rPr>
            </w:pPr>
            <w:r>
              <w:rPr>
                <w:rFonts w:ascii="Times New Roman" w:hAnsi="Times New Roman"/>
                <w:color w:val="auto"/>
              </w:rPr>
              <w:t>组</w:t>
            </w:r>
          </w:p>
        </w:tc>
        <w:tc>
          <w:tcPr>
            <w:tcW w:w="422" w:type="pct"/>
            <w:vAlign w:val="center"/>
          </w:tcPr>
          <w:p w14:paraId="4CCB9398">
            <w:pPr>
              <w:pStyle w:val="17"/>
              <w:bidi w:val="0"/>
              <w:rPr>
                <w:rFonts w:ascii="Times New Roman" w:hAnsi="Times New Roman"/>
                <w:color w:val="auto"/>
              </w:rPr>
            </w:pPr>
            <w:r>
              <w:rPr>
                <w:rFonts w:ascii="Times New Roman" w:hAnsi="Times New Roman"/>
                <w:color w:val="auto"/>
              </w:rPr>
              <w:t>代号</w:t>
            </w:r>
          </w:p>
        </w:tc>
        <w:tc>
          <w:tcPr>
            <w:tcW w:w="579" w:type="pct"/>
            <w:vAlign w:val="center"/>
          </w:tcPr>
          <w:p w14:paraId="38EA0955">
            <w:pPr>
              <w:pStyle w:val="17"/>
              <w:bidi w:val="0"/>
              <w:rPr>
                <w:rFonts w:ascii="Times New Roman" w:hAnsi="Times New Roman"/>
                <w:color w:val="auto"/>
              </w:rPr>
            </w:pPr>
            <w:r>
              <w:rPr>
                <w:rFonts w:ascii="Times New Roman" w:hAnsi="Times New Roman"/>
                <w:color w:val="auto"/>
              </w:rPr>
              <w:t>厚度(m)</w:t>
            </w:r>
          </w:p>
        </w:tc>
        <w:tc>
          <w:tcPr>
            <w:tcW w:w="2549" w:type="pct"/>
            <w:tcBorders>
              <w:right w:val="single" w:color="auto" w:sz="4" w:space="0"/>
            </w:tcBorders>
            <w:vAlign w:val="center"/>
          </w:tcPr>
          <w:p w14:paraId="0574D6ED">
            <w:pPr>
              <w:pStyle w:val="17"/>
              <w:bidi w:val="0"/>
              <w:rPr>
                <w:rFonts w:ascii="Times New Roman" w:hAnsi="Times New Roman"/>
                <w:color w:val="auto"/>
              </w:rPr>
            </w:pPr>
            <w:r>
              <w:rPr>
                <w:rFonts w:ascii="Times New Roman" w:hAnsi="Times New Roman"/>
                <w:color w:val="auto"/>
              </w:rPr>
              <w:t>地层岩性</w:t>
            </w:r>
          </w:p>
        </w:tc>
      </w:tr>
      <w:tr w14:paraId="3805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64" w:type="pct"/>
            <w:vMerge w:val="restart"/>
            <w:vAlign w:val="center"/>
          </w:tcPr>
          <w:p w14:paraId="03EFC02D">
            <w:pPr>
              <w:pStyle w:val="17"/>
              <w:bidi w:val="0"/>
              <w:rPr>
                <w:rFonts w:ascii="Times New Roman" w:hAnsi="Times New Roman"/>
                <w:color w:val="auto"/>
              </w:rPr>
            </w:pPr>
            <w:r>
              <w:rPr>
                <w:rFonts w:ascii="Times New Roman" w:hAnsi="Times New Roman"/>
                <w:color w:val="auto"/>
              </w:rPr>
              <w:t>新生界</w:t>
            </w:r>
          </w:p>
        </w:tc>
        <w:tc>
          <w:tcPr>
            <w:tcW w:w="244" w:type="pct"/>
            <w:vAlign w:val="center"/>
          </w:tcPr>
          <w:p w14:paraId="2B764389">
            <w:pPr>
              <w:pStyle w:val="17"/>
              <w:bidi w:val="0"/>
              <w:rPr>
                <w:rFonts w:ascii="Times New Roman" w:hAnsi="Times New Roman"/>
                <w:color w:val="auto"/>
              </w:rPr>
            </w:pPr>
            <w:r>
              <w:rPr>
                <w:rFonts w:ascii="Times New Roman" w:hAnsi="Times New Roman"/>
                <w:color w:val="auto"/>
              </w:rPr>
              <w:t>第四系</w:t>
            </w:r>
          </w:p>
        </w:tc>
        <w:tc>
          <w:tcPr>
            <w:tcW w:w="241" w:type="pct"/>
            <w:vAlign w:val="center"/>
          </w:tcPr>
          <w:p w14:paraId="730997CA">
            <w:pPr>
              <w:pStyle w:val="17"/>
              <w:bidi w:val="0"/>
              <w:rPr>
                <w:rFonts w:ascii="Times New Roman" w:hAnsi="Times New Roman"/>
                <w:color w:val="auto"/>
              </w:rPr>
            </w:pPr>
          </w:p>
        </w:tc>
        <w:tc>
          <w:tcPr>
            <w:tcW w:w="697" w:type="pct"/>
            <w:gridSpan w:val="2"/>
            <w:vAlign w:val="center"/>
          </w:tcPr>
          <w:p w14:paraId="521102FD">
            <w:pPr>
              <w:pStyle w:val="17"/>
              <w:bidi w:val="0"/>
              <w:rPr>
                <w:rFonts w:ascii="Times New Roman" w:hAnsi="Times New Roman"/>
                <w:color w:val="auto"/>
              </w:rPr>
            </w:pPr>
          </w:p>
        </w:tc>
        <w:tc>
          <w:tcPr>
            <w:tcW w:w="422" w:type="pct"/>
            <w:vAlign w:val="center"/>
          </w:tcPr>
          <w:p w14:paraId="71AC7F3F">
            <w:pPr>
              <w:pStyle w:val="17"/>
              <w:bidi w:val="0"/>
              <w:rPr>
                <w:rFonts w:ascii="Times New Roman" w:hAnsi="Times New Roman"/>
                <w:color w:val="auto"/>
              </w:rPr>
            </w:pPr>
            <w:r>
              <w:rPr>
                <w:rFonts w:ascii="Times New Roman" w:hAnsi="Times New Roman"/>
                <w:color w:val="auto"/>
              </w:rPr>
              <w:t>Q</w:t>
            </w:r>
          </w:p>
        </w:tc>
        <w:tc>
          <w:tcPr>
            <w:tcW w:w="579" w:type="pct"/>
            <w:vAlign w:val="center"/>
          </w:tcPr>
          <w:p w14:paraId="019A7DD7">
            <w:pPr>
              <w:pStyle w:val="17"/>
              <w:bidi w:val="0"/>
              <w:rPr>
                <w:rFonts w:ascii="Times New Roman" w:hAnsi="Times New Roman"/>
                <w:color w:val="auto"/>
              </w:rPr>
            </w:pPr>
            <w:r>
              <w:rPr>
                <w:rFonts w:ascii="Times New Roman" w:hAnsi="Times New Roman"/>
                <w:color w:val="auto"/>
              </w:rPr>
              <w:t>0～30</w:t>
            </w:r>
          </w:p>
        </w:tc>
        <w:tc>
          <w:tcPr>
            <w:tcW w:w="2549" w:type="pct"/>
            <w:tcBorders>
              <w:right w:val="single" w:color="auto" w:sz="4" w:space="0"/>
            </w:tcBorders>
            <w:vAlign w:val="center"/>
          </w:tcPr>
          <w:p w14:paraId="1EDA4E97">
            <w:pPr>
              <w:pStyle w:val="17"/>
              <w:bidi w:val="0"/>
              <w:rPr>
                <w:rFonts w:ascii="Times New Roman" w:hAnsi="Times New Roman"/>
                <w:color w:val="auto"/>
              </w:rPr>
            </w:pPr>
            <w:r>
              <w:rPr>
                <w:rFonts w:ascii="Times New Roman" w:hAnsi="Times New Roman"/>
                <w:color w:val="auto"/>
              </w:rPr>
              <w:t xml:space="preserve">冲积、残坡积、湖沼成因的砂、砾、粉砂、粘土及泥岩：局部有冰积岩 </w:t>
            </w:r>
          </w:p>
        </w:tc>
      </w:tr>
      <w:tr w14:paraId="6AD9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64" w:type="pct"/>
            <w:vMerge w:val="continue"/>
            <w:vAlign w:val="center"/>
          </w:tcPr>
          <w:p w14:paraId="4DDCEB1C">
            <w:pPr>
              <w:pStyle w:val="17"/>
              <w:bidi w:val="0"/>
              <w:rPr>
                <w:rFonts w:ascii="Times New Roman" w:hAnsi="Times New Roman"/>
                <w:color w:val="auto"/>
              </w:rPr>
            </w:pPr>
          </w:p>
        </w:tc>
        <w:tc>
          <w:tcPr>
            <w:tcW w:w="244" w:type="pct"/>
            <w:vAlign w:val="center"/>
          </w:tcPr>
          <w:p w14:paraId="2F34767A">
            <w:pPr>
              <w:pStyle w:val="17"/>
              <w:bidi w:val="0"/>
              <w:rPr>
                <w:rFonts w:ascii="Times New Roman" w:hAnsi="Times New Roman"/>
                <w:color w:val="auto"/>
              </w:rPr>
            </w:pPr>
            <w:r>
              <w:rPr>
                <w:rFonts w:ascii="Times New Roman" w:hAnsi="Times New Roman"/>
                <w:color w:val="auto"/>
              </w:rPr>
              <w:t>上第三系</w:t>
            </w:r>
          </w:p>
        </w:tc>
        <w:tc>
          <w:tcPr>
            <w:tcW w:w="241" w:type="pct"/>
            <w:vAlign w:val="center"/>
          </w:tcPr>
          <w:p w14:paraId="0AB1EFFA">
            <w:pPr>
              <w:pStyle w:val="17"/>
              <w:bidi w:val="0"/>
              <w:rPr>
                <w:rFonts w:ascii="Times New Roman" w:hAnsi="Times New Roman"/>
                <w:color w:val="auto"/>
              </w:rPr>
            </w:pPr>
          </w:p>
        </w:tc>
        <w:tc>
          <w:tcPr>
            <w:tcW w:w="697" w:type="pct"/>
            <w:gridSpan w:val="2"/>
            <w:vAlign w:val="center"/>
          </w:tcPr>
          <w:p w14:paraId="67501280">
            <w:pPr>
              <w:pStyle w:val="17"/>
              <w:bidi w:val="0"/>
              <w:rPr>
                <w:rFonts w:ascii="Times New Roman" w:hAnsi="Times New Roman"/>
                <w:color w:val="auto"/>
              </w:rPr>
            </w:pPr>
          </w:p>
        </w:tc>
        <w:tc>
          <w:tcPr>
            <w:tcW w:w="422" w:type="pct"/>
            <w:vAlign w:val="center"/>
          </w:tcPr>
          <w:p w14:paraId="05E299B0">
            <w:pPr>
              <w:pStyle w:val="17"/>
              <w:bidi w:val="0"/>
              <w:rPr>
                <w:rFonts w:ascii="Times New Roman" w:hAnsi="Times New Roman"/>
                <w:color w:val="auto"/>
              </w:rPr>
            </w:pPr>
            <w:r>
              <w:rPr>
                <w:rFonts w:ascii="Times New Roman" w:hAnsi="Times New Roman"/>
                <w:color w:val="auto"/>
              </w:rPr>
              <w:t>N</w:t>
            </w:r>
          </w:p>
        </w:tc>
        <w:tc>
          <w:tcPr>
            <w:tcW w:w="579" w:type="pct"/>
            <w:vAlign w:val="center"/>
          </w:tcPr>
          <w:p w14:paraId="612E989A">
            <w:pPr>
              <w:pStyle w:val="17"/>
              <w:bidi w:val="0"/>
              <w:rPr>
                <w:rFonts w:ascii="Times New Roman" w:hAnsi="Times New Roman"/>
                <w:color w:val="auto"/>
              </w:rPr>
            </w:pPr>
            <w:r>
              <w:rPr>
                <w:rFonts w:ascii="Times New Roman" w:hAnsi="Times New Roman"/>
                <w:color w:val="auto"/>
              </w:rPr>
              <w:t>37-490</w:t>
            </w:r>
          </w:p>
        </w:tc>
        <w:tc>
          <w:tcPr>
            <w:tcW w:w="2549" w:type="pct"/>
            <w:tcBorders>
              <w:right w:val="single" w:color="auto" w:sz="4" w:space="0"/>
            </w:tcBorders>
            <w:vAlign w:val="center"/>
          </w:tcPr>
          <w:p w14:paraId="53A13777">
            <w:pPr>
              <w:pStyle w:val="17"/>
              <w:bidi w:val="0"/>
              <w:rPr>
                <w:rFonts w:ascii="Times New Roman" w:hAnsi="Times New Roman"/>
                <w:color w:val="auto"/>
              </w:rPr>
            </w:pPr>
            <w:r>
              <w:rPr>
                <w:rFonts w:ascii="Times New Roman" w:hAnsi="Times New Roman"/>
                <w:color w:val="auto"/>
              </w:rPr>
              <w:t>砾灰、浅灰、兰绿色粘土、砂质、钙质或炭质粘土夹褐煤，底部为砾岩</w:t>
            </w:r>
          </w:p>
        </w:tc>
      </w:tr>
      <w:tr w14:paraId="7519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64" w:type="pct"/>
            <w:vMerge w:val="restart"/>
            <w:vAlign w:val="center"/>
          </w:tcPr>
          <w:p w14:paraId="429F6A9F">
            <w:pPr>
              <w:pStyle w:val="17"/>
              <w:bidi w:val="0"/>
              <w:rPr>
                <w:rFonts w:ascii="Times New Roman" w:hAnsi="Times New Roman"/>
                <w:color w:val="auto"/>
              </w:rPr>
            </w:pPr>
            <w:r>
              <w:rPr>
                <w:rFonts w:ascii="Times New Roman" w:hAnsi="Times New Roman"/>
                <w:color w:val="auto"/>
              </w:rPr>
              <w:t>古生界</w:t>
            </w:r>
          </w:p>
        </w:tc>
        <w:tc>
          <w:tcPr>
            <w:tcW w:w="244" w:type="pct"/>
            <w:vMerge w:val="restart"/>
            <w:vAlign w:val="center"/>
          </w:tcPr>
          <w:p w14:paraId="5BA24505">
            <w:pPr>
              <w:pStyle w:val="17"/>
              <w:bidi w:val="0"/>
              <w:rPr>
                <w:rFonts w:ascii="Times New Roman" w:hAnsi="Times New Roman"/>
                <w:color w:val="auto"/>
              </w:rPr>
            </w:pPr>
            <w:r>
              <w:rPr>
                <w:rFonts w:ascii="Times New Roman" w:hAnsi="Times New Roman"/>
                <w:color w:val="auto"/>
              </w:rPr>
              <w:t>二叠系</w:t>
            </w:r>
          </w:p>
        </w:tc>
        <w:tc>
          <w:tcPr>
            <w:tcW w:w="241" w:type="pct"/>
            <w:vMerge w:val="restart"/>
            <w:tcBorders>
              <w:right w:val="single" w:color="auto" w:sz="4" w:space="0"/>
            </w:tcBorders>
            <w:vAlign w:val="center"/>
          </w:tcPr>
          <w:p w14:paraId="1FB0CB0F">
            <w:pPr>
              <w:pStyle w:val="17"/>
              <w:bidi w:val="0"/>
              <w:rPr>
                <w:rFonts w:ascii="Times New Roman" w:hAnsi="Times New Roman"/>
                <w:color w:val="auto"/>
              </w:rPr>
            </w:pPr>
            <w:r>
              <w:rPr>
                <w:rFonts w:ascii="Times New Roman" w:hAnsi="Times New Roman"/>
                <w:color w:val="auto"/>
              </w:rPr>
              <w:t>上统</w:t>
            </w:r>
          </w:p>
        </w:tc>
        <w:tc>
          <w:tcPr>
            <w:tcW w:w="697" w:type="pct"/>
            <w:gridSpan w:val="2"/>
            <w:tcBorders>
              <w:left w:val="single" w:color="auto" w:sz="4" w:space="0"/>
            </w:tcBorders>
            <w:vAlign w:val="center"/>
          </w:tcPr>
          <w:p w14:paraId="5C6ABF09">
            <w:pPr>
              <w:pStyle w:val="17"/>
              <w:bidi w:val="0"/>
              <w:rPr>
                <w:rFonts w:ascii="Times New Roman" w:hAnsi="Times New Roman"/>
                <w:color w:val="auto"/>
              </w:rPr>
            </w:pPr>
            <w:r>
              <w:rPr>
                <w:rFonts w:ascii="Times New Roman" w:hAnsi="Times New Roman"/>
                <w:color w:val="auto"/>
              </w:rPr>
              <w:t>宣威组</w:t>
            </w:r>
          </w:p>
        </w:tc>
        <w:tc>
          <w:tcPr>
            <w:tcW w:w="422" w:type="pct"/>
            <w:vAlign w:val="center"/>
          </w:tcPr>
          <w:p w14:paraId="062FAC24">
            <w:pPr>
              <w:pStyle w:val="17"/>
              <w:bidi w:val="0"/>
              <w:rPr>
                <w:rFonts w:ascii="Times New Roman" w:hAnsi="Times New Roman"/>
                <w:color w:val="auto"/>
              </w:rPr>
            </w:pPr>
            <w:r>
              <w:rPr>
                <w:rFonts w:ascii="Times New Roman" w:hAnsi="Times New Roman"/>
                <w:color w:val="auto"/>
              </w:rPr>
              <w:t>P</w:t>
            </w:r>
            <w:r>
              <w:rPr>
                <w:rFonts w:hint="eastAsia" w:ascii="Times New Roman" w:hAnsi="Times New Roman"/>
                <w:color w:val="auto"/>
                <w:vertAlign w:val="subscript"/>
              </w:rPr>
              <w:t>3</w:t>
            </w:r>
            <w:r>
              <w:rPr>
                <w:rFonts w:ascii="Times New Roman" w:hAnsi="Times New Roman"/>
                <w:color w:val="auto"/>
              </w:rPr>
              <w:t>x</w:t>
            </w:r>
          </w:p>
        </w:tc>
        <w:tc>
          <w:tcPr>
            <w:tcW w:w="579" w:type="pct"/>
            <w:vAlign w:val="center"/>
          </w:tcPr>
          <w:p w14:paraId="6DEB9BD2">
            <w:pPr>
              <w:pStyle w:val="17"/>
              <w:bidi w:val="0"/>
              <w:rPr>
                <w:rFonts w:ascii="Times New Roman" w:hAnsi="Times New Roman"/>
                <w:color w:val="auto"/>
              </w:rPr>
            </w:pPr>
            <w:r>
              <w:rPr>
                <w:rFonts w:ascii="Times New Roman" w:hAnsi="Times New Roman"/>
                <w:color w:val="auto"/>
              </w:rPr>
              <w:t>72-126</w:t>
            </w:r>
          </w:p>
        </w:tc>
        <w:tc>
          <w:tcPr>
            <w:tcW w:w="2549" w:type="pct"/>
            <w:vAlign w:val="center"/>
          </w:tcPr>
          <w:p w14:paraId="02C5B0B8">
            <w:pPr>
              <w:pStyle w:val="17"/>
              <w:bidi w:val="0"/>
              <w:rPr>
                <w:rFonts w:ascii="Times New Roman" w:hAnsi="Times New Roman"/>
                <w:color w:val="auto"/>
              </w:rPr>
            </w:pPr>
            <w:r>
              <w:rPr>
                <w:rFonts w:ascii="Times New Roman" w:hAnsi="Times New Roman"/>
                <w:color w:val="auto"/>
              </w:rPr>
              <w:t>灰绿色页岩、泥质粉砂岩夹细粒岩屑砂岩、少量铝土岩及薄煤，北部具底砾岩</w:t>
            </w:r>
          </w:p>
        </w:tc>
      </w:tr>
      <w:tr w14:paraId="0F9C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64" w:type="pct"/>
            <w:vMerge w:val="continue"/>
            <w:vAlign w:val="center"/>
          </w:tcPr>
          <w:p w14:paraId="60CD55EA">
            <w:pPr>
              <w:pStyle w:val="17"/>
              <w:bidi w:val="0"/>
              <w:rPr>
                <w:rFonts w:ascii="Times New Roman" w:hAnsi="Times New Roman"/>
                <w:color w:val="auto"/>
              </w:rPr>
            </w:pPr>
          </w:p>
        </w:tc>
        <w:tc>
          <w:tcPr>
            <w:tcW w:w="244" w:type="pct"/>
            <w:vMerge w:val="continue"/>
            <w:vAlign w:val="center"/>
          </w:tcPr>
          <w:p w14:paraId="4065D464">
            <w:pPr>
              <w:pStyle w:val="17"/>
              <w:bidi w:val="0"/>
              <w:rPr>
                <w:rFonts w:ascii="Times New Roman" w:hAnsi="Times New Roman"/>
                <w:color w:val="auto"/>
              </w:rPr>
            </w:pPr>
          </w:p>
        </w:tc>
        <w:tc>
          <w:tcPr>
            <w:tcW w:w="241" w:type="pct"/>
            <w:vMerge w:val="continue"/>
            <w:tcBorders>
              <w:right w:val="single" w:color="auto" w:sz="4" w:space="0"/>
            </w:tcBorders>
            <w:vAlign w:val="center"/>
          </w:tcPr>
          <w:p w14:paraId="1D91C6C3">
            <w:pPr>
              <w:pStyle w:val="17"/>
              <w:bidi w:val="0"/>
              <w:rPr>
                <w:rFonts w:ascii="Times New Roman" w:hAnsi="Times New Roman"/>
                <w:color w:val="auto"/>
              </w:rPr>
            </w:pPr>
          </w:p>
        </w:tc>
        <w:tc>
          <w:tcPr>
            <w:tcW w:w="206" w:type="pct"/>
            <w:vMerge w:val="restart"/>
            <w:tcBorders>
              <w:left w:val="single" w:color="auto" w:sz="4" w:space="0"/>
            </w:tcBorders>
            <w:vAlign w:val="center"/>
          </w:tcPr>
          <w:p w14:paraId="5BB3F212">
            <w:pPr>
              <w:pStyle w:val="17"/>
              <w:bidi w:val="0"/>
              <w:rPr>
                <w:rFonts w:ascii="Times New Roman" w:hAnsi="Times New Roman"/>
                <w:color w:val="auto"/>
              </w:rPr>
            </w:pPr>
            <w:r>
              <w:rPr>
                <w:rFonts w:ascii="Times New Roman" w:hAnsi="Times New Roman"/>
                <w:color w:val="auto"/>
              </w:rPr>
              <w:t>峨嵋山玄武岩组</w:t>
            </w:r>
          </w:p>
        </w:tc>
        <w:tc>
          <w:tcPr>
            <w:tcW w:w="490" w:type="pct"/>
            <w:tcBorders>
              <w:left w:val="single" w:color="auto" w:sz="4" w:space="0"/>
            </w:tcBorders>
            <w:vAlign w:val="center"/>
          </w:tcPr>
          <w:p w14:paraId="215A93FA">
            <w:pPr>
              <w:pStyle w:val="17"/>
              <w:bidi w:val="0"/>
              <w:rPr>
                <w:rFonts w:ascii="Times New Roman" w:hAnsi="Times New Roman"/>
                <w:color w:val="auto"/>
              </w:rPr>
            </w:pPr>
            <w:r>
              <w:rPr>
                <w:rFonts w:ascii="Times New Roman" w:hAnsi="Times New Roman"/>
                <w:color w:val="auto"/>
              </w:rPr>
              <w:t>第四段</w:t>
            </w:r>
          </w:p>
        </w:tc>
        <w:tc>
          <w:tcPr>
            <w:tcW w:w="422" w:type="pct"/>
            <w:vAlign w:val="center"/>
          </w:tcPr>
          <w:p w14:paraId="2AEBA5D4">
            <w:pPr>
              <w:pStyle w:val="17"/>
              <w:bidi w:val="0"/>
              <w:rPr>
                <w:rFonts w:ascii="Times New Roman" w:hAnsi="Times New Roman"/>
                <w:color w:val="auto"/>
              </w:rPr>
            </w:pPr>
            <w:r>
              <w:rPr>
                <w:rFonts w:ascii="Times New Roman" w:hAnsi="Times New Roman"/>
                <w:color w:val="auto"/>
              </w:rPr>
              <w:t>P</w:t>
            </w:r>
            <w:r>
              <w:rPr>
                <w:rFonts w:hint="eastAsia" w:ascii="Times New Roman" w:hAnsi="Times New Roman"/>
                <w:color w:val="auto"/>
                <w:vertAlign w:val="subscript"/>
              </w:rPr>
              <w:t>3</w:t>
            </w:r>
            <w:r>
              <w:rPr>
                <w:rFonts w:ascii="Times New Roman" w:hAnsi="Times New Roman"/>
                <w:color w:val="auto"/>
              </w:rPr>
              <w:t>β</w:t>
            </w:r>
            <w:r>
              <w:rPr>
                <w:rFonts w:ascii="Times New Roman" w:hAnsi="Times New Roman"/>
                <w:color w:val="auto"/>
                <w:vertAlign w:val="subscript"/>
              </w:rPr>
              <w:t>4</w:t>
            </w:r>
          </w:p>
        </w:tc>
        <w:tc>
          <w:tcPr>
            <w:tcW w:w="579" w:type="pct"/>
            <w:vAlign w:val="center"/>
          </w:tcPr>
          <w:p w14:paraId="2D457ED9">
            <w:pPr>
              <w:pStyle w:val="17"/>
              <w:bidi w:val="0"/>
              <w:rPr>
                <w:rFonts w:ascii="Times New Roman" w:hAnsi="Times New Roman"/>
                <w:color w:val="auto"/>
              </w:rPr>
            </w:pPr>
            <w:r>
              <w:rPr>
                <w:rFonts w:ascii="Times New Roman" w:hAnsi="Times New Roman"/>
                <w:color w:val="auto"/>
              </w:rPr>
              <w:t>118-202</w:t>
            </w:r>
          </w:p>
        </w:tc>
        <w:tc>
          <w:tcPr>
            <w:tcW w:w="2549" w:type="pct"/>
            <w:vAlign w:val="center"/>
          </w:tcPr>
          <w:p w14:paraId="5E201396">
            <w:pPr>
              <w:pStyle w:val="17"/>
              <w:bidi w:val="0"/>
              <w:rPr>
                <w:rFonts w:ascii="Times New Roman" w:hAnsi="Times New Roman"/>
                <w:color w:val="auto"/>
              </w:rPr>
            </w:pPr>
            <w:r>
              <w:rPr>
                <w:rFonts w:ascii="Times New Roman" w:hAnsi="Times New Roman"/>
                <w:color w:val="auto"/>
              </w:rPr>
              <w:t>致密玄武岩段；铁黑色致密玄武岩及含橄榄钛辉玄武岩、少量杏仁状玄武岩，上夹多层凝灰岩</w:t>
            </w:r>
          </w:p>
        </w:tc>
      </w:tr>
      <w:tr w14:paraId="4B06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264" w:type="pct"/>
            <w:vMerge w:val="continue"/>
            <w:vAlign w:val="center"/>
          </w:tcPr>
          <w:p w14:paraId="79C204D9">
            <w:pPr>
              <w:pStyle w:val="17"/>
              <w:bidi w:val="0"/>
              <w:rPr>
                <w:rFonts w:ascii="Times New Roman" w:hAnsi="Times New Roman"/>
                <w:color w:val="auto"/>
              </w:rPr>
            </w:pPr>
          </w:p>
        </w:tc>
        <w:tc>
          <w:tcPr>
            <w:tcW w:w="244" w:type="pct"/>
            <w:vMerge w:val="continue"/>
            <w:vAlign w:val="center"/>
          </w:tcPr>
          <w:p w14:paraId="2340E4BB">
            <w:pPr>
              <w:pStyle w:val="17"/>
              <w:bidi w:val="0"/>
              <w:rPr>
                <w:rFonts w:ascii="Times New Roman" w:hAnsi="Times New Roman"/>
                <w:color w:val="auto"/>
              </w:rPr>
            </w:pPr>
          </w:p>
        </w:tc>
        <w:tc>
          <w:tcPr>
            <w:tcW w:w="241" w:type="pct"/>
            <w:vMerge w:val="continue"/>
            <w:tcBorders>
              <w:right w:val="single" w:color="auto" w:sz="4" w:space="0"/>
            </w:tcBorders>
            <w:vAlign w:val="center"/>
          </w:tcPr>
          <w:p w14:paraId="0B93A2FE">
            <w:pPr>
              <w:pStyle w:val="17"/>
              <w:bidi w:val="0"/>
              <w:rPr>
                <w:rFonts w:ascii="Times New Roman" w:hAnsi="Times New Roman"/>
                <w:color w:val="auto"/>
              </w:rPr>
            </w:pPr>
          </w:p>
        </w:tc>
        <w:tc>
          <w:tcPr>
            <w:tcW w:w="206" w:type="pct"/>
            <w:vMerge w:val="continue"/>
            <w:tcBorders>
              <w:left w:val="single" w:color="auto" w:sz="4" w:space="0"/>
            </w:tcBorders>
            <w:vAlign w:val="center"/>
          </w:tcPr>
          <w:p w14:paraId="39E0A192">
            <w:pPr>
              <w:pStyle w:val="17"/>
              <w:bidi w:val="0"/>
              <w:rPr>
                <w:rFonts w:ascii="Times New Roman" w:hAnsi="Times New Roman"/>
                <w:color w:val="auto"/>
              </w:rPr>
            </w:pPr>
          </w:p>
        </w:tc>
        <w:tc>
          <w:tcPr>
            <w:tcW w:w="490" w:type="pct"/>
            <w:tcBorders>
              <w:left w:val="single" w:color="auto" w:sz="4" w:space="0"/>
            </w:tcBorders>
            <w:vAlign w:val="center"/>
          </w:tcPr>
          <w:p w14:paraId="79A339D3">
            <w:pPr>
              <w:pStyle w:val="17"/>
              <w:bidi w:val="0"/>
              <w:rPr>
                <w:rFonts w:ascii="Times New Roman" w:hAnsi="Times New Roman"/>
                <w:color w:val="auto"/>
              </w:rPr>
            </w:pPr>
            <w:r>
              <w:rPr>
                <w:rFonts w:ascii="Times New Roman" w:hAnsi="Times New Roman"/>
                <w:color w:val="auto"/>
              </w:rPr>
              <w:t>第三段</w:t>
            </w:r>
          </w:p>
        </w:tc>
        <w:tc>
          <w:tcPr>
            <w:tcW w:w="422" w:type="pct"/>
            <w:vAlign w:val="center"/>
          </w:tcPr>
          <w:p w14:paraId="05EE410D">
            <w:pPr>
              <w:pStyle w:val="17"/>
              <w:bidi w:val="0"/>
              <w:rPr>
                <w:rFonts w:ascii="Times New Roman" w:hAnsi="Times New Roman"/>
                <w:color w:val="auto"/>
              </w:rPr>
            </w:pPr>
            <w:r>
              <w:rPr>
                <w:rFonts w:ascii="Times New Roman" w:hAnsi="Times New Roman"/>
                <w:color w:val="auto"/>
              </w:rPr>
              <w:t>P</w:t>
            </w:r>
            <w:r>
              <w:rPr>
                <w:rFonts w:hint="eastAsia" w:ascii="Times New Roman" w:hAnsi="Times New Roman"/>
                <w:color w:val="auto"/>
                <w:vertAlign w:val="subscript"/>
              </w:rPr>
              <w:t>3</w:t>
            </w:r>
            <w:r>
              <w:rPr>
                <w:rFonts w:ascii="Times New Roman" w:hAnsi="Times New Roman"/>
                <w:color w:val="auto"/>
              </w:rPr>
              <w:t>β</w:t>
            </w:r>
            <w:r>
              <w:rPr>
                <w:rFonts w:ascii="Times New Roman" w:hAnsi="Times New Roman"/>
                <w:color w:val="auto"/>
                <w:vertAlign w:val="subscript"/>
              </w:rPr>
              <w:t>3</w:t>
            </w:r>
          </w:p>
        </w:tc>
        <w:tc>
          <w:tcPr>
            <w:tcW w:w="579" w:type="pct"/>
            <w:vAlign w:val="center"/>
          </w:tcPr>
          <w:p w14:paraId="20424AB2">
            <w:pPr>
              <w:pStyle w:val="17"/>
              <w:bidi w:val="0"/>
              <w:rPr>
                <w:rFonts w:ascii="Times New Roman" w:hAnsi="Times New Roman"/>
                <w:color w:val="auto"/>
              </w:rPr>
            </w:pPr>
            <w:r>
              <w:rPr>
                <w:rFonts w:ascii="Times New Roman" w:hAnsi="Times New Roman"/>
                <w:color w:val="auto"/>
              </w:rPr>
              <w:t>236-405</w:t>
            </w:r>
          </w:p>
        </w:tc>
        <w:tc>
          <w:tcPr>
            <w:tcW w:w="2549" w:type="pct"/>
            <w:vAlign w:val="center"/>
          </w:tcPr>
          <w:p w14:paraId="2A384045">
            <w:pPr>
              <w:pStyle w:val="17"/>
              <w:bidi w:val="0"/>
              <w:rPr>
                <w:rFonts w:ascii="Times New Roman" w:hAnsi="Times New Roman"/>
                <w:color w:val="auto"/>
              </w:rPr>
            </w:pPr>
            <w:r>
              <w:rPr>
                <w:rFonts w:ascii="Times New Roman" w:hAnsi="Times New Roman"/>
                <w:color w:val="auto"/>
              </w:rPr>
              <w:t>上斑状玄武岩段；由深灰、灰黑色致密玄武岩，杏仁聚斑状玄武岩，玄武杏仁岩组成多个喷发韵律；顶部为紫杂色火山角砾岩或凝灰岩</w:t>
            </w:r>
          </w:p>
        </w:tc>
      </w:tr>
      <w:tr w14:paraId="52A7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64" w:type="pct"/>
            <w:vMerge w:val="continue"/>
            <w:vAlign w:val="center"/>
          </w:tcPr>
          <w:p w14:paraId="4CD0B7DF">
            <w:pPr>
              <w:pStyle w:val="17"/>
              <w:bidi w:val="0"/>
              <w:rPr>
                <w:rFonts w:ascii="Times New Roman" w:hAnsi="Times New Roman"/>
                <w:color w:val="auto"/>
              </w:rPr>
            </w:pPr>
          </w:p>
        </w:tc>
        <w:tc>
          <w:tcPr>
            <w:tcW w:w="244" w:type="pct"/>
            <w:vMerge w:val="continue"/>
            <w:vAlign w:val="center"/>
          </w:tcPr>
          <w:p w14:paraId="7E2AD13B">
            <w:pPr>
              <w:pStyle w:val="17"/>
              <w:bidi w:val="0"/>
              <w:rPr>
                <w:rFonts w:ascii="Times New Roman" w:hAnsi="Times New Roman"/>
                <w:color w:val="auto"/>
              </w:rPr>
            </w:pPr>
          </w:p>
        </w:tc>
        <w:tc>
          <w:tcPr>
            <w:tcW w:w="241" w:type="pct"/>
            <w:vMerge w:val="continue"/>
            <w:tcBorders>
              <w:right w:val="single" w:color="auto" w:sz="4" w:space="0"/>
            </w:tcBorders>
            <w:vAlign w:val="center"/>
          </w:tcPr>
          <w:p w14:paraId="4BA9C1DD">
            <w:pPr>
              <w:pStyle w:val="17"/>
              <w:bidi w:val="0"/>
              <w:rPr>
                <w:rFonts w:ascii="Times New Roman" w:hAnsi="Times New Roman"/>
                <w:color w:val="auto"/>
              </w:rPr>
            </w:pPr>
          </w:p>
        </w:tc>
        <w:tc>
          <w:tcPr>
            <w:tcW w:w="206" w:type="pct"/>
            <w:vMerge w:val="continue"/>
            <w:tcBorders>
              <w:left w:val="single" w:color="auto" w:sz="4" w:space="0"/>
            </w:tcBorders>
            <w:vAlign w:val="center"/>
          </w:tcPr>
          <w:p w14:paraId="4A7F17D2">
            <w:pPr>
              <w:pStyle w:val="17"/>
              <w:bidi w:val="0"/>
              <w:rPr>
                <w:rFonts w:ascii="Times New Roman" w:hAnsi="Times New Roman"/>
                <w:color w:val="auto"/>
              </w:rPr>
            </w:pPr>
          </w:p>
        </w:tc>
        <w:tc>
          <w:tcPr>
            <w:tcW w:w="490" w:type="pct"/>
            <w:tcBorders>
              <w:left w:val="single" w:color="auto" w:sz="4" w:space="0"/>
            </w:tcBorders>
            <w:vAlign w:val="center"/>
          </w:tcPr>
          <w:p w14:paraId="08C1B9A5">
            <w:pPr>
              <w:pStyle w:val="17"/>
              <w:bidi w:val="0"/>
              <w:rPr>
                <w:rFonts w:ascii="Times New Roman" w:hAnsi="Times New Roman"/>
                <w:color w:val="auto"/>
              </w:rPr>
            </w:pPr>
            <w:r>
              <w:rPr>
                <w:rFonts w:ascii="Times New Roman" w:hAnsi="Times New Roman"/>
                <w:color w:val="auto"/>
              </w:rPr>
              <w:t>第二段</w:t>
            </w:r>
          </w:p>
        </w:tc>
        <w:tc>
          <w:tcPr>
            <w:tcW w:w="422" w:type="pct"/>
            <w:vAlign w:val="center"/>
          </w:tcPr>
          <w:p w14:paraId="0AFBA711">
            <w:pPr>
              <w:pStyle w:val="17"/>
              <w:bidi w:val="0"/>
              <w:rPr>
                <w:rFonts w:ascii="Times New Roman" w:hAnsi="Times New Roman"/>
                <w:color w:val="auto"/>
              </w:rPr>
            </w:pPr>
            <w:r>
              <w:rPr>
                <w:rFonts w:ascii="Times New Roman" w:hAnsi="Times New Roman"/>
                <w:color w:val="auto"/>
              </w:rPr>
              <w:t>P</w:t>
            </w:r>
            <w:r>
              <w:rPr>
                <w:rFonts w:hint="eastAsia" w:ascii="Times New Roman" w:hAnsi="Times New Roman"/>
                <w:color w:val="auto"/>
                <w:vertAlign w:val="subscript"/>
              </w:rPr>
              <w:t>3</w:t>
            </w:r>
            <w:r>
              <w:rPr>
                <w:rFonts w:ascii="Times New Roman" w:hAnsi="Times New Roman"/>
                <w:color w:val="auto"/>
              </w:rPr>
              <w:t>β</w:t>
            </w:r>
            <w:r>
              <w:rPr>
                <w:rFonts w:ascii="Times New Roman" w:hAnsi="Times New Roman"/>
                <w:color w:val="auto"/>
                <w:vertAlign w:val="subscript"/>
              </w:rPr>
              <w:t>2</w:t>
            </w:r>
          </w:p>
        </w:tc>
        <w:tc>
          <w:tcPr>
            <w:tcW w:w="579" w:type="pct"/>
            <w:vAlign w:val="center"/>
          </w:tcPr>
          <w:p w14:paraId="7344EC86">
            <w:pPr>
              <w:pStyle w:val="17"/>
              <w:bidi w:val="0"/>
              <w:rPr>
                <w:rFonts w:ascii="Times New Roman" w:hAnsi="Times New Roman"/>
                <w:color w:val="auto"/>
              </w:rPr>
            </w:pPr>
            <w:r>
              <w:rPr>
                <w:rFonts w:ascii="Times New Roman" w:hAnsi="Times New Roman"/>
                <w:color w:val="auto"/>
              </w:rPr>
              <w:t>85-439</w:t>
            </w:r>
          </w:p>
        </w:tc>
        <w:tc>
          <w:tcPr>
            <w:tcW w:w="2549" w:type="pct"/>
            <w:vAlign w:val="center"/>
          </w:tcPr>
          <w:p w14:paraId="3632B71C">
            <w:pPr>
              <w:pStyle w:val="17"/>
              <w:bidi w:val="0"/>
              <w:rPr>
                <w:rFonts w:ascii="Times New Roman" w:hAnsi="Times New Roman"/>
                <w:color w:val="auto"/>
              </w:rPr>
            </w:pPr>
            <w:r>
              <w:rPr>
                <w:rFonts w:ascii="Times New Roman" w:hAnsi="Times New Roman"/>
                <w:color w:val="auto"/>
              </w:rPr>
              <w:t>下斑状玄武岩段；由深灰、灰黑色致密玄武岩，杏仁、斑状玄武岩、玄武杏仁岩组成多个喷发韵律；顶部为紫杂色火山角砾岩或凝灰岩</w:t>
            </w:r>
          </w:p>
        </w:tc>
      </w:tr>
      <w:tr w14:paraId="5D2E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264" w:type="pct"/>
            <w:vMerge w:val="continue"/>
            <w:vAlign w:val="center"/>
          </w:tcPr>
          <w:p w14:paraId="7BF3FDCC">
            <w:pPr>
              <w:pStyle w:val="17"/>
              <w:bidi w:val="0"/>
              <w:rPr>
                <w:rFonts w:ascii="Times New Roman" w:hAnsi="Times New Roman"/>
                <w:color w:val="auto"/>
              </w:rPr>
            </w:pPr>
          </w:p>
        </w:tc>
        <w:tc>
          <w:tcPr>
            <w:tcW w:w="244" w:type="pct"/>
            <w:vMerge w:val="continue"/>
            <w:vAlign w:val="center"/>
          </w:tcPr>
          <w:p w14:paraId="5A5C8427">
            <w:pPr>
              <w:pStyle w:val="17"/>
              <w:bidi w:val="0"/>
              <w:rPr>
                <w:rFonts w:ascii="Times New Roman" w:hAnsi="Times New Roman"/>
                <w:color w:val="auto"/>
              </w:rPr>
            </w:pPr>
          </w:p>
        </w:tc>
        <w:tc>
          <w:tcPr>
            <w:tcW w:w="241" w:type="pct"/>
            <w:vMerge w:val="continue"/>
            <w:tcBorders>
              <w:right w:val="single" w:color="auto" w:sz="4" w:space="0"/>
            </w:tcBorders>
            <w:vAlign w:val="center"/>
          </w:tcPr>
          <w:p w14:paraId="2A46AE8D">
            <w:pPr>
              <w:pStyle w:val="17"/>
              <w:bidi w:val="0"/>
              <w:rPr>
                <w:rFonts w:ascii="Times New Roman" w:hAnsi="Times New Roman"/>
                <w:color w:val="auto"/>
              </w:rPr>
            </w:pPr>
          </w:p>
        </w:tc>
        <w:tc>
          <w:tcPr>
            <w:tcW w:w="206" w:type="pct"/>
            <w:vMerge w:val="continue"/>
            <w:tcBorders>
              <w:left w:val="single" w:color="auto" w:sz="4" w:space="0"/>
            </w:tcBorders>
            <w:vAlign w:val="center"/>
          </w:tcPr>
          <w:p w14:paraId="74A31DA7">
            <w:pPr>
              <w:pStyle w:val="17"/>
              <w:bidi w:val="0"/>
              <w:rPr>
                <w:rFonts w:ascii="Times New Roman" w:hAnsi="Times New Roman"/>
                <w:color w:val="auto"/>
              </w:rPr>
            </w:pPr>
          </w:p>
        </w:tc>
        <w:tc>
          <w:tcPr>
            <w:tcW w:w="490" w:type="pct"/>
            <w:tcBorders>
              <w:left w:val="single" w:color="auto" w:sz="4" w:space="0"/>
            </w:tcBorders>
            <w:vAlign w:val="center"/>
          </w:tcPr>
          <w:p w14:paraId="30B585FB">
            <w:pPr>
              <w:pStyle w:val="17"/>
              <w:bidi w:val="0"/>
              <w:rPr>
                <w:rFonts w:ascii="Times New Roman" w:hAnsi="Times New Roman"/>
                <w:color w:val="auto"/>
              </w:rPr>
            </w:pPr>
            <w:r>
              <w:rPr>
                <w:rFonts w:ascii="Times New Roman" w:hAnsi="Times New Roman"/>
                <w:color w:val="auto"/>
              </w:rPr>
              <w:t>第一段</w:t>
            </w:r>
          </w:p>
        </w:tc>
        <w:tc>
          <w:tcPr>
            <w:tcW w:w="422" w:type="pct"/>
            <w:vAlign w:val="center"/>
          </w:tcPr>
          <w:p w14:paraId="3EE1C0D4">
            <w:pPr>
              <w:pStyle w:val="17"/>
              <w:bidi w:val="0"/>
              <w:rPr>
                <w:rFonts w:ascii="Times New Roman" w:hAnsi="Times New Roman"/>
                <w:color w:val="auto"/>
              </w:rPr>
            </w:pPr>
            <w:r>
              <w:rPr>
                <w:rFonts w:ascii="Times New Roman" w:hAnsi="Times New Roman"/>
                <w:color w:val="auto"/>
              </w:rPr>
              <w:t>P</w:t>
            </w:r>
            <w:r>
              <w:rPr>
                <w:rFonts w:hint="eastAsia" w:ascii="Times New Roman" w:hAnsi="Times New Roman"/>
                <w:color w:val="auto"/>
                <w:vertAlign w:val="subscript"/>
              </w:rPr>
              <w:t>3</w:t>
            </w:r>
            <w:r>
              <w:rPr>
                <w:rFonts w:ascii="Times New Roman" w:hAnsi="Times New Roman"/>
                <w:color w:val="auto"/>
              </w:rPr>
              <w:t>β</w:t>
            </w:r>
            <w:r>
              <w:rPr>
                <w:rFonts w:ascii="Times New Roman" w:hAnsi="Times New Roman"/>
                <w:color w:val="auto"/>
                <w:vertAlign w:val="subscript"/>
              </w:rPr>
              <w:t>1</w:t>
            </w:r>
          </w:p>
        </w:tc>
        <w:tc>
          <w:tcPr>
            <w:tcW w:w="579" w:type="pct"/>
            <w:vAlign w:val="center"/>
          </w:tcPr>
          <w:p w14:paraId="75AF6C44">
            <w:pPr>
              <w:pStyle w:val="17"/>
              <w:bidi w:val="0"/>
              <w:rPr>
                <w:rFonts w:ascii="Times New Roman" w:hAnsi="Times New Roman"/>
                <w:color w:val="auto"/>
              </w:rPr>
            </w:pPr>
            <w:r>
              <w:rPr>
                <w:rFonts w:ascii="Times New Roman" w:hAnsi="Times New Roman"/>
                <w:color w:val="auto"/>
              </w:rPr>
              <w:t>0-286</w:t>
            </w:r>
          </w:p>
        </w:tc>
        <w:tc>
          <w:tcPr>
            <w:tcW w:w="2549" w:type="pct"/>
            <w:vAlign w:val="center"/>
          </w:tcPr>
          <w:p w14:paraId="65D95214">
            <w:pPr>
              <w:pStyle w:val="17"/>
              <w:bidi w:val="0"/>
              <w:rPr>
                <w:rFonts w:ascii="Times New Roman" w:hAnsi="Times New Roman"/>
                <w:color w:val="auto"/>
              </w:rPr>
            </w:pPr>
            <w:r>
              <w:rPr>
                <w:rFonts w:ascii="Times New Roman" w:hAnsi="Times New Roman"/>
                <w:color w:val="auto"/>
              </w:rPr>
              <w:t>火山角砾岩段；以灰色粗、细火山角砾岩及少量集块岩为主，下夹深灰色 杏仁状、斑状玄武岩及铬玄武岩；上部夹灰色凝灰岩</w:t>
            </w:r>
          </w:p>
        </w:tc>
      </w:tr>
      <w:tr w14:paraId="78E7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64" w:type="pct"/>
            <w:vMerge w:val="continue"/>
            <w:vAlign w:val="center"/>
          </w:tcPr>
          <w:p w14:paraId="6595220B">
            <w:pPr>
              <w:pStyle w:val="17"/>
              <w:bidi w:val="0"/>
              <w:rPr>
                <w:rFonts w:ascii="Times New Roman" w:hAnsi="Times New Roman"/>
                <w:color w:val="auto"/>
              </w:rPr>
            </w:pPr>
          </w:p>
        </w:tc>
        <w:tc>
          <w:tcPr>
            <w:tcW w:w="244" w:type="pct"/>
            <w:vMerge w:val="continue"/>
            <w:vAlign w:val="center"/>
          </w:tcPr>
          <w:p w14:paraId="2547DD6F">
            <w:pPr>
              <w:pStyle w:val="17"/>
              <w:bidi w:val="0"/>
              <w:rPr>
                <w:rFonts w:ascii="Times New Roman" w:hAnsi="Times New Roman"/>
                <w:color w:val="auto"/>
              </w:rPr>
            </w:pPr>
          </w:p>
        </w:tc>
        <w:tc>
          <w:tcPr>
            <w:tcW w:w="241" w:type="pct"/>
            <w:vMerge w:val="restart"/>
            <w:vAlign w:val="center"/>
          </w:tcPr>
          <w:p w14:paraId="5106B235">
            <w:pPr>
              <w:pStyle w:val="17"/>
              <w:bidi w:val="0"/>
              <w:rPr>
                <w:rFonts w:ascii="Times New Roman" w:hAnsi="Times New Roman"/>
                <w:color w:val="auto"/>
              </w:rPr>
            </w:pPr>
            <w:r>
              <w:rPr>
                <w:rFonts w:ascii="Times New Roman" w:hAnsi="Times New Roman"/>
                <w:color w:val="auto"/>
              </w:rPr>
              <w:t>中统</w:t>
            </w:r>
          </w:p>
        </w:tc>
        <w:tc>
          <w:tcPr>
            <w:tcW w:w="697" w:type="pct"/>
            <w:gridSpan w:val="2"/>
            <w:vAlign w:val="center"/>
          </w:tcPr>
          <w:p w14:paraId="08EF6EA7">
            <w:pPr>
              <w:pStyle w:val="17"/>
              <w:bidi w:val="0"/>
              <w:rPr>
                <w:rFonts w:ascii="Times New Roman" w:hAnsi="Times New Roman"/>
                <w:color w:val="auto"/>
              </w:rPr>
            </w:pPr>
            <w:r>
              <w:rPr>
                <w:rFonts w:ascii="Times New Roman" w:hAnsi="Times New Roman"/>
                <w:color w:val="auto"/>
              </w:rPr>
              <w:t>茅口组</w:t>
            </w:r>
          </w:p>
        </w:tc>
        <w:tc>
          <w:tcPr>
            <w:tcW w:w="422" w:type="pct"/>
            <w:vAlign w:val="center"/>
          </w:tcPr>
          <w:p w14:paraId="6474B683">
            <w:pPr>
              <w:pStyle w:val="17"/>
              <w:bidi w:val="0"/>
              <w:rPr>
                <w:rFonts w:ascii="Times New Roman" w:hAnsi="Times New Roman"/>
                <w:color w:val="auto"/>
              </w:rPr>
            </w:pPr>
            <w:r>
              <w:rPr>
                <w:rFonts w:ascii="Times New Roman" w:hAnsi="Times New Roman"/>
                <w:color w:val="auto"/>
              </w:rPr>
              <w:t>P</w:t>
            </w:r>
            <w:r>
              <w:rPr>
                <w:rFonts w:ascii="Times New Roman" w:hAnsi="Times New Roman"/>
                <w:color w:val="auto"/>
                <w:vertAlign w:val="subscript"/>
              </w:rPr>
              <w:t>2</w:t>
            </w:r>
            <w:r>
              <w:rPr>
                <w:rFonts w:ascii="Times New Roman" w:hAnsi="Times New Roman"/>
                <w:color w:val="auto"/>
              </w:rPr>
              <w:t>m</w:t>
            </w:r>
          </w:p>
        </w:tc>
        <w:tc>
          <w:tcPr>
            <w:tcW w:w="579" w:type="pct"/>
            <w:vAlign w:val="center"/>
          </w:tcPr>
          <w:p w14:paraId="6C8AA21E">
            <w:pPr>
              <w:pStyle w:val="17"/>
              <w:bidi w:val="0"/>
              <w:rPr>
                <w:rFonts w:ascii="Times New Roman" w:hAnsi="Times New Roman"/>
                <w:color w:val="auto"/>
              </w:rPr>
            </w:pPr>
            <w:r>
              <w:rPr>
                <w:rFonts w:ascii="Times New Roman" w:hAnsi="Times New Roman"/>
                <w:color w:val="auto"/>
              </w:rPr>
              <w:t>220-326</w:t>
            </w:r>
          </w:p>
        </w:tc>
        <w:tc>
          <w:tcPr>
            <w:tcW w:w="2549" w:type="pct"/>
            <w:vAlign w:val="center"/>
          </w:tcPr>
          <w:p w14:paraId="1D7A53A2">
            <w:pPr>
              <w:pStyle w:val="17"/>
              <w:bidi w:val="0"/>
              <w:rPr>
                <w:rFonts w:ascii="Times New Roman" w:hAnsi="Times New Roman"/>
                <w:color w:val="auto"/>
              </w:rPr>
            </w:pPr>
            <w:r>
              <w:rPr>
                <w:rFonts w:ascii="Times New Roman" w:hAnsi="Times New Roman"/>
                <w:color w:val="auto"/>
              </w:rPr>
              <w:t>灰、深灰色灰岩夹少量白云质灰岩。</w:t>
            </w:r>
          </w:p>
        </w:tc>
      </w:tr>
      <w:tr w14:paraId="169A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64" w:type="pct"/>
            <w:vMerge w:val="continue"/>
            <w:vAlign w:val="center"/>
          </w:tcPr>
          <w:p w14:paraId="59044202">
            <w:pPr>
              <w:pStyle w:val="17"/>
              <w:bidi w:val="0"/>
              <w:rPr>
                <w:rFonts w:ascii="Times New Roman" w:hAnsi="Times New Roman"/>
                <w:color w:val="auto"/>
              </w:rPr>
            </w:pPr>
          </w:p>
        </w:tc>
        <w:tc>
          <w:tcPr>
            <w:tcW w:w="244" w:type="pct"/>
            <w:vMerge w:val="continue"/>
            <w:vAlign w:val="center"/>
          </w:tcPr>
          <w:p w14:paraId="13653E3D">
            <w:pPr>
              <w:pStyle w:val="17"/>
              <w:bidi w:val="0"/>
              <w:rPr>
                <w:rFonts w:ascii="Times New Roman" w:hAnsi="Times New Roman"/>
                <w:color w:val="auto"/>
              </w:rPr>
            </w:pPr>
          </w:p>
        </w:tc>
        <w:tc>
          <w:tcPr>
            <w:tcW w:w="241" w:type="pct"/>
            <w:vMerge w:val="continue"/>
            <w:vAlign w:val="center"/>
          </w:tcPr>
          <w:p w14:paraId="2E117923">
            <w:pPr>
              <w:pStyle w:val="17"/>
              <w:bidi w:val="0"/>
              <w:rPr>
                <w:rFonts w:ascii="Times New Roman" w:hAnsi="Times New Roman"/>
                <w:color w:val="auto"/>
              </w:rPr>
            </w:pPr>
          </w:p>
        </w:tc>
        <w:tc>
          <w:tcPr>
            <w:tcW w:w="697" w:type="pct"/>
            <w:gridSpan w:val="2"/>
            <w:vAlign w:val="center"/>
          </w:tcPr>
          <w:p w14:paraId="6F60F86C">
            <w:pPr>
              <w:pStyle w:val="17"/>
              <w:bidi w:val="0"/>
              <w:rPr>
                <w:rFonts w:ascii="Times New Roman" w:hAnsi="Times New Roman"/>
                <w:color w:val="auto"/>
              </w:rPr>
            </w:pPr>
            <w:r>
              <w:rPr>
                <w:rFonts w:ascii="Times New Roman" w:hAnsi="Times New Roman"/>
                <w:color w:val="auto"/>
              </w:rPr>
              <w:t>栖霞组</w:t>
            </w:r>
          </w:p>
        </w:tc>
        <w:tc>
          <w:tcPr>
            <w:tcW w:w="422" w:type="pct"/>
            <w:vAlign w:val="center"/>
          </w:tcPr>
          <w:p w14:paraId="762736BA">
            <w:pPr>
              <w:pStyle w:val="17"/>
              <w:bidi w:val="0"/>
              <w:rPr>
                <w:rFonts w:ascii="Times New Roman" w:hAnsi="Times New Roman"/>
                <w:color w:val="auto"/>
              </w:rPr>
            </w:pPr>
            <w:r>
              <w:rPr>
                <w:rFonts w:ascii="Times New Roman" w:hAnsi="Times New Roman"/>
                <w:color w:val="auto"/>
              </w:rPr>
              <w:t>P</w:t>
            </w:r>
            <w:r>
              <w:rPr>
                <w:rFonts w:ascii="Times New Roman" w:hAnsi="Times New Roman"/>
                <w:color w:val="auto"/>
                <w:vertAlign w:val="subscript"/>
              </w:rPr>
              <w:t>2</w:t>
            </w:r>
            <w:r>
              <w:rPr>
                <w:rFonts w:ascii="Times New Roman" w:hAnsi="Times New Roman"/>
                <w:color w:val="auto"/>
              </w:rPr>
              <w:t>q</w:t>
            </w:r>
          </w:p>
        </w:tc>
        <w:tc>
          <w:tcPr>
            <w:tcW w:w="579" w:type="pct"/>
            <w:vAlign w:val="center"/>
          </w:tcPr>
          <w:p w14:paraId="596B6233">
            <w:pPr>
              <w:pStyle w:val="17"/>
              <w:bidi w:val="0"/>
              <w:rPr>
                <w:rFonts w:ascii="Times New Roman" w:hAnsi="Times New Roman"/>
                <w:color w:val="auto"/>
              </w:rPr>
            </w:pPr>
            <w:r>
              <w:rPr>
                <w:rFonts w:ascii="Times New Roman" w:hAnsi="Times New Roman"/>
                <w:color w:val="auto"/>
              </w:rPr>
              <w:t>114-327</w:t>
            </w:r>
          </w:p>
        </w:tc>
        <w:tc>
          <w:tcPr>
            <w:tcW w:w="2549" w:type="pct"/>
            <w:vAlign w:val="center"/>
          </w:tcPr>
          <w:p w14:paraId="07A31646">
            <w:pPr>
              <w:pStyle w:val="17"/>
              <w:bidi w:val="0"/>
              <w:rPr>
                <w:rFonts w:ascii="Times New Roman" w:hAnsi="Times New Roman"/>
                <w:color w:val="auto"/>
              </w:rPr>
            </w:pPr>
            <w:r>
              <w:rPr>
                <w:rFonts w:ascii="Times New Roman" w:hAnsi="Times New Roman"/>
                <w:color w:val="auto"/>
              </w:rPr>
              <w:t>灰、浅灰夹深灰色灰岩，夹少量白云质灰岩</w:t>
            </w:r>
          </w:p>
        </w:tc>
      </w:tr>
      <w:tr w14:paraId="13B8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64" w:type="pct"/>
            <w:vMerge w:val="continue"/>
            <w:vAlign w:val="center"/>
          </w:tcPr>
          <w:p w14:paraId="324E7FBE">
            <w:pPr>
              <w:pStyle w:val="17"/>
              <w:bidi w:val="0"/>
              <w:rPr>
                <w:rFonts w:ascii="Times New Roman" w:hAnsi="Times New Roman"/>
                <w:color w:val="auto"/>
              </w:rPr>
            </w:pPr>
          </w:p>
        </w:tc>
        <w:tc>
          <w:tcPr>
            <w:tcW w:w="244" w:type="pct"/>
            <w:vMerge w:val="continue"/>
            <w:vAlign w:val="center"/>
          </w:tcPr>
          <w:p w14:paraId="08875FC3">
            <w:pPr>
              <w:pStyle w:val="17"/>
              <w:bidi w:val="0"/>
              <w:rPr>
                <w:rFonts w:ascii="Times New Roman" w:hAnsi="Times New Roman"/>
                <w:color w:val="auto"/>
              </w:rPr>
            </w:pPr>
          </w:p>
        </w:tc>
        <w:tc>
          <w:tcPr>
            <w:tcW w:w="241" w:type="pct"/>
            <w:vMerge w:val="continue"/>
            <w:vAlign w:val="center"/>
          </w:tcPr>
          <w:p w14:paraId="4C71771C">
            <w:pPr>
              <w:pStyle w:val="17"/>
              <w:bidi w:val="0"/>
              <w:rPr>
                <w:rFonts w:ascii="Times New Roman" w:hAnsi="Times New Roman"/>
                <w:color w:val="auto"/>
              </w:rPr>
            </w:pPr>
          </w:p>
        </w:tc>
        <w:tc>
          <w:tcPr>
            <w:tcW w:w="697" w:type="pct"/>
            <w:gridSpan w:val="2"/>
            <w:vAlign w:val="center"/>
          </w:tcPr>
          <w:p w14:paraId="37F33AA6">
            <w:pPr>
              <w:pStyle w:val="17"/>
              <w:bidi w:val="0"/>
              <w:rPr>
                <w:rFonts w:ascii="Times New Roman" w:hAnsi="Times New Roman"/>
                <w:color w:val="auto"/>
              </w:rPr>
            </w:pPr>
            <w:r>
              <w:rPr>
                <w:rFonts w:ascii="Times New Roman" w:hAnsi="Times New Roman"/>
                <w:color w:val="auto"/>
              </w:rPr>
              <w:t>梁山组</w:t>
            </w:r>
          </w:p>
        </w:tc>
        <w:tc>
          <w:tcPr>
            <w:tcW w:w="422" w:type="pct"/>
            <w:vAlign w:val="center"/>
          </w:tcPr>
          <w:p w14:paraId="091DC51B">
            <w:pPr>
              <w:pStyle w:val="17"/>
              <w:bidi w:val="0"/>
              <w:rPr>
                <w:rFonts w:ascii="Times New Roman" w:hAnsi="Times New Roman"/>
                <w:color w:val="auto"/>
              </w:rPr>
            </w:pPr>
            <w:r>
              <w:rPr>
                <w:rFonts w:ascii="Times New Roman" w:hAnsi="Times New Roman"/>
                <w:color w:val="auto"/>
              </w:rPr>
              <w:t>P</w:t>
            </w:r>
            <w:r>
              <w:rPr>
                <w:rFonts w:ascii="Times New Roman" w:hAnsi="Times New Roman"/>
                <w:color w:val="auto"/>
                <w:vertAlign w:val="subscript"/>
              </w:rPr>
              <w:t>2l</w:t>
            </w:r>
          </w:p>
        </w:tc>
        <w:tc>
          <w:tcPr>
            <w:tcW w:w="579" w:type="pct"/>
            <w:vAlign w:val="center"/>
          </w:tcPr>
          <w:p w14:paraId="561F4545">
            <w:pPr>
              <w:pStyle w:val="17"/>
              <w:bidi w:val="0"/>
              <w:rPr>
                <w:rFonts w:ascii="Times New Roman" w:hAnsi="Times New Roman"/>
                <w:color w:val="auto"/>
              </w:rPr>
            </w:pPr>
            <w:r>
              <w:rPr>
                <w:rFonts w:ascii="Times New Roman" w:hAnsi="Times New Roman"/>
                <w:color w:val="auto"/>
              </w:rPr>
              <w:t>8-228</w:t>
            </w:r>
          </w:p>
        </w:tc>
        <w:tc>
          <w:tcPr>
            <w:tcW w:w="2549" w:type="pct"/>
            <w:vAlign w:val="center"/>
          </w:tcPr>
          <w:p w14:paraId="08B14535">
            <w:pPr>
              <w:pStyle w:val="17"/>
              <w:bidi w:val="0"/>
              <w:rPr>
                <w:rFonts w:ascii="Times New Roman" w:hAnsi="Times New Roman"/>
                <w:color w:val="auto"/>
              </w:rPr>
            </w:pPr>
            <w:r>
              <w:rPr>
                <w:rFonts w:ascii="Times New Roman" w:hAnsi="Times New Roman"/>
                <w:color w:val="auto"/>
              </w:rPr>
              <w:t>上部：浅灰、浅棕色中-粗粒石英砂岩、灰色页岩夹灰岩、砂砾岩及劣煤层；下部：紫灰、姜黄色粉砂质泥岩夹多层灰岩</w:t>
            </w:r>
          </w:p>
        </w:tc>
      </w:tr>
      <w:tr w14:paraId="526A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64" w:type="pct"/>
            <w:vMerge w:val="continue"/>
            <w:vAlign w:val="center"/>
          </w:tcPr>
          <w:p w14:paraId="2EDBC738">
            <w:pPr>
              <w:pStyle w:val="17"/>
              <w:bidi w:val="0"/>
              <w:rPr>
                <w:rFonts w:ascii="Times New Roman" w:hAnsi="Times New Roman"/>
                <w:color w:val="auto"/>
              </w:rPr>
            </w:pPr>
          </w:p>
        </w:tc>
        <w:tc>
          <w:tcPr>
            <w:tcW w:w="244" w:type="pct"/>
            <w:vMerge w:val="restart"/>
            <w:vAlign w:val="center"/>
          </w:tcPr>
          <w:p w14:paraId="4682E60E">
            <w:pPr>
              <w:pStyle w:val="17"/>
              <w:bidi w:val="0"/>
              <w:rPr>
                <w:rFonts w:ascii="Times New Roman" w:hAnsi="Times New Roman"/>
                <w:color w:val="auto"/>
              </w:rPr>
            </w:pPr>
            <w:r>
              <w:rPr>
                <w:rFonts w:ascii="Times New Roman" w:hAnsi="Times New Roman"/>
                <w:color w:val="auto"/>
              </w:rPr>
              <w:t>泥盆系</w:t>
            </w:r>
          </w:p>
        </w:tc>
        <w:tc>
          <w:tcPr>
            <w:tcW w:w="241" w:type="pct"/>
            <w:vAlign w:val="center"/>
          </w:tcPr>
          <w:p w14:paraId="26C07670">
            <w:pPr>
              <w:pStyle w:val="17"/>
              <w:bidi w:val="0"/>
              <w:rPr>
                <w:rFonts w:ascii="Times New Roman" w:hAnsi="Times New Roman"/>
                <w:color w:val="auto"/>
              </w:rPr>
            </w:pPr>
            <w:r>
              <w:rPr>
                <w:rFonts w:ascii="Times New Roman" w:hAnsi="Times New Roman"/>
                <w:color w:val="auto"/>
              </w:rPr>
              <w:t>上统</w:t>
            </w:r>
          </w:p>
        </w:tc>
        <w:tc>
          <w:tcPr>
            <w:tcW w:w="697" w:type="pct"/>
            <w:gridSpan w:val="2"/>
            <w:vAlign w:val="center"/>
          </w:tcPr>
          <w:p w14:paraId="408C67E0">
            <w:pPr>
              <w:pStyle w:val="17"/>
              <w:bidi w:val="0"/>
              <w:rPr>
                <w:rFonts w:ascii="Times New Roman" w:hAnsi="Times New Roman"/>
                <w:color w:val="auto"/>
              </w:rPr>
            </w:pPr>
          </w:p>
        </w:tc>
        <w:tc>
          <w:tcPr>
            <w:tcW w:w="422" w:type="pct"/>
            <w:vAlign w:val="center"/>
          </w:tcPr>
          <w:p w14:paraId="6579D743">
            <w:pPr>
              <w:pStyle w:val="17"/>
              <w:bidi w:val="0"/>
              <w:rPr>
                <w:rFonts w:ascii="Times New Roman" w:hAnsi="Times New Roman"/>
                <w:color w:val="auto"/>
              </w:rPr>
            </w:pPr>
            <w:r>
              <w:rPr>
                <w:rFonts w:ascii="Times New Roman" w:hAnsi="Times New Roman"/>
                <w:color w:val="auto"/>
              </w:rPr>
              <w:t>D</w:t>
            </w:r>
            <w:r>
              <w:rPr>
                <w:rFonts w:ascii="Times New Roman" w:hAnsi="Times New Roman"/>
                <w:color w:val="auto"/>
                <w:vertAlign w:val="subscript"/>
              </w:rPr>
              <w:t>3</w:t>
            </w:r>
          </w:p>
        </w:tc>
        <w:tc>
          <w:tcPr>
            <w:tcW w:w="579" w:type="pct"/>
            <w:vAlign w:val="center"/>
          </w:tcPr>
          <w:p w14:paraId="0E440BD8">
            <w:pPr>
              <w:pStyle w:val="17"/>
              <w:bidi w:val="0"/>
              <w:rPr>
                <w:rFonts w:ascii="Times New Roman" w:hAnsi="Times New Roman"/>
                <w:color w:val="auto"/>
              </w:rPr>
            </w:pPr>
            <w:r>
              <w:rPr>
                <w:rFonts w:ascii="Times New Roman" w:hAnsi="Times New Roman"/>
                <w:color w:val="auto"/>
              </w:rPr>
              <w:t>145-218</w:t>
            </w:r>
          </w:p>
        </w:tc>
        <w:tc>
          <w:tcPr>
            <w:tcW w:w="2549" w:type="pct"/>
            <w:vAlign w:val="center"/>
          </w:tcPr>
          <w:p w14:paraId="63872386">
            <w:pPr>
              <w:pStyle w:val="17"/>
              <w:bidi w:val="0"/>
              <w:rPr>
                <w:rFonts w:ascii="Times New Roman" w:hAnsi="Times New Roman"/>
                <w:color w:val="auto"/>
              </w:rPr>
            </w:pPr>
            <w:r>
              <w:rPr>
                <w:rFonts w:ascii="Times New Roman" w:hAnsi="Times New Roman"/>
                <w:color w:val="auto"/>
              </w:rPr>
              <w:t>灰、深灰色白云岩、砂质白云岩夹角砾状白云岩、泥质白云岩，偶夹石膏岩：顶部为灰白、浅灰色灰岩</w:t>
            </w:r>
          </w:p>
        </w:tc>
      </w:tr>
      <w:tr w14:paraId="0E8E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64" w:type="pct"/>
            <w:vMerge w:val="continue"/>
            <w:vAlign w:val="center"/>
          </w:tcPr>
          <w:p w14:paraId="652819C4">
            <w:pPr>
              <w:pStyle w:val="17"/>
              <w:bidi w:val="0"/>
              <w:rPr>
                <w:rFonts w:ascii="Times New Roman" w:hAnsi="Times New Roman"/>
                <w:color w:val="auto"/>
              </w:rPr>
            </w:pPr>
          </w:p>
        </w:tc>
        <w:tc>
          <w:tcPr>
            <w:tcW w:w="244" w:type="pct"/>
            <w:vMerge w:val="continue"/>
            <w:vAlign w:val="center"/>
          </w:tcPr>
          <w:p w14:paraId="4E71529D">
            <w:pPr>
              <w:pStyle w:val="17"/>
              <w:bidi w:val="0"/>
              <w:rPr>
                <w:rFonts w:ascii="Times New Roman" w:hAnsi="Times New Roman"/>
                <w:color w:val="auto"/>
              </w:rPr>
            </w:pPr>
          </w:p>
        </w:tc>
        <w:tc>
          <w:tcPr>
            <w:tcW w:w="241" w:type="pct"/>
            <w:vMerge w:val="restart"/>
            <w:vAlign w:val="center"/>
          </w:tcPr>
          <w:p w14:paraId="6C7B25C7">
            <w:pPr>
              <w:pStyle w:val="17"/>
              <w:bidi w:val="0"/>
              <w:rPr>
                <w:rFonts w:ascii="Times New Roman" w:hAnsi="Times New Roman"/>
                <w:color w:val="auto"/>
              </w:rPr>
            </w:pPr>
            <w:r>
              <w:rPr>
                <w:rFonts w:ascii="Times New Roman" w:hAnsi="Times New Roman"/>
                <w:color w:val="auto"/>
              </w:rPr>
              <w:t>中统</w:t>
            </w:r>
          </w:p>
        </w:tc>
        <w:tc>
          <w:tcPr>
            <w:tcW w:w="697" w:type="pct"/>
            <w:gridSpan w:val="2"/>
            <w:vAlign w:val="center"/>
          </w:tcPr>
          <w:p w14:paraId="4B652DD7">
            <w:pPr>
              <w:pStyle w:val="17"/>
              <w:bidi w:val="0"/>
              <w:rPr>
                <w:rFonts w:ascii="Times New Roman" w:hAnsi="Times New Roman"/>
                <w:color w:val="auto"/>
              </w:rPr>
            </w:pPr>
            <w:r>
              <w:rPr>
                <w:rFonts w:ascii="Times New Roman" w:hAnsi="Times New Roman"/>
                <w:color w:val="auto"/>
              </w:rPr>
              <w:t>曲靖组</w:t>
            </w:r>
          </w:p>
        </w:tc>
        <w:tc>
          <w:tcPr>
            <w:tcW w:w="422" w:type="pct"/>
            <w:vAlign w:val="center"/>
          </w:tcPr>
          <w:p w14:paraId="039C7656">
            <w:pPr>
              <w:pStyle w:val="17"/>
              <w:bidi w:val="0"/>
              <w:rPr>
                <w:rFonts w:ascii="Times New Roman" w:hAnsi="Times New Roman"/>
                <w:color w:val="auto"/>
              </w:rPr>
            </w:pPr>
            <w:r>
              <w:rPr>
                <w:rFonts w:ascii="Times New Roman" w:hAnsi="Times New Roman"/>
                <w:color w:val="auto"/>
              </w:rPr>
              <w:t>D</w:t>
            </w:r>
            <w:r>
              <w:rPr>
                <w:rFonts w:ascii="Times New Roman" w:hAnsi="Times New Roman"/>
                <w:color w:val="auto"/>
                <w:vertAlign w:val="subscript"/>
              </w:rPr>
              <w:t>2</w:t>
            </w:r>
            <w:r>
              <w:rPr>
                <w:rFonts w:ascii="Times New Roman" w:hAnsi="Times New Roman"/>
                <w:color w:val="auto"/>
              </w:rPr>
              <w:t>q</w:t>
            </w:r>
          </w:p>
        </w:tc>
        <w:tc>
          <w:tcPr>
            <w:tcW w:w="579" w:type="pct"/>
            <w:vAlign w:val="center"/>
          </w:tcPr>
          <w:p w14:paraId="247483EE">
            <w:pPr>
              <w:pStyle w:val="17"/>
              <w:bidi w:val="0"/>
              <w:rPr>
                <w:rFonts w:ascii="Times New Roman" w:hAnsi="Times New Roman"/>
                <w:color w:val="auto"/>
              </w:rPr>
            </w:pPr>
            <w:r>
              <w:rPr>
                <w:rFonts w:ascii="Times New Roman" w:hAnsi="Times New Roman"/>
                <w:color w:val="auto"/>
              </w:rPr>
              <w:t>48-182</w:t>
            </w:r>
          </w:p>
        </w:tc>
        <w:tc>
          <w:tcPr>
            <w:tcW w:w="2549" w:type="pct"/>
            <w:vAlign w:val="center"/>
          </w:tcPr>
          <w:p w14:paraId="24F60E44">
            <w:pPr>
              <w:pStyle w:val="17"/>
              <w:bidi w:val="0"/>
              <w:rPr>
                <w:rFonts w:ascii="Times New Roman" w:hAnsi="Times New Roman"/>
                <w:color w:val="auto"/>
              </w:rPr>
            </w:pPr>
            <w:r>
              <w:rPr>
                <w:rFonts w:ascii="Times New Roman" w:hAnsi="Times New Roman"/>
                <w:color w:val="auto"/>
              </w:rPr>
              <w:t>灰、灰黑色白云岩、泥质白云岩夹白云质泥岩及砂页岩、煤线。在白支落一带为含炭质灰岩夹石英砂岩</w:t>
            </w:r>
          </w:p>
        </w:tc>
      </w:tr>
      <w:tr w14:paraId="56F5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64" w:type="pct"/>
            <w:vMerge w:val="continue"/>
            <w:vAlign w:val="center"/>
          </w:tcPr>
          <w:p w14:paraId="78CEDC5A">
            <w:pPr>
              <w:pStyle w:val="17"/>
              <w:bidi w:val="0"/>
              <w:rPr>
                <w:rFonts w:ascii="Times New Roman" w:hAnsi="Times New Roman"/>
                <w:color w:val="auto"/>
              </w:rPr>
            </w:pPr>
          </w:p>
        </w:tc>
        <w:tc>
          <w:tcPr>
            <w:tcW w:w="244" w:type="pct"/>
            <w:vMerge w:val="continue"/>
            <w:vAlign w:val="center"/>
          </w:tcPr>
          <w:p w14:paraId="32E868D3">
            <w:pPr>
              <w:pStyle w:val="17"/>
              <w:bidi w:val="0"/>
              <w:rPr>
                <w:rFonts w:ascii="Times New Roman" w:hAnsi="Times New Roman"/>
                <w:color w:val="auto"/>
              </w:rPr>
            </w:pPr>
          </w:p>
        </w:tc>
        <w:tc>
          <w:tcPr>
            <w:tcW w:w="241" w:type="pct"/>
            <w:vMerge w:val="continue"/>
            <w:vAlign w:val="center"/>
          </w:tcPr>
          <w:p w14:paraId="190A3182">
            <w:pPr>
              <w:pStyle w:val="17"/>
              <w:bidi w:val="0"/>
              <w:rPr>
                <w:rFonts w:ascii="Times New Roman" w:hAnsi="Times New Roman"/>
                <w:color w:val="auto"/>
              </w:rPr>
            </w:pPr>
          </w:p>
        </w:tc>
        <w:tc>
          <w:tcPr>
            <w:tcW w:w="697" w:type="pct"/>
            <w:gridSpan w:val="2"/>
            <w:vAlign w:val="center"/>
          </w:tcPr>
          <w:p w14:paraId="371A0D50">
            <w:pPr>
              <w:pStyle w:val="17"/>
              <w:bidi w:val="0"/>
              <w:rPr>
                <w:rFonts w:ascii="Times New Roman" w:hAnsi="Times New Roman"/>
                <w:color w:val="auto"/>
              </w:rPr>
            </w:pPr>
            <w:r>
              <w:rPr>
                <w:rFonts w:ascii="Times New Roman" w:hAnsi="Times New Roman"/>
                <w:color w:val="auto"/>
              </w:rPr>
              <w:t>红崖坡组</w:t>
            </w:r>
          </w:p>
        </w:tc>
        <w:tc>
          <w:tcPr>
            <w:tcW w:w="422" w:type="pct"/>
            <w:vAlign w:val="center"/>
          </w:tcPr>
          <w:p w14:paraId="7D7D7BAB">
            <w:pPr>
              <w:pStyle w:val="17"/>
              <w:bidi w:val="0"/>
              <w:rPr>
                <w:rFonts w:ascii="Times New Roman" w:hAnsi="Times New Roman"/>
                <w:color w:val="auto"/>
              </w:rPr>
            </w:pPr>
            <w:r>
              <w:rPr>
                <w:rFonts w:ascii="Times New Roman" w:hAnsi="Times New Roman"/>
                <w:color w:val="auto"/>
              </w:rPr>
              <w:t>D</w:t>
            </w:r>
            <w:r>
              <w:rPr>
                <w:rFonts w:ascii="Times New Roman" w:hAnsi="Times New Roman"/>
                <w:color w:val="auto"/>
                <w:vertAlign w:val="subscript"/>
              </w:rPr>
              <w:t>2</w:t>
            </w:r>
            <w:r>
              <w:rPr>
                <w:rFonts w:ascii="Times New Roman" w:hAnsi="Times New Roman"/>
                <w:color w:val="auto"/>
              </w:rPr>
              <w:t>h</w:t>
            </w:r>
          </w:p>
        </w:tc>
        <w:tc>
          <w:tcPr>
            <w:tcW w:w="579" w:type="pct"/>
            <w:vAlign w:val="center"/>
          </w:tcPr>
          <w:p w14:paraId="51FE4582">
            <w:pPr>
              <w:pStyle w:val="17"/>
              <w:bidi w:val="0"/>
              <w:rPr>
                <w:rFonts w:ascii="Times New Roman" w:hAnsi="Times New Roman"/>
                <w:color w:val="auto"/>
              </w:rPr>
            </w:pPr>
            <w:r>
              <w:rPr>
                <w:rFonts w:ascii="Times New Roman" w:hAnsi="Times New Roman"/>
                <w:color w:val="auto"/>
              </w:rPr>
              <w:t>18-113</w:t>
            </w:r>
          </w:p>
        </w:tc>
        <w:tc>
          <w:tcPr>
            <w:tcW w:w="2549" w:type="pct"/>
            <w:vAlign w:val="center"/>
          </w:tcPr>
          <w:p w14:paraId="22BD65C5">
            <w:pPr>
              <w:pStyle w:val="17"/>
              <w:bidi w:val="0"/>
              <w:rPr>
                <w:rFonts w:ascii="Times New Roman" w:hAnsi="Times New Roman"/>
                <w:color w:val="auto"/>
              </w:rPr>
            </w:pPr>
            <w:r>
              <w:rPr>
                <w:rFonts w:ascii="Times New Roman" w:hAnsi="Times New Roman"/>
                <w:color w:val="auto"/>
              </w:rPr>
              <w:t>黄灰色泥质白云岩夹紫红，灰绿色泥岩、白云质砂岩</w:t>
            </w:r>
          </w:p>
        </w:tc>
      </w:tr>
      <w:tr w14:paraId="48D7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64" w:type="pct"/>
            <w:vMerge w:val="continue"/>
            <w:vAlign w:val="center"/>
          </w:tcPr>
          <w:p w14:paraId="337995A9">
            <w:pPr>
              <w:pStyle w:val="17"/>
              <w:bidi w:val="0"/>
              <w:rPr>
                <w:rFonts w:ascii="Times New Roman" w:hAnsi="Times New Roman"/>
                <w:color w:val="auto"/>
              </w:rPr>
            </w:pPr>
          </w:p>
        </w:tc>
        <w:tc>
          <w:tcPr>
            <w:tcW w:w="244" w:type="pct"/>
            <w:vMerge w:val="continue"/>
            <w:vAlign w:val="center"/>
          </w:tcPr>
          <w:p w14:paraId="5A6F411F">
            <w:pPr>
              <w:pStyle w:val="17"/>
              <w:bidi w:val="0"/>
              <w:rPr>
                <w:rFonts w:ascii="Times New Roman" w:hAnsi="Times New Roman"/>
                <w:color w:val="auto"/>
              </w:rPr>
            </w:pPr>
          </w:p>
        </w:tc>
        <w:tc>
          <w:tcPr>
            <w:tcW w:w="241" w:type="pct"/>
            <w:vMerge w:val="continue"/>
            <w:vAlign w:val="center"/>
          </w:tcPr>
          <w:p w14:paraId="79221C19">
            <w:pPr>
              <w:pStyle w:val="17"/>
              <w:bidi w:val="0"/>
              <w:rPr>
                <w:rFonts w:ascii="Times New Roman" w:hAnsi="Times New Roman"/>
                <w:color w:val="auto"/>
              </w:rPr>
            </w:pPr>
          </w:p>
        </w:tc>
        <w:tc>
          <w:tcPr>
            <w:tcW w:w="697" w:type="pct"/>
            <w:gridSpan w:val="2"/>
            <w:vAlign w:val="center"/>
          </w:tcPr>
          <w:p w14:paraId="2C9CE31E">
            <w:pPr>
              <w:pStyle w:val="17"/>
              <w:bidi w:val="0"/>
              <w:rPr>
                <w:rFonts w:ascii="Times New Roman" w:hAnsi="Times New Roman"/>
                <w:color w:val="auto"/>
              </w:rPr>
            </w:pPr>
            <w:r>
              <w:rPr>
                <w:rFonts w:ascii="Times New Roman" w:hAnsi="Times New Roman"/>
                <w:color w:val="auto"/>
              </w:rPr>
              <w:t>缩头山组</w:t>
            </w:r>
          </w:p>
        </w:tc>
        <w:tc>
          <w:tcPr>
            <w:tcW w:w="422" w:type="pct"/>
            <w:vAlign w:val="center"/>
          </w:tcPr>
          <w:p w14:paraId="19C1CF71">
            <w:pPr>
              <w:pStyle w:val="17"/>
              <w:bidi w:val="0"/>
              <w:rPr>
                <w:rFonts w:ascii="Times New Roman" w:hAnsi="Times New Roman"/>
                <w:color w:val="auto"/>
              </w:rPr>
            </w:pPr>
            <w:r>
              <w:rPr>
                <w:rFonts w:ascii="Times New Roman" w:hAnsi="Times New Roman"/>
                <w:color w:val="auto"/>
              </w:rPr>
              <w:t>D</w:t>
            </w:r>
            <w:r>
              <w:rPr>
                <w:rFonts w:ascii="Times New Roman" w:hAnsi="Times New Roman"/>
                <w:color w:val="auto"/>
                <w:vertAlign w:val="subscript"/>
              </w:rPr>
              <w:t>2</w:t>
            </w:r>
            <w:r>
              <w:rPr>
                <w:rFonts w:ascii="Times New Roman" w:hAnsi="Times New Roman"/>
                <w:color w:val="auto"/>
              </w:rPr>
              <w:t>s</w:t>
            </w:r>
          </w:p>
        </w:tc>
        <w:tc>
          <w:tcPr>
            <w:tcW w:w="579" w:type="pct"/>
            <w:vAlign w:val="center"/>
          </w:tcPr>
          <w:p w14:paraId="3B3FD7DA">
            <w:pPr>
              <w:pStyle w:val="17"/>
              <w:bidi w:val="0"/>
              <w:rPr>
                <w:rFonts w:ascii="Times New Roman" w:hAnsi="Times New Roman"/>
                <w:color w:val="auto"/>
              </w:rPr>
            </w:pPr>
            <w:r>
              <w:rPr>
                <w:rFonts w:ascii="Times New Roman" w:hAnsi="Times New Roman"/>
                <w:color w:val="auto"/>
              </w:rPr>
              <w:t>5-65</w:t>
            </w:r>
          </w:p>
        </w:tc>
        <w:tc>
          <w:tcPr>
            <w:tcW w:w="2549" w:type="pct"/>
            <w:vAlign w:val="center"/>
          </w:tcPr>
          <w:p w14:paraId="1B4889B5">
            <w:pPr>
              <w:pStyle w:val="17"/>
              <w:bidi w:val="0"/>
              <w:rPr>
                <w:rFonts w:ascii="Times New Roman" w:hAnsi="Times New Roman"/>
                <w:color w:val="auto"/>
              </w:rPr>
            </w:pPr>
            <w:r>
              <w:rPr>
                <w:rFonts w:ascii="Times New Roman" w:hAnsi="Times New Roman"/>
                <w:color w:val="auto"/>
              </w:rPr>
              <w:t>黄灰、黄褐色石英砂岩夹粉砂岩</w:t>
            </w:r>
          </w:p>
        </w:tc>
      </w:tr>
      <w:tr w14:paraId="49E0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64" w:type="pct"/>
            <w:vMerge w:val="continue"/>
            <w:vAlign w:val="center"/>
          </w:tcPr>
          <w:p w14:paraId="15C09587">
            <w:pPr>
              <w:pStyle w:val="17"/>
              <w:bidi w:val="0"/>
              <w:rPr>
                <w:rFonts w:ascii="Times New Roman" w:hAnsi="Times New Roman"/>
                <w:color w:val="auto"/>
              </w:rPr>
            </w:pPr>
          </w:p>
        </w:tc>
        <w:tc>
          <w:tcPr>
            <w:tcW w:w="244" w:type="pct"/>
            <w:vMerge w:val="continue"/>
            <w:vAlign w:val="center"/>
          </w:tcPr>
          <w:p w14:paraId="1835075B">
            <w:pPr>
              <w:pStyle w:val="17"/>
              <w:bidi w:val="0"/>
              <w:rPr>
                <w:rFonts w:ascii="Times New Roman" w:hAnsi="Times New Roman"/>
                <w:color w:val="auto"/>
              </w:rPr>
            </w:pPr>
          </w:p>
        </w:tc>
        <w:tc>
          <w:tcPr>
            <w:tcW w:w="241" w:type="pct"/>
            <w:vMerge w:val="restart"/>
            <w:vAlign w:val="center"/>
          </w:tcPr>
          <w:p w14:paraId="4567E116">
            <w:pPr>
              <w:pStyle w:val="17"/>
              <w:bidi w:val="0"/>
              <w:rPr>
                <w:rFonts w:ascii="Times New Roman" w:hAnsi="Times New Roman"/>
                <w:color w:val="auto"/>
              </w:rPr>
            </w:pPr>
            <w:r>
              <w:rPr>
                <w:rFonts w:ascii="Times New Roman" w:hAnsi="Times New Roman"/>
                <w:color w:val="auto"/>
              </w:rPr>
              <w:t>下统</w:t>
            </w:r>
          </w:p>
        </w:tc>
        <w:tc>
          <w:tcPr>
            <w:tcW w:w="697" w:type="pct"/>
            <w:gridSpan w:val="2"/>
            <w:vAlign w:val="center"/>
          </w:tcPr>
          <w:p w14:paraId="3D32D738">
            <w:pPr>
              <w:pStyle w:val="17"/>
              <w:bidi w:val="0"/>
              <w:rPr>
                <w:rFonts w:ascii="Times New Roman" w:hAnsi="Times New Roman"/>
                <w:color w:val="auto"/>
              </w:rPr>
            </w:pPr>
            <w:r>
              <w:rPr>
                <w:rFonts w:ascii="Times New Roman" w:hAnsi="Times New Roman"/>
                <w:color w:val="auto"/>
              </w:rPr>
              <w:t>坡脚组</w:t>
            </w:r>
          </w:p>
        </w:tc>
        <w:tc>
          <w:tcPr>
            <w:tcW w:w="422" w:type="pct"/>
            <w:vAlign w:val="center"/>
          </w:tcPr>
          <w:p w14:paraId="62774B18">
            <w:pPr>
              <w:pStyle w:val="17"/>
              <w:bidi w:val="0"/>
              <w:rPr>
                <w:rFonts w:ascii="Times New Roman" w:hAnsi="Times New Roman"/>
                <w:color w:val="auto"/>
              </w:rPr>
            </w:pPr>
            <w:r>
              <w:rPr>
                <w:rFonts w:ascii="Times New Roman" w:hAnsi="Times New Roman"/>
                <w:color w:val="auto"/>
              </w:rPr>
              <w:t>D</w:t>
            </w:r>
            <w:r>
              <w:rPr>
                <w:rFonts w:ascii="Times New Roman" w:hAnsi="Times New Roman"/>
                <w:color w:val="auto"/>
                <w:vertAlign w:val="subscript"/>
              </w:rPr>
              <w:t>1</w:t>
            </w:r>
            <w:r>
              <w:rPr>
                <w:rFonts w:ascii="Times New Roman" w:hAnsi="Times New Roman"/>
                <w:color w:val="auto"/>
              </w:rPr>
              <w:t>p</w:t>
            </w:r>
          </w:p>
        </w:tc>
        <w:tc>
          <w:tcPr>
            <w:tcW w:w="579" w:type="pct"/>
            <w:vAlign w:val="center"/>
          </w:tcPr>
          <w:p w14:paraId="1588CA10">
            <w:pPr>
              <w:pStyle w:val="17"/>
              <w:bidi w:val="0"/>
              <w:rPr>
                <w:rFonts w:ascii="Times New Roman" w:hAnsi="Times New Roman"/>
                <w:color w:val="auto"/>
              </w:rPr>
            </w:pPr>
            <w:r>
              <w:rPr>
                <w:rFonts w:ascii="Times New Roman" w:hAnsi="Times New Roman"/>
                <w:color w:val="auto"/>
              </w:rPr>
              <w:t>11-24</w:t>
            </w:r>
          </w:p>
        </w:tc>
        <w:tc>
          <w:tcPr>
            <w:tcW w:w="2549" w:type="pct"/>
            <w:vAlign w:val="center"/>
          </w:tcPr>
          <w:p w14:paraId="3BBC8255">
            <w:pPr>
              <w:pStyle w:val="17"/>
              <w:bidi w:val="0"/>
              <w:rPr>
                <w:rFonts w:ascii="Times New Roman" w:hAnsi="Times New Roman"/>
                <w:color w:val="auto"/>
              </w:rPr>
            </w:pPr>
            <w:r>
              <w:rPr>
                <w:rFonts w:ascii="Times New Roman" w:hAnsi="Times New Roman"/>
                <w:color w:val="auto"/>
              </w:rPr>
              <w:t>上部为灰、黑灰色泥岩、白云质砂岩互层。下部为深灰、灰黑色页岩</w:t>
            </w:r>
          </w:p>
        </w:tc>
      </w:tr>
      <w:tr w14:paraId="2ABD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64" w:type="pct"/>
            <w:vMerge w:val="continue"/>
            <w:vAlign w:val="center"/>
          </w:tcPr>
          <w:p w14:paraId="4FE7DDB2">
            <w:pPr>
              <w:pStyle w:val="17"/>
              <w:bidi w:val="0"/>
              <w:rPr>
                <w:rFonts w:ascii="Times New Roman" w:hAnsi="Times New Roman"/>
                <w:color w:val="auto"/>
              </w:rPr>
            </w:pPr>
          </w:p>
        </w:tc>
        <w:tc>
          <w:tcPr>
            <w:tcW w:w="244" w:type="pct"/>
            <w:vMerge w:val="continue"/>
            <w:vAlign w:val="center"/>
          </w:tcPr>
          <w:p w14:paraId="0D30E71C">
            <w:pPr>
              <w:pStyle w:val="17"/>
              <w:bidi w:val="0"/>
              <w:rPr>
                <w:rFonts w:ascii="Times New Roman" w:hAnsi="Times New Roman"/>
                <w:color w:val="auto"/>
              </w:rPr>
            </w:pPr>
          </w:p>
        </w:tc>
        <w:tc>
          <w:tcPr>
            <w:tcW w:w="241" w:type="pct"/>
            <w:vMerge w:val="continue"/>
            <w:vAlign w:val="center"/>
          </w:tcPr>
          <w:p w14:paraId="281ED0CD">
            <w:pPr>
              <w:pStyle w:val="17"/>
              <w:bidi w:val="0"/>
              <w:rPr>
                <w:rFonts w:ascii="Times New Roman" w:hAnsi="Times New Roman"/>
                <w:color w:val="auto"/>
              </w:rPr>
            </w:pPr>
          </w:p>
        </w:tc>
        <w:tc>
          <w:tcPr>
            <w:tcW w:w="697" w:type="pct"/>
            <w:gridSpan w:val="2"/>
            <w:vAlign w:val="center"/>
          </w:tcPr>
          <w:p w14:paraId="413D01B8">
            <w:pPr>
              <w:pStyle w:val="17"/>
              <w:bidi w:val="0"/>
              <w:rPr>
                <w:rFonts w:ascii="Times New Roman" w:hAnsi="Times New Roman"/>
                <w:color w:val="auto"/>
              </w:rPr>
            </w:pPr>
            <w:r>
              <w:rPr>
                <w:rFonts w:ascii="Times New Roman" w:hAnsi="Times New Roman"/>
                <w:color w:val="auto"/>
              </w:rPr>
              <w:t>翠峰山组</w:t>
            </w:r>
          </w:p>
        </w:tc>
        <w:tc>
          <w:tcPr>
            <w:tcW w:w="422" w:type="pct"/>
            <w:vAlign w:val="center"/>
          </w:tcPr>
          <w:p w14:paraId="5C77C0FD">
            <w:pPr>
              <w:pStyle w:val="17"/>
              <w:bidi w:val="0"/>
              <w:rPr>
                <w:rFonts w:ascii="Times New Roman" w:hAnsi="Times New Roman"/>
                <w:color w:val="auto"/>
              </w:rPr>
            </w:pPr>
            <w:r>
              <w:rPr>
                <w:rFonts w:ascii="Times New Roman" w:hAnsi="Times New Roman"/>
                <w:color w:val="auto"/>
              </w:rPr>
              <w:t>D</w:t>
            </w:r>
            <w:r>
              <w:rPr>
                <w:rFonts w:ascii="Times New Roman" w:hAnsi="Times New Roman"/>
                <w:color w:val="auto"/>
                <w:vertAlign w:val="subscript"/>
              </w:rPr>
              <w:t>1</w:t>
            </w:r>
            <w:r>
              <w:rPr>
                <w:rFonts w:ascii="Times New Roman" w:hAnsi="Times New Roman"/>
                <w:color w:val="auto"/>
              </w:rPr>
              <w:t>c</w:t>
            </w:r>
          </w:p>
        </w:tc>
        <w:tc>
          <w:tcPr>
            <w:tcW w:w="579" w:type="pct"/>
            <w:vAlign w:val="center"/>
          </w:tcPr>
          <w:p w14:paraId="79339F3F">
            <w:pPr>
              <w:pStyle w:val="17"/>
              <w:bidi w:val="0"/>
              <w:rPr>
                <w:rFonts w:ascii="Times New Roman" w:hAnsi="Times New Roman"/>
                <w:color w:val="auto"/>
              </w:rPr>
            </w:pPr>
            <w:r>
              <w:rPr>
                <w:rFonts w:ascii="Times New Roman" w:hAnsi="Times New Roman"/>
                <w:color w:val="auto"/>
              </w:rPr>
              <w:t>48</w:t>
            </w:r>
          </w:p>
        </w:tc>
        <w:tc>
          <w:tcPr>
            <w:tcW w:w="2549" w:type="pct"/>
            <w:vAlign w:val="center"/>
          </w:tcPr>
          <w:p w14:paraId="4C711EF5">
            <w:pPr>
              <w:pStyle w:val="17"/>
              <w:bidi w:val="0"/>
              <w:rPr>
                <w:rFonts w:ascii="Times New Roman" w:hAnsi="Times New Roman"/>
                <w:color w:val="auto"/>
              </w:rPr>
            </w:pPr>
            <w:r>
              <w:rPr>
                <w:rFonts w:ascii="Times New Roman" w:hAnsi="Times New Roman"/>
                <w:color w:val="auto"/>
              </w:rPr>
              <w:t>灰、黄灰色石英砂岩，夹铁质石英砂岩、泥岩；底部为含砾石英砂岩或铁质石英砂岩</w:t>
            </w:r>
          </w:p>
        </w:tc>
      </w:tr>
    </w:tbl>
    <w:p w14:paraId="14161615">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区域构造</w:t>
      </w:r>
    </w:p>
    <w:p w14:paraId="50132878">
      <w:pPr>
        <w:bidi w:val="0"/>
        <w:rPr>
          <w:rFonts w:ascii="Times New Roman" w:hAnsi="Times New Roman"/>
          <w:color w:val="auto"/>
        </w:rPr>
      </w:pPr>
      <w:r>
        <w:rPr>
          <w:rFonts w:hint="eastAsia" w:ascii="Times New Roman" w:hAnsi="Times New Roman"/>
          <w:color w:val="auto"/>
        </w:rPr>
        <w:t>矿区大地构造位置处于扬子陆块区系（Ⅵ）上扬子古陆块（Ⅵ-2）滇东被动陆缘（Ⅵ-2-4，Pz）昭通陆棚（Ⅵ-2-4-1，Pz）。断裂与褶皱相间出现，展布方向有南北、北东、北西向。西部以南北向和近南北向为主，少数北北东向，东部主要是北北东和近南北向，少数北北西向及东西向；褶皱特点是背斜紧闭，向斜宽缓，多具不对称性；断裂多为压扭性断裂并表现为高角度。昭阳区文辉矿业有限公司洒渔大桥石灰岩矿附近无明显断层通过。</w:t>
      </w:r>
    </w:p>
    <w:p w14:paraId="2C0FBEF1">
      <w:pPr>
        <w:bidi w:val="0"/>
        <w:ind w:left="0" w:leftChars="0" w:firstLine="0" w:firstLineChars="0"/>
        <w:jc w:val="center"/>
        <w:rPr>
          <w:rFonts w:hint="default" w:ascii="Times New Roman" w:hAnsi="Times New Roman" w:eastAsia="宋体"/>
          <w:color w:val="auto"/>
          <w:lang w:val="en-US" w:eastAsia="zh-CN"/>
        </w:rPr>
      </w:pPr>
      <w:r>
        <w:rPr>
          <w:rFonts w:hint="eastAsia"/>
          <w:color w:val="auto"/>
          <w:lang w:val="en-US" w:eastAsia="zh-CN"/>
        </w:rPr>
        <w:t>***********</w:t>
      </w:r>
    </w:p>
    <w:p w14:paraId="3E4B9CBB">
      <w:pPr>
        <w:pStyle w:val="16"/>
        <w:bidi w:val="0"/>
        <w:rPr>
          <w:rFonts w:ascii="Times New Roman" w:hAnsi="Times New Roman"/>
          <w:color w:val="auto"/>
        </w:rPr>
      </w:pPr>
      <w:r>
        <w:rPr>
          <w:rFonts w:hint="eastAsia" w:ascii="Times New Roman" w:hAnsi="Times New Roman"/>
          <w:color w:val="auto"/>
        </w:rPr>
        <w:t>图2</w:t>
      </w:r>
      <w:r>
        <w:rPr>
          <w:rFonts w:hint="eastAsia" w:ascii="Times New Roman" w:hAnsi="Times New Roman"/>
          <w:color w:val="auto"/>
          <w:lang w:val="en-US" w:eastAsia="zh-CN"/>
        </w:rPr>
        <w:t>.3</w:t>
      </w:r>
      <w:r>
        <w:rPr>
          <w:rFonts w:hint="eastAsia" w:ascii="Times New Roman" w:hAnsi="Times New Roman"/>
          <w:color w:val="auto"/>
        </w:rPr>
        <w:t>-1</w:t>
      </w:r>
      <w:r>
        <w:rPr>
          <w:rFonts w:hint="eastAsia" w:ascii="Times New Roman" w:hAnsi="Times New Roman"/>
          <w:color w:val="auto"/>
          <w:lang w:val="en-US" w:eastAsia="zh-CN"/>
        </w:rPr>
        <w:t xml:space="preserve">  </w:t>
      </w:r>
      <w:r>
        <w:rPr>
          <w:rFonts w:hint="eastAsia" w:ascii="Times New Roman" w:hAnsi="Times New Roman"/>
          <w:color w:val="auto"/>
        </w:rPr>
        <w:t>区域构造纲要图</w:t>
      </w:r>
    </w:p>
    <w:p w14:paraId="203EAA74">
      <w:pPr>
        <w:pStyle w:val="4"/>
        <w:bidi w:val="0"/>
        <w:rPr>
          <w:rFonts w:hint="eastAsia" w:ascii="Times New Roman" w:hAnsi="Times New Roman"/>
          <w:color w:val="auto"/>
        </w:rPr>
      </w:pPr>
      <w:bookmarkStart w:id="71" w:name="_Toc21288"/>
      <w:r>
        <w:rPr>
          <w:rFonts w:hint="eastAsia" w:ascii="Times New Roman" w:hAnsi="Times New Roman"/>
          <w:color w:val="auto"/>
        </w:rPr>
        <w:t>2.3</w:t>
      </w:r>
      <w:r>
        <w:rPr>
          <w:rFonts w:hint="eastAsia" w:ascii="Times New Roman" w:hAnsi="Times New Roman"/>
          <w:color w:val="auto"/>
          <w:lang w:val="en-US" w:eastAsia="zh-CN"/>
        </w:rPr>
        <w:t xml:space="preserve">.2 </w:t>
      </w:r>
      <w:r>
        <w:rPr>
          <w:rFonts w:hint="eastAsia" w:ascii="Times New Roman" w:hAnsi="Times New Roman"/>
          <w:color w:val="auto"/>
        </w:rPr>
        <w:t>矿区地质</w:t>
      </w:r>
      <w:bookmarkEnd w:id="71"/>
    </w:p>
    <w:p w14:paraId="3D83789F">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矿区地层</w:t>
      </w:r>
    </w:p>
    <w:p w14:paraId="3B14D419">
      <w:pPr>
        <w:bidi w:val="0"/>
        <w:rPr>
          <w:rFonts w:hint="eastAsia" w:ascii="Times New Roman" w:hAnsi="Times New Roman"/>
          <w:color w:val="auto"/>
        </w:rPr>
      </w:pPr>
      <w:r>
        <w:rPr>
          <w:rFonts w:hint="eastAsia" w:ascii="Times New Roman" w:hAnsi="Times New Roman"/>
          <w:color w:val="auto"/>
        </w:rPr>
        <w:t>矿区及附近主要出露地层为二叠系中统栖霞组（P</w:t>
      </w:r>
      <w:r>
        <w:rPr>
          <w:rFonts w:hint="eastAsia" w:ascii="Times New Roman" w:hAnsi="Times New Roman"/>
          <w:color w:val="auto"/>
          <w:vertAlign w:val="subscript"/>
        </w:rPr>
        <w:t>2</w:t>
      </w:r>
      <w:r>
        <w:rPr>
          <w:rFonts w:hint="eastAsia" w:ascii="Times New Roman" w:hAnsi="Times New Roman"/>
          <w:color w:val="auto"/>
        </w:rPr>
        <w:t>q）和第四系残坡积层（Q</w:t>
      </w:r>
      <w:r>
        <w:rPr>
          <w:rFonts w:hint="eastAsia" w:ascii="Times New Roman" w:hAnsi="Times New Roman"/>
          <w:color w:val="auto"/>
          <w:vertAlign w:val="superscript"/>
        </w:rPr>
        <w:t>el+dl</w:t>
      </w:r>
      <w:r>
        <w:rPr>
          <w:rFonts w:hint="eastAsia" w:ascii="Times New Roman" w:hAnsi="Times New Roman"/>
          <w:color w:val="auto"/>
        </w:rPr>
        <w:t>）地层，由新至老分述如下：</w:t>
      </w:r>
    </w:p>
    <w:p w14:paraId="43300B59">
      <w:pPr>
        <w:bidi w:val="0"/>
        <w:rPr>
          <w:rFonts w:hint="eastAsia" w:ascii="Times New Roman" w:hAnsi="Times New Roman"/>
          <w:color w:val="auto"/>
        </w:rPr>
      </w:pPr>
      <w:r>
        <w:rPr>
          <w:rFonts w:hint="eastAsia" w:ascii="Times New Roman" w:hAnsi="Times New Roman"/>
          <w:color w:val="auto"/>
        </w:rPr>
        <w:t>（1）第四系残坡积层（Q</w:t>
      </w:r>
      <w:r>
        <w:rPr>
          <w:rFonts w:hint="eastAsia" w:ascii="Times New Roman" w:hAnsi="Times New Roman"/>
          <w:color w:val="auto"/>
          <w:vertAlign w:val="superscript"/>
        </w:rPr>
        <w:t>el+dl</w:t>
      </w:r>
      <w:r>
        <w:rPr>
          <w:rFonts w:hint="eastAsia" w:ascii="Times New Roman" w:hAnsi="Times New Roman"/>
          <w:color w:val="auto"/>
        </w:rPr>
        <w:t>）</w:t>
      </w:r>
    </w:p>
    <w:p w14:paraId="231CA779">
      <w:pPr>
        <w:bidi w:val="0"/>
        <w:rPr>
          <w:rFonts w:hint="eastAsia" w:ascii="Times New Roman" w:hAnsi="Times New Roman"/>
          <w:color w:val="auto"/>
        </w:rPr>
      </w:pPr>
      <w:r>
        <w:rPr>
          <w:rFonts w:hint="eastAsia" w:ascii="Times New Roman" w:hAnsi="Times New Roman"/>
          <w:color w:val="auto"/>
        </w:rPr>
        <w:t>岩性由风化褐红色、黄色粘土及含灰岩角砾组成，分布于矿区北部较平坦地带及岩石出露缝隙间，厚度0～3m。与下伏地层为不整合接触关系。</w:t>
      </w:r>
    </w:p>
    <w:p w14:paraId="666971C2">
      <w:pPr>
        <w:bidi w:val="0"/>
        <w:rPr>
          <w:rFonts w:hint="eastAsia" w:ascii="Times New Roman" w:hAnsi="Times New Roman"/>
          <w:color w:val="auto"/>
        </w:rPr>
      </w:pPr>
      <w:r>
        <w:rPr>
          <w:rFonts w:hint="eastAsia" w:ascii="Times New Roman" w:hAnsi="Times New Roman"/>
          <w:color w:val="auto"/>
        </w:rPr>
        <w:t>（2）二叠系中统栖霞组（P</w:t>
      </w:r>
      <w:r>
        <w:rPr>
          <w:rFonts w:hint="eastAsia" w:ascii="Times New Roman" w:hAnsi="Times New Roman"/>
          <w:color w:val="auto"/>
          <w:vertAlign w:val="subscript"/>
        </w:rPr>
        <w:t>2</w:t>
      </w:r>
      <w:r>
        <w:rPr>
          <w:rFonts w:hint="eastAsia" w:ascii="Times New Roman" w:hAnsi="Times New Roman"/>
          <w:color w:val="auto"/>
        </w:rPr>
        <w:t>q）</w:t>
      </w:r>
    </w:p>
    <w:p w14:paraId="0D484731">
      <w:pPr>
        <w:bidi w:val="0"/>
        <w:rPr>
          <w:rFonts w:hint="eastAsia" w:ascii="Times New Roman" w:hAnsi="Times New Roman"/>
          <w:color w:val="auto"/>
        </w:rPr>
      </w:pPr>
      <w:r>
        <w:rPr>
          <w:rFonts w:hint="eastAsia" w:ascii="Times New Roman" w:hAnsi="Times New Roman"/>
          <w:color w:val="auto"/>
        </w:rPr>
        <w:t>岩性为灰、浅灰夹深灰色中厚层-厚层状石灰岩，微晶结构，岩溶、裂隙比较发育，局部裂隙充填方解石，厚度＞150m，该地层矿区分布广泛。本段地层中的石灰岩为昭阳区文辉矿业有限公司石灰岩矿的开采对象。与下伏地层为整合接触关系。</w:t>
      </w:r>
    </w:p>
    <w:p w14:paraId="75082A84">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矿区构造</w:t>
      </w:r>
    </w:p>
    <w:p w14:paraId="27A9AC2F">
      <w:pPr>
        <w:bidi w:val="0"/>
        <w:rPr>
          <w:rFonts w:hint="eastAsia" w:ascii="Times New Roman" w:hAnsi="Times New Roman"/>
          <w:color w:val="auto"/>
        </w:rPr>
      </w:pPr>
      <w:r>
        <w:rPr>
          <w:rFonts w:hint="eastAsia" w:ascii="Times New Roman" w:hAnsi="Times New Roman"/>
          <w:color w:val="auto"/>
        </w:rPr>
        <w:t>矿区总体呈向南东倾斜的单斜构造。矿区范围内地层走向北东～南西向，倾向南东，倾角30～38°，矿区范围较小，无断层通过，构造不发育，无活动性断裂构造，岩石性脆。矿区构造属简单类型。</w:t>
      </w:r>
    </w:p>
    <w:p w14:paraId="3270C17A">
      <w:pPr>
        <w:bidi w:val="0"/>
        <w:rPr>
          <w:rFonts w:hint="eastAsia" w:ascii="Times New Roman" w:hAnsi="Times New Roman"/>
          <w:color w:val="auto"/>
        </w:rPr>
      </w:pPr>
      <w:r>
        <w:rPr>
          <w:rFonts w:hint="eastAsia" w:ascii="Times New Roman" w:hAnsi="Times New Roman"/>
          <w:color w:val="auto"/>
          <w:lang w:val="en-US" w:eastAsia="zh-CN"/>
        </w:rPr>
        <w:t>3、</w:t>
      </w:r>
      <w:r>
        <w:rPr>
          <w:rFonts w:hint="eastAsia" w:ascii="Times New Roman" w:hAnsi="Times New Roman"/>
          <w:color w:val="auto"/>
        </w:rPr>
        <w:t>岩浆岩</w:t>
      </w:r>
    </w:p>
    <w:p w14:paraId="09AED89C">
      <w:pPr>
        <w:bidi w:val="0"/>
        <w:rPr>
          <w:rFonts w:hint="eastAsia" w:ascii="Times New Roman" w:hAnsi="Times New Roman"/>
          <w:color w:val="auto"/>
        </w:rPr>
      </w:pPr>
      <w:r>
        <w:rPr>
          <w:rFonts w:hint="eastAsia" w:ascii="Times New Roman" w:hAnsi="Times New Roman"/>
          <w:color w:val="auto"/>
        </w:rPr>
        <w:t>矿区内未见岩浆活动，未有岩浆岩分布。</w:t>
      </w:r>
    </w:p>
    <w:p w14:paraId="39486D18">
      <w:pPr>
        <w:bidi w:val="0"/>
        <w:rPr>
          <w:rFonts w:hint="eastAsia" w:ascii="Times New Roman" w:hAnsi="Times New Roman"/>
          <w:color w:val="auto"/>
        </w:rPr>
      </w:pPr>
      <w:r>
        <w:rPr>
          <w:rFonts w:hint="eastAsia" w:ascii="Times New Roman" w:hAnsi="Times New Roman"/>
          <w:color w:val="auto"/>
          <w:lang w:val="en-US" w:eastAsia="zh-CN"/>
        </w:rPr>
        <w:t>4、</w:t>
      </w:r>
      <w:r>
        <w:rPr>
          <w:rFonts w:hint="eastAsia" w:ascii="Times New Roman" w:hAnsi="Times New Roman"/>
          <w:color w:val="auto"/>
        </w:rPr>
        <w:t>变质作用及围岩蚀变</w:t>
      </w:r>
    </w:p>
    <w:p w14:paraId="00D51AF4">
      <w:pPr>
        <w:bidi w:val="0"/>
        <w:rPr>
          <w:rFonts w:hint="eastAsia" w:ascii="Times New Roman" w:hAnsi="Times New Roman"/>
          <w:color w:val="auto"/>
        </w:rPr>
      </w:pPr>
      <w:r>
        <w:rPr>
          <w:rFonts w:hint="eastAsia" w:ascii="Times New Roman" w:hAnsi="Times New Roman"/>
          <w:color w:val="auto"/>
        </w:rPr>
        <w:t>区内围岩蚀变作用不明显。</w:t>
      </w:r>
    </w:p>
    <w:p w14:paraId="08014EBD">
      <w:pPr>
        <w:bidi w:val="0"/>
        <w:rPr>
          <w:rFonts w:hint="eastAsia" w:ascii="Times New Roman" w:hAnsi="Times New Roman"/>
          <w:color w:val="auto"/>
        </w:rPr>
      </w:pPr>
      <w:r>
        <w:rPr>
          <w:rFonts w:hint="eastAsia" w:ascii="Times New Roman" w:hAnsi="Times New Roman"/>
          <w:color w:val="auto"/>
          <w:lang w:val="en-US" w:eastAsia="zh-CN"/>
        </w:rPr>
        <w:t>5、</w:t>
      </w:r>
      <w:r>
        <w:rPr>
          <w:rFonts w:hint="eastAsia" w:ascii="Times New Roman" w:hAnsi="Times New Roman"/>
          <w:color w:val="auto"/>
        </w:rPr>
        <w:t>成矿规律</w:t>
      </w:r>
    </w:p>
    <w:p w14:paraId="5352DB7F">
      <w:pPr>
        <w:bidi w:val="0"/>
        <w:rPr>
          <w:rFonts w:hint="eastAsia" w:ascii="Times New Roman" w:hAnsi="Times New Roman"/>
          <w:color w:val="auto"/>
        </w:rPr>
      </w:pPr>
      <w:r>
        <w:rPr>
          <w:rFonts w:hint="eastAsia" w:ascii="Times New Roman" w:hAnsi="Times New Roman"/>
          <w:color w:val="auto"/>
        </w:rPr>
        <w:t>矿床类型属层状非金属矿床，矿体赋存于二叠系中统栖霞组（P</w:t>
      </w:r>
      <w:r>
        <w:rPr>
          <w:rFonts w:hint="eastAsia" w:ascii="Times New Roman" w:hAnsi="Times New Roman"/>
          <w:color w:val="auto"/>
          <w:vertAlign w:val="subscript"/>
        </w:rPr>
        <w:t>2</w:t>
      </w:r>
      <w:r>
        <w:rPr>
          <w:rFonts w:hint="eastAsia" w:ascii="Times New Roman" w:hAnsi="Times New Roman"/>
          <w:color w:val="auto"/>
        </w:rPr>
        <w:t>q）地层中，为灰、浅灰夹深灰色中厚～厚层状灰岩，微晶-细晶结构，岩溶、裂隙比较发育，局部裂隙充填方解石，呈单斜层状倾斜产出，产状155～176°∠30～38°，矿体沿走向、倾向延伸稳定。矿床规模属小型。</w:t>
      </w:r>
    </w:p>
    <w:p w14:paraId="4F6233F6">
      <w:pPr>
        <w:pStyle w:val="4"/>
        <w:bidi w:val="0"/>
        <w:rPr>
          <w:rFonts w:hint="eastAsia" w:ascii="Times New Roman" w:hAnsi="Times New Roman"/>
          <w:color w:val="auto"/>
        </w:rPr>
      </w:pPr>
      <w:bookmarkStart w:id="72" w:name="_Toc30652"/>
      <w:r>
        <w:rPr>
          <w:rFonts w:hint="eastAsia" w:ascii="Times New Roman" w:hAnsi="Times New Roman"/>
          <w:color w:val="auto"/>
          <w:lang w:val="en-US" w:eastAsia="zh-CN"/>
        </w:rPr>
        <w:t xml:space="preserve">2.3.3 </w:t>
      </w:r>
      <w:r>
        <w:rPr>
          <w:rFonts w:hint="eastAsia" w:ascii="Times New Roman" w:hAnsi="Times New Roman"/>
          <w:color w:val="auto"/>
        </w:rPr>
        <w:t>矿体地质</w:t>
      </w:r>
      <w:bookmarkEnd w:id="72"/>
    </w:p>
    <w:p w14:paraId="7BBB3C40">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矿体特征</w:t>
      </w:r>
    </w:p>
    <w:p w14:paraId="739E3042">
      <w:pPr>
        <w:bidi w:val="0"/>
        <w:rPr>
          <w:rFonts w:hint="eastAsia" w:ascii="Times New Roman" w:hAnsi="Times New Roman"/>
          <w:color w:val="auto"/>
        </w:rPr>
      </w:pPr>
      <w:r>
        <w:rPr>
          <w:rFonts w:hint="eastAsia" w:ascii="Times New Roman" w:hAnsi="Times New Roman"/>
          <w:color w:val="auto"/>
        </w:rPr>
        <w:t>矿体属沉积型碳酸盐岩类石灰岩矿床，为一套浅海相厚层生物碎屑灰岩，厚层状，质地均匀，力学强度高，为良好的工业与民用建筑材料。矿体倾向南东，倾角30～38°。平均厚度大于150m。矿石主要为石灰岩。矿体沿走向、倾向厚度变化不大。矿体完整连续。矿体无顶板盖层直接出露于地表，矿体厚度大，延伸长，均超出矿界之外。</w:t>
      </w:r>
    </w:p>
    <w:p w14:paraId="1F5C73C3">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矿石物质组成</w:t>
      </w:r>
    </w:p>
    <w:p w14:paraId="7CDE6CCF">
      <w:pPr>
        <w:bidi w:val="0"/>
        <w:rPr>
          <w:rFonts w:hint="eastAsia" w:ascii="Times New Roman" w:hAnsi="Times New Roman"/>
          <w:color w:val="auto"/>
        </w:rPr>
      </w:pPr>
      <w:r>
        <w:rPr>
          <w:rFonts w:hint="eastAsia" w:ascii="Times New Roman" w:hAnsi="Times New Roman"/>
          <w:color w:val="auto"/>
        </w:rPr>
        <w:t>矿石主要矿物成分为粒度较细的方解石，含量大于90%以上，其次主要为少量白云石，约占矿石总量的8%，其它石英及铁质，无针、片状矿物及泥质物成分约占矿石总量的2%。</w:t>
      </w:r>
    </w:p>
    <w:p w14:paraId="250DC5D9">
      <w:pPr>
        <w:bidi w:val="0"/>
        <w:rPr>
          <w:rFonts w:hint="eastAsia" w:ascii="Times New Roman" w:hAnsi="Times New Roman"/>
          <w:color w:val="auto"/>
        </w:rPr>
      </w:pPr>
      <w:r>
        <w:rPr>
          <w:rFonts w:hint="eastAsia" w:ascii="Times New Roman" w:hAnsi="Times New Roman"/>
          <w:color w:val="auto"/>
          <w:lang w:val="en-US" w:eastAsia="zh-CN"/>
        </w:rPr>
        <w:t>3、</w:t>
      </w:r>
      <w:r>
        <w:rPr>
          <w:rFonts w:hint="eastAsia" w:ascii="Times New Roman" w:hAnsi="Times New Roman"/>
          <w:color w:val="auto"/>
        </w:rPr>
        <w:t>矿石结构构造</w:t>
      </w:r>
    </w:p>
    <w:p w14:paraId="3F12ABA7">
      <w:pPr>
        <w:bidi w:val="0"/>
        <w:rPr>
          <w:rFonts w:hint="eastAsia" w:ascii="Times New Roman" w:hAnsi="Times New Roman"/>
          <w:color w:val="auto"/>
        </w:rPr>
      </w:pPr>
      <w:r>
        <w:rPr>
          <w:rFonts w:hint="eastAsia" w:ascii="Times New Roman" w:hAnsi="Times New Roman"/>
          <w:color w:val="auto"/>
        </w:rPr>
        <w:t>矿石为灰、浅灰夹深灰色中厚～厚层状灰岩，呈致密块状，微晶-细晶结构；矿石质地细腻、致密，性脆，硬度3.5左右，据2009年储量核实报告资料，抗压强度垂直层理方向一般60～140MPa，平行层理方向一般50～120MPa。</w:t>
      </w:r>
    </w:p>
    <w:p w14:paraId="71410051">
      <w:pPr>
        <w:bidi w:val="0"/>
        <w:rPr>
          <w:rFonts w:hint="eastAsia" w:ascii="Times New Roman" w:hAnsi="Times New Roman"/>
          <w:color w:val="auto"/>
        </w:rPr>
      </w:pPr>
      <w:r>
        <w:rPr>
          <w:rFonts w:hint="eastAsia" w:ascii="Times New Roman" w:hAnsi="Times New Roman"/>
          <w:color w:val="auto"/>
          <w:lang w:val="en-US" w:eastAsia="zh-CN"/>
        </w:rPr>
        <w:t>4、</w:t>
      </w:r>
      <w:r>
        <w:rPr>
          <w:rFonts w:hint="eastAsia" w:ascii="Times New Roman" w:hAnsi="Times New Roman"/>
          <w:color w:val="auto"/>
        </w:rPr>
        <w:t>矿石物理力学性能</w:t>
      </w:r>
    </w:p>
    <w:p w14:paraId="423E3A8B">
      <w:pPr>
        <w:bidi w:val="0"/>
        <w:rPr>
          <w:rFonts w:hint="eastAsia" w:ascii="Times New Roman" w:hAnsi="Times New Roman"/>
          <w:color w:val="auto"/>
        </w:rPr>
      </w:pPr>
      <w:r>
        <w:rPr>
          <w:rFonts w:hint="eastAsia" w:ascii="Times New Roman" w:hAnsi="Times New Roman"/>
          <w:color w:val="auto"/>
        </w:rPr>
        <w:t>勘查未进行矿石物理力学性质试验，根据该矿近几年来的生产销售成果资料，其质量能满足普通建筑材料用砂石要求。</w:t>
      </w:r>
    </w:p>
    <w:p w14:paraId="42488DFF">
      <w:pPr>
        <w:bidi w:val="0"/>
        <w:rPr>
          <w:rFonts w:hint="eastAsia" w:ascii="Times New Roman" w:hAnsi="Times New Roman"/>
          <w:color w:val="auto"/>
        </w:rPr>
      </w:pPr>
      <w:r>
        <w:rPr>
          <w:rFonts w:hint="eastAsia" w:ascii="Times New Roman" w:hAnsi="Times New Roman"/>
          <w:color w:val="auto"/>
          <w:lang w:val="en-US" w:eastAsia="zh-CN"/>
        </w:rPr>
        <w:t>5、</w:t>
      </w:r>
      <w:r>
        <w:rPr>
          <w:rFonts w:hint="eastAsia" w:ascii="Times New Roman" w:hAnsi="Times New Roman"/>
          <w:color w:val="auto"/>
        </w:rPr>
        <w:t>矿体围岩及夹石</w:t>
      </w:r>
    </w:p>
    <w:p w14:paraId="7B6F3ABC">
      <w:pPr>
        <w:bidi w:val="0"/>
        <w:rPr>
          <w:rFonts w:hint="eastAsia" w:ascii="Times New Roman" w:hAnsi="Times New Roman"/>
          <w:color w:val="auto"/>
        </w:rPr>
      </w:pPr>
      <w:r>
        <w:rPr>
          <w:rFonts w:hint="eastAsia" w:ascii="Times New Roman" w:hAnsi="Times New Roman"/>
          <w:color w:val="auto"/>
        </w:rPr>
        <w:t>矿区矿体覆存于二叠系中统栖霞组(P</w:t>
      </w:r>
      <w:r>
        <w:rPr>
          <w:rFonts w:hint="eastAsia" w:ascii="Times New Roman" w:hAnsi="Times New Roman"/>
          <w:color w:val="auto"/>
          <w:vertAlign w:val="subscript"/>
        </w:rPr>
        <w:t>2</w:t>
      </w:r>
      <w:r>
        <w:rPr>
          <w:rFonts w:hint="eastAsia" w:ascii="Times New Roman" w:hAnsi="Times New Roman"/>
          <w:color w:val="auto"/>
        </w:rPr>
        <w:t>q）灰岩中，矿层稳定且分布广泛，矿石质量较稳定，本次圈定的矿区范围仅为其中的一小部分，所以围岩也为矿层，无夹石。</w:t>
      </w:r>
    </w:p>
    <w:p w14:paraId="4B5F7554">
      <w:pPr>
        <w:bidi w:val="0"/>
        <w:rPr>
          <w:rFonts w:hint="eastAsia" w:ascii="Times New Roman" w:hAnsi="Times New Roman"/>
          <w:color w:val="auto"/>
        </w:rPr>
      </w:pPr>
      <w:r>
        <w:rPr>
          <w:rFonts w:hint="eastAsia" w:ascii="Times New Roman" w:hAnsi="Times New Roman"/>
          <w:color w:val="auto"/>
          <w:lang w:val="en-US" w:eastAsia="zh-CN"/>
        </w:rPr>
        <w:t>6、</w:t>
      </w:r>
      <w:r>
        <w:rPr>
          <w:rFonts w:hint="eastAsia" w:ascii="Times New Roman" w:hAnsi="Times New Roman"/>
          <w:color w:val="auto"/>
        </w:rPr>
        <w:t>共（伴）生矿产</w:t>
      </w:r>
    </w:p>
    <w:p w14:paraId="0D167C39">
      <w:pPr>
        <w:bidi w:val="0"/>
        <w:rPr>
          <w:rFonts w:hint="eastAsia" w:ascii="Times New Roman" w:hAnsi="Times New Roman"/>
          <w:color w:val="auto"/>
        </w:rPr>
      </w:pPr>
      <w:r>
        <w:rPr>
          <w:rFonts w:hint="eastAsia" w:ascii="Times New Roman" w:hAnsi="Times New Roman"/>
          <w:color w:val="auto"/>
        </w:rPr>
        <w:t>本矿床为单一的建筑石料用灰岩矿，无其他共（伴）生矿产。</w:t>
      </w:r>
    </w:p>
    <w:p w14:paraId="5480B148">
      <w:pPr>
        <w:pStyle w:val="4"/>
        <w:bidi w:val="0"/>
        <w:rPr>
          <w:rFonts w:hint="eastAsia" w:ascii="Times New Roman" w:hAnsi="Times New Roman"/>
          <w:color w:val="auto"/>
        </w:rPr>
      </w:pPr>
      <w:bookmarkStart w:id="73" w:name="_Toc25949"/>
      <w:r>
        <w:rPr>
          <w:rFonts w:hint="eastAsia" w:ascii="Times New Roman" w:hAnsi="Times New Roman"/>
          <w:color w:val="auto"/>
          <w:lang w:val="en-US" w:eastAsia="zh-CN"/>
        </w:rPr>
        <w:t xml:space="preserve">2.3.4 </w:t>
      </w:r>
      <w:r>
        <w:rPr>
          <w:rFonts w:hint="eastAsia" w:ascii="Times New Roman" w:hAnsi="Times New Roman"/>
          <w:color w:val="auto"/>
        </w:rPr>
        <w:t>矿石加工技术性能</w:t>
      </w:r>
      <w:bookmarkEnd w:id="73"/>
    </w:p>
    <w:p w14:paraId="4C04824E">
      <w:pPr>
        <w:bidi w:val="0"/>
        <w:rPr>
          <w:rFonts w:hint="eastAsia" w:ascii="Times New Roman" w:hAnsi="Times New Roman"/>
          <w:color w:val="auto"/>
        </w:rPr>
      </w:pPr>
      <w:r>
        <w:rPr>
          <w:rFonts w:hint="eastAsia" w:ascii="Times New Roman" w:hAnsi="Times New Roman"/>
          <w:color w:val="auto"/>
        </w:rPr>
        <w:t>普通建筑原料的生产流程较为简单：一般分为爆破－采装－碎石，粗、中碎后，不同规格的筛网分级就可获取基础建筑原料所需的各类砂石料。</w:t>
      </w:r>
    </w:p>
    <w:p w14:paraId="031D253A">
      <w:pPr>
        <w:bidi w:val="0"/>
        <w:rPr>
          <w:rFonts w:ascii="Times New Roman" w:hAnsi="Times New Roman"/>
          <w:color w:val="auto"/>
        </w:rPr>
      </w:pPr>
      <w:r>
        <w:rPr>
          <w:rFonts w:hint="eastAsia" w:ascii="Times New Roman" w:hAnsi="Times New Roman"/>
          <w:color w:val="auto"/>
        </w:rPr>
        <w:t>本项目的开采资源为灰岩矿产资源，开采过程中将实施资源的综合利用，将公路、建筑用石料、砂料生产相结合，剩余细料、毛料均可生产公路、建筑用砂料，提高资源利用度价值及项目的经济效益。</w:t>
      </w:r>
    </w:p>
    <w:p w14:paraId="7A252540">
      <w:pPr>
        <w:pStyle w:val="4"/>
        <w:bidi w:val="0"/>
        <w:rPr>
          <w:rFonts w:hint="eastAsia" w:ascii="Times New Roman" w:hAnsi="Times New Roman"/>
          <w:color w:val="auto"/>
        </w:rPr>
      </w:pPr>
      <w:bookmarkStart w:id="74" w:name="_Toc28687"/>
      <w:r>
        <w:rPr>
          <w:rFonts w:hint="eastAsia" w:ascii="Times New Roman" w:hAnsi="Times New Roman"/>
          <w:color w:val="auto"/>
          <w:lang w:val="en-US" w:eastAsia="zh-CN"/>
        </w:rPr>
        <w:t xml:space="preserve">2.3.5 </w:t>
      </w:r>
      <w:r>
        <w:rPr>
          <w:rFonts w:hint="eastAsia" w:ascii="Times New Roman" w:hAnsi="Times New Roman"/>
          <w:color w:val="auto"/>
        </w:rPr>
        <w:t>开采技术条件</w:t>
      </w:r>
      <w:bookmarkEnd w:id="74"/>
    </w:p>
    <w:p w14:paraId="03963A97">
      <w:pPr>
        <w:pStyle w:val="5"/>
        <w:bidi w:val="0"/>
        <w:rPr>
          <w:rFonts w:hint="eastAsia" w:ascii="Times New Roman" w:hAnsi="Times New Roman"/>
          <w:color w:val="auto"/>
        </w:rPr>
      </w:pPr>
      <w:r>
        <w:rPr>
          <w:rFonts w:hint="eastAsia" w:ascii="Times New Roman" w:hAnsi="Times New Roman"/>
          <w:color w:val="auto"/>
          <w:lang w:val="en-US" w:eastAsia="zh-CN"/>
        </w:rPr>
        <w:t xml:space="preserve">2.3.5.1 </w:t>
      </w:r>
      <w:r>
        <w:rPr>
          <w:rFonts w:hint="eastAsia" w:ascii="Times New Roman" w:hAnsi="Times New Roman"/>
          <w:color w:val="auto"/>
        </w:rPr>
        <w:t>水文地质条件</w:t>
      </w:r>
    </w:p>
    <w:p w14:paraId="0FFD463D">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岩（矿）层的富水性</w:t>
      </w:r>
    </w:p>
    <w:p w14:paraId="34BBF8B7">
      <w:pPr>
        <w:bidi w:val="0"/>
        <w:rPr>
          <w:rFonts w:hint="eastAsia" w:ascii="Times New Roman" w:hAnsi="Times New Roman"/>
          <w:color w:val="auto"/>
        </w:rPr>
      </w:pPr>
      <w:r>
        <w:rPr>
          <w:rFonts w:hint="eastAsia" w:ascii="Times New Roman" w:hAnsi="Times New Roman"/>
          <w:color w:val="auto"/>
        </w:rPr>
        <w:t>根据赋水介质、地下水运移情况，矿区及附近含水地层可分为第四系残坡积层孔隙含水层和二叠系中统栖霞组岩溶裂隙含水层。</w:t>
      </w:r>
    </w:p>
    <w:p w14:paraId="7F4049FC">
      <w:pPr>
        <w:bidi w:val="0"/>
        <w:rPr>
          <w:rFonts w:hint="eastAsia" w:ascii="Times New Roman" w:hAnsi="Times New Roman"/>
          <w:color w:val="auto"/>
        </w:rPr>
      </w:pPr>
      <w:r>
        <w:rPr>
          <w:rFonts w:hint="eastAsia" w:ascii="Times New Roman" w:hAnsi="Times New Roman"/>
          <w:color w:val="auto"/>
        </w:rPr>
        <w:t>（1）第四系松散土体弱含水层：岩性主要为粘土和砂碎石土，厚度0～3m，分布于地形低洼地段，其结构疏松，透水性强，含水层厚度小，主要含上层滞水，属季节性大气降水短期含水层，在调查时未发现有地表泉水点。该含水层赋水性与空隙、裂隙发育程度及连通性密切相关，由于第四系地层在区内的不连续性，该含水层富水性弱。</w:t>
      </w:r>
    </w:p>
    <w:p w14:paraId="00AF055A">
      <w:pPr>
        <w:bidi w:val="0"/>
        <w:rPr>
          <w:rFonts w:hint="eastAsia" w:ascii="Times New Roman" w:hAnsi="Times New Roman"/>
          <w:color w:val="auto"/>
        </w:rPr>
      </w:pPr>
      <w:r>
        <w:rPr>
          <w:rFonts w:hint="eastAsia" w:ascii="Times New Roman" w:hAnsi="Times New Roman"/>
          <w:color w:val="auto"/>
        </w:rPr>
        <w:t>（2）二叠系中统栖霞组岩溶裂隙含水层：岩性主要为灰岩，微晶结构，上部灰岩中等岩溶发育程度中等～强风化。灰岩矿体</w:t>
      </w:r>
      <w:r>
        <w:rPr>
          <w:rFonts w:hint="eastAsia" w:ascii="Times New Roman" w:hAnsi="Times New Roman"/>
          <w:color w:val="auto"/>
          <w:lang w:eastAsia="zh-CN"/>
        </w:rPr>
        <w:t>“</w:t>
      </w:r>
      <w:r>
        <w:rPr>
          <w:rFonts w:hint="eastAsia" w:ascii="Times New Roman" w:hAnsi="Times New Roman"/>
          <w:color w:val="auto"/>
        </w:rPr>
        <w:t>X</w:t>
      </w:r>
      <w:r>
        <w:rPr>
          <w:rFonts w:hint="eastAsia" w:ascii="Times New Roman" w:hAnsi="Times New Roman"/>
          <w:color w:val="auto"/>
          <w:lang w:eastAsia="zh-CN"/>
        </w:rPr>
        <w:t>”</w:t>
      </w:r>
      <w:r>
        <w:rPr>
          <w:rFonts w:hint="eastAsia" w:ascii="Times New Roman" w:hAnsi="Times New Roman"/>
          <w:color w:val="auto"/>
        </w:rPr>
        <w:t>型节理裂隙发育，频度1～4条/m，从上至下急剧降低，裂隙呈闭合状。本含水层节理裂隙、风化裂隙较发育，在地下水长期作用下，发育成岩溶裂隙，有利于地下水的赋存和运移，但由于岩溶裂隙分布不均，导致含水性不均匀。该含水层地下水位标高低于最低开采标高，地下水位埋藏较深，最低开采标高在当地最低侵蚀基准面以上，地形、地貌条件不利于大气降水的入渗补给，节理裂隙闭合，在矿区范围内本含水层富水性弱～中等。本含水层为矿床的直接充水含水层，在区内无泉点出露。</w:t>
      </w:r>
    </w:p>
    <w:p w14:paraId="5FE23726">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地表水特征</w:t>
      </w:r>
    </w:p>
    <w:p w14:paraId="5BAB0CFD">
      <w:pPr>
        <w:bidi w:val="0"/>
        <w:rPr>
          <w:rFonts w:hint="eastAsia" w:ascii="Times New Roman" w:hAnsi="Times New Roman"/>
          <w:color w:val="auto"/>
        </w:rPr>
      </w:pPr>
      <w:r>
        <w:rPr>
          <w:rFonts w:hint="eastAsia" w:ascii="Times New Roman" w:hAnsi="Times New Roman"/>
          <w:color w:val="auto"/>
        </w:rPr>
        <w:t>矿区内无大的地表水体，冲沟旱季干涸无水。最近地表水体主要为西部距矿区约550m的洒渔河。大气降水到达地面后，大部分形成地面坡流沿矿区山坡汇入矿区西部外围的洒渔河；一部分渗入地下补给各含水层。地下水通过岩溶裂隙、岩溶管道、落水洞、伏流河由南东向北西径流，汇入洒渔河。矿区所在水系属长江水系，金沙江流域。当地最低自然排泄面标高为1920m（西侧中小湾子村庄附近）。区域最低侵蚀基准面为矿区西部约550m的洒渔河河床，标高约为1900m。</w:t>
      </w:r>
    </w:p>
    <w:p w14:paraId="51CC66FD">
      <w:pPr>
        <w:bidi w:val="0"/>
        <w:rPr>
          <w:rFonts w:hint="eastAsia" w:ascii="Times New Roman" w:hAnsi="Times New Roman"/>
          <w:color w:val="auto"/>
        </w:rPr>
      </w:pPr>
      <w:r>
        <w:rPr>
          <w:rFonts w:hint="eastAsia" w:ascii="Times New Roman" w:hAnsi="Times New Roman"/>
          <w:color w:val="auto"/>
          <w:lang w:val="en-US" w:eastAsia="zh-CN"/>
        </w:rPr>
        <w:t>3、</w:t>
      </w:r>
      <w:r>
        <w:rPr>
          <w:rFonts w:hint="eastAsia" w:ascii="Times New Roman" w:hAnsi="Times New Roman"/>
          <w:color w:val="auto"/>
        </w:rPr>
        <w:t>矿床充水因素分析</w:t>
      </w:r>
    </w:p>
    <w:p w14:paraId="05BD7173">
      <w:pPr>
        <w:bidi w:val="0"/>
        <w:rPr>
          <w:rFonts w:hint="eastAsia" w:ascii="Times New Roman" w:hAnsi="Times New Roman"/>
          <w:color w:val="auto"/>
        </w:rPr>
      </w:pPr>
      <w:r>
        <w:rPr>
          <w:rFonts w:hint="eastAsia" w:ascii="Times New Roman" w:hAnsi="Times New Roman"/>
          <w:color w:val="auto"/>
        </w:rPr>
        <w:t>区内矿床充水主要为大气降水的入渗补给，虽然当地年降雨量为729.7mm，但由于降雨较为集中，区内地形东高西低，第四系覆盖层薄，植被覆盖率一般，各含水层地下水的补给条件较差。矿体开采标高高于当地最低侵蚀基准面，浅部节理裂隙、溶蚀裂隙发育，有利于地下水的径流和排泄。总的来说，各含水层地下水的补给条件较差，径流、排泄条件一般。</w:t>
      </w:r>
    </w:p>
    <w:p w14:paraId="75DF7A75">
      <w:pPr>
        <w:bidi w:val="0"/>
        <w:rPr>
          <w:rFonts w:hint="eastAsia" w:ascii="Times New Roman" w:hAnsi="Times New Roman"/>
          <w:color w:val="auto"/>
        </w:rPr>
      </w:pPr>
      <w:r>
        <w:rPr>
          <w:rFonts w:hint="eastAsia" w:ascii="Times New Roman" w:hAnsi="Times New Roman"/>
          <w:color w:val="auto"/>
          <w:lang w:val="en-US" w:eastAsia="zh-CN"/>
        </w:rPr>
        <w:t>4、</w:t>
      </w:r>
      <w:r>
        <w:rPr>
          <w:rFonts w:hint="eastAsia" w:ascii="Times New Roman" w:hAnsi="Times New Roman"/>
          <w:color w:val="auto"/>
        </w:rPr>
        <w:t>供水水源评价</w:t>
      </w:r>
    </w:p>
    <w:p w14:paraId="33C6976D">
      <w:pPr>
        <w:bidi w:val="0"/>
        <w:rPr>
          <w:rFonts w:hint="eastAsia" w:ascii="Times New Roman" w:hAnsi="Times New Roman"/>
          <w:color w:val="auto"/>
        </w:rPr>
      </w:pPr>
      <w:r>
        <w:rPr>
          <w:rFonts w:hint="eastAsia" w:ascii="Times New Roman" w:hAnsi="Times New Roman"/>
          <w:color w:val="auto"/>
        </w:rPr>
        <w:t>矿区生活生产用水引自附近地表山泉水，根据对附近村民观察，无地方病史，本项目工程总用水量约为80m</w:t>
      </w:r>
      <w:r>
        <w:rPr>
          <w:rFonts w:hint="eastAsia" w:ascii="Times New Roman" w:hAnsi="Times New Roman"/>
          <w:color w:val="auto"/>
          <w:vertAlign w:val="superscript"/>
        </w:rPr>
        <w:t>3</w:t>
      </w:r>
      <w:r>
        <w:rPr>
          <w:rFonts w:hint="eastAsia" w:ascii="Times New Roman" w:hAnsi="Times New Roman"/>
          <w:color w:val="auto"/>
        </w:rPr>
        <w:t>/d，供水能满足生产及生活的需要。</w:t>
      </w:r>
    </w:p>
    <w:p w14:paraId="6BD22A6A">
      <w:pPr>
        <w:bidi w:val="0"/>
        <w:rPr>
          <w:rFonts w:hint="eastAsia" w:ascii="Times New Roman" w:hAnsi="Times New Roman"/>
          <w:color w:val="auto"/>
        </w:rPr>
      </w:pPr>
      <w:r>
        <w:rPr>
          <w:rFonts w:hint="eastAsia" w:ascii="Times New Roman" w:hAnsi="Times New Roman"/>
          <w:color w:val="auto"/>
          <w:lang w:val="en-US" w:eastAsia="zh-CN"/>
        </w:rPr>
        <w:t>5、</w:t>
      </w:r>
      <w:r>
        <w:rPr>
          <w:rFonts w:hint="eastAsia" w:ascii="Times New Roman" w:hAnsi="Times New Roman"/>
          <w:color w:val="auto"/>
        </w:rPr>
        <w:t>水文地质勘察类型</w:t>
      </w:r>
    </w:p>
    <w:p w14:paraId="1B3C2C7C">
      <w:pPr>
        <w:bidi w:val="0"/>
        <w:rPr>
          <w:rFonts w:hint="eastAsia" w:ascii="Times New Roman" w:hAnsi="Times New Roman"/>
          <w:color w:val="auto"/>
        </w:rPr>
      </w:pPr>
      <w:r>
        <w:rPr>
          <w:rFonts w:hint="eastAsia" w:ascii="Times New Roman" w:hAnsi="Times New Roman"/>
          <w:color w:val="auto"/>
        </w:rPr>
        <w:t>矿体分布于最低侵蚀面以上，矿床充水因素为大气降水，地形有利于大气降水自行疏干或以地表径流模式流走。矿区水文地质条件属岩溶裂隙含水层直接充水为主的简单类型。</w:t>
      </w:r>
    </w:p>
    <w:p w14:paraId="13DACAC1">
      <w:pPr>
        <w:pStyle w:val="5"/>
        <w:bidi w:val="0"/>
        <w:rPr>
          <w:rFonts w:hint="eastAsia" w:ascii="Times New Roman" w:hAnsi="Times New Roman"/>
          <w:color w:val="auto"/>
        </w:rPr>
      </w:pPr>
      <w:r>
        <w:rPr>
          <w:rFonts w:hint="eastAsia" w:ascii="Times New Roman" w:hAnsi="Times New Roman"/>
          <w:color w:val="auto"/>
          <w:lang w:val="en-US" w:eastAsia="zh-CN"/>
        </w:rPr>
        <w:t xml:space="preserve">2.3.5.2 </w:t>
      </w:r>
      <w:r>
        <w:rPr>
          <w:rFonts w:hint="eastAsia" w:ascii="Times New Roman" w:hAnsi="Times New Roman"/>
          <w:color w:val="auto"/>
        </w:rPr>
        <w:t>工程地质条件</w:t>
      </w:r>
    </w:p>
    <w:p w14:paraId="1F2DE4E8">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工程地质岩组特征</w:t>
      </w:r>
    </w:p>
    <w:p w14:paraId="6DAC9E3F">
      <w:pPr>
        <w:bidi w:val="0"/>
        <w:rPr>
          <w:rFonts w:hint="eastAsia" w:ascii="Times New Roman" w:hAnsi="Times New Roman"/>
          <w:color w:val="auto"/>
        </w:rPr>
      </w:pPr>
      <w:r>
        <w:rPr>
          <w:rFonts w:hint="eastAsia" w:ascii="Times New Roman" w:hAnsi="Times New Roman"/>
          <w:color w:val="auto"/>
        </w:rPr>
        <w:t>矿区工程地质岩组主要由第四系（Q</w:t>
      </w:r>
      <w:r>
        <w:rPr>
          <w:rFonts w:hint="eastAsia" w:ascii="Times New Roman" w:hAnsi="Times New Roman"/>
          <w:color w:val="auto"/>
          <w:vertAlign w:val="superscript"/>
        </w:rPr>
        <w:t>el+dl</w:t>
      </w:r>
      <w:r>
        <w:rPr>
          <w:rFonts w:hint="eastAsia" w:ascii="Times New Roman" w:hAnsi="Times New Roman"/>
          <w:color w:val="auto"/>
        </w:rPr>
        <w:t>）散体结构松软岩组及二叠系中统栖霞组(P</w:t>
      </w:r>
      <w:r>
        <w:rPr>
          <w:rFonts w:hint="eastAsia" w:ascii="Times New Roman" w:hAnsi="Times New Roman"/>
          <w:color w:val="auto"/>
          <w:vertAlign w:val="subscript"/>
        </w:rPr>
        <w:t>2</w:t>
      </w:r>
      <w:r>
        <w:rPr>
          <w:rFonts w:hint="eastAsia" w:ascii="Times New Roman" w:hAnsi="Times New Roman"/>
          <w:color w:val="auto"/>
        </w:rPr>
        <w:t>q)层状结构碳酸盐岩半坚硬工程地质岩组组成。</w:t>
      </w:r>
    </w:p>
    <w:p w14:paraId="5F1B4924">
      <w:pPr>
        <w:bidi w:val="0"/>
        <w:rPr>
          <w:rFonts w:hint="eastAsia" w:ascii="Times New Roman" w:hAnsi="Times New Roman"/>
          <w:color w:val="auto"/>
        </w:rPr>
      </w:pPr>
      <w:r>
        <w:rPr>
          <w:rFonts w:hint="eastAsia" w:ascii="Times New Roman" w:hAnsi="Times New Roman"/>
          <w:color w:val="auto"/>
        </w:rPr>
        <w:t>（1）第四系（Q</w:t>
      </w:r>
      <w:r>
        <w:rPr>
          <w:rFonts w:hint="eastAsia" w:ascii="Times New Roman" w:hAnsi="Times New Roman"/>
          <w:color w:val="auto"/>
          <w:vertAlign w:val="superscript"/>
        </w:rPr>
        <w:t>el+dl</w:t>
      </w:r>
      <w:r>
        <w:rPr>
          <w:rFonts w:hint="eastAsia" w:ascii="Times New Roman" w:hAnsi="Times New Roman"/>
          <w:color w:val="auto"/>
        </w:rPr>
        <w:t>）散体结构松软岩组：主要包括地表残坡积层和强烈风、氧化带的各类岩石，其工程强度低，常影响地表工程。该岩组在露天开采过程中容易垮塌，特别在雨季容易产生坍塌、滑坡。矿床开采过程中，应特别关注边坡安全角的选择和加强对不良工程地质现象的监控。</w:t>
      </w:r>
    </w:p>
    <w:p w14:paraId="360A19F4">
      <w:pPr>
        <w:bidi w:val="0"/>
        <w:rPr>
          <w:rFonts w:hint="eastAsia" w:ascii="Times New Roman" w:hAnsi="Times New Roman"/>
          <w:color w:val="auto"/>
        </w:rPr>
      </w:pPr>
      <w:r>
        <w:rPr>
          <w:rFonts w:hint="eastAsia" w:ascii="Times New Roman" w:hAnsi="Times New Roman"/>
          <w:color w:val="auto"/>
        </w:rPr>
        <w:t>（2）二叠系中统栖霞组(P</w:t>
      </w:r>
      <w:r>
        <w:rPr>
          <w:rFonts w:hint="eastAsia" w:ascii="Times New Roman" w:hAnsi="Times New Roman"/>
          <w:color w:val="auto"/>
          <w:vertAlign w:val="subscript"/>
        </w:rPr>
        <w:t>2</w:t>
      </w:r>
      <w:r>
        <w:rPr>
          <w:rFonts w:hint="eastAsia" w:ascii="Times New Roman" w:hAnsi="Times New Roman"/>
          <w:color w:val="auto"/>
        </w:rPr>
        <w:t>q)层状结构碳酸盐岩坚硬工程地质岩组：主要为石灰岩，该岩组稳定性相对较好。质坚性脆，节理裂隙较发育，矿层围岩为灰岩，具有一定的稳定性，属坚硬－半坚硬的岩石，物理力学性质较好，岩石的稳固性较好。</w:t>
      </w:r>
    </w:p>
    <w:p w14:paraId="4EDAD67E">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矿床工程地质勘查类型</w:t>
      </w:r>
    </w:p>
    <w:p w14:paraId="39B332B1">
      <w:pPr>
        <w:bidi w:val="0"/>
        <w:rPr>
          <w:rFonts w:hint="eastAsia" w:ascii="Times New Roman" w:hAnsi="Times New Roman"/>
          <w:color w:val="auto"/>
        </w:rPr>
      </w:pPr>
      <w:r>
        <w:rPr>
          <w:rFonts w:hint="eastAsia" w:ascii="Times New Roman" w:hAnsi="Times New Roman"/>
          <w:color w:val="auto"/>
        </w:rPr>
        <w:t>区内地形有利于自然排水；地表有少量残坡积层覆盖，厚度薄，松散堆积，物理力学性质较差，矿区内主要为石灰岩，该岩组稳定性相对较好。质坚性脆，节理裂隙较发育，矿层围岩为灰岩，具有一定的稳定性，属坚硬－半坚硬的岩石，物理力学性质较好，岩石的稳固性较好。</w:t>
      </w:r>
    </w:p>
    <w:p w14:paraId="3B1BEC1C">
      <w:pPr>
        <w:bidi w:val="0"/>
        <w:rPr>
          <w:rFonts w:hint="eastAsia" w:ascii="Times New Roman" w:hAnsi="Times New Roman"/>
          <w:color w:val="auto"/>
        </w:rPr>
      </w:pPr>
      <w:r>
        <w:rPr>
          <w:rFonts w:hint="eastAsia" w:ascii="Times New Roman" w:hAnsi="Times New Roman"/>
          <w:color w:val="auto"/>
        </w:rPr>
        <w:t>综上述，矿区工程地质条件类型属层状结构碳酸盐岩半坚硬岩组为主的中等类型。</w:t>
      </w:r>
    </w:p>
    <w:p w14:paraId="6EC0512B">
      <w:pPr>
        <w:pStyle w:val="5"/>
        <w:bidi w:val="0"/>
        <w:rPr>
          <w:rFonts w:hint="eastAsia" w:ascii="Times New Roman" w:hAnsi="Times New Roman"/>
          <w:color w:val="auto"/>
        </w:rPr>
      </w:pPr>
      <w:r>
        <w:rPr>
          <w:rFonts w:hint="eastAsia" w:ascii="Times New Roman" w:hAnsi="Times New Roman"/>
          <w:color w:val="auto"/>
          <w:lang w:val="en-US" w:eastAsia="zh-CN"/>
        </w:rPr>
        <w:t xml:space="preserve">2.3.5.3 </w:t>
      </w:r>
      <w:r>
        <w:rPr>
          <w:rFonts w:hint="eastAsia" w:ascii="Times New Roman" w:hAnsi="Times New Roman"/>
          <w:color w:val="auto"/>
        </w:rPr>
        <w:t>环境地质条件</w:t>
      </w:r>
    </w:p>
    <w:p w14:paraId="308501A4">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区域稳定性</w:t>
      </w:r>
    </w:p>
    <w:p w14:paraId="6DD43F95">
      <w:pPr>
        <w:bidi w:val="0"/>
        <w:rPr>
          <w:rFonts w:hint="eastAsia" w:ascii="Times New Roman" w:hAnsi="Times New Roman"/>
          <w:color w:val="auto"/>
        </w:rPr>
      </w:pPr>
      <w:r>
        <w:rPr>
          <w:rFonts w:hint="eastAsia" w:ascii="Times New Roman" w:hAnsi="Times New Roman"/>
          <w:color w:val="auto"/>
        </w:rPr>
        <w:t>昭通市位于我国地震活动最强的南北向地震带东翼，境内地震活动断裂密布，地质构造复建杂，近百年来发生过破坏性地震三十多次。地震烈度区划规定地震设防烈度之高为全国少有。昭通市地处大关—马边地震带上，基本上是小震大灾，大震巨灾，每次地震都具有频度高、强度大、分布广、灾害重的特点。据昭通市地震信息系统网站资料，近十几年昭通市发生5级以上地震10次，造成不同程度破坏。最近三次分别为2014.4.5，永善县，5.级；2014年8月3日，鲁甸县，6.5级；2014年8月17日，永善县，5.0级。矿区及周边区域属新构造运动强烈上升地区，主要表现为地表壳差异性升降，河谷、沟谷不断下切，地形高差大，矿区属中强地震带。按《云南省区域地壳稳定性分区图》，区域总体属于区域地壳稳定区，矿区及周边属区域地壳稳定区。</w:t>
      </w:r>
    </w:p>
    <w:p w14:paraId="1E3F864F">
      <w:pPr>
        <w:bidi w:val="0"/>
        <w:rPr>
          <w:rFonts w:hint="eastAsia" w:ascii="Times New Roman" w:hAnsi="Times New Roman"/>
          <w:color w:val="auto"/>
        </w:rPr>
      </w:pPr>
      <w:r>
        <w:rPr>
          <w:rFonts w:hint="eastAsia" w:ascii="Times New Roman" w:hAnsi="Times New Roman"/>
          <w:color w:val="auto"/>
        </w:rPr>
        <w:t>根据国家地震局发布的《中国地震动参数区划图》（GB18306-2015）及《建筑抗震设计</w:t>
      </w:r>
      <w:r>
        <w:rPr>
          <w:rFonts w:hint="eastAsia"/>
          <w:color w:val="auto"/>
          <w:lang w:val="en-US" w:eastAsia="zh-CN"/>
        </w:rPr>
        <w:t>标准</w:t>
      </w:r>
      <w:r>
        <w:rPr>
          <w:rFonts w:hint="eastAsia" w:ascii="Times New Roman" w:hAnsi="Times New Roman"/>
          <w:color w:val="auto"/>
        </w:rPr>
        <w:t>》（GB/T</w:t>
      </w:r>
      <w:r>
        <w:rPr>
          <w:rFonts w:hint="eastAsia"/>
          <w:color w:val="auto"/>
          <w:lang w:val="en-US" w:eastAsia="zh-CN"/>
        </w:rPr>
        <w:t xml:space="preserve"> </w:t>
      </w:r>
      <w:r>
        <w:rPr>
          <w:rFonts w:hint="eastAsia" w:ascii="Times New Roman" w:hAnsi="Times New Roman"/>
          <w:color w:val="auto"/>
        </w:rPr>
        <w:t>50011-2010-20</w:t>
      </w:r>
      <w:r>
        <w:rPr>
          <w:rFonts w:hint="eastAsia" w:ascii="Times New Roman" w:hAnsi="Times New Roman"/>
          <w:color w:val="auto"/>
          <w:lang w:val="en-US" w:eastAsia="zh-CN"/>
        </w:rPr>
        <w:t>24</w:t>
      </w:r>
      <w:r>
        <w:rPr>
          <w:rFonts w:hint="eastAsia" w:ascii="Times New Roman" w:hAnsi="Times New Roman"/>
          <w:color w:val="auto"/>
        </w:rPr>
        <w:t>版），矿区所在地抗震设防烈度为7度，设计基本地震加速值为0.10g，地震动反应谱特征周期为0.45s，所属设计地震分组为第三组，矿山建筑物应按此烈度设防。</w:t>
      </w:r>
    </w:p>
    <w:p w14:paraId="3EF662F7">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矿区地质环境现状</w:t>
      </w:r>
    </w:p>
    <w:p w14:paraId="02BE3CFF">
      <w:pPr>
        <w:bidi w:val="0"/>
        <w:rPr>
          <w:rFonts w:hint="eastAsia" w:ascii="Times New Roman" w:hAnsi="Times New Roman"/>
          <w:color w:val="auto"/>
        </w:rPr>
      </w:pPr>
      <w:r>
        <w:rPr>
          <w:rFonts w:hint="eastAsia" w:ascii="Times New Roman" w:hAnsi="Times New Roman"/>
          <w:color w:val="auto"/>
        </w:rPr>
        <w:t>（1）滑坡、崩塌、泥石流不良地质现象</w:t>
      </w:r>
    </w:p>
    <w:p w14:paraId="38829725">
      <w:pPr>
        <w:bidi w:val="0"/>
        <w:rPr>
          <w:rFonts w:hint="eastAsia" w:ascii="Times New Roman" w:hAnsi="Times New Roman"/>
          <w:color w:val="auto"/>
        </w:rPr>
      </w:pPr>
      <w:r>
        <w:rPr>
          <w:rFonts w:hint="eastAsia" w:ascii="Times New Roman" w:hAnsi="Times New Roman"/>
          <w:color w:val="auto"/>
        </w:rPr>
        <w:t>据实地调查，昭阳区文辉矿业有限公司石灰岩矿区内无滑坡、崩塌、泥石流、地裂等地质灾害的隐患，岩体目前处于基本稳定状态。区内广泛分布石灰岩（灰岩矿层），发育小溶洞、落水硐，在采矿和运输过程中要引起重视。</w:t>
      </w:r>
    </w:p>
    <w:p w14:paraId="5802356E">
      <w:pPr>
        <w:bidi w:val="0"/>
        <w:rPr>
          <w:rFonts w:hint="eastAsia" w:ascii="Times New Roman" w:hAnsi="Times New Roman"/>
          <w:color w:val="auto"/>
        </w:rPr>
      </w:pPr>
      <w:r>
        <w:rPr>
          <w:rFonts w:hint="eastAsia" w:ascii="Times New Roman" w:hAnsi="Times New Roman"/>
          <w:color w:val="auto"/>
        </w:rPr>
        <w:t>今后矿山的开采破坏，岩体完整性变差，在地下水或地表水的软化作用下，岩石强度会进一步降低，岩体稳定性较差，局部地段在一定条件下（比如暴雨时）可能边坡失稳。</w:t>
      </w:r>
    </w:p>
    <w:p w14:paraId="4380F7F8">
      <w:pPr>
        <w:bidi w:val="0"/>
        <w:rPr>
          <w:rFonts w:hint="eastAsia" w:ascii="Times New Roman" w:hAnsi="Times New Roman"/>
          <w:color w:val="auto"/>
        </w:rPr>
      </w:pPr>
      <w:r>
        <w:rPr>
          <w:rFonts w:hint="eastAsia" w:ascii="Times New Roman" w:hAnsi="Times New Roman"/>
          <w:color w:val="auto"/>
        </w:rPr>
        <w:t>（2）有害元素含量</w:t>
      </w:r>
    </w:p>
    <w:p w14:paraId="58A51B82">
      <w:pPr>
        <w:bidi w:val="0"/>
        <w:rPr>
          <w:rFonts w:hint="eastAsia" w:ascii="Times New Roman" w:hAnsi="Times New Roman"/>
          <w:color w:val="auto"/>
        </w:rPr>
      </w:pPr>
      <w:r>
        <w:rPr>
          <w:rFonts w:hint="eastAsia" w:ascii="Times New Roman" w:hAnsi="Times New Roman"/>
          <w:color w:val="auto"/>
        </w:rPr>
        <w:t>矿石中有害元素含量均较低，对人体和环境无影响。</w:t>
      </w:r>
    </w:p>
    <w:p w14:paraId="7CF7F15B">
      <w:pPr>
        <w:bidi w:val="0"/>
        <w:rPr>
          <w:rFonts w:hint="eastAsia" w:ascii="Times New Roman" w:hAnsi="Times New Roman"/>
          <w:color w:val="auto"/>
        </w:rPr>
      </w:pPr>
      <w:r>
        <w:rPr>
          <w:rFonts w:hint="eastAsia" w:ascii="Times New Roman" w:hAnsi="Times New Roman"/>
          <w:color w:val="auto"/>
        </w:rPr>
        <w:t>（3）矿区水环境</w:t>
      </w:r>
    </w:p>
    <w:p w14:paraId="708BD5F1">
      <w:pPr>
        <w:bidi w:val="0"/>
        <w:rPr>
          <w:rFonts w:hint="eastAsia" w:ascii="Times New Roman" w:hAnsi="Times New Roman"/>
          <w:color w:val="auto"/>
        </w:rPr>
      </w:pPr>
      <w:r>
        <w:rPr>
          <w:rFonts w:hint="eastAsia" w:ascii="Times New Roman" w:hAnsi="Times New Roman"/>
          <w:color w:val="auto"/>
        </w:rPr>
        <w:t>矿区内破坏地质环境的人类工程活动一般，地下水埋藏较深，地表水体（洒渔河）距露天开采有一定距离，可能会给洒渔河环境造成一定污染，加之矿区岩石物质成分稳定，有害物质含量少且不易分解，矿山的采矿活动，对矿区水环境的负面影响小。</w:t>
      </w:r>
    </w:p>
    <w:p w14:paraId="2E618416">
      <w:pPr>
        <w:bidi w:val="0"/>
        <w:rPr>
          <w:rFonts w:hint="eastAsia" w:ascii="Times New Roman" w:hAnsi="Times New Roman"/>
          <w:color w:val="auto"/>
        </w:rPr>
      </w:pPr>
      <w:r>
        <w:rPr>
          <w:rFonts w:hint="eastAsia" w:ascii="Times New Roman" w:hAnsi="Times New Roman"/>
          <w:color w:val="auto"/>
        </w:rPr>
        <w:t>（4）放射性强度</w:t>
      </w:r>
    </w:p>
    <w:p w14:paraId="46755FE1">
      <w:pPr>
        <w:bidi w:val="0"/>
        <w:rPr>
          <w:rFonts w:hint="eastAsia" w:ascii="Times New Roman" w:hAnsi="Times New Roman"/>
          <w:color w:val="auto"/>
        </w:rPr>
      </w:pPr>
      <w:r>
        <w:rPr>
          <w:rFonts w:hint="eastAsia" w:ascii="Times New Roman" w:hAnsi="Times New Roman"/>
          <w:color w:val="auto"/>
        </w:rPr>
        <w:t>矿物成分以方解石为主，不含放射性元素。</w:t>
      </w:r>
    </w:p>
    <w:p w14:paraId="4C6FB95D">
      <w:pPr>
        <w:bidi w:val="0"/>
        <w:rPr>
          <w:rFonts w:hint="eastAsia" w:ascii="Times New Roman" w:hAnsi="Times New Roman"/>
          <w:color w:val="auto"/>
        </w:rPr>
      </w:pPr>
      <w:r>
        <w:rPr>
          <w:rFonts w:hint="eastAsia" w:ascii="Times New Roman" w:hAnsi="Times New Roman"/>
          <w:color w:val="auto"/>
        </w:rPr>
        <w:t>（5）矿区附近无名胜古迹和自然保护区，不属于重要水源地保护区。但矿区涉及使用林地，需要办理林地使用审核审批手续，在可供地范围内必须完善使用林地相关手续。</w:t>
      </w:r>
    </w:p>
    <w:p w14:paraId="4FF55D98">
      <w:pPr>
        <w:bidi w:val="0"/>
        <w:rPr>
          <w:rFonts w:hint="eastAsia" w:ascii="Times New Roman" w:hAnsi="Times New Roman"/>
          <w:color w:val="auto"/>
        </w:rPr>
      </w:pPr>
      <w:r>
        <w:rPr>
          <w:rFonts w:hint="eastAsia" w:ascii="Times New Roman" w:hAnsi="Times New Roman"/>
          <w:color w:val="auto"/>
          <w:lang w:val="en-US" w:eastAsia="zh-CN"/>
        </w:rPr>
        <w:t>3、</w:t>
      </w:r>
      <w:r>
        <w:rPr>
          <w:rFonts w:hint="eastAsia" w:ascii="Times New Roman" w:hAnsi="Times New Roman"/>
          <w:color w:val="auto"/>
        </w:rPr>
        <w:t>地质环境质量</w:t>
      </w:r>
    </w:p>
    <w:p w14:paraId="001453CD">
      <w:pPr>
        <w:bidi w:val="0"/>
        <w:rPr>
          <w:rFonts w:hint="eastAsia" w:ascii="Times New Roman" w:hAnsi="Times New Roman"/>
          <w:color w:val="auto"/>
        </w:rPr>
      </w:pPr>
      <w:r>
        <w:rPr>
          <w:rFonts w:hint="eastAsia" w:ascii="Times New Roman" w:hAnsi="Times New Roman"/>
          <w:color w:val="auto"/>
        </w:rPr>
        <w:t>区内地质环境比较脆弱，随着矿山开采深度加深、采空区的扩大，易导致环境变差，为此，要加强对采场边坡的变形监测，应采取有效的防治措施，防止岩体产生较大规模的开裂变形、崩塌而造成伤害和环境恶化，矿山开采不会产生有害气体，不会造成对周围环境及水体的污染。</w:t>
      </w:r>
    </w:p>
    <w:p w14:paraId="3DE03017">
      <w:pPr>
        <w:bidi w:val="0"/>
        <w:rPr>
          <w:rFonts w:hint="eastAsia" w:ascii="Times New Roman" w:hAnsi="Times New Roman"/>
          <w:color w:val="auto"/>
        </w:rPr>
      </w:pPr>
      <w:r>
        <w:rPr>
          <w:rFonts w:hint="eastAsia" w:ascii="Times New Roman" w:hAnsi="Times New Roman"/>
          <w:color w:val="auto"/>
        </w:rPr>
        <w:t>综上所述，矿区的环境地质类型属中等类型。</w:t>
      </w:r>
    </w:p>
    <w:p w14:paraId="2FD33361">
      <w:pPr>
        <w:pStyle w:val="5"/>
        <w:bidi w:val="0"/>
        <w:rPr>
          <w:rFonts w:hint="eastAsia" w:ascii="Times New Roman" w:hAnsi="Times New Roman"/>
          <w:color w:val="auto"/>
        </w:rPr>
      </w:pPr>
      <w:r>
        <w:rPr>
          <w:rFonts w:hint="eastAsia" w:ascii="Times New Roman" w:hAnsi="Times New Roman"/>
          <w:color w:val="auto"/>
          <w:lang w:val="en-US" w:eastAsia="zh-CN"/>
        </w:rPr>
        <w:t xml:space="preserve">2.3.5.4 </w:t>
      </w:r>
      <w:r>
        <w:rPr>
          <w:rFonts w:hint="eastAsia" w:ascii="Times New Roman" w:hAnsi="Times New Roman"/>
          <w:color w:val="auto"/>
        </w:rPr>
        <w:t>开采技术条件小结</w:t>
      </w:r>
    </w:p>
    <w:p w14:paraId="7C1B274B">
      <w:pPr>
        <w:bidi w:val="0"/>
        <w:rPr>
          <w:rFonts w:hint="eastAsia" w:ascii="Times New Roman" w:hAnsi="Times New Roman"/>
          <w:color w:val="auto"/>
        </w:rPr>
      </w:pPr>
      <w:r>
        <w:rPr>
          <w:rFonts w:hint="eastAsia" w:ascii="Times New Roman" w:hAnsi="Times New Roman"/>
          <w:color w:val="auto"/>
        </w:rPr>
        <w:t>（1）矿段含水面积不大，富水性弱，补给条件差，矿区水文地质条件类型属岩溶裂隙含水层直接充水为主的简单类型。</w:t>
      </w:r>
    </w:p>
    <w:p w14:paraId="0C4DCF12">
      <w:pPr>
        <w:bidi w:val="0"/>
        <w:rPr>
          <w:rFonts w:hint="eastAsia" w:ascii="Times New Roman" w:hAnsi="Times New Roman"/>
          <w:color w:val="auto"/>
        </w:rPr>
      </w:pPr>
      <w:r>
        <w:rPr>
          <w:rFonts w:hint="eastAsia" w:ascii="Times New Roman" w:hAnsi="Times New Roman"/>
          <w:color w:val="auto"/>
        </w:rPr>
        <w:t>（2）矿区工程地质条件类型属层状结构碳酸盐岩半坚硬工程地质岩组为主的中等类型。</w:t>
      </w:r>
    </w:p>
    <w:p w14:paraId="5141F23D">
      <w:pPr>
        <w:bidi w:val="0"/>
        <w:rPr>
          <w:rFonts w:hint="eastAsia" w:ascii="Times New Roman" w:hAnsi="Times New Roman"/>
          <w:color w:val="auto"/>
        </w:rPr>
      </w:pPr>
      <w:r>
        <w:rPr>
          <w:rFonts w:hint="eastAsia" w:ascii="Times New Roman" w:hAnsi="Times New Roman"/>
          <w:color w:val="auto"/>
        </w:rPr>
        <w:t>（3）区内地质环境比较脆弱，随着矿山开采深度加深、采空区的扩大，易导致环境变差，为此，要加强对采场边坡的变形监测，应采取有效的防治措施，防止岩体产生较大规模的开裂变形、崩塌而造成伤害和环境恶化，矿山开采不会产生有害气体，不会造成对周围环境及水体的污染。矿区环境地质类型属中等类型。</w:t>
      </w:r>
    </w:p>
    <w:p w14:paraId="320583C0">
      <w:pPr>
        <w:bidi w:val="0"/>
        <w:rPr>
          <w:rFonts w:hint="eastAsia" w:ascii="Times New Roman" w:hAnsi="Times New Roman"/>
          <w:color w:val="auto"/>
        </w:rPr>
      </w:pPr>
      <w:r>
        <w:rPr>
          <w:rFonts w:hint="eastAsia" w:ascii="Times New Roman" w:hAnsi="Times New Roman"/>
          <w:color w:val="auto"/>
        </w:rPr>
        <w:t>综上所述，主要矿体位于当地侵蚀基准面以上，地形有利于自然排水，含水层富水性弱，矿区内无地表水，不会造成对矿山的影响，产生水害；矿体围岩单一，力学强度高，结构面不发育，稳定性好，工程地质问题不突出，无原生环境地质问题，但应该考虑石灰岩本身的力学性质特点，矿石及废弃物不易分解出有害组分，不会造成对周边环境及水体的污染。</w:t>
      </w:r>
    </w:p>
    <w:p w14:paraId="33991892">
      <w:pPr>
        <w:bidi w:val="0"/>
        <w:rPr>
          <w:rFonts w:hint="eastAsia" w:ascii="Times New Roman" w:hAnsi="Times New Roman"/>
          <w:color w:val="auto"/>
        </w:rPr>
      </w:pPr>
      <w:r>
        <w:rPr>
          <w:rFonts w:hint="eastAsia" w:ascii="Times New Roman" w:hAnsi="Times New Roman"/>
          <w:color w:val="auto"/>
        </w:rPr>
        <w:t>综上所述，矿床开采技术条件以工程地质、环境地质问题为主的中等类型（Ⅱ-4）。</w:t>
      </w:r>
    </w:p>
    <w:p w14:paraId="2294982F">
      <w:pPr>
        <w:pStyle w:val="3"/>
        <w:bidi w:val="0"/>
        <w:rPr>
          <w:rFonts w:hint="eastAsia" w:ascii="Times New Roman" w:hAnsi="Times New Roman"/>
          <w:color w:val="auto"/>
          <w:lang w:val="en-US" w:eastAsia="zh-CN"/>
        </w:rPr>
      </w:pPr>
      <w:bookmarkStart w:id="75" w:name="_Toc25636"/>
      <w:r>
        <w:rPr>
          <w:rFonts w:hint="eastAsia" w:ascii="Times New Roman" w:hAnsi="Times New Roman"/>
          <w:color w:val="auto"/>
          <w:lang w:val="en-US" w:eastAsia="zh-CN"/>
        </w:rPr>
        <w:t>2.4 工程</w:t>
      </w:r>
      <w:r>
        <w:rPr>
          <w:rFonts w:hint="eastAsia" w:ascii="Times New Roman" w:hAnsi="Times New Roman"/>
          <w:color w:val="auto"/>
        </w:rPr>
        <w:t>建设方案概况</w:t>
      </w:r>
      <w:bookmarkEnd w:id="75"/>
    </w:p>
    <w:p w14:paraId="40B312EF">
      <w:pPr>
        <w:bidi w:val="0"/>
        <w:rPr>
          <w:rFonts w:hint="eastAsia" w:ascii="Times New Roman" w:hAnsi="Times New Roman"/>
          <w:color w:val="auto"/>
          <w:lang w:val="en-US" w:eastAsia="zh-CN"/>
        </w:rPr>
      </w:pPr>
      <w:r>
        <w:rPr>
          <w:rFonts w:hint="eastAsia" w:ascii="Times New Roman" w:hAnsi="Times New Roman"/>
          <w:color w:val="auto"/>
          <w:lang w:val="en-US" w:eastAsia="zh-CN"/>
        </w:rPr>
        <w:t>本次预评价报告主要依据2025年08月云南德成规划设计有限公司编制的《昭阳区文辉矿业有限公司洒渔大桥石灰岩矿70万t/a露天采矿工程初步设计（代可研）》，以下项目建设方案均依据该设计中所设计的方案进行描述。</w:t>
      </w:r>
    </w:p>
    <w:p w14:paraId="4E72188D">
      <w:pPr>
        <w:pStyle w:val="4"/>
        <w:bidi w:val="0"/>
        <w:rPr>
          <w:rFonts w:hint="eastAsia" w:ascii="Times New Roman" w:hAnsi="Times New Roman"/>
          <w:color w:val="auto"/>
          <w:lang w:val="en-US" w:eastAsia="zh-CN"/>
        </w:rPr>
      </w:pPr>
      <w:bookmarkStart w:id="76" w:name="_Toc24213"/>
      <w:r>
        <w:rPr>
          <w:rFonts w:hint="eastAsia" w:ascii="Times New Roman" w:hAnsi="Times New Roman"/>
          <w:color w:val="auto"/>
          <w:lang w:val="en-US" w:eastAsia="zh-CN"/>
        </w:rPr>
        <w:t>2.4.1 矿山开采现状</w:t>
      </w:r>
      <w:bookmarkEnd w:id="76"/>
    </w:p>
    <w:p w14:paraId="2057A9A1">
      <w:pPr>
        <w:bidi w:val="0"/>
        <w:rPr>
          <w:rFonts w:hint="eastAsia" w:ascii="Times New Roman" w:hAnsi="Times New Roman"/>
          <w:color w:val="auto"/>
          <w:lang w:val="en-US" w:eastAsia="zh-CN"/>
        </w:rPr>
      </w:pPr>
      <w:r>
        <w:rPr>
          <w:rFonts w:hint="eastAsia" w:ascii="Times New Roman" w:hAnsi="Times New Roman"/>
          <w:color w:val="auto"/>
          <w:lang w:val="en-US" w:eastAsia="zh-CN"/>
        </w:rPr>
        <w:t>矿山开采目前已经形成一个总体呈“C”字型的采空区。该采空区由上至下已形成多个边坡，边坡高度10-30m，矿山边坡无正规平台分布。采区整体自下而上大致分为7个不规整小平台，标高分别为1926m、1942m、1962m、1974m、1989m、2005m、2020m。</w:t>
      </w:r>
    </w:p>
    <w:p w14:paraId="72F15C19">
      <w:pPr>
        <w:bidi w:val="0"/>
        <w:rPr>
          <w:rFonts w:hint="eastAsia" w:ascii="Times New Roman" w:hAnsi="Times New Roman"/>
          <w:color w:val="auto"/>
          <w:lang w:val="en-US" w:eastAsia="zh-CN"/>
        </w:rPr>
      </w:pPr>
      <w:r>
        <w:rPr>
          <w:rFonts w:hint="eastAsia" w:ascii="Times New Roman" w:hAnsi="Times New Roman"/>
          <w:color w:val="auto"/>
          <w:lang w:val="en-US" w:eastAsia="zh-CN"/>
        </w:rPr>
        <w:t>目前矿山未按原设计形成10m高的台阶，开采所形成安全平台、清扫平台宽度也达不到原设计的4m、8m，部分台阶坡面角、台阶高度也大于原设计的65°和10m，现状与原设计不符。矿山在取得安全生产许可证后未按原安全设施设计进行开采，相关部门已对此作出处罚，详见附件。</w:t>
      </w:r>
    </w:p>
    <w:p w14:paraId="20121F14">
      <w:pPr>
        <w:bidi w:val="0"/>
        <w:rPr>
          <w:rFonts w:hint="eastAsia" w:ascii="Times New Roman" w:hAnsi="Times New Roman"/>
          <w:color w:val="auto"/>
          <w:lang w:val="en-US" w:eastAsia="zh-CN"/>
        </w:rPr>
      </w:pPr>
      <w:r>
        <w:rPr>
          <w:rFonts w:hint="eastAsia" w:ascii="Times New Roman" w:hAnsi="Times New Roman"/>
          <w:color w:val="auto"/>
          <w:lang w:val="en-US" w:eastAsia="zh-CN"/>
        </w:rPr>
        <w:t>现矿权处历史上曾经存在昭通市昭阳区正宇砂石料厂、昭阳区文辉矿业有限公司洒渔大桥方解石厂两个矿权，后该矿权已经注销，现矿区西侧的越界开采部分属于历史开采原因。</w:t>
      </w:r>
    </w:p>
    <w:p w14:paraId="41268F29">
      <w:pPr>
        <w:bidi w:val="0"/>
        <w:rPr>
          <w:rFonts w:hint="eastAsia" w:ascii="Times New Roman" w:hAnsi="Times New Roman"/>
          <w:color w:val="auto"/>
          <w:lang w:val="en-US" w:eastAsia="zh-CN"/>
        </w:rPr>
      </w:pPr>
      <w:r>
        <w:rPr>
          <w:rFonts w:hint="eastAsia" w:ascii="Times New Roman" w:hAnsi="Times New Roman"/>
          <w:color w:val="auto"/>
          <w:lang w:val="en-US" w:eastAsia="zh-CN"/>
        </w:rPr>
        <w:t>采场不存在采空区、无地下水源。</w:t>
      </w:r>
    </w:p>
    <w:p w14:paraId="047EEE03">
      <w:pPr>
        <w:bidi w:val="0"/>
        <w:rPr>
          <w:rFonts w:hint="eastAsia" w:ascii="Times New Roman" w:hAnsi="Times New Roman"/>
          <w:color w:val="auto"/>
          <w:lang w:val="en-US" w:eastAsia="zh-CN"/>
        </w:rPr>
      </w:pPr>
      <w:r>
        <w:rPr>
          <w:rFonts w:hint="eastAsia" w:ascii="Times New Roman" w:hAnsi="Times New Roman"/>
          <w:color w:val="auto"/>
          <w:lang w:val="en-US" w:eastAsia="zh-CN"/>
        </w:rPr>
        <w:t>本矿山存在的危险区域主要为：采空区顶部边缘、底部边坡角。</w:t>
      </w:r>
    </w:p>
    <w:p w14:paraId="5A7A1F3A">
      <w:pPr>
        <w:bidi w:val="0"/>
        <w:rPr>
          <w:rFonts w:hint="default" w:ascii="Times New Roman" w:hAnsi="Times New Roman"/>
          <w:color w:val="auto"/>
          <w:lang w:val="en-US" w:eastAsia="zh-CN"/>
        </w:rPr>
      </w:pPr>
      <w:r>
        <w:rPr>
          <w:rFonts w:hint="eastAsia"/>
          <w:color w:val="auto"/>
          <w:lang w:val="en-US" w:eastAsia="zh-CN"/>
        </w:rPr>
        <w:t>矿山现状无防排水和监测设施。</w:t>
      </w:r>
    </w:p>
    <w:p w14:paraId="0A13CC61">
      <w:pPr>
        <w:ind w:firstLine="0" w:firstLineChars="0"/>
        <w:jc w:val="center"/>
        <w:rPr>
          <w:rFonts w:hint="default" w:eastAsia="宋体" w:cs="Times New Roman"/>
          <w:color w:val="auto"/>
          <w:lang w:val="en-US" w:eastAsia="zh-CN"/>
        </w:rPr>
      </w:pPr>
      <w:r>
        <w:rPr>
          <w:rFonts w:hint="eastAsia" w:cs="Times New Roman"/>
          <w:color w:val="auto"/>
          <w:lang w:val="en-US" w:eastAsia="zh-CN"/>
        </w:rPr>
        <w:t>************</w:t>
      </w:r>
    </w:p>
    <w:p w14:paraId="34946A9F">
      <w:pPr>
        <w:pStyle w:val="16"/>
        <w:bidi w:val="0"/>
        <w:rPr>
          <w:color w:val="auto"/>
        </w:rPr>
      </w:pPr>
      <w:r>
        <w:rPr>
          <w:color w:val="auto"/>
        </w:rPr>
        <w:t>图</w:t>
      </w:r>
      <w:r>
        <w:rPr>
          <w:rFonts w:hint="eastAsia"/>
          <w:color w:val="auto"/>
          <w:lang w:val="en-US" w:eastAsia="zh-CN"/>
        </w:rPr>
        <w:t xml:space="preserve">2.4-1  </w:t>
      </w:r>
      <w:r>
        <w:rPr>
          <w:color w:val="auto"/>
        </w:rPr>
        <w:t>矿山开采现状照片</w:t>
      </w:r>
    </w:p>
    <w:p w14:paraId="3CCB373E">
      <w:pPr>
        <w:bidi w:val="0"/>
        <w:rPr>
          <w:color w:val="auto"/>
        </w:rPr>
      </w:pPr>
      <w:r>
        <w:rPr>
          <w:color w:val="auto"/>
        </w:rPr>
        <w:t>从整体上看，采空区边坡现处于稳定状态。但矿山仍应加强边坡安全管理，防微杜渐，保障矿山生产安全。</w:t>
      </w:r>
    </w:p>
    <w:p w14:paraId="5B132B6D">
      <w:pPr>
        <w:ind w:firstLine="0" w:firstLineChars="0"/>
        <w:jc w:val="center"/>
        <w:rPr>
          <w:rFonts w:hint="default" w:eastAsia="宋体" w:cs="Times New Roman"/>
          <w:color w:val="auto"/>
          <w:lang w:val="en-US" w:eastAsia="zh-CN"/>
        </w:rPr>
      </w:pPr>
      <w:r>
        <w:rPr>
          <w:rFonts w:hint="eastAsia" w:cs="Times New Roman"/>
          <w:color w:val="auto"/>
          <w:lang w:val="en-US" w:eastAsia="zh-CN"/>
        </w:rPr>
        <w:t>*********</w:t>
      </w:r>
    </w:p>
    <w:p w14:paraId="0975CFA4">
      <w:pPr>
        <w:pStyle w:val="16"/>
        <w:bidi w:val="0"/>
        <w:rPr>
          <w:color w:val="auto"/>
        </w:rPr>
      </w:pPr>
      <w:r>
        <w:rPr>
          <w:color w:val="auto"/>
        </w:rPr>
        <w:t>图</w:t>
      </w:r>
      <w:r>
        <w:rPr>
          <w:rFonts w:hint="eastAsia"/>
          <w:color w:val="auto"/>
          <w:lang w:val="en-US" w:eastAsia="zh-CN"/>
        </w:rPr>
        <w:t xml:space="preserve">2.4-2  </w:t>
      </w:r>
      <w:r>
        <w:rPr>
          <w:color w:val="auto"/>
        </w:rPr>
        <w:t>矿山</w:t>
      </w:r>
      <w:r>
        <w:rPr>
          <w:rFonts w:hint="eastAsia"/>
          <w:color w:val="auto"/>
        </w:rPr>
        <w:t>办公室</w:t>
      </w:r>
    </w:p>
    <w:p w14:paraId="07AB6E4B">
      <w:pPr>
        <w:rPr>
          <w:color w:val="auto"/>
          <w:szCs w:val="28"/>
        </w:rPr>
      </w:pPr>
      <w:r>
        <w:rPr>
          <w:rFonts w:hint="eastAsia"/>
          <w:color w:val="auto"/>
          <w:szCs w:val="28"/>
        </w:rPr>
        <w:t>矿山办公室已建成，位于矿区西部，距离设计露天境界241m。</w:t>
      </w:r>
    </w:p>
    <w:p w14:paraId="56B2F110">
      <w:pPr>
        <w:rPr>
          <w:rFonts w:cs="Times New Roman"/>
          <w:color w:val="auto"/>
        </w:rPr>
      </w:pPr>
      <w:r>
        <w:rPr>
          <w:rFonts w:hint="eastAsia"/>
          <w:color w:val="auto"/>
          <w:szCs w:val="28"/>
        </w:rPr>
        <w:t>矿山破碎站位于矿区西部标高1922m处，距离设计露天境界150m。</w:t>
      </w:r>
    </w:p>
    <w:p w14:paraId="29D6C709">
      <w:pPr>
        <w:bidi w:val="0"/>
        <w:rPr>
          <w:rFonts w:hint="default" w:eastAsia="宋体"/>
          <w:color w:val="auto"/>
          <w:lang w:val="en-US" w:eastAsia="zh-CN"/>
        </w:rPr>
      </w:pPr>
      <w:r>
        <w:rPr>
          <w:rFonts w:hint="eastAsia"/>
          <w:color w:val="auto"/>
          <w:lang w:val="en-US" w:eastAsia="zh-CN"/>
        </w:rPr>
        <w:t>*************</w:t>
      </w:r>
    </w:p>
    <w:p w14:paraId="2F9E5E0A">
      <w:pPr>
        <w:pStyle w:val="16"/>
        <w:bidi w:val="0"/>
        <w:rPr>
          <w:color w:val="auto"/>
        </w:rPr>
      </w:pPr>
      <w:r>
        <w:rPr>
          <w:color w:val="auto"/>
        </w:rPr>
        <w:t>图</w:t>
      </w:r>
      <w:r>
        <w:rPr>
          <w:rFonts w:hint="eastAsia"/>
          <w:color w:val="auto"/>
          <w:lang w:val="en-US" w:eastAsia="zh-CN"/>
        </w:rPr>
        <w:t xml:space="preserve">2.4-3  </w:t>
      </w:r>
      <w:r>
        <w:rPr>
          <w:color w:val="auto"/>
        </w:rPr>
        <w:t>矿山</w:t>
      </w:r>
      <w:r>
        <w:rPr>
          <w:rFonts w:hint="eastAsia"/>
          <w:color w:val="auto"/>
          <w:lang w:val="en-US" w:eastAsia="zh-CN"/>
        </w:rPr>
        <w:t>破碎站</w:t>
      </w:r>
    </w:p>
    <w:p w14:paraId="15971FFC">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4C400E48">
      <w:pPr>
        <w:pStyle w:val="16"/>
        <w:bidi w:val="0"/>
        <w:rPr>
          <w:rFonts w:hint="default" w:ascii="Times New Roman" w:hAnsi="Times New Roman"/>
          <w:color w:val="auto"/>
          <w:lang w:val="en-US" w:eastAsia="zh-CN"/>
        </w:rPr>
      </w:pPr>
      <w:r>
        <w:rPr>
          <w:rFonts w:hint="default" w:ascii="Times New Roman" w:hAnsi="Times New Roman"/>
          <w:color w:val="auto"/>
          <w:lang w:val="en-US" w:eastAsia="zh-CN"/>
        </w:rPr>
        <w:t>图2.4-</w:t>
      </w:r>
      <w:r>
        <w:rPr>
          <w:rFonts w:hint="eastAsia"/>
          <w:color w:val="auto"/>
          <w:lang w:val="en-US" w:eastAsia="zh-CN"/>
        </w:rPr>
        <w:t>4</w:t>
      </w:r>
      <w:r>
        <w:rPr>
          <w:rFonts w:hint="eastAsia" w:ascii="Times New Roman" w:hAnsi="Times New Roman"/>
          <w:color w:val="auto"/>
          <w:lang w:val="en-US" w:eastAsia="zh-CN"/>
        </w:rPr>
        <w:t xml:space="preserve">  </w:t>
      </w:r>
      <w:r>
        <w:rPr>
          <w:rFonts w:hint="default" w:ascii="Times New Roman" w:hAnsi="Times New Roman"/>
          <w:color w:val="auto"/>
          <w:lang w:val="en-US" w:eastAsia="zh-CN"/>
        </w:rPr>
        <w:t>评价人员进场照片</w:t>
      </w:r>
    </w:p>
    <w:p w14:paraId="7446CE91">
      <w:pPr>
        <w:pStyle w:val="4"/>
        <w:bidi w:val="0"/>
        <w:rPr>
          <w:rFonts w:hint="eastAsia" w:ascii="Times New Roman" w:hAnsi="Times New Roman"/>
          <w:color w:val="auto"/>
          <w:lang w:val="en-US" w:eastAsia="zh-CN"/>
        </w:rPr>
      </w:pPr>
      <w:bookmarkStart w:id="77" w:name="_Toc29094"/>
      <w:r>
        <w:rPr>
          <w:rFonts w:hint="eastAsia" w:ascii="Times New Roman" w:hAnsi="Times New Roman"/>
          <w:color w:val="auto"/>
          <w:lang w:val="en-US" w:eastAsia="zh-CN"/>
        </w:rPr>
        <w:t>2.4.2 建设规模及工作制度</w:t>
      </w:r>
      <w:bookmarkEnd w:id="77"/>
    </w:p>
    <w:p w14:paraId="0A973003">
      <w:pPr>
        <w:pStyle w:val="5"/>
        <w:bidi w:val="0"/>
        <w:rPr>
          <w:rFonts w:hint="default" w:ascii="Times New Roman" w:hAnsi="Times New Roman"/>
          <w:color w:val="auto"/>
          <w:lang w:val="en-US" w:eastAsia="zh-CN"/>
        </w:rPr>
      </w:pPr>
      <w:r>
        <w:rPr>
          <w:rFonts w:hint="eastAsia" w:ascii="Times New Roman" w:hAnsi="Times New Roman"/>
          <w:color w:val="auto"/>
          <w:lang w:val="en-US" w:eastAsia="zh-CN"/>
        </w:rPr>
        <w:t>2.4.2.1 地质报告提交资源储量</w:t>
      </w:r>
    </w:p>
    <w:p w14:paraId="4477BFBF">
      <w:pPr>
        <w:bidi w:val="0"/>
        <w:rPr>
          <w:rFonts w:hint="eastAsia" w:ascii="Times New Roman" w:hAnsi="Times New Roman"/>
          <w:color w:val="auto"/>
          <w:lang w:val="en-US" w:eastAsia="zh-CN"/>
        </w:rPr>
      </w:pPr>
      <w:r>
        <w:rPr>
          <w:rFonts w:hint="eastAsia" w:ascii="Times New Roman" w:hAnsi="Times New Roman"/>
          <w:color w:val="auto"/>
          <w:lang w:val="en-US" w:eastAsia="zh-CN"/>
        </w:rPr>
        <w:t>根据《云南省昭阳区文辉矿业有限公司洒渔大桥普通建筑材料用石灰岩矿勘查地质报告》（2019年1月9日）评审意见书（云华亿昭矿评储字[2019]001号），截止2018年4月30日，矿区范围内共探获保有122b类基础储量220.00万立方米（565.40万吨），最终边坡角以下2S22类资源量67.53万立方米（173.54万吨）。</w:t>
      </w:r>
    </w:p>
    <w:p w14:paraId="1B5B1ADD">
      <w:pPr>
        <w:bidi w:val="0"/>
        <w:rPr>
          <w:rFonts w:hint="default" w:ascii="Times New Roman" w:hAnsi="Times New Roman"/>
          <w:color w:val="auto"/>
          <w:lang w:val="en-US" w:eastAsia="zh-CN"/>
        </w:rPr>
      </w:pPr>
      <w:r>
        <w:rPr>
          <w:rFonts w:hint="default" w:ascii="Times New Roman" w:hAnsi="Times New Roman"/>
          <w:color w:val="auto"/>
          <w:lang w:val="en-US" w:eastAsia="zh-CN"/>
        </w:rPr>
        <w:t>据2022年度矿产资源储量统计基础表，截止2022年底，保有控制资源储量2146.42千m³即214.64万m³（551.63万t）</w:t>
      </w:r>
      <w:r>
        <w:rPr>
          <w:rFonts w:hint="eastAsia" w:ascii="Times New Roman" w:hAnsi="Times New Roman"/>
          <w:color w:val="auto"/>
          <w:lang w:val="en-US" w:eastAsia="zh-CN"/>
        </w:rPr>
        <w:t>。</w:t>
      </w:r>
    </w:p>
    <w:p w14:paraId="05AAA3FE">
      <w:pPr>
        <w:pStyle w:val="5"/>
        <w:bidi w:val="0"/>
        <w:rPr>
          <w:rFonts w:hint="eastAsia" w:ascii="Times New Roman" w:hAnsi="Times New Roman"/>
          <w:color w:val="auto"/>
          <w:lang w:val="en-US" w:eastAsia="zh-CN"/>
        </w:rPr>
      </w:pPr>
      <w:r>
        <w:rPr>
          <w:rFonts w:hint="eastAsia" w:ascii="Times New Roman" w:hAnsi="Times New Roman"/>
          <w:color w:val="auto"/>
          <w:lang w:val="en-US" w:eastAsia="zh-CN"/>
        </w:rPr>
        <w:t>2.4.2.2 设计地质资源储量</w:t>
      </w:r>
    </w:p>
    <w:p w14:paraId="289C3437">
      <w:pPr>
        <w:bidi w:val="0"/>
        <w:rPr>
          <w:rFonts w:hint="eastAsia" w:ascii="Times New Roman" w:hAnsi="Times New Roman"/>
          <w:color w:val="auto"/>
          <w:lang w:val="en-US" w:eastAsia="zh-CN"/>
        </w:rPr>
      </w:pPr>
      <w:r>
        <w:rPr>
          <w:rFonts w:hint="eastAsia" w:ascii="Times New Roman" w:hAnsi="Times New Roman"/>
          <w:color w:val="auto"/>
          <w:lang w:val="en-US" w:eastAsia="zh-CN"/>
        </w:rPr>
        <w:t>该矿山为改扩建矿山，采矿许可证标高：2060m~1960m，矿区面积：0.1215km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w:t>
      </w:r>
    </w:p>
    <w:p w14:paraId="5089B401">
      <w:pPr>
        <w:bidi w:val="0"/>
        <w:rPr>
          <w:rFonts w:hint="eastAsia" w:ascii="Times New Roman" w:hAnsi="Times New Roman"/>
          <w:color w:val="auto"/>
          <w:lang w:val="en-US" w:eastAsia="zh-CN"/>
        </w:rPr>
      </w:pPr>
      <w:r>
        <w:rPr>
          <w:rFonts w:hint="eastAsia" w:ascii="Times New Roman" w:hAnsi="Times New Roman"/>
          <w:color w:val="auto"/>
          <w:lang w:val="en-US" w:eastAsia="zh-CN"/>
        </w:rPr>
        <w:t>由于矿区西部是中小湾子村村小组民房，民房距矿区最短距离为193m，西北部是下小湾子村村小组民房，民房距矿区最短距离为129m。依据《爆破安全规程》（GB 6722-2014），露天矿山爆破作业时，爆破点与居民区、村庄等敏感区域的安全距离不得小于300m，该距离是控制爆破震动、空气冲击波、个别飞散物（飞石）等风险的最低法定标准，可有效避免爆破作业对村小组民房、基础设施及人员造成直接伤害，杜绝因爆破震动引发房屋开裂、玻璃破损等安全隐患，所以露天境界设计预留了300m的安全距离，将矿区西部距离中小湾子村、西北部距离下小湾子村300m的范围设为禁采区Ⅰ。禁采区Ⅰ面积为0.049k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。经过3DMine软件建模计算，禁采区Ⅰ所压覆的可采矿量约为37万t。</w:t>
      </w:r>
    </w:p>
    <w:p w14:paraId="77E94896">
      <w:pPr>
        <w:bidi w:val="0"/>
        <w:rPr>
          <w:rFonts w:hint="eastAsia" w:ascii="Times New Roman" w:hAnsi="Times New Roman"/>
          <w:color w:val="auto"/>
          <w:lang w:val="en-US" w:eastAsia="zh-CN"/>
        </w:rPr>
      </w:pPr>
      <w:r>
        <w:rPr>
          <w:rFonts w:hint="eastAsia" w:ascii="Times New Roman" w:hAnsi="Times New Roman"/>
          <w:color w:val="auto"/>
          <w:lang w:val="en-US" w:eastAsia="zh-CN"/>
        </w:rPr>
        <w:t>由于矿区东南部存在与村民协商后仍无法征用的土地，现将该部分区域划为禁采区Ⅱ，禁采区Ⅱ的面积为7919m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。经过3DMine软件建模计算，禁采区Ⅱ所压覆的可采矿量约为104.2万t。禁采区压覆矿量模型如</w:t>
      </w:r>
      <w:r>
        <w:rPr>
          <w:rFonts w:hint="eastAsia"/>
          <w:color w:val="auto"/>
          <w:lang w:val="en-US" w:eastAsia="zh-CN"/>
        </w:rPr>
        <w:t>下</w:t>
      </w:r>
      <w:r>
        <w:rPr>
          <w:rFonts w:hint="eastAsia" w:ascii="Times New Roman" w:hAnsi="Times New Roman"/>
          <w:color w:val="auto"/>
          <w:lang w:val="en-US" w:eastAsia="zh-CN"/>
        </w:rPr>
        <w:t>图所示。</w:t>
      </w:r>
    </w:p>
    <w:p w14:paraId="261006C2">
      <w:pPr>
        <w:bidi w:val="0"/>
        <w:ind w:left="0" w:leftChars="0" w:right="0" w:rightChars="0" w:firstLine="0" w:firstLineChars="0"/>
        <w:jc w:val="center"/>
        <w:rPr>
          <w:rFonts w:hint="default" w:cs="Times New Roman"/>
          <w:color w:val="auto"/>
          <w:lang w:val="en-US" w:eastAsia="zh-CN"/>
        </w:rPr>
      </w:pPr>
      <w:r>
        <w:rPr>
          <w:rFonts w:hint="eastAsia" w:cs="Times New Roman"/>
          <w:color w:val="auto"/>
          <w:lang w:val="en-US" w:eastAsia="zh-CN"/>
        </w:rPr>
        <w:t>************</w:t>
      </w:r>
    </w:p>
    <w:p w14:paraId="5AF2743A">
      <w:pPr>
        <w:pStyle w:val="16"/>
        <w:bidi w:val="0"/>
        <w:rPr>
          <w:rFonts w:hint="default" w:ascii="Times New Roman" w:hAnsi="Times New Roman"/>
          <w:color w:val="auto"/>
          <w:lang w:val="en-US" w:eastAsia="zh-CN"/>
        </w:rPr>
      </w:pPr>
      <w:r>
        <w:rPr>
          <w:rFonts w:hint="eastAsia" w:ascii="Times New Roman" w:hAnsi="Times New Roman"/>
          <w:color w:val="auto"/>
          <w:lang w:val="en-US" w:eastAsia="zh-CN"/>
        </w:rPr>
        <w:t>图2.4-</w:t>
      </w:r>
      <w:r>
        <w:rPr>
          <w:rFonts w:hint="eastAsia"/>
          <w:color w:val="auto"/>
          <w:lang w:val="en-US" w:eastAsia="zh-CN"/>
        </w:rPr>
        <w:t>5</w:t>
      </w:r>
      <w:r>
        <w:rPr>
          <w:rFonts w:hint="eastAsia" w:ascii="Times New Roman" w:hAnsi="Times New Roman"/>
          <w:color w:val="auto"/>
          <w:lang w:val="en-US" w:eastAsia="zh-CN"/>
        </w:rPr>
        <w:t xml:space="preserve">  禁采区模型图</w:t>
      </w:r>
    </w:p>
    <w:p w14:paraId="3063D849">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表2.4-1  设计露天境界内采出矿石量汇总表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471"/>
        <w:gridCol w:w="2827"/>
        <w:gridCol w:w="1394"/>
        <w:gridCol w:w="2112"/>
      </w:tblGrid>
      <w:tr w14:paraId="78C1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vAlign w:val="center"/>
          </w:tcPr>
          <w:p w14:paraId="2EBF4EF2">
            <w:pPr>
              <w:pStyle w:val="17"/>
              <w:bidi w:val="0"/>
              <w:rPr>
                <w:b/>
                <w:bCs/>
                <w:color w:val="auto"/>
                <w:lang w:val="en-US" w:eastAsia="zh-CN"/>
              </w:rPr>
            </w:pPr>
            <w:bookmarkStart w:id="78" w:name="_Hlk172841577"/>
            <w:r>
              <w:rPr>
                <w:b/>
                <w:bCs/>
                <w:color w:val="auto"/>
                <w:lang w:val="en-US" w:eastAsia="zh-CN"/>
              </w:rPr>
              <w:t>台阶编号</w:t>
            </w:r>
          </w:p>
          <w:p w14:paraId="7C446969">
            <w:pPr>
              <w:pStyle w:val="17"/>
              <w:bidi w:val="0"/>
              <w:rPr>
                <w:b/>
                <w:bCs/>
                <w:color w:val="auto"/>
                <w:lang w:val="en-US" w:eastAsia="zh-CN"/>
              </w:rPr>
            </w:pPr>
            <w:r>
              <w:rPr>
                <w:b/>
                <w:bCs/>
                <w:color w:val="auto"/>
                <w:lang w:val="en-US" w:eastAsia="zh-CN"/>
              </w:rPr>
              <w:t>（m）</w:t>
            </w:r>
          </w:p>
        </w:tc>
        <w:tc>
          <w:tcPr>
            <w:tcW w:w="781" w:type="pct"/>
            <w:noWrap/>
            <w:vAlign w:val="center"/>
          </w:tcPr>
          <w:p w14:paraId="678CD6A1">
            <w:pPr>
              <w:pStyle w:val="17"/>
              <w:bidi w:val="0"/>
              <w:rPr>
                <w:b/>
                <w:bCs/>
                <w:color w:val="auto"/>
                <w:lang w:val="en-US" w:eastAsia="zh-CN"/>
              </w:rPr>
            </w:pPr>
            <w:r>
              <w:rPr>
                <w:b/>
                <w:bCs/>
                <w:color w:val="auto"/>
                <w:lang w:val="en-US" w:eastAsia="zh-CN"/>
              </w:rPr>
              <w:t>台阶高度</w:t>
            </w:r>
          </w:p>
          <w:p w14:paraId="2112D780">
            <w:pPr>
              <w:pStyle w:val="17"/>
              <w:bidi w:val="0"/>
              <w:rPr>
                <w:b/>
                <w:bCs/>
                <w:color w:val="auto"/>
                <w:lang w:val="en-US" w:eastAsia="zh-CN"/>
              </w:rPr>
            </w:pPr>
            <w:r>
              <w:rPr>
                <w:b/>
                <w:bCs/>
                <w:color w:val="auto"/>
                <w:lang w:val="en-US" w:eastAsia="zh-CN"/>
              </w:rPr>
              <w:t>（m）</w:t>
            </w:r>
          </w:p>
        </w:tc>
        <w:tc>
          <w:tcPr>
            <w:tcW w:w="1503" w:type="pct"/>
            <w:noWrap/>
            <w:vAlign w:val="center"/>
          </w:tcPr>
          <w:p w14:paraId="6AE20A63">
            <w:pPr>
              <w:pStyle w:val="17"/>
              <w:bidi w:val="0"/>
              <w:rPr>
                <w:b/>
                <w:bCs/>
                <w:color w:val="auto"/>
                <w:lang w:val="en-US" w:eastAsia="zh-CN"/>
              </w:rPr>
            </w:pPr>
            <w:r>
              <w:rPr>
                <w:b/>
                <w:bCs/>
                <w:color w:val="auto"/>
                <w:lang w:val="en-US" w:eastAsia="zh-CN"/>
              </w:rPr>
              <w:t>设计利用资源量</w:t>
            </w:r>
          </w:p>
          <w:p w14:paraId="7CB55D57">
            <w:pPr>
              <w:pStyle w:val="17"/>
              <w:bidi w:val="0"/>
              <w:rPr>
                <w:b/>
                <w:bCs/>
                <w:color w:val="auto"/>
                <w:lang w:val="en-US" w:eastAsia="zh-CN"/>
              </w:rPr>
            </w:pPr>
            <w:r>
              <w:rPr>
                <w:b/>
                <w:bCs/>
                <w:color w:val="auto"/>
                <w:lang w:val="en-US" w:eastAsia="zh-CN"/>
              </w:rPr>
              <w:t>（万t）</w:t>
            </w:r>
          </w:p>
        </w:tc>
        <w:tc>
          <w:tcPr>
            <w:tcW w:w="741" w:type="pct"/>
            <w:noWrap/>
            <w:vAlign w:val="center"/>
          </w:tcPr>
          <w:p w14:paraId="54CAC9AA">
            <w:pPr>
              <w:pStyle w:val="17"/>
              <w:bidi w:val="0"/>
              <w:rPr>
                <w:b/>
                <w:bCs/>
                <w:color w:val="auto"/>
                <w:lang w:val="en-US" w:eastAsia="zh-CN"/>
              </w:rPr>
            </w:pPr>
            <w:r>
              <w:rPr>
                <w:b/>
                <w:bCs/>
                <w:color w:val="auto"/>
                <w:lang w:val="en-US" w:eastAsia="zh-CN"/>
              </w:rPr>
              <w:t>采矿</w:t>
            </w:r>
          </w:p>
          <w:p w14:paraId="02A770BA">
            <w:pPr>
              <w:pStyle w:val="17"/>
              <w:bidi w:val="0"/>
              <w:rPr>
                <w:b/>
                <w:bCs/>
                <w:color w:val="auto"/>
                <w:lang w:val="en-US" w:eastAsia="zh-CN"/>
              </w:rPr>
            </w:pPr>
            <w:r>
              <w:rPr>
                <w:b/>
                <w:bCs/>
                <w:color w:val="auto"/>
                <w:lang w:val="en-US" w:eastAsia="zh-CN"/>
              </w:rPr>
              <w:t>回收率</w:t>
            </w:r>
          </w:p>
        </w:tc>
        <w:tc>
          <w:tcPr>
            <w:tcW w:w="1123" w:type="pct"/>
            <w:noWrap/>
            <w:vAlign w:val="center"/>
          </w:tcPr>
          <w:p w14:paraId="6C9C4D9C">
            <w:pPr>
              <w:pStyle w:val="17"/>
              <w:bidi w:val="0"/>
              <w:rPr>
                <w:b/>
                <w:bCs/>
                <w:color w:val="auto"/>
                <w:lang w:val="en-US" w:eastAsia="zh-CN"/>
              </w:rPr>
            </w:pPr>
            <w:r>
              <w:rPr>
                <w:b/>
                <w:bCs/>
                <w:color w:val="auto"/>
                <w:lang w:val="en-US" w:eastAsia="zh-CN"/>
              </w:rPr>
              <w:t>采出矿石量</w:t>
            </w:r>
          </w:p>
          <w:p w14:paraId="435A42CC">
            <w:pPr>
              <w:pStyle w:val="17"/>
              <w:bidi w:val="0"/>
              <w:rPr>
                <w:b/>
                <w:bCs/>
                <w:color w:val="auto"/>
                <w:lang w:val="en-US" w:eastAsia="zh-CN"/>
              </w:rPr>
            </w:pPr>
            <w:r>
              <w:rPr>
                <w:b/>
                <w:bCs/>
                <w:color w:val="auto"/>
                <w:lang w:val="en-US" w:eastAsia="zh-CN"/>
              </w:rPr>
              <w:t>（万t）</w:t>
            </w:r>
          </w:p>
        </w:tc>
      </w:tr>
      <w:tr w14:paraId="5D1C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noWrap/>
            <w:vAlign w:val="center"/>
          </w:tcPr>
          <w:p w14:paraId="30FA8FB9">
            <w:pPr>
              <w:pStyle w:val="17"/>
              <w:bidi w:val="0"/>
              <w:rPr>
                <w:color w:val="auto"/>
                <w:lang w:val="en-US" w:eastAsia="zh-CN"/>
              </w:rPr>
            </w:pPr>
            <w:r>
              <w:rPr>
                <w:rFonts w:hint="eastAsia"/>
                <w:color w:val="auto"/>
                <w:lang w:val="en-US" w:eastAsia="zh-CN"/>
              </w:rPr>
              <w:t>2050</w:t>
            </w:r>
          </w:p>
        </w:tc>
        <w:tc>
          <w:tcPr>
            <w:tcW w:w="781" w:type="pct"/>
            <w:noWrap/>
            <w:vAlign w:val="center"/>
          </w:tcPr>
          <w:p w14:paraId="17687AF6">
            <w:pPr>
              <w:pStyle w:val="17"/>
              <w:bidi w:val="0"/>
              <w:rPr>
                <w:color w:val="auto"/>
                <w:lang w:val="en-US" w:eastAsia="zh-CN"/>
              </w:rPr>
            </w:pPr>
            <w:r>
              <w:rPr>
                <w:rFonts w:hint="eastAsia"/>
                <w:color w:val="auto"/>
                <w:lang w:val="en-US" w:eastAsia="zh-CN"/>
              </w:rPr>
              <w:t>5</w:t>
            </w:r>
          </w:p>
        </w:tc>
        <w:tc>
          <w:tcPr>
            <w:tcW w:w="1503" w:type="pct"/>
            <w:noWrap/>
            <w:vAlign w:val="center"/>
          </w:tcPr>
          <w:p w14:paraId="1E41DF2C">
            <w:pPr>
              <w:pStyle w:val="17"/>
              <w:bidi w:val="0"/>
              <w:rPr>
                <w:rFonts w:hint="default"/>
                <w:color w:val="auto"/>
                <w:lang w:val="en-US" w:eastAsia="zh-CN"/>
              </w:rPr>
            </w:pPr>
            <w:r>
              <w:rPr>
                <w:rFonts w:hint="eastAsia"/>
                <w:color w:val="auto"/>
                <w:lang w:val="en-US" w:eastAsia="zh-CN"/>
              </w:rPr>
              <w:t>0.12</w:t>
            </w:r>
          </w:p>
        </w:tc>
        <w:tc>
          <w:tcPr>
            <w:tcW w:w="741" w:type="pct"/>
            <w:noWrap/>
            <w:vAlign w:val="center"/>
          </w:tcPr>
          <w:p w14:paraId="601B707A">
            <w:pPr>
              <w:pStyle w:val="17"/>
              <w:bidi w:val="0"/>
              <w:rPr>
                <w:color w:val="auto"/>
                <w:lang w:val="en-US" w:eastAsia="zh-CN"/>
              </w:rPr>
            </w:pPr>
            <w:r>
              <w:rPr>
                <w:color w:val="auto"/>
                <w:lang w:val="en-US" w:eastAsia="zh-CN"/>
              </w:rPr>
              <w:t>0.9</w:t>
            </w:r>
            <w:r>
              <w:rPr>
                <w:rFonts w:hint="eastAsia"/>
                <w:color w:val="auto"/>
                <w:lang w:val="en-US" w:eastAsia="zh-CN"/>
              </w:rPr>
              <w:t>7</w:t>
            </w:r>
          </w:p>
        </w:tc>
        <w:tc>
          <w:tcPr>
            <w:tcW w:w="1123" w:type="pct"/>
            <w:noWrap/>
            <w:vAlign w:val="center"/>
          </w:tcPr>
          <w:p w14:paraId="17B6DBD4">
            <w:pPr>
              <w:pStyle w:val="17"/>
              <w:bidi w:val="0"/>
              <w:rPr>
                <w:rFonts w:hint="default"/>
                <w:color w:val="auto"/>
                <w:lang w:val="en-US" w:eastAsia="zh-CN"/>
              </w:rPr>
            </w:pPr>
            <w:r>
              <w:rPr>
                <w:rFonts w:hint="eastAsia"/>
                <w:color w:val="auto"/>
                <w:lang w:val="en-US" w:eastAsia="zh-CN"/>
              </w:rPr>
              <w:t>0.11</w:t>
            </w:r>
          </w:p>
        </w:tc>
      </w:tr>
      <w:tr w14:paraId="2F30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noWrap/>
            <w:vAlign w:val="center"/>
          </w:tcPr>
          <w:p w14:paraId="189A2FF7">
            <w:pPr>
              <w:pStyle w:val="17"/>
              <w:bidi w:val="0"/>
              <w:rPr>
                <w:color w:val="auto"/>
                <w:lang w:val="en-US" w:eastAsia="zh-CN"/>
              </w:rPr>
            </w:pPr>
            <w:r>
              <w:rPr>
                <w:rFonts w:hint="eastAsia"/>
                <w:color w:val="auto"/>
                <w:lang w:val="en-US" w:eastAsia="zh-CN"/>
              </w:rPr>
              <w:t>2035</w:t>
            </w:r>
          </w:p>
        </w:tc>
        <w:tc>
          <w:tcPr>
            <w:tcW w:w="781" w:type="pct"/>
            <w:noWrap/>
            <w:vAlign w:val="center"/>
          </w:tcPr>
          <w:p w14:paraId="6E2EC88E">
            <w:pPr>
              <w:pStyle w:val="17"/>
              <w:bidi w:val="0"/>
              <w:rPr>
                <w:color w:val="auto"/>
                <w:lang w:val="en-US" w:eastAsia="zh-CN"/>
              </w:rPr>
            </w:pPr>
            <w:r>
              <w:rPr>
                <w:rFonts w:hint="eastAsia"/>
                <w:color w:val="auto"/>
                <w:lang w:val="en-US" w:eastAsia="zh-CN"/>
              </w:rPr>
              <w:t>15</w:t>
            </w:r>
          </w:p>
        </w:tc>
        <w:tc>
          <w:tcPr>
            <w:tcW w:w="1503" w:type="pct"/>
            <w:noWrap/>
            <w:vAlign w:val="center"/>
          </w:tcPr>
          <w:p w14:paraId="13D0E7C6">
            <w:pPr>
              <w:pStyle w:val="17"/>
              <w:bidi w:val="0"/>
              <w:rPr>
                <w:rFonts w:hint="default"/>
                <w:color w:val="auto"/>
                <w:lang w:val="en-US" w:eastAsia="zh-CN"/>
              </w:rPr>
            </w:pPr>
            <w:r>
              <w:rPr>
                <w:rFonts w:hint="eastAsia"/>
                <w:color w:val="auto"/>
                <w:lang w:val="en-US" w:eastAsia="zh-CN"/>
              </w:rPr>
              <w:t>4.09</w:t>
            </w:r>
          </w:p>
        </w:tc>
        <w:tc>
          <w:tcPr>
            <w:tcW w:w="741" w:type="pct"/>
            <w:noWrap/>
            <w:vAlign w:val="center"/>
          </w:tcPr>
          <w:p w14:paraId="505857E4">
            <w:pPr>
              <w:pStyle w:val="17"/>
              <w:bidi w:val="0"/>
              <w:rPr>
                <w:color w:val="auto"/>
                <w:lang w:val="en-US" w:eastAsia="zh-CN"/>
              </w:rPr>
            </w:pPr>
            <w:r>
              <w:rPr>
                <w:color w:val="auto"/>
                <w:lang w:val="en-US" w:eastAsia="zh-CN"/>
              </w:rPr>
              <w:t>0.9</w:t>
            </w:r>
            <w:r>
              <w:rPr>
                <w:rFonts w:hint="eastAsia"/>
                <w:color w:val="auto"/>
                <w:lang w:val="en-US" w:eastAsia="zh-CN"/>
              </w:rPr>
              <w:t>7</w:t>
            </w:r>
          </w:p>
        </w:tc>
        <w:tc>
          <w:tcPr>
            <w:tcW w:w="1123" w:type="pct"/>
            <w:noWrap/>
            <w:vAlign w:val="center"/>
          </w:tcPr>
          <w:p w14:paraId="6830B22C">
            <w:pPr>
              <w:pStyle w:val="17"/>
              <w:bidi w:val="0"/>
              <w:rPr>
                <w:rFonts w:hint="default"/>
                <w:color w:val="auto"/>
                <w:lang w:val="en-US" w:eastAsia="zh-CN"/>
              </w:rPr>
            </w:pPr>
            <w:r>
              <w:rPr>
                <w:rFonts w:hint="eastAsia"/>
                <w:color w:val="auto"/>
                <w:lang w:val="en-US" w:eastAsia="zh-CN"/>
              </w:rPr>
              <w:t>3.97</w:t>
            </w:r>
          </w:p>
        </w:tc>
      </w:tr>
      <w:tr w14:paraId="0BD5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noWrap/>
            <w:vAlign w:val="center"/>
          </w:tcPr>
          <w:p w14:paraId="67685421">
            <w:pPr>
              <w:pStyle w:val="17"/>
              <w:bidi w:val="0"/>
              <w:rPr>
                <w:color w:val="auto"/>
                <w:lang w:val="en-US" w:eastAsia="zh-CN"/>
              </w:rPr>
            </w:pPr>
            <w:r>
              <w:rPr>
                <w:rFonts w:hint="eastAsia"/>
                <w:color w:val="auto"/>
                <w:lang w:val="en-US" w:eastAsia="zh-CN"/>
              </w:rPr>
              <w:t>2020</w:t>
            </w:r>
          </w:p>
        </w:tc>
        <w:tc>
          <w:tcPr>
            <w:tcW w:w="781" w:type="pct"/>
            <w:noWrap/>
            <w:vAlign w:val="center"/>
          </w:tcPr>
          <w:p w14:paraId="28705406">
            <w:pPr>
              <w:pStyle w:val="17"/>
              <w:bidi w:val="0"/>
              <w:rPr>
                <w:color w:val="auto"/>
                <w:lang w:val="en-US" w:eastAsia="zh-CN"/>
              </w:rPr>
            </w:pPr>
            <w:r>
              <w:rPr>
                <w:color w:val="auto"/>
                <w:lang w:val="en-US" w:eastAsia="zh-CN"/>
              </w:rPr>
              <w:t>15</w:t>
            </w:r>
          </w:p>
        </w:tc>
        <w:tc>
          <w:tcPr>
            <w:tcW w:w="1503" w:type="pct"/>
            <w:noWrap/>
            <w:vAlign w:val="center"/>
          </w:tcPr>
          <w:p w14:paraId="78544271">
            <w:pPr>
              <w:pStyle w:val="17"/>
              <w:bidi w:val="0"/>
              <w:rPr>
                <w:rFonts w:hint="default"/>
                <w:color w:val="auto"/>
                <w:lang w:val="en-US" w:eastAsia="zh-CN"/>
              </w:rPr>
            </w:pPr>
            <w:r>
              <w:rPr>
                <w:rFonts w:hint="eastAsia"/>
                <w:color w:val="auto"/>
                <w:lang w:val="en-US" w:eastAsia="zh-CN"/>
              </w:rPr>
              <w:t>22.07</w:t>
            </w:r>
          </w:p>
        </w:tc>
        <w:tc>
          <w:tcPr>
            <w:tcW w:w="741" w:type="pct"/>
            <w:noWrap/>
            <w:vAlign w:val="center"/>
          </w:tcPr>
          <w:p w14:paraId="5385E834">
            <w:pPr>
              <w:pStyle w:val="17"/>
              <w:bidi w:val="0"/>
              <w:rPr>
                <w:color w:val="auto"/>
                <w:lang w:val="en-US" w:eastAsia="zh-CN"/>
              </w:rPr>
            </w:pPr>
            <w:r>
              <w:rPr>
                <w:color w:val="auto"/>
                <w:lang w:val="en-US" w:eastAsia="zh-CN"/>
              </w:rPr>
              <w:t>0.9</w:t>
            </w:r>
            <w:r>
              <w:rPr>
                <w:rFonts w:hint="eastAsia"/>
                <w:color w:val="auto"/>
                <w:lang w:val="en-US" w:eastAsia="zh-CN"/>
              </w:rPr>
              <w:t>7</w:t>
            </w:r>
          </w:p>
        </w:tc>
        <w:tc>
          <w:tcPr>
            <w:tcW w:w="1123" w:type="pct"/>
            <w:noWrap/>
            <w:vAlign w:val="center"/>
          </w:tcPr>
          <w:p w14:paraId="5329F62B">
            <w:pPr>
              <w:pStyle w:val="17"/>
              <w:bidi w:val="0"/>
              <w:rPr>
                <w:rFonts w:hint="default"/>
                <w:color w:val="auto"/>
                <w:lang w:val="en-US" w:eastAsia="zh-CN"/>
              </w:rPr>
            </w:pPr>
            <w:r>
              <w:rPr>
                <w:rFonts w:hint="eastAsia"/>
                <w:color w:val="auto"/>
                <w:lang w:val="en-US" w:eastAsia="zh-CN"/>
              </w:rPr>
              <w:t>21.41</w:t>
            </w:r>
          </w:p>
        </w:tc>
      </w:tr>
      <w:tr w14:paraId="5EA5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noWrap/>
            <w:vAlign w:val="center"/>
          </w:tcPr>
          <w:p w14:paraId="22B298EC">
            <w:pPr>
              <w:pStyle w:val="17"/>
              <w:bidi w:val="0"/>
              <w:rPr>
                <w:color w:val="auto"/>
                <w:lang w:val="en-US" w:eastAsia="zh-CN"/>
              </w:rPr>
            </w:pPr>
            <w:r>
              <w:rPr>
                <w:rFonts w:hint="eastAsia"/>
                <w:color w:val="auto"/>
                <w:lang w:val="en-US" w:eastAsia="zh-CN"/>
              </w:rPr>
              <w:t>2005</w:t>
            </w:r>
          </w:p>
        </w:tc>
        <w:tc>
          <w:tcPr>
            <w:tcW w:w="781" w:type="pct"/>
            <w:noWrap/>
            <w:vAlign w:val="center"/>
          </w:tcPr>
          <w:p w14:paraId="38A16CCD">
            <w:pPr>
              <w:pStyle w:val="17"/>
              <w:bidi w:val="0"/>
              <w:rPr>
                <w:color w:val="auto"/>
                <w:lang w:val="en-US" w:eastAsia="zh-CN"/>
              </w:rPr>
            </w:pPr>
            <w:r>
              <w:rPr>
                <w:rFonts w:hint="eastAsia"/>
                <w:color w:val="auto"/>
                <w:lang w:val="en-US" w:eastAsia="zh-CN"/>
              </w:rPr>
              <w:t>15</w:t>
            </w:r>
          </w:p>
        </w:tc>
        <w:tc>
          <w:tcPr>
            <w:tcW w:w="1503" w:type="pct"/>
            <w:noWrap/>
            <w:vAlign w:val="center"/>
          </w:tcPr>
          <w:p w14:paraId="23D7D0DC">
            <w:pPr>
              <w:pStyle w:val="17"/>
              <w:bidi w:val="0"/>
              <w:rPr>
                <w:rFonts w:hint="default"/>
                <w:color w:val="auto"/>
                <w:lang w:val="en-US" w:eastAsia="zh-CN"/>
              </w:rPr>
            </w:pPr>
            <w:r>
              <w:rPr>
                <w:rFonts w:hint="eastAsia"/>
                <w:color w:val="auto"/>
                <w:lang w:val="en-US" w:eastAsia="zh-CN"/>
              </w:rPr>
              <w:t>38.41</w:t>
            </w:r>
          </w:p>
        </w:tc>
        <w:tc>
          <w:tcPr>
            <w:tcW w:w="741" w:type="pct"/>
            <w:noWrap/>
            <w:vAlign w:val="center"/>
          </w:tcPr>
          <w:p w14:paraId="29746057">
            <w:pPr>
              <w:pStyle w:val="17"/>
              <w:bidi w:val="0"/>
              <w:rPr>
                <w:color w:val="auto"/>
                <w:lang w:val="en-US" w:eastAsia="zh-CN"/>
              </w:rPr>
            </w:pPr>
            <w:r>
              <w:rPr>
                <w:color w:val="auto"/>
                <w:lang w:val="en-US" w:eastAsia="zh-CN"/>
              </w:rPr>
              <w:t>0.9</w:t>
            </w:r>
            <w:r>
              <w:rPr>
                <w:rFonts w:hint="eastAsia"/>
                <w:color w:val="auto"/>
                <w:lang w:val="en-US" w:eastAsia="zh-CN"/>
              </w:rPr>
              <w:t>7</w:t>
            </w:r>
          </w:p>
        </w:tc>
        <w:tc>
          <w:tcPr>
            <w:tcW w:w="1123" w:type="pct"/>
            <w:noWrap/>
            <w:vAlign w:val="center"/>
          </w:tcPr>
          <w:p w14:paraId="70A0A9F7">
            <w:pPr>
              <w:pStyle w:val="17"/>
              <w:bidi w:val="0"/>
              <w:rPr>
                <w:rFonts w:hint="default"/>
                <w:color w:val="auto"/>
                <w:lang w:val="en-US" w:eastAsia="zh-CN"/>
              </w:rPr>
            </w:pPr>
            <w:r>
              <w:rPr>
                <w:rFonts w:hint="eastAsia"/>
                <w:color w:val="auto"/>
                <w:lang w:val="en-US" w:eastAsia="zh-CN"/>
              </w:rPr>
              <w:t>37.26</w:t>
            </w:r>
          </w:p>
        </w:tc>
      </w:tr>
      <w:tr w14:paraId="0E6B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noWrap/>
            <w:vAlign w:val="center"/>
          </w:tcPr>
          <w:p w14:paraId="0AE288B6">
            <w:pPr>
              <w:pStyle w:val="17"/>
              <w:bidi w:val="0"/>
              <w:rPr>
                <w:color w:val="auto"/>
                <w:lang w:val="en-US" w:eastAsia="zh-CN"/>
              </w:rPr>
            </w:pPr>
            <w:r>
              <w:rPr>
                <w:rFonts w:hint="eastAsia"/>
                <w:color w:val="auto"/>
                <w:lang w:val="en-US" w:eastAsia="zh-CN"/>
              </w:rPr>
              <w:t>1990</w:t>
            </w:r>
          </w:p>
        </w:tc>
        <w:tc>
          <w:tcPr>
            <w:tcW w:w="781" w:type="pct"/>
            <w:noWrap/>
            <w:vAlign w:val="center"/>
          </w:tcPr>
          <w:p w14:paraId="2FA357A1">
            <w:pPr>
              <w:pStyle w:val="17"/>
              <w:bidi w:val="0"/>
              <w:rPr>
                <w:color w:val="auto"/>
                <w:lang w:val="en-US" w:eastAsia="zh-CN"/>
              </w:rPr>
            </w:pPr>
            <w:r>
              <w:rPr>
                <w:rFonts w:hint="eastAsia"/>
                <w:color w:val="auto"/>
                <w:lang w:val="en-US" w:eastAsia="zh-CN"/>
              </w:rPr>
              <w:t>15</w:t>
            </w:r>
          </w:p>
        </w:tc>
        <w:tc>
          <w:tcPr>
            <w:tcW w:w="1503" w:type="pct"/>
            <w:noWrap/>
            <w:vAlign w:val="center"/>
          </w:tcPr>
          <w:p w14:paraId="28658718">
            <w:pPr>
              <w:pStyle w:val="17"/>
              <w:bidi w:val="0"/>
              <w:rPr>
                <w:rFonts w:hint="default"/>
                <w:color w:val="auto"/>
                <w:lang w:val="en-US" w:eastAsia="zh-CN"/>
              </w:rPr>
            </w:pPr>
            <w:r>
              <w:rPr>
                <w:rFonts w:hint="eastAsia"/>
                <w:color w:val="auto"/>
                <w:lang w:val="en-US" w:eastAsia="zh-CN"/>
              </w:rPr>
              <w:t>85.40</w:t>
            </w:r>
          </w:p>
        </w:tc>
        <w:tc>
          <w:tcPr>
            <w:tcW w:w="741" w:type="pct"/>
            <w:noWrap/>
            <w:vAlign w:val="center"/>
          </w:tcPr>
          <w:p w14:paraId="59FC61C2">
            <w:pPr>
              <w:pStyle w:val="17"/>
              <w:bidi w:val="0"/>
              <w:rPr>
                <w:color w:val="auto"/>
                <w:lang w:val="en-US" w:eastAsia="zh-CN"/>
              </w:rPr>
            </w:pPr>
            <w:r>
              <w:rPr>
                <w:color w:val="auto"/>
                <w:lang w:val="en-US" w:eastAsia="zh-CN"/>
              </w:rPr>
              <w:t>0.9</w:t>
            </w:r>
            <w:r>
              <w:rPr>
                <w:rFonts w:hint="eastAsia"/>
                <w:color w:val="auto"/>
                <w:lang w:val="en-US" w:eastAsia="zh-CN"/>
              </w:rPr>
              <w:t>7</w:t>
            </w:r>
          </w:p>
        </w:tc>
        <w:tc>
          <w:tcPr>
            <w:tcW w:w="1123" w:type="pct"/>
            <w:noWrap/>
            <w:vAlign w:val="center"/>
          </w:tcPr>
          <w:p w14:paraId="423F389A">
            <w:pPr>
              <w:pStyle w:val="17"/>
              <w:bidi w:val="0"/>
              <w:rPr>
                <w:rFonts w:hint="default"/>
                <w:color w:val="auto"/>
                <w:lang w:val="en-US" w:eastAsia="zh-CN"/>
              </w:rPr>
            </w:pPr>
            <w:r>
              <w:rPr>
                <w:rFonts w:hint="eastAsia"/>
                <w:color w:val="auto"/>
                <w:lang w:val="en-US" w:eastAsia="zh-CN"/>
              </w:rPr>
              <w:t>82.83</w:t>
            </w:r>
          </w:p>
        </w:tc>
      </w:tr>
      <w:tr w14:paraId="2722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noWrap/>
            <w:vAlign w:val="center"/>
          </w:tcPr>
          <w:p w14:paraId="43782C2B">
            <w:pPr>
              <w:pStyle w:val="17"/>
              <w:bidi w:val="0"/>
              <w:rPr>
                <w:color w:val="auto"/>
                <w:lang w:val="en-US" w:eastAsia="zh-CN"/>
              </w:rPr>
            </w:pPr>
            <w:r>
              <w:rPr>
                <w:rFonts w:hint="eastAsia"/>
                <w:color w:val="auto"/>
                <w:lang w:val="en-US" w:eastAsia="zh-CN"/>
              </w:rPr>
              <w:t>1975</w:t>
            </w:r>
          </w:p>
        </w:tc>
        <w:tc>
          <w:tcPr>
            <w:tcW w:w="781" w:type="pct"/>
            <w:noWrap/>
            <w:vAlign w:val="center"/>
          </w:tcPr>
          <w:p w14:paraId="74433B8B">
            <w:pPr>
              <w:pStyle w:val="17"/>
              <w:bidi w:val="0"/>
              <w:rPr>
                <w:color w:val="auto"/>
                <w:lang w:val="en-US" w:eastAsia="zh-CN"/>
              </w:rPr>
            </w:pPr>
            <w:r>
              <w:rPr>
                <w:rFonts w:hint="eastAsia"/>
                <w:color w:val="auto"/>
                <w:lang w:val="en-US" w:eastAsia="zh-CN"/>
              </w:rPr>
              <w:t>15</w:t>
            </w:r>
          </w:p>
        </w:tc>
        <w:tc>
          <w:tcPr>
            <w:tcW w:w="1503" w:type="pct"/>
            <w:noWrap/>
            <w:vAlign w:val="center"/>
          </w:tcPr>
          <w:p w14:paraId="5250401A">
            <w:pPr>
              <w:pStyle w:val="17"/>
              <w:bidi w:val="0"/>
              <w:rPr>
                <w:rFonts w:hint="default"/>
                <w:color w:val="auto"/>
                <w:lang w:val="en-US" w:eastAsia="zh-CN"/>
              </w:rPr>
            </w:pPr>
            <w:r>
              <w:rPr>
                <w:rFonts w:hint="eastAsia"/>
                <w:color w:val="auto"/>
                <w:lang w:val="en-US" w:eastAsia="zh-CN"/>
              </w:rPr>
              <w:t>126.61</w:t>
            </w:r>
          </w:p>
        </w:tc>
        <w:tc>
          <w:tcPr>
            <w:tcW w:w="741" w:type="pct"/>
            <w:noWrap/>
            <w:vAlign w:val="center"/>
          </w:tcPr>
          <w:p w14:paraId="6BB801FB">
            <w:pPr>
              <w:pStyle w:val="17"/>
              <w:bidi w:val="0"/>
              <w:rPr>
                <w:color w:val="auto"/>
                <w:lang w:val="en-US" w:eastAsia="zh-CN"/>
              </w:rPr>
            </w:pPr>
            <w:r>
              <w:rPr>
                <w:color w:val="auto"/>
                <w:lang w:val="en-US" w:eastAsia="zh-CN"/>
              </w:rPr>
              <w:t>0.9</w:t>
            </w:r>
            <w:r>
              <w:rPr>
                <w:rFonts w:hint="eastAsia"/>
                <w:color w:val="auto"/>
                <w:lang w:val="en-US" w:eastAsia="zh-CN"/>
              </w:rPr>
              <w:t>7</w:t>
            </w:r>
          </w:p>
        </w:tc>
        <w:tc>
          <w:tcPr>
            <w:tcW w:w="1123" w:type="pct"/>
            <w:noWrap/>
            <w:vAlign w:val="center"/>
          </w:tcPr>
          <w:p w14:paraId="0D30E08A">
            <w:pPr>
              <w:pStyle w:val="17"/>
              <w:bidi w:val="0"/>
              <w:rPr>
                <w:rFonts w:hint="default"/>
                <w:color w:val="auto"/>
                <w:lang w:val="en-US" w:eastAsia="zh-CN"/>
              </w:rPr>
            </w:pPr>
            <w:r>
              <w:rPr>
                <w:rFonts w:hint="eastAsia"/>
                <w:color w:val="auto"/>
                <w:lang w:val="en-US" w:eastAsia="zh-CN"/>
              </w:rPr>
              <w:t>122.81</w:t>
            </w:r>
          </w:p>
        </w:tc>
      </w:tr>
      <w:tr w14:paraId="6A0F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49" w:type="pct"/>
            <w:noWrap/>
            <w:vAlign w:val="center"/>
          </w:tcPr>
          <w:p w14:paraId="7C224710">
            <w:pPr>
              <w:pStyle w:val="17"/>
              <w:bidi w:val="0"/>
              <w:rPr>
                <w:color w:val="auto"/>
                <w:lang w:val="en-US" w:eastAsia="zh-CN"/>
              </w:rPr>
            </w:pPr>
            <w:r>
              <w:rPr>
                <w:rFonts w:hint="eastAsia"/>
                <w:color w:val="auto"/>
                <w:lang w:val="en-US" w:eastAsia="zh-CN"/>
              </w:rPr>
              <w:t>1960</w:t>
            </w:r>
          </w:p>
        </w:tc>
        <w:tc>
          <w:tcPr>
            <w:tcW w:w="781" w:type="pct"/>
            <w:noWrap/>
            <w:vAlign w:val="center"/>
          </w:tcPr>
          <w:p w14:paraId="4A0D355C">
            <w:pPr>
              <w:pStyle w:val="17"/>
              <w:bidi w:val="0"/>
              <w:rPr>
                <w:color w:val="auto"/>
                <w:lang w:val="en-US" w:eastAsia="zh-CN"/>
              </w:rPr>
            </w:pPr>
            <w:r>
              <w:rPr>
                <w:rFonts w:hint="eastAsia"/>
                <w:color w:val="auto"/>
                <w:lang w:val="en-US" w:eastAsia="zh-CN"/>
              </w:rPr>
              <w:t>15</w:t>
            </w:r>
          </w:p>
        </w:tc>
        <w:tc>
          <w:tcPr>
            <w:tcW w:w="1503" w:type="pct"/>
            <w:noWrap/>
            <w:vAlign w:val="center"/>
          </w:tcPr>
          <w:p w14:paraId="77C4F0B2">
            <w:pPr>
              <w:pStyle w:val="17"/>
              <w:bidi w:val="0"/>
              <w:rPr>
                <w:rFonts w:hint="default"/>
                <w:color w:val="auto"/>
                <w:lang w:val="en-US" w:eastAsia="zh-CN"/>
              </w:rPr>
            </w:pPr>
            <w:r>
              <w:rPr>
                <w:rFonts w:hint="eastAsia"/>
                <w:color w:val="auto"/>
                <w:lang w:val="en-US" w:eastAsia="zh-CN"/>
              </w:rPr>
              <w:t>97.66</w:t>
            </w:r>
          </w:p>
        </w:tc>
        <w:tc>
          <w:tcPr>
            <w:tcW w:w="741" w:type="pct"/>
            <w:noWrap/>
            <w:vAlign w:val="center"/>
          </w:tcPr>
          <w:p w14:paraId="5952DA8B">
            <w:pPr>
              <w:pStyle w:val="17"/>
              <w:bidi w:val="0"/>
              <w:rPr>
                <w:color w:val="auto"/>
                <w:lang w:val="en-US" w:eastAsia="zh-CN"/>
              </w:rPr>
            </w:pPr>
            <w:r>
              <w:rPr>
                <w:color w:val="auto"/>
                <w:lang w:val="en-US" w:eastAsia="zh-CN"/>
              </w:rPr>
              <w:t>0.9</w:t>
            </w:r>
            <w:r>
              <w:rPr>
                <w:rFonts w:hint="eastAsia"/>
                <w:color w:val="auto"/>
                <w:lang w:val="en-US" w:eastAsia="zh-CN"/>
              </w:rPr>
              <w:t>7</w:t>
            </w:r>
          </w:p>
        </w:tc>
        <w:tc>
          <w:tcPr>
            <w:tcW w:w="1123" w:type="pct"/>
            <w:noWrap/>
            <w:vAlign w:val="center"/>
          </w:tcPr>
          <w:p w14:paraId="5A96E654">
            <w:pPr>
              <w:pStyle w:val="17"/>
              <w:bidi w:val="0"/>
              <w:rPr>
                <w:rFonts w:hint="default"/>
                <w:color w:val="auto"/>
                <w:lang w:val="en-US" w:eastAsia="zh-CN"/>
              </w:rPr>
            </w:pPr>
            <w:r>
              <w:rPr>
                <w:rFonts w:hint="eastAsia"/>
                <w:color w:val="auto"/>
                <w:lang w:val="en-US" w:eastAsia="zh-CN"/>
              </w:rPr>
              <w:t>94.73</w:t>
            </w:r>
          </w:p>
        </w:tc>
      </w:tr>
      <w:tr w14:paraId="2601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1" w:type="pct"/>
            <w:gridSpan w:val="2"/>
            <w:noWrap/>
            <w:vAlign w:val="center"/>
          </w:tcPr>
          <w:p w14:paraId="5E1545A6">
            <w:pPr>
              <w:pStyle w:val="17"/>
              <w:bidi w:val="0"/>
              <w:rPr>
                <w:color w:val="auto"/>
                <w:lang w:val="en-US" w:eastAsia="zh-CN"/>
              </w:rPr>
            </w:pPr>
            <w:r>
              <w:rPr>
                <w:color w:val="auto"/>
                <w:lang w:val="en-US" w:eastAsia="zh-CN"/>
              </w:rPr>
              <w:t>合计</w:t>
            </w:r>
          </w:p>
        </w:tc>
        <w:tc>
          <w:tcPr>
            <w:tcW w:w="1503" w:type="pct"/>
            <w:noWrap/>
            <w:vAlign w:val="center"/>
          </w:tcPr>
          <w:p w14:paraId="711DDD80">
            <w:pPr>
              <w:pStyle w:val="17"/>
              <w:bidi w:val="0"/>
              <w:rPr>
                <w:rFonts w:hint="default"/>
                <w:color w:val="auto"/>
                <w:lang w:val="en-US" w:eastAsia="zh-CN"/>
              </w:rPr>
            </w:pPr>
            <w:r>
              <w:rPr>
                <w:rFonts w:hint="eastAsia"/>
                <w:color w:val="auto"/>
                <w:lang w:val="en-US" w:eastAsia="zh-CN"/>
              </w:rPr>
              <w:t>374.36</w:t>
            </w:r>
          </w:p>
        </w:tc>
        <w:tc>
          <w:tcPr>
            <w:tcW w:w="741" w:type="pct"/>
            <w:noWrap/>
            <w:vAlign w:val="center"/>
          </w:tcPr>
          <w:p w14:paraId="21C75C6E">
            <w:pPr>
              <w:pStyle w:val="17"/>
              <w:bidi w:val="0"/>
              <w:rPr>
                <w:color w:val="auto"/>
                <w:lang w:val="en-US" w:eastAsia="zh-CN"/>
              </w:rPr>
            </w:pPr>
          </w:p>
        </w:tc>
        <w:tc>
          <w:tcPr>
            <w:tcW w:w="1123" w:type="pct"/>
            <w:noWrap/>
            <w:vAlign w:val="center"/>
          </w:tcPr>
          <w:p w14:paraId="7831B535">
            <w:pPr>
              <w:pStyle w:val="17"/>
              <w:bidi w:val="0"/>
              <w:rPr>
                <w:rFonts w:hint="default"/>
                <w:color w:val="auto"/>
                <w:lang w:val="en-US" w:eastAsia="zh-CN"/>
              </w:rPr>
            </w:pPr>
            <w:r>
              <w:rPr>
                <w:rFonts w:hint="eastAsia"/>
                <w:color w:val="auto"/>
                <w:lang w:val="en-US" w:eastAsia="zh-CN"/>
              </w:rPr>
              <w:t>363.12</w:t>
            </w:r>
          </w:p>
        </w:tc>
      </w:tr>
      <w:bookmarkEnd w:id="78"/>
    </w:tbl>
    <w:p w14:paraId="062690FC">
      <w:pPr>
        <w:bidi w:val="0"/>
        <w:rPr>
          <w:rFonts w:hint="eastAsia"/>
          <w:color w:val="auto"/>
          <w:lang w:val="en-US" w:eastAsia="zh-CN"/>
        </w:rPr>
      </w:pPr>
      <w:r>
        <w:rPr>
          <w:rFonts w:hint="eastAsia"/>
          <w:color w:val="auto"/>
          <w:lang w:val="en-US" w:eastAsia="zh-CN"/>
        </w:rPr>
        <w:t>经过圈定的露天境界计算，扣除禁采区压覆矿量、2022年后的采矿消耗量（原安全设施设计生产能力为10万t/a，至今合计消耗量约30万t）及台阶压覆矿量约73.35万m</w:t>
      </w:r>
      <w:r>
        <w:rPr>
          <w:rFonts w:hint="eastAsia"/>
          <w:color w:val="auto"/>
          <w:vertAlign w:val="superscript"/>
          <w:lang w:val="en-US" w:eastAsia="zh-CN"/>
        </w:rPr>
        <w:t>3</w:t>
      </w:r>
      <w:r>
        <w:rPr>
          <w:rFonts w:hint="eastAsia"/>
          <w:color w:val="auto"/>
          <w:lang w:val="en-US" w:eastAsia="zh-CN"/>
        </w:rPr>
        <w:t>（188.51万t），矿山的采矿回收率取97%，矿山设计采出矿石量为141.29万m</w:t>
      </w:r>
      <w:r>
        <w:rPr>
          <w:rFonts w:hint="eastAsia"/>
          <w:color w:val="auto"/>
          <w:vertAlign w:val="superscript"/>
          <w:lang w:val="en-US" w:eastAsia="zh-CN"/>
        </w:rPr>
        <w:t>3</w:t>
      </w:r>
      <w:r>
        <w:rPr>
          <w:rFonts w:hint="eastAsia"/>
          <w:color w:val="auto"/>
          <w:lang w:val="en-US" w:eastAsia="zh-CN"/>
        </w:rPr>
        <w:t>（363.12万t）。</w:t>
      </w:r>
    </w:p>
    <w:p w14:paraId="276DC175">
      <w:pPr>
        <w:pStyle w:val="5"/>
        <w:bidi w:val="0"/>
        <w:rPr>
          <w:rFonts w:hint="eastAsia" w:ascii="Times New Roman" w:hAnsi="Times New Roman"/>
          <w:color w:val="auto"/>
        </w:rPr>
      </w:pPr>
      <w:r>
        <w:rPr>
          <w:rFonts w:hint="eastAsia" w:ascii="Times New Roman" w:hAnsi="Times New Roman"/>
          <w:color w:val="auto"/>
          <w:lang w:val="en-US" w:eastAsia="zh-CN"/>
        </w:rPr>
        <w:t xml:space="preserve">2.4.2.3 </w:t>
      </w:r>
      <w:r>
        <w:rPr>
          <w:rFonts w:hint="eastAsia" w:ascii="Times New Roman" w:hAnsi="Times New Roman"/>
          <w:color w:val="auto"/>
        </w:rPr>
        <w:t>建设规模</w:t>
      </w:r>
    </w:p>
    <w:p w14:paraId="07395725">
      <w:pPr>
        <w:bidi w:val="0"/>
        <w:rPr>
          <w:rFonts w:hint="eastAsia" w:ascii="Times New Roman" w:hAnsi="Times New Roman"/>
          <w:color w:val="auto"/>
          <w:lang w:eastAsia="zh-CN"/>
        </w:rPr>
      </w:pPr>
      <w:r>
        <w:rPr>
          <w:rFonts w:hint="eastAsia" w:ascii="Times New Roman" w:hAnsi="Times New Roman"/>
          <w:color w:val="auto"/>
          <w:lang w:eastAsia="zh-CN"/>
        </w:rPr>
        <w:t>根据委托方要求，确定矿山建设规模为</w:t>
      </w:r>
      <w:r>
        <w:rPr>
          <w:rFonts w:hint="eastAsia" w:ascii="Times New Roman" w:hAnsi="Times New Roman"/>
          <w:color w:val="auto"/>
          <w:lang w:val="en-US" w:eastAsia="zh-CN"/>
        </w:rPr>
        <w:t>7</w:t>
      </w:r>
      <w:r>
        <w:rPr>
          <w:rFonts w:hint="eastAsia" w:ascii="Times New Roman" w:hAnsi="Times New Roman"/>
          <w:color w:val="auto"/>
          <w:lang w:eastAsia="zh-CN"/>
        </w:rPr>
        <w:t>0万t/a。</w:t>
      </w:r>
    </w:p>
    <w:p w14:paraId="73A16ACB">
      <w:pPr>
        <w:pStyle w:val="5"/>
        <w:bidi w:val="0"/>
        <w:rPr>
          <w:rFonts w:hint="eastAsia" w:ascii="Times New Roman" w:hAnsi="Times New Roman"/>
          <w:color w:val="auto"/>
          <w:lang w:eastAsia="zh-CN"/>
        </w:rPr>
      </w:pPr>
      <w:r>
        <w:rPr>
          <w:rFonts w:hint="eastAsia" w:ascii="Times New Roman" w:hAnsi="Times New Roman"/>
          <w:color w:val="auto"/>
          <w:lang w:val="en-US" w:eastAsia="zh-CN"/>
        </w:rPr>
        <w:t xml:space="preserve">2.4.2.4 </w:t>
      </w:r>
      <w:r>
        <w:rPr>
          <w:rFonts w:hint="eastAsia" w:ascii="Times New Roman" w:hAnsi="Times New Roman"/>
          <w:color w:val="auto"/>
          <w:lang w:eastAsia="zh-CN"/>
        </w:rPr>
        <w:t>服务年限</w:t>
      </w:r>
    </w:p>
    <w:p w14:paraId="1F97FD44">
      <w:pPr>
        <w:bidi w:val="0"/>
        <w:rPr>
          <w:rFonts w:hint="eastAsia" w:ascii="Times New Roman" w:hAnsi="Times New Roman"/>
          <w:color w:val="auto"/>
          <w:lang w:eastAsia="zh-CN"/>
        </w:rPr>
      </w:pPr>
      <w:r>
        <w:rPr>
          <w:rFonts w:hint="eastAsia" w:ascii="Times New Roman" w:hAnsi="Times New Roman"/>
          <w:color w:val="auto"/>
          <w:lang w:eastAsia="zh-CN"/>
        </w:rPr>
        <w:t>矿山生产服务年限为5.</w:t>
      </w:r>
      <w:r>
        <w:rPr>
          <w:rFonts w:hint="eastAsia"/>
          <w:color w:val="auto"/>
          <w:lang w:val="en-US" w:eastAsia="zh-CN"/>
        </w:rPr>
        <w:t>1</w:t>
      </w:r>
      <w:r>
        <w:rPr>
          <w:rFonts w:hint="eastAsia" w:ascii="Times New Roman" w:hAnsi="Times New Roman"/>
          <w:color w:val="auto"/>
          <w:lang w:eastAsia="zh-CN"/>
        </w:rPr>
        <w:t>年。</w:t>
      </w:r>
    </w:p>
    <w:p w14:paraId="07EBF2B8">
      <w:pPr>
        <w:pStyle w:val="5"/>
        <w:bidi w:val="0"/>
        <w:rPr>
          <w:rFonts w:hint="eastAsia" w:ascii="Times New Roman" w:hAnsi="Times New Roman"/>
          <w:color w:val="auto"/>
          <w:lang w:eastAsia="zh-CN"/>
        </w:rPr>
      </w:pPr>
      <w:r>
        <w:rPr>
          <w:rFonts w:hint="eastAsia" w:ascii="Times New Roman" w:hAnsi="Times New Roman"/>
          <w:color w:val="auto"/>
          <w:lang w:val="en-US" w:eastAsia="zh-CN"/>
        </w:rPr>
        <w:t>2.4.2.5 工作</w:t>
      </w:r>
      <w:r>
        <w:rPr>
          <w:rFonts w:hint="eastAsia" w:ascii="Times New Roman" w:hAnsi="Times New Roman"/>
          <w:color w:val="auto"/>
          <w:lang w:eastAsia="zh-CN"/>
        </w:rPr>
        <w:t>制度</w:t>
      </w:r>
    </w:p>
    <w:p w14:paraId="7498B672">
      <w:pPr>
        <w:bidi w:val="0"/>
        <w:rPr>
          <w:rFonts w:hint="eastAsia" w:ascii="Times New Roman" w:hAnsi="Times New Roman" w:eastAsia="宋体"/>
          <w:color w:val="auto"/>
          <w:lang w:val="en-US" w:eastAsia="zh-CN"/>
        </w:rPr>
      </w:pPr>
      <w:r>
        <w:rPr>
          <w:rFonts w:hint="eastAsia" w:ascii="Times New Roman" w:hAnsi="Times New Roman"/>
          <w:color w:val="auto"/>
          <w:lang w:eastAsia="zh-CN"/>
        </w:rPr>
        <w:t>实行年工作300天，每天1班，每班8小时工作制度。</w:t>
      </w:r>
    </w:p>
    <w:p w14:paraId="5A02E78E">
      <w:pPr>
        <w:pStyle w:val="5"/>
        <w:bidi w:val="0"/>
        <w:rPr>
          <w:rFonts w:hint="eastAsia" w:ascii="Times New Roman" w:hAnsi="Times New Roman"/>
          <w:color w:val="auto"/>
          <w:lang w:val="en-US" w:eastAsia="zh-CN"/>
        </w:rPr>
      </w:pPr>
      <w:r>
        <w:rPr>
          <w:rFonts w:hint="eastAsia" w:ascii="Times New Roman" w:hAnsi="Times New Roman"/>
          <w:color w:val="auto"/>
          <w:lang w:val="en-US" w:eastAsia="zh-CN"/>
        </w:rPr>
        <w:t>2.4.2.6 产品方案</w:t>
      </w:r>
    </w:p>
    <w:p w14:paraId="5A9EBD0C">
      <w:pPr>
        <w:bidi w:val="0"/>
        <w:rPr>
          <w:rFonts w:hint="eastAsia" w:ascii="Times New Roman" w:hAnsi="Times New Roman"/>
          <w:color w:val="auto"/>
          <w:lang w:val="en-US" w:eastAsia="zh-CN"/>
        </w:rPr>
      </w:pPr>
      <w:r>
        <w:rPr>
          <w:rFonts w:hint="eastAsia" w:ascii="Times New Roman" w:hAnsi="Times New Roman"/>
          <w:color w:val="auto"/>
          <w:lang w:val="en-US" w:eastAsia="zh-CN"/>
        </w:rPr>
        <w:t>石灰岩原矿。</w:t>
      </w:r>
    </w:p>
    <w:p w14:paraId="50352D0C">
      <w:pPr>
        <w:pStyle w:val="4"/>
        <w:bidi w:val="0"/>
        <w:rPr>
          <w:rFonts w:hint="default" w:ascii="Times New Roman" w:hAnsi="Times New Roman"/>
          <w:color w:val="auto"/>
          <w:lang w:val="en-US" w:eastAsia="zh-CN"/>
        </w:rPr>
      </w:pPr>
      <w:bookmarkStart w:id="79" w:name="_Toc24055"/>
      <w:r>
        <w:rPr>
          <w:rFonts w:hint="eastAsia" w:ascii="Times New Roman" w:hAnsi="Times New Roman"/>
          <w:color w:val="auto"/>
          <w:lang w:val="en-US" w:eastAsia="zh-CN"/>
        </w:rPr>
        <w:t>2.4.3 总图运输</w:t>
      </w:r>
      <w:bookmarkEnd w:id="79"/>
    </w:p>
    <w:p w14:paraId="5F39A922">
      <w:pPr>
        <w:pStyle w:val="5"/>
        <w:bidi w:val="0"/>
        <w:rPr>
          <w:rFonts w:hint="default" w:ascii="Times New Roman" w:hAnsi="Times New Roman"/>
          <w:color w:val="auto"/>
          <w:lang w:val="en-US" w:eastAsia="zh-CN"/>
        </w:rPr>
      </w:pPr>
      <w:r>
        <w:rPr>
          <w:rFonts w:hint="eastAsia" w:ascii="Times New Roman" w:hAnsi="Times New Roman"/>
          <w:color w:val="auto"/>
          <w:lang w:val="en-US" w:eastAsia="zh-CN"/>
        </w:rPr>
        <w:t>2.4.3.1 总平面布置</w:t>
      </w:r>
    </w:p>
    <w:p w14:paraId="241630DA">
      <w:pPr>
        <w:bidi w:val="0"/>
        <w:rPr>
          <w:rFonts w:hint="default" w:ascii="Times New Roman" w:hAnsi="Times New Roman"/>
          <w:color w:val="auto"/>
          <w:lang w:val="en-US" w:eastAsia="zh-CN"/>
        </w:rPr>
      </w:pPr>
      <w:r>
        <w:rPr>
          <w:rFonts w:hint="eastAsia" w:ascii="Times New Roman" w:hAnsi="Times New Roman"/>
          <w:color w:val="auto"/>
          <w:lang w:val="en-US" w:eastAsia="zh-CN"/>
        </w:rPr>
        <w:t>1、露天采场</w:t>
      </w:r>
    </w:p>
    <w:p w14:paraId="0700EF5B">
      <w:pPr>
        <w:bidi w:val="0"/>
        <w:rPr>
          <w:rFonts w:hint="eastAsia" w:ascii="Times New Roman" w:hAnsi="Times New Roman"/>
          <w:color w:val="auto"/>
          <w:lang w:val="en-US" w:eastAsia="zh-CN"/>
        </w:rPr>
      </w:pPr>
      <w:r>
        <w:rPr>
          <w:rFonts w:hint="eastAsia" w:ascii="Times New Roman" w:hAnsi="Times New Roman"/>
          <w:color w:val="auto"/>
          <w:lang w:val="en-US" w:eastAsia="zh-CN"/>
        </w:rPr>
        <w:t>村小组民房，民房距矿区短距离为193m，西北部是下小湾子村村小组民房，民房距矿区短距离为129m，设计预留了300m的安全距离，将矿区西部距离中小湾子村、西北部距离下小湾子村300m的范围设为禁采区Ⅰ。禁采区Ⅰ由7个拐点圈定，禁采区Ⅰ面积为0.049k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w:t>
      </w:r>
    </w:p>
    <w:p w14:paraId="11FD8842">
      <w:pPr>
        <w:bidi w:val="0"/>
        <w:rPr>
          <w:rFonts w:hint="eastAsia" w:ascii="Times New Roman" w:hAnsi="Times New Roman"/>
          <w:color w:val="auto"/>
          <w:lang w:val="en-US" w:eastAsia="zh-CN"/>
        </w:rPr>
      </w:pPr>
      <w:r>
        <w:rPr>
          <w:rFonts w:hint="eastAsia" w:ascii="Times New Roman" w:hAnsi="Times New Roman"/>
          <w:color w:val="auto"/>
          <w:lang w:val="en-US" w:eastAsia="zh-CN"/>
        </w:rPr>
        <w:t>由于矿区东南部存在与村民协商后仍无法征用的土地，现将该部分区域划为禁采区Ⅱ，</w:t>
      </w:r>
      <w:r>
        <w:rPr>
          <w:rFonts w:hint="eastAsia"/>
          <w:color w:val="auto"/>
          <w:lang w:val="en-US" w:eastAsia="zh-CN"/>
        </w:rPr>
        <w:t>禁采区Ⅱ由9个拐点圈定，</w:t>
      </w:r>
      <w:r>
        <w:rPr>
          <w:rFonts w:hint="eastAsia" w:ascii="Times New Roman" w:hAnsi="Times New Roman"/>
          <w:color w:val="auto"/>
          <w:lang w:val="en-US" w:eastAsia="zh-CN"/>
        </w:rPr>
        <w:t>禁采区Ⅱ的面积为7919m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w:t>
      </w:r>
    </w:p>
    <w:p w14:paraId="0B1270EE">
      <w:pPr>
        <w:bidi w:val="0"/>
        <w:rPr>
          <w:rFonts w:hint="eastAsia" w:ascii="Times New Roman" w:hAnsi="Times New Roman"/>
          <w:color w:val="auto"/>
          <w:lang w:val="en-US" w:eastAsia="zh-CN"/>
        </w:rPr>
      </w:pPr>
      <w:r>
        <w:rPr>
          <w:rFonts w:hint="eastAsia" w:ascii="Times New Roman" w:hAnsi="Times New Roman"/>
          <w:color w:val="auto"/>
          <w:lang w:val="en-US" w:eastAsia="zh-CN"/>
        </w:rPr>
        <w:t>综上所述，结合矿山采矿许可证许可范围及矿山现状实测图，设计范围主要为矿区内两个禁采区外2060m-1960m标高的矿体。</w:t>
      </w:r>
    </w:p>
    <w:p w14:paraId="777A8427">
      <w:pPr>
        <w:bidi w:val="0"/>
        <w:rPr>
          <w:rFonts w:hint="eastAsia" w:ascii="Times New Roman" w:hAnsi="Times New Roman"/>
          <w:color w:val="auto"/>
          <w:lang w:val="en-US" w:eastAsia="zh-CN"/>
        </w:rPr>
      </w:pPr>
      <w:r>
        <w:rPr>
          <w:rFonts w:hint="eastAsia" w:ascii="Times New Roman" w:hAnsi="Times New Roman"/>
          <w:color w:val="auto"/>
          <w:lang w:val="en-US" w:eastAsia="zh-CN"/>
        </w:rPr>
        <w:t>2、运输道路</w:t>
      </w:r>
    </w:p>
    <w:p w14:paraId="10F5EF8E">
      <w:pPr>
        <w:bidi w:val="0"/>
        <w:rPr>
          <w:rFonts w:hint="eastAsia" w:ascii="Times New Roman" w:hAnsi="Times New Roman"/>
          <w:color w:val="auto"/>
          <w:lang w:val="en-US" w:eastAsia="zh-CN"/>
        </w:rPr>
      </w:pPr>
      <w:r>
        <w:rPr>
          <w:rFonts w:hint="eastAsia" w:ascii="Times New Roman" w:hAnsi="Times New Roman"/>
          <w:color w:val="auto"/>
          <w:lang w:val="en-US" w:eastAsia="zh-CN"/>
        </w:rPr>
        <w:t>运矿道路使用载重25t自卸汽车运输矿石和废石，矿废石平均运距为0.7km。设计矿石爆破后经过各个平台道路运输到破碎站，路面宽度4m，露天采场场内运输平台宽度8m。。</w:t>
      </w:r>
    </w:p>
    <w:p w14:paraId="0B719A12">
      <w:pPr>
        <w:bidi w:val="0"/>
        <w:rPr>
          <w:rFonts w:hint="eastAsia" w:ascii="Times New Roman" w:hAnsi="Times New Roman"/>
          <w:color w:val="auto"/>
          <w:lang w:val="en-US" w:eastAsia="zh-CN"/>
        </w:rPr>
      </w:pPr>
      <w:r>
        <w:rPr>
          <w:rFonts w:hint="eastAsia" w:ascii="Times New Roman" w:hAnsi="Times New Roman"/>
          <w:color w:val="auto"/>
          <w:lang w:val="en-US" w:eastAsia="zh-CN"/>
        </w:rPr>
        <w:t>3、破碎站</w:t>
      </w:r>
    </w:p>
    <w:p w14:paraId="477A1CDB">
      <w:pPr>
        <w:bidi w:val="0"/>
        <w:rPr>
          <w:rFonts w:hint="eastAsia" w:ascii="Times New Roman" w:hAnsi="Times New Roman"/>
          <w:color w:val="auto"/>
          <w:lang w:val="en-US" w:eastAsia="zh-CN"/>
        </w:rPr>
      </w:pPr>
      <w:r>
        <w:rPr>
          <w:rFonts w:hint="eastAsia" w:ascii="Times New Roman" w:hAnsi="Times New Roman"/>
          <w:color w:val="auto"/>
          <w:lang w:val="en-US" w:eastAsia="zh-CN"/>
        </w:rPr>
        <w:t>矿山为改扩建矿山，矿山配套破碎站位于矿区内的西北侧。矿山正常生产时，矿石由各工作点运输至1932m卸矿平台进行卸矿，后由破碎系统进行破碎。</w:t>
      </w:r>
    </w:p>
    <w:p w14:paraId="5F9B235F">
      <w:pPr>
        <w:bidi w:val="0"/>
        <w:rPr>
          <w:rFonts w:hint="eastAsia" w:ascii="Times New Roman" w:hAnsi="Times New Roman"/>
          <w:color w:val="auto"/>
          <w:lang w:val="en-US" w:eastAsia="zh-CN"/>
        </w:rPr>
      </w:pPr>
      <w:r>
        <w:rPr>
          <w:rFonts w:hint="eastAsia" w:ascii="Times New Roman" w:hAnsi="Times New Roman"/>
          <w:color w:val="auto"/>
          <w:lang w:val="en-US" w:eastAsia="zh-CN"/>
        </w:rPr>
        <w:t>4、工业场地及办公区</w:t>
      </w:r>
    </w:p>
    <w:p w14:paraId="07A62D5D">
      <w:pPr>
        <w:bidi w:val="0"/>
        <w:rPr>
          <w:rFonts w:hint="eastAsia" w:ascii="Times New Roman" w:hAnsi="Times New Roman"/>
          <w:color w:val="auto"/>
          <w:lang w:val="en-US" w:eastAsia="zh-CN"/>
        </w:rPr>
      </w:pPr>
      <w:r>
        <w:rPr>
          <w:rFonts w:hint="eastAsia" w:ascii="Times New Roman" w:hAnsi="Times New Roman"/>
          <w:color w:val="auto"/>
          <w:lang w:val="en-US" w:eastAsia="zh-CN"/>
        </w:rPr>
        <w:t>矿山工业场地、办公生活区位于破碎站旁。</w:t>
      </w:r>
    </w:p>
    <w:p w14:paraId="7EB79214">
      <w:pPr>
        <w:bidi w:val="0"/>
        <w:rPr>
          <w:rFonts w:hint="eastAsia" w:ascii="Times New Roman" w:hAnsi="Times New Roman"/>
          <w:color w:val="auto"/>
          <w:lang w:val="en-US" w:eastAsia="zh-CN"/>
        </w:rPr>
      </w:pPr>
      <w:r>
        <w:rPr>
          <w:rFonts w:hint="eastAsia" w:ascii="Times New Roman" w:hAnsi="Times New Roman"/>
          <w:color w:val="auto"/>
          <w:lang w:val="en-US" w:eastAsia="zh-CN"/>
        </w:rPr>
        <w:t>5、供配电系统</w:t>
      </w:r>
    </w:p>
    <w:p w14:paraId="6525AA32">
      <w:pPr>
        <w:bidi w:val="0"/>
        <w:rPr>
          <w:rFonts w:hint="eastAsia" w:ascii="Times New Roman" w:hAnsi="Times New Roman"/>
          <w:color w:val="auto"/>
          <w:lang w:val="en-US" w:eastAsia="zh-CN"/>
        </w:rPr>
      </w:pPr>
      <w:r>
        <w:rPr>
          <w:rFonts w:hint="eastAsia" w:ascii="Times New Roman" w:hAnsi="Times New Roman"/>
          <w:color w:val="auto"/>
          <w:lang w:val="en-US" w:eastAsia="zh-CN"/>
        </w:rPr>
        <w:t>矿区供电从附近村庄高压线引来，供电能力可以满足设计的用电需求，设计为矿山内部供电系统，涉及范围为：</w:t>
      </w:r>
    </w:p>
    <w:p w14:paraId="799CD90F">
      <w:pPr>
        <w:bidi w:val="0"/>
        <w:rPr>
          <w:rFonts w:hint="eastAsia" w:ascii="Times New Roman" w:hAnsi="Times New Roman"/>
          <w:color w:val="auto"/>
          <w:lang w:val="en-US" w:eastAsia="zh-CN"/>
        </w:rPr>
      </w:pPr>
      <w:r>
        <w:rPr>
          <w:rFonts w:hint="eastAsia" w:ascii="Times New Roman" w:hAnsi="Times New Roman"/>
          <w:color w:val="auto"/>
          <w:lang w:val="en-US" w:eastAsia="zh-CN"/>
        </w:rPr>
        <w:t>1）破碎站供配电、照明、接地等。</w:t>
      </w:r>
    </w:p>
    <w:p w14:paraId="780AD82A">
      <w:pPr>
        <w:bidi w:val="0"/>
        <w:rPr>
          <w:rFonts w:hint="eastAsia" w:ascii="Times New Roman" w:hAnsi="Times New Roman"/>
          <w:color w:val="auto"/>
          <w:lang w:val="en-US" w:eastAsia="zh-CN"/>
        </w:rPr>
      </w:pPr>
      <w:r>
        <w:rPr>
          <w:rFonts w:hint="eastAsia" w:ascii="Times New Roman" w:hAnsi="Times New Roman"/>
          <w:color w:val="auto"/>
          <w:lang w:val="en-US" w:eastAsia="zh-CN"/>
        </w:rPr>
        <w:t>2）工业场地的供配电、照明及防雷、接地。</w:t>
      </w:r>
    </w:p>
    <w:p w14:paraId="36E8A56C">
      <w:pPr>
        <w:bidi w:val="0"/>
        <w:rPr>
          <w:rFonts w:hint="eastAsia" w:ascii="Times New Roman" w:hAnsi="Times New Roman"/>
          <w:color w:val="auto"/>
          <w:lang w:val="en-US" w:eastAsia="zh-CN"/>
        </w:rPr>
      </w:pPr>
      <w:r>
        <w:rPr>
          <w:rFonts w:hint="eastAsia" w:ascii="Times New Roman" w:hAnsi="Times New Roman"/>
          <w:color w:val="auto"/>
          <w:lang w:val="en-US" w:eastAsia="zh-CN"/>
        </w:rPr>
        <w:t>3）生活区的供配电、照明及防雷、接地。</w:t>
      </w:r>
    </w:p>
    <w:p w14:paraId="682097B3">
      <w:pPr>
        <w:bidi w:val="0"/>
        <w:rPr>
          <w:rFonts w:hint="eastAsia" w:ascii="Times New Roman" w:hAnsi="Times New Roman"/>
          <w:color w:val="auto"/>
          <w:lang w:val="en-US" w:eastAsia="zh-CN"/>
        </w:rPr>
      </w:pPr>
      <w:r>
        <w:rPr>
          <w:rFonts w:hint="eastAsia" w:ascii="Times New Roman" w:hAnsi="Times New Roman"/>
          <w:color w:val="auto"/>
          <w:lang w:val="en-US" w:eastAsia="zh-CN"/>
        </w:rPr>
        <w:t>6、供水系统</w:t>
      </w:r>
    </w:p>
    <w:p w14:paraId="4099AE32">
      <w:pPr>
        <w:bidi w:val="0"/>
        <w:rPr>
          <w:rFonts w:hint="eastAsia" w:ascii="Times New Roman" w:hAnsi="Times New Roman"/>
          <w:color w:val="auto"/>
          <w:lang w:val="en-US" w:eastAsia="zh-CN"/>
        </w:rPr>
      </w:pPr>
      <w:r>
        <w:rPr>
          <w:rFonts w:hint="eastAsia" w:ascii="Times New Roman" w:hAnsi="Times New Roman"/>
          <w:color w:val="auto"/>
          <w:lang w:val="en-US" w:eastAsia="zh-CN"/>
        </w:rPr>
        <w:t>矿区生活及生产用水取自附近山泉水，水源能满足生产及生活的需要。</w:t>
      </w:r>
    </w:p>
    <w:p w14:paraId="03D094DE">
      <w:pPr>
        <w:pStyle w:val="5"/>
        <w:bidi w:val="0"/>
        <w:rPr>
          <w:rFonts w:hint="default" w:ascii="Times New Roman" w:hAnsi="Times New Roman"/>
          <w:color w:val="auto"/>
          <w:lang w:val="en-US" w:eastAsia="zh-CN"/>
        </w:rPr>
      </w:pPr>
      <w:r>
        <w:rPr>
          <w:rFonts w:hint="eastAsia" w:ascii="Times New Roman" w:hAnsi="Times New Roman"/>
          <w:color w:val="auto"/>
          <w:lang w:val="en-US" w:eastAsia="zh-CN"/>
        </w:rPr>
        <w:t>2.4.3.2 运输</w:t>
      </w:r>
    </w:p>
    <w:p w14:paraId="4C27560E">
      <w:pPr>
        <w:bidi w:val="0"/>
        <w:rPr>
          <w:rFonts w:hint="eastAsia" w:ascii="Times New Roman" w:hAnsi="Times New Roman"/>
          <w:color w:val="auto"/>
          <w:lang w:val="en-US" w:eastAsia="zh-CN"/>
        </w:rPr>
      </w:pPr>
      <w:r>
        <w:rPr>
          <w:rFonts w:hint="eastAsia" w:ascii="Times New Roman" w:hAnsi="Times New Roman"/>
          <w:color w:val="auto"/>
          <w:lang w:val="en-US" w:eastAsia="zh-CN"/>
        </w:rPr>
        <w:t>1、矿山道路概述</w:t>
      </w:r>
    </w:p>
    <w:p w14:paraId="3F8CCA66">
      <w:pPr>
        <w:bidi w:val="0"/>
        <w:rPr>
          <w:rFonts w:hint="eastAsia" w:ascii="Times New Roman" w:hAnsi="Times New Roman"/>
          <w:color w:val="auto"/>
          <w:lang w:val="en-US" w:eastAsia="zh-CN"/>
        </w:rPr>
      </w:pPr>
      <w:r>
        <w:rPr>
          <w:rFonts w:hint="eastAsia" w:ascii="Times New Roman" w:hAnsi="Times New Roman"/>
          <w:color w:val="auto"/>
          <w:lang w:val="en-US" w:eastAsia="zh-CN"/>
        </w:rPr>
        <w:t>根据采出矿石量分区及分布，结合矿区现状地形条件、卸矿口位置等，本工程拟定道路采用单车道+错车道，道路宽度4m，缓坡段兼做错车道，错车道宽6.5m。</w:t>
      </w:r>
    </w:p>
    <w:p w14:paraId="1312383B">
      <w:pPr>
        <w:bidi w:val="0"/>
        <w:rPr>
          <w:rFonts w:hint="eastAsia" w:ascii="Times New Roman" w:hAnsi="Times New Roman"/>
          <w:color w:val="auto"/>
          <w:lang w:val="en-US" w:eastAsia="zh-CN"/>
        </w:rPr>
      </w:pPr>
      <w:r>
        <w:rPr>
          <w:rFonts w:hint="eastAsia" w:ascii="Times New Roman" w:hAnsi="Times New Roman"/>
          <w:color w:val="auto"/>
          <w:lang w:val="en-US" w:eastAsia="zh-CN"/>
        </w:rPr>
        <w:t>基建时将原有运输道路整改后连接至2020m平台，作为2020m基建平台的运输道路，路面宽4m，运输道路长1163m，最大纵坡9%，平均纵坡7.6%，最小转弯半径15m。道路邻边坡一侧，设置土质安全车挡，车挡设置为梯形，高度为1.0m，顶宽0.6m，底宽1.2m。</w:t>
      </w:r>
    </w:p>
    <w:p w14:paraId="2CA5749F">
      <w:pPr>
        <w:bidi w:val="0"/>
        <w:rPr>
          <w:rFonts w:hint="eastAsia" w:ascii="Times New Roman" w:hAnsi="Times New Roman"/>
          <w:color w:val="auto"/>
          <w:lang w:val="en-US" w:eastAsia="zh-CN"/>
        </w:rPr>
      </w:pPr>
      <w:r>
        <w:rPr>
          <w:rFonts w:hint="eastAsia" w:ascii="Times New Roman" w:hAnsi="Times New Roman"/>
          <w:color w:val="auto"/>
          <w:lang w:val="en-US" w:eastAsia="zh-CN"/>
        </w:rPr>
        <w:t>因基建运输道路局部通过采空区边坡，为保证边坡及行车安全，需对局部边坡进行削坡处理，运输道路穿过的边坡区域最大高度为15m，拟对边坡进行降坡处理。边坡高度15m及以下，可采用一次性放坡，不设置分级平台。设计放坡坡率为1:0.3，削坡过程中采用浅孔小药量松动爆破，严禁放大炮扰动采空区岩体，削坡完成后自上而下全面清除坡面浮石、危石及松动岩体。详见附图中的开拓系统图、运输道路横断面图。</w:t>
      </w:r>
    </w:p>
    <w:p w14:paraId="732F0697">
      <w:pPr>
        <w:bidi w:val="0"/>
        <w:rPr>
          <w:rFonts w:hint="eastAsia" w:ascii="Times New Roman" w:hAnsi="Times New Roman"/>
          <w:color w:val="auto"/>
          <w:lang w:val="en-US" w:eastAsia="zh-CN"/>
        </w:rPr>
      </w:pPr>
      <w:r>
        <w:rPr>
          <w:rFonts w:hint="eastAsia" w:ascii="Times New Roman" w:hAnsi="Times New Roman"/>
          <w:color w:val="auto"/>
          <w:lang w:val="en-US" w:eastAsia="zh-CN"/>
        </w:rPr>
        <w:t>1975m平台矿石运输通过后期整修矿区南部现有道路运输，仅70m路段需新修，具备修建条件。该路面宽4m，道路长797m，最大纵坡9%，平均纵坡5.2%，最小转弯半径15m，能满足矿山运输要求。</w:t>
      </w:r>
    </w:p>
    <w:p w14:paraId="223DD4F2">
      <w:pPr>
        <w:bidi w:val="0"/>
        <w:rPr>
          <w:rFonts w:hint="eastAsia" w:ascii="Times New Roman" w:hAnsi="Times New Roman"/>
          <w:color w:val="auto"/>
          <w:lang w:val="en-US" w:eastAsia="zh-CN"/>
        </w:rPr>
      </w:pPr>
      <w:r>
        <w:rPr>
          <w:rFonts w:hint="eastAsia" w:ascii="Times New Roman" w:hAnsi="Times New Roman"/>
          <w:color w:val="auto"/>
          <w:lang w:val="en-US" w:eastAsia="zh-CN"/>
        </w:rPr>
        <w:t>1960m平台通过平台联络道运输，修建1960m平台至1975m平台联络道，该联络道总长167m，路面宽8m，平均坡度为9%，最大纵坡为9%。</w:t>
      </w:r>
    </w:p>
    <w:p w14:paraId="32819CF6">
      <w:pPr>
        <w:bidi w:val="0"/>
        <w:rPr>
          <w:rFonts w:hint="eastAsia" w:ascii="Times New Roman" w:hAnsi="Times New Roman"/>
          <w:color w:val="auto"/>
          <w:lang w:val="en-US" w:eastAsia="zh-CN"/>
        </w:rPr>
      </w:pPr>
      <w:r>
        <w:rPr>
          <w:rFonts w:hint="eastAsia" w:ascii="Times New Roman" w:hAnsi="Times New Roman"/>
          <w:color w:val="auto"/>
          <w:lang w:val="en-US" w:eastAsia="zh-CN"/>
        </w:rPr>
        <w:t>2、内部运输</w:t>
      </w:r>
    </w:p>
    <w:p w14:paraId="519B58FA">
      <w:pPr>
        <w:bidi w:val="0"/>
        <w:rPr>
          <w:rFonts w:hint="eastAsia" w:ascii="Times New Roman" w:hAnsi="Times New Roman"/>
          <w:color w:val="auto"/>
          <w:lang w:val="en-US" w:eastAsia="zh-CN"/>
        </w:rPr>
      </w:pPr>
      <w:r>
        <w:rPr>
          <w:rFonts w:hint="eastAsia" w:ascii="Times New Roman" w:hAnsi="Times New Roman"/>
          <w:color w:val="auto"/>
          <w:lang w:val="en-US" w:eastAsia="zh-CN"/>
        </w:rPr>
        <w:t>矿区内部运输主要为露天开采、工业场地、破碎站三个区域之间的物料运输。</w:t>
      </w:r>
    </w:p>
    <w:p w14:paraId="26FEA39A">
      <w:pPr>
        <w:bidi w:val="0"/>
        <w:rPr>
          <w:rFonts w:hint="eastAsia" w:ascii="Times New Roman" w:hAnsi="Times New Roman"/>
          <w:color w:val="auto"/>
          <w:lang w:val="en-US" w:eastAsia="zh-CN"/>
        </w:rPr>
      </w:pPr>
      <w:r>
        <w:rPr>
          <w:rFonts w:hint="eastAsia" w:ascii="Times New Roman" w:hAnsi="Times New Roman"/>
          <w:color w:val="auto"/>
          <w:lang w:val="en-US" w:eastAsia="zh-CN"/>
        </w:rPr>
        <w:t>矿石：从露天采场采出的矿石通过汽车运至破碎站卸料口，矿石运输每年约70万t，平均运距约0.7km。</w:t>
      </w:r>
    </w:p>
    <w:p w14:paraId="4CFB51AD">
      <w:pPr>
        <w:bidi w:val="0"/>
        <w:rPr>
          <w:rFonts w:hint="eastAsia" w:ascii="Times New Roman" w:hAnsi="Times New Roman"/>
          <w:color w:val="auto"/>
          <w:lang w:val="en-US" w:eastAsia="zh-CN"/>
        </w:rPr>
      </w:pPr>
      <w:r>
        <w:rPr>
          <w:rFonts w:hint="eastAsia" w:ascii="Times New Roman" w:hAnsi="Times New Roman"/>
          <w:color w:val="auto"/>
          <w:lang w:val="en-US" w:eastAsia="zh-CN"/>
        </w:rPr>
        <w:t>各种材料及备品备件：场外运输到仓库。</w:t>
      </w:r>
    </w:p>
    <w:p w14:paraId="1ED2FDED">
      <w:pPr>
        <w:bidi w:val="0"/>
        <w:rPr>
          <w:rFonts w:hint="eastAsia" w:ascii="Times New Roman" w:hAnsi="Times New Roman"/>
          <w:color w:val="auto"/>
          <w:lang w:val="en-US" w:eastAsia="zh-CN"/>
        </w:rPr>
      </w:pPr>
      <w:r>
        <w:rPr>
          <w:rFonts w:hint="eastAsia" w:ascii="Times New Roman" w:hAnsi="Times New Roman"/>
          <w:color w:val="auto"/>
          <w:lang w:val="en-US" w:eastAsia="zh-CN"/>
        </w:rPr>
        <w:t>3、外部运输</w:t>
      </w:r>
    </w:p>
    <w:p w14:paraId="3279AC40">
      <w:pPr>
        <w:bidi w:val="0"/>
        <w:rPr>
          <w:rFonts w:hint="eastAsia" w:ascii="Times New Roman" w:hAnsi="Times New Roman"/>
          <w:color w:val="auto"/>
          <w:lang w:val="en-US" w:eastAsia="zh-CN"/>
        </w:rPr>
      </w:pPr>
      <w:r>
        <w:rPr>
          <w:rFonts w:hint="eastAsia" w:ascii="Times New Roman" w:hAnsi="Times New Roman"/>
          <w:color w:val="auto"/>
          <w:lang w:val="en-US" w:eastAsia="zh-CN"/>
        </w:rPr>
        <w:t>矿区的外部运输主要为各种材料及备品备件运入以及生活物资运入。</w:t>
      </w:r>
    </w:p>
    <w:p w14:paraId="672DE10E">
      <w:pPr>
        <w:bidi w:val="0"/>
        <w:rPr>
          <w:rFonts w:hint="eastAsia" w:ascii="Times New Roman" w:hAnsi="Times New Roman"/>
          <w:color w:val="auto"/>
          <w:lang w:val="en-US" w:eastAsia="zh-CN"/>
        </w:rPr>
      </w:pPr>
      <w:r>
        <w:rPr>
          <w:rFonts w:hint="eastAsia" w:ascii="Times New Roman" w:hAnsi="Times New Roman"/>
          <w:color w:val="auto"/>
          <w:lang w:val="en-US" w:eastAsia="zh-CN"/>
        </w:rPr>
        <w:t>各种材料及备品备件：根据生产要求从附近县城将物资运至仓库或各个工段，每日运量不等。</w:t>
      </w:r>
    </w:p>
    <w:p w14:paraId="4D382A46">
      <w:pPr>
        <w:bidi w:val="0"/>
        <w:rPr>
          <w:rFonts w:hint="eastAsia" w:ascii="Times New Roman" w:hAnsi="Times New Roman"/>
          <w:color w:val="auto"/>
          <w:lang w:val="en-US" w:eastAsia="zh-CN"/>
        </w:rPr>
      </w:pPr>
      <w:r>
        <w:rPr>
          <w:rFonts w:hint="eastAsia" w:ascii="Times New Roman" w:hAnsi="Times New Roman"/>
          <w:color w:val="auto"/>
          <w:lang w:val="en-US" w:eastAsia="zh-CN"/>
        </w:rPr>
        <w:t>生活物资：矿区职工所需的各种生活物资，均依托当地的市场供给。</w:t>
      </w:r>
    </w:p>
    <w:p w14:paraId="4B89FD75">
      <w:pPr>
        <w:pStyle w:val="4"/>
        <w:bidi w:val="0"/>
        <w:rPr>
          <w:rFonts w:hint="eastAsia" w:ascii="Times New Roman" w:hAnsi="Times New Roman"/>
          <w:color w:val="auto"/>
          <w:lang w:val="en-US" w:eastAsia="zh-CN"/>
        </w:rPr>
      </w:pPr>
      <w:bookmarkStart w:id="80" w:name="_Toc25189"/>
      <w:r>
        <w:rPr>
          <w:rFonts w:hint="eastAsia" w:ascii="Times New Roman" w:hAnsi="Times New Roman"/>
          <w:color w:val="auto"/>
          <w:lang w:val="en-US" w:eastAsia="zh-CN"/>
        </w:rPr>
        <w:t>2.4.4 开采范围</w:t>
      </w:r>
      <w:bookmarkEnd w:id="80"/>
    </w:p>
    <w:p w14:paraId="5E009B00">
      <w:pPr>
        <w:bidi w:val="0"/>
        <w:rPr>
          <w:rFonts w:hint="eastAsia" w:ascii="Times New Roman" w:hAnsi="Times New Roman"/>
          <w:color w:val="auto"/>
          <w:lang w:val="en-US" w:eastAsia="zh-CN"/>
        </w:rPr>
      </w:pPr>
      <w:r>
        <w:rPr>
          <w:rFonts w:hint="eastAsia" w:ascii="Times New Roman" w:hAnsi="Times New Roman"/>
          <w:color w:val="auto"/>
          <w:lang w:val="en-US" w:eastAsia="zh-CN"/>
        </w:rPr>
        <w:t>由于矿区西部是中小湾子村村小组民房，民房距矿区最短距离为193m，西北部是下小湾子村村小组民房，民房距矿区最短距离为129m，设计预留了300m的安全距离，将矿区西部距离中小湾子村、西北部距离下小湾子村300m的范围设为禁采区Ⅰ。禁采区Ⅰ由7个拐点圈定，禁采区Ⅰ面积为0.049k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w:t>
      </w:r>
    </w:p>
    <w:p w14:paraId="49C2EFC7">
      <w:pPr>
        <w:bidi w:val="0"/>
        <w:rPr>
          <w:rFonts w:hint="eastAsia" w:ascii="Times New Roman" w:hAnsi="Times New Roman"/>
          <w:color w:val="auto"/>
          <w:lang w:val="en-US" w:eastAsia="zh-CN"/>
        </w:rPr>
      </w:pPr>
      <w:r>
        <w:rPr>
          <w:rFonts w:hint="eastAsia" w:ascii="Times New Roman" w:hAnsi="Times New Roman"/>
          <w:color w:val="auto"/>
          <w:lang w:val="en-US" w:eastAsia="zh-CN"/>
        </w:rPr>
        <w:t>由于矿区东南部存在与村民协商后仍无法征用的土地，现将该部分区域划为禁采区Ⅱ，</w:t>
      </w:r>
      <w:r>
        <w:rPr>
          <w:rFonts w:hint="eastAsia"/>
          <w:color w:val="auto"/>
          <w:lang w:val="en-US" w:eastAsia="zh-CN"/>
        </w:rPr>
        <w:t>禁采区Ⅱ由9个拐点圈定，</w:t>
      </w:r>
      <w:r>
        <w:rPr>
          <w:rFonts w:hint="eastAsia" w:ascii="Times New Roman" w:hAnsi="Times New Roman"/>
          <w:color w:val="auto"/>
          <w:lang w:val="en-US" w:eastAsia="zh-CN"/>
        </w:rPr>
        <w:t>禁采区Ⅱ的面积为7919m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w:t>
      </w:r>
    </w:p>
    <w:p w14:paraId="676193D0">
      <w:pPr>
        <w:bidi w:val="0"/>
        <w:rPr>
          <w:rFonts w:hint="eastAsia" w:ascii="Times New Roman" w:hAnsi="Times New Roman"/>
          <w:color w:val="auto"/>
          <w:lang w:val="en-US" w:eastAsia="zh-CN"/>
        </w:rPr>
      </w:pPr>
      <w:r>
        <w:rPr>
          <w:rFonts w:hint="eastAsia" w:ascii="Times New Roman" w:hAnsi="Times New Roman"/>
          <w:color w:val="auto"/>
          <w:lang w:val="en-US" w:eastAsia="zh-CN"/>
        </w:rPr>
        <w:t>综上所述，结合矿山采矿许可证许可范围及矿山现状实测图，设计范围主要为矿区内两个禁采区外2060m-1960m标高具备开采条件的资源量。</w:t>
      </w:r>
    </w:p>
    <w:p w14:paraId="58C46761">
      <w:pPr>
        <w:bidi w:val="0"/>
        <w:rPr>
          <w:rFonts w:hint="eastAsia" w:ascii="Times New Roman" w:hAnsi="Times New Roman"/>
          <w:color w:val="auto"/>
          <w:lang w:val="en-US" w:eastAsia="zh-CN"/>
        </w:rPr>
      </w:pPr>
      <w:r>
        <w:rPr>
          <w:rFonts w:hint="eastAsia" w:ascii="Times New Roman" w:hAnsi="Times New Roman"/>
          <w:color w:val="auto"/>
          <w:lang w:val="en-US" w:eastAsia="zh-CN"/>
        </w:rPr>
        <w:t>开采方式为自上而下露天开采方式。</w:t>
      </w:r>
    </w:p>
    <w:p w14:paraId="458C8AD6">
      <w:pPr>
        <w:pStyle w:val="4"/>
        <w:bidi w:val="0"/>
        <w:rPr>
          <w:rFonts w:hint="eastAsia" w:ascii="Times New Roman" w:hAnsi="Times New Roman"/>
          <w:color w:val="auto"/>
          <w:lang w:val="en-US" w:eastAsia="zh-CN"/>
        </w:rPr>
      </w:pPr>
      <w:bookmarkStart w:id="81" w:name="_Toc2863"/>
      <w:r>
        <w:rPr>
          <w:rFonts w:hint="eastAsia" w:ascii="Times New Roman" w:hAnsi="Times New Roman"/>
          <w:color w:val="auto"/>
          <w:lang w:val="en-US" w:eastAsia="zh-CN"/>
        </w:rPr>
        <w:t>2.4.5 开拓运输</w:t>
      </w:r>
      <w:bookmarkEnd w:id="81"/>
    </w:p>
    <w:p w14:paraId="2C425E7E">
      <w:pPr>
        <w:bidi w:val="0"/>
        <w:rPr>
          <w:rFonts w:hint="eastAsia" w:ascii="Times New Roman" w:hAnsi="Times New Roman"/>
          <w:color w:val="auto"/>
          <w:lang w:val="en-US" w:eastAsia="zh-CN"/>
        </w:rPr>
      </w:pPr>
      <w:r>
        <w:rPr>
          <w:rFonts w:hint="eastAsia" w:ascii="Times New Roman" w:hAnsi="Times New Roman"/>
          <w:color w:val="auto"/>
          <w:lang w:val="en-US" w:eastAsia="zh-CN"/>
        </w:rPr>
        <w:t>1、开拓运输现状</w:t>
      </w:r>
    </w:p>
    <w:p w14:paraId="35AC574A">
      <w:pPr>
        <w:bidi w:val="0"/>
        <w:rPr>
          <w:rFonts w:hint="eastAsia" w:ascii="Times New Roman" w:hAnsi="Times New Roman"/>
          <w:color w:val="auto"/>
          <w:lang w:val="en-US" w:eastAsia="zh-CN"/>
        </w:rPr>
      </w:pPr>
      <w:r>
        <w:rPr>
          <w:rFonts w:hint="eastAsia" w:ascii="Times New Roman" w:hAnsi="Times New Roman"/>
          <w:color w:val="auto"/>
          <w:lang w:val="en-US" w:eastAsia="zh-CN"/>
        </w:rPr>
        <w:t>（1）基本情况</w:t>
      </w:r>
    </w:p>
    <w:p w14:paraId="0AF29E70">
      <w:pPr>
        <w:bidi w:val="0"/>
        <w:rPr>
          <w:rFonts w:hint="eastAsia" w:ascii="Times New Roman" w:hAnsi="Times New Roman"/>
          <w:color w:val="auto"/>
          <w:lang w:val="en-US" w:eastAsia="zh-CN"/>
        </w:rPr>
      </w:pPr>
      <w:r>
        <w:rPr>
          <w:rFonts w:hint="eastAsia" w:ascii="Times New Roman" w:hAnsi="Times New Roman"/>
          <w:color w:val="auto"/>
          <w:lang w:val="en-US" w:eastAsia="zh-CN"/>
        </w:rPr>
        <w:t>1）矿区总体呈向南东倾斜的单斜构造。矿区范围内地层走向北东～南西向，倾向南东，倾角30～38°，矿区范围较小，无断层通过，构造不发育，无活动性断裂构造，岩石性脆。矿区构造属简单类型。</w:t>
      </w:r>
    </w:p>
    <w:p w14:paraId="39BF5745">
      <w:pPr>
        <w:bidi w:val="0"/>
        <w:rPr>
          <w:rFonts w:hint="eastAsia" w:ascii="Times New Roman" w:hAnsi="Times New Roman"/>
          <w:color w:val="auto"/>
          <w:lang w:val="en-US" w:eastAsia="zh-CN"/>
        </w:rPr>
      </w:pPr>
      <w:r>
        <w:rPr>
          <w:rFonts w:hint="eastAsia" w:ascii="Times New Roman" w:hAnsi="Times New Roman"/>
          <w:color w:val="auto"/>
          <w:lang w:val="en-US" w:eastAsia="zh-CN"/>
        </w:rPr>
        <w:t>2）昭阳区文辉矿业有限公司洒渔大桥石灰岩矿为山坡露天开采，设计露天境界最高开采标高2055m，采场底部标高1960m，结合矿山开采现状及实际地形，矿山最大采深95m。</w:t>
      </w:r>
    </w:p>
    <w:p w14:paraId="29C118BC">
      <w:pPr>
        <w:bidi w:val="0"/>
        <w:rPr>
          <w:rFonts w:hint="eastAsia" w:ascii="Times New Roman" w:hAnsi="Times New Roman"/>
          <w:color w:val="auto"/>
          <w:lang w:val="en-US" w:eastAsia="zh-CN"/>
        </w:rPr>
      </w:pPr>
      <w:r>
        <w:rPr>
          <w:rFonts w:hint="eastAsia" w:ascii="Times New Roman" w:hAnsi="Times New Roman"/>
          <w:color w:val="auto"/>
          <w:lang w:val="en-US" w:eastAsia="zh-CN"/>
        </w:rPr>
        <w:t>3）根据现场踏勘以及矿山破碎站建设位置，矿山卸矿平台位于矿区西北侧，卸矿平台标高1932m。</w:t>
      </w:r>
    </w:p>
    <w:p w14:paraId="6D64A581">
      <w:pPr>
        <w:bidi w:val="0"/>
        <w:rPr>
          <w:rFonts w:hint="eastAsia" w:ascii="Times New Roman" w:hAnsi="Times New Roman"/>
          <w:color w:val="auto"/>
          <w:lang w:val="en-US" w:eastAsia="zh-CN"/>
        </w:rPr>
      </w:pPr>
      <w:r>
        <w:rPr>
          <w:rFonts w:hint="eastAsia" w:ascii="Times New Roman" w:hAnsi="Times New Roman"/>
          <w:color w:val="auto"/>
          <w:lang w:val="en-US" w:eastAsia="zh-CN"/>
        </w:rPr>
        <w:t>（2）开拓运输现状</w:t>
      </w:r>
    </w:p>
    <w:p w14:paraId="1D6271EE">
      <w:pPr>
        <w:bidi w:val="0"/>
        <w:rPr>
          <w:rFonts w:hint="eastAsia" w:ascii="Times New Roman" w:hAnsi="Times New Roman"/>
          <w:color w:val="auto"/>
          <w:lang w:val="en-US" w:eastAsia="zh-CN"/>
        </w:rPr>
      </w:pPr>
      <w:r>
        <w:rPr>
          <w:rFonts w:hint="eastAsia" w:ascii="Times New Roman" w:hAnsi="Times New Roman"/>
          <w:color w:val="auto"/>
          <w:lang w:val="en-US" w:eastAsia="zh-CN"/>
        </w:rPr>
        <w:t>矿山为改扩建矿山，现状采用公路开拓汽车运输方式，已修建有矿石运输道路，可由卸矿平台上至2020m标高，道路宽度4-6m，最大纵坡18%，平均纵坡11.76%。该条道路局部宽度过小、纵坡过大，不满足《厂矿道路设计规范》（GBJ22-87）要求。</w:t>
      </w:r>
    </w:p>
    <w:p w14:paraId="2AEEEFD9">
      <w:pPr>
        <w:bidi w:val="0"/>
        <w:rPr>
          <w:rFonts w:hint="eastAsia" w:ascii="Times New Roman" w:hAnsi="Times New Roman"/>
          <w:color w:val="auto"/>
          <w:lang w:val="en-US" w:eastAsia="zh-CN"/>
        </w:rPr>
      </w:pPr>
      <w:r>
        <w:rPr>
          <w:rFonts w:hint="eastAsia" w:ascii="Times New Roman" w:hAnsi="Times New Roman"/>
          <w:color w:val="auto"/>
          <w:lang w:val="en-US" w:eastAsia="zh-CN"/>
        </w:rPr>
        <w:t>为满足设计规范要求，保障矿山生产运输安全。设计在该条原有道路基础上，整改修建矿山运输道路。</w:t>
      </w:r>
    </w:p>
    <w:p w14:paraId="66B60750">
      <w:pPr>
        <w:bidi w:val="0"/>
        <w:rPr>
          <w:rFonts w:hint="eastAsia" w:ascii="Times New Roman" w:hAnsi="Times New Roman"/>
          <w:color w:val="auto"/>
          <w:lang w:val="en-US" w:eastAsia="zh-CN"/>
        </w:rPr>
      </w:pPr>
      <w:r>
        <w:rPr>
          <w:rFonts w:hint="eastAsia" w:ascii="Times New Roman" w:hAnsi="Times New Roman"/>
          <w:color w:val="auto"/>
          <w:lang w:val="en-US" w:eastAsia="zh-CN"/>
        </w:rPr>
        <w:t>2、开拓运输方式</w:t>
      </w:r>
    </w:p>
    <w:p w14:paraId="3995753C">
      <w:pPr>
        <w:bidi w:val="0"/>
        <w:rPr>
          <w:rFonts w:hint="eastAsia" w:ascii="Times New Roman" w:hAnsi="Times New Roman"/>
          <w:color w:val="auto"/>
          <w:lang w:val="en-US" w:eastAsia="zh-CN"/>
        </w:rPr>
      </w:pPr>
      <w:r>
        <w:rPr>
          <w:rFonts w:hint="eastAsia" w:ascii="Times New Roman" w:hAnsi="Times New Roman"/>
          <w:color w:val="auto"/>
          <w:lang w:val="en-US" w:eastAsia="zh-CN"/>
        </w:rPr>
        <w:t>矿山为改扩建矿山，现状采用公路开拓汽车运输方式，设计沿用公路开拓汽车运输方式。</w:t>
      </w:r>
    </w:p>
    <w:p w14:paraId="61587245">
      <w:pPr>
        <w:bidi w:val="0"/>
        <w:rPr>
          <w:rFonts w:hint="eastAsia" w:ascii="Times New Roman" w:hAnsi="Times New Roman"/>
          <w:color w:val="auto"/>
        </w:rPr>
      </w:pPr>
      <w:r>
        <w:rPr>
          <w:rFonts w:hint="eastAsia" w:ascii="Times New Roman" w:hAnsi="Times New Roman"/>
          <w:color w:val="auto"/>
          <w:lang w:val="en-US" w:eastAsia="zh-CN"/>
        </w:rPr>
        <w:t>3、开拓运输主要参数</w:t>
      </w:r>
    </w:p>
    <w:p w14:paraId="1F224B78">
      <w:pPr>
        <w:bidi w:val="0"/>
        <w:rPr>
          <w:rFonts w:hint="eastAsia" w:ascii="Times New Roman" w:hAnsi="Times New Roman"/>
          <w:color w:val="auto"/>
          <w:lang w:val="en-US" w:eastAsia="zh-CN"/>
        </w:rPr>
      </w:pPr>
      <w:r>
        <w:rPr>
          <w:rFonts w:hint="eastAsia" w:ascii="Times New Roman" w:hAnsi="Times New Roman"/>
          <w:color w:val="auto"/>
          <w:lang w:val="en-US" w:eastAsia="zh-CN"/>
        </w:rPr>
        <w:t>（1）公路等级</w:t>
      </w:r>
    </w:p>
    <w:p w14:paraId="08623934">
      <w:pPr>
        <w:bidi w:val="0"/>
        <w:rPr>
          <w:rFonts w:hint="eastAsia" w:ascii="Times New Roman" w:hAnsi="Times New Roman"/>
          <w:color w:val="auto"/>
          <w:lang w:val="en-US" w:eastAsia="zh-CN"/>
        </w:rPr>
      </w:pPr>
      <w:r>
        <w:rPr>
          <w:rFonts w:hint="eastAsia" w:ascii="Times New Roman" w:hAnsi="Times New Roman"/>
          <w:color w:val="auto"/>
          <w:lang w:val="en-US" w:eastAsia="zh-CN"/>
        </w:rPr>
        <w:t>矿山生产干线的道路等级为三级，生产支线的道路等级为三级，公路路面采用泥结碎石路面。</w:t>
      </w:r>
    </w:p>
    <w:p w14:paraId="3B83ACF5">
      <w:pPr>
        <w:bidi w:val="0"/>
        <w:rPr>
          <w:rFonts w:hint="eastAsia" w:ascii="Times New Roman" w:hAnsi="Times New Roman"/>
          <w:color w:val="auto"/>
          <w:lang w:val="en-US" w:eastAsia="zh-CN"/>
        </w:rPr>
      </w:pPr>
      <w:r>
        <w:rPr>
          <w:rFonts w:hint="eastAsia" w:ascii="Times New Roman" w:hAnsi="Times New Roman"/>
          <w:color w:val="auto"/>
          <w:lang w:val="en-US" w:eastAsia="zh-CN"/>
        </w:rPr>
        <w:t>（2）公路参数</w:t>
      </w:r>
    </w:p>
    <w:p w14:paraId="0510DA1A">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表2.4-2  运输道路工程设计技术标准表</w:t>
      </w:r>
    </w:p>
    <w:tbl>
      <w:tblPr>
        <w:tblStyle w:val="12"/>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18"/>
        <w:gridCol w:w="2827"/>
        <w:gridCol w:w="2189"/>
        <w:gridCol w:w="3467"/>
      </w:tblGrid>
      <w:tr w14:paraId="458950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7035E88A">
            <w:pPr>
              <w:pStyle w:val="17"/>
              <w:bidi w:val="0"/>
              <w:rPr>
                <w:rFonts w:ascii="Times New Roman" w:hAnsi="Times New Roman"/>
                <w:b/>
                <w:bCs/>
                <w:color w:val="auto"/>
              </w:rPr>
            </w:pPr>
            <w:r>
              <w:rPr>
                <w:rFonts w:ascii="Times New Roman" w:hAnsi="Times New Roman"/>
                <w:b/>
                <w:bCs/>
                <w:color w:val="auto"/>
              </w:rPr>
              <w:t>序号</w:t>
            </w:r>
          </w:p>
        </w:tc>
        <w:tc>
          <w:tcPr>
            <w:tcW w:w="1503" w:type="pct"/>
            <w:vAlign w:val="center"/>
          </w:tcPr>
          <w:p w14:paraId="5F26D72A">
            <w:pPr>
              <w:pStyle w:val="17"/>
              <w:bidi w:val="0"/>
              <w:rPr>
                <w:rFonts w:ascii="Times New Roman" w:hAnsi="Times New Roman"/>
                <w:b/>
                <w:bCs/>
                <w:color w:val="auto"/>
              </w:rPr>
            </w:pPr>
            <w:r>
              <w:rPr>
                <w:rFonts w:ascii="Times New Roman" w:hAnsi="Times New Roman"/>
                <w:b/>
                <w:bCs/>
                <w:color w:val="auto"/>
              </w:rPr>
              <w:t>名称</w:t>
            </w:r>
          </w:p>
        </w:tc>
        <w:tc>
          <w:tcPr>
            <w:tcW w:w="1164" w:type="pct"/>
            <w:vAlign w:val="center"/>
          </w:tcPr>
          <w:p w14:paraId="701948C9">
            <w:pPr>
              <w:pStyle w:val="17"/>
              <w:bidi w:val="0"/>
              <w:rPr>
                <w:rFonts w:ascii="Times New Roman" w:hAnsi="Times New Roman"/>
                <w:b/>
                <w:bCs/>
                <w:color w:val="auto"/>
              </w:rPr>
            </w:pPr>
            <w:r>
              <w:rPr>
                <w:rFonts w:ascii="Times New Roman" w:hAnsi="Times New Roman"/>
                <w:b/>
                <w:bCs/>
                <w:color w:val="auto"/>
              </w:rPr>
              <w:t>运输道路参数</w:t>
            </w:r>
          </w:p>
        </w:tc>
        <w:tc>
          <w:tcPr>
            <w:tcW w:w="1843" w:type="pct"/>
            <w:vAlign w:val="center"/>
          </w:tcPr>
          <w:p w14:paraId="150A41C1">
            <w:pPr>
              <w:pStyle w:val="17"/>
              <w:bidi w:val="0"/>
              <w:rPr>
                <w:rFonts w:ascii="Times New Roman" w:hAnsi="Times New Roman"/>
                <w:b/>
                <w:bCs/>
                <w:color w:val="auto"/>
              </w:rPr>
            </w:pPr>
            <w:r>
              <w:rPr>
                <w:rFonts w:ascii="Times New Roman" w:hAnsi="Times New Roman"/>
                <w:b/>
                <w:bCs/>
                <w:color w:val="auto"/>
              </w:rPr>
              <w:t>备注</w:t>
            </w:r>
          </w:p>
        </w:tc>
      </w:tr>
      <w:tr w14:paraId="783107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3FF41B5A">
            <w:pPr>
              <w:pStyle w:val="17"/>
              <w:bidi w:val="0"/>
              <w:rPr>
                <w:rFonts w:ascii="Times New Roman" w:hAnsi="Times New Roman"/>
                <w:color w:val="auto"/>
              </w:rPr>
            </w:pPr>
            <w:r>
              <w:rPr>
                <w:rFonts w:ascii="Times New Roman" w:hAnsi="Times New Roman"/>
                <w:color w:val="auto"/>
              </w:rPr>
              <w:t>1</w:t>
            </w:r>
          </w:p>
        </w:tc>
        <w:tc>
          <w:tcPr>
            <w:tcW w:w="1503" w:type="pct"/>
            <w:vAlign w:val="center"/>
          </w:tcPr>
          <w:p w14:paraId="12CA1CB2">
            <w:pPr>
              <w:pStyle w:val="17"/>
              <w:bidi w:val="0"/>
              <w:rPr>
                <w:rFonts w:ascii="Times New Roman" w:hAnsi="Times New Roman"/>
                <w:color w:val="auto"/>
              </w:rPr>
            </w:pPr>
            <w:r>
              <w:rPr>
                <w:rFonts w:ascii="Times New Roman" w:hAnsi="Times New Roman"/>
                <w:color w:val="auto"/>
              </w:rPr>
              <w:t>道路等级</w:t>
            </w:r>
          </w:p>
        </w:tc>
        <w:tc>
          <w:tcPr>
            <w:tcW w:w="1164" w:type="pct"/>
            <w:vAlign w:val="center"/>
          </w:tcPr>
          <w:p w14:paraId="6EBB99B3">
            <w:pPr>
              <w:pStyle w:val="17"/>
              <w:bidi w:val="0"/>
              <w:rPr>
                <w:rFonts w:ascii="Times New Roman" w:hAnsi="Times New Roman"/>
                <w:color w:val="auto"/>
              </w:rPr>
            </w:pPr>
            <w:r>
              <w:rPr>
                <w:rFonts w:ascii="Times New Roman" w:hAnsi="Times New Roman"/>
                <w:color w:val="auto"/>
              </w:rPr>
              <w:t>Ⅲ级</w:t>
            </w:r>
          </w:p>
        </w:tc>
        <w:tc>
          <w:tcPr>
            <w:tcW w:w="1843" w:type="pct"/>
            <w:vAlign w:val="center"/>
          </w:tcPr>
          <w:p w14:paraId="2E045B58">
            <w:pPr>
              <w:pStyle w:val="17"/>
              <w:bidi w:val="0"/>
              <w:rPr>
                <w:rFonts w:ascii="Times New Roman" w:hAnsi="Times New Roman"/>
                <w:color w:val="auto"/>
              </w:rPr>
            </w:pPr>
          </w:p>
        </w:tc>
      </w:tr>
      <w:tr w14:paraId="06A5EE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0BF6ACE1">
            <w:pPr>
              <w:pStyle w:val="17"/>
              <w:bidi w:val="0"/>
              <w:rPr>
                <w:rFonts w:ascii="Times New Roman" w:hAnsi="Times New Roman"/>
                <w:color w:val="auto"/>
              </w:rPr>
            </w:pPr>
            <w:r>
              <w:rPr>
                <w:rFonts w:ascii="Times New Roman" w:hAnsi="Times New Roman"/>
                <w:color w:val="auto"/>
              </w:rPr>
              <w:t>2</w:t>
            </w:r>
          </w:p>
        </w:tc>
        <w:tc>
          <w:tcPr>
            <w:tcW w:w="1503" w:type="pct"/>
            <w:vAlign w:val="center"/>
          </w:tcPr>
          <w:p w14:paraId="1152E3EC">
            <w:pPr>
              <w:pStyle w:val="17"/>
              <w:bidi w:val="0"/>
              <w:rPr>
                <w:rFonts w:ascii="Times New Roman" w:hAnsi="Times New Roman"/>
                <w:color w:val="auto"/>
              </w:rPr>
            </w:pPr>
            <w:r>
              <w:rPr>
                <w:rFonts w:ascii="Times New Roman" w:hAnsi="Times New Roman"/>
                <w:color w:val="auto"/>
              </w:rPr>
              <w:t>路面类型</w:t>
            </w:r>
          </w:p>
        </w:tc>
        <w:tc>
          <w:tcPr>
            <w:tcW w:w="1164" w:type="pct"/>
            <w:vAlign w:val="center"/>
          </w:tcPr>
          <w:p w14:paraId="33FE8058">
            <w:pPr>
              <w:pStyle w:val="17"/>
              <w:bidi w:val="0"/>
              <w:rPr>
                <w:rFonts w:ascii="Times New Roman" w:hAnsi="Times New Roman"/>
                <w:color w:val="auto"/>
              </w:rPr>
            </w:pPr>
            <w:r>
              <w:rPr>
                <w:rFonts w:ascii="Times New Roman" w:hAnsi="Times New Roman"/>
                <w:color w:val="auto"/>
              </w:rPr>
              <w:t>泥结碎石路面</w:t>
            </w:r>
          </w:p>
        </w:tc>
        <w:tc>
          <w:tcPr>
            <w:tcW w:w="1843" w:type="pct"/>
            <w:vAlign w:val="center"/>
          </w:tcPr>
          <w:p w14:paraId="458E7EDE">
            <w:pPr>
              <w:pStyle w:val="17"/>
              <w:bidi w:val="0"/>
              <w:rPr>
                <w:rFonts w:ascii="Times New Roman" w:hAnsi="Times New Roman"/>
                <w:color w:val="auto"/>
              </w:rPr>
            </w:pPr>
          </w:p>
        </w:tc>
      </w:tr>
      <w:tr w14:paraId="216EF6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restart"/>
            <w:vAlign w:val="center"/>
          </w:tcPr>
          <w:p w14:paraId="26C52F5E">
            <w:pPr>
              <w:pStyle w:val="17"/>
              <w:bidi w:val="0"/>
              <w:rPr>
                <w:rFonts w:ascii="Times New Roman" w:hAnsi="Times New Roman"/>
                <w:color w:val="auto"/>
              </w:rPr>
            </w:pPr>
            <w:r>
              <w:rPr>
                <w:rFonts w:ascii="Times New Roman" w:hAnsi="Times New Roman"/>
                <w:color w:val="auto"/>
              </w:rPr>
              <w:t>3</w:t>
            </w:r>
          </w:p>
        </w:tc>
        <w:tc>
          <w:tcPr>
            <w:tcW w:w="1503" w:type="pct"/>
            <w:vMerge w:val="restart"/>
            <w:vAlign w:val="center"/>
          </w:tcPr>
          <w:p w14:paraId="75B6E709">
            <w:pPr>
              <w:pStyle w:val="17"/>
              <w:bidi w:val="0"/>
              <w:rPr>
                <w:rFonts w:ascii="Times New Roman" w:hAnsi="Times New Roman"/>
                <w:color w:val="auto"/>
              </w:rPr>
            </w:pPr>
            <w:r>
              <w:rPr>
                <w:rFonts w:ascii="Times New Roman" w:hAnsi="Times New Roman"/>
                <w:color w:val="auto"/>
              </w:rPr>
              <w:t>设计行车速度</w:t>
            </w:r>
          </w:p>
        </w:tc>
        <w:tc>
          <w:tcPr>
            <w:tcW w:w="1164" w:type="pct"/>
            <w:vAlign w:val="center"/>
          </w:tcPr>
          <w:p w14:paraId="04CA45D3">
            <w:pPr>
              <w:pStyle w:val="17"/>
              <w:bidi w:val="0"/>
              <w:rPr>
                <w:rFonts w:ascii="Times New Roman" w:hAnsi="Times New Roman"/>
                <w:color w:val="auto"/>
              </w:rPr>
            </w:pPr>
            <w:r>
              <w:rPr>
                <w:rFonts w:ascii="Times New Roman" w:hAnsi="Times New Roman"/>
                <w:color w:val="auto"/>
              </w:rPr>
              <w:t>15km/h</w:t>
            </w:r>
          </w:p>
        </w:tc>
        <w:tc>
          <w:tcPr>
            <w:tcW w:w="1843" w:type="pct"/>
            <w:vAlign w:val="center"/>
          </w:tcPr>
          <w:p w14:paraId="5EE56560">
            <w:pPr>
              <w:pStyle w:val="17"/>
              <w:bidi w:val="0"/>
              <w:rPr>
                <w:rFonts w:ascii="Times New Roman" w:hAnsi="Times New Roman"/>
                <w:color w:val="auto"/>
              </w:rPr>
            </w:pPr>
            <w:r>
              <w:rPr>
                <w:rFonts w:ascii="Times New Roman" w:hAnsi="Times New Roman"/>
                <w:color w:val="auto"/>
              </w:rPr>
              <w:t>重车</w:t>
            </w:r>
          </w:p>
        </w:tc>
      </w:tr>
      <w:tr w14:paraId="09580B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continue"/>
            <w:vAlign w:val="center"/>
          </w:tcPr>
          <w:p w14:paraId="38FE2781">
            <w:pPr>
              <w:pStyle w:val="17"/>
              <w:bidi w:val="0"/>
              <w:rPr>
                <w:rFonts w:ascii="Times New Roman" w:hAnsi="Times New Roman"/>
                <w:color w:val="auto"/>
              </w:rPr>
            </w:pPr>
          </w:p>
        </w:tc>
        <w:tc>
          <w:tcPr>
            <w:tcW w:w="1503" w:type="pct"/>
            <w:vMerge w:val="continue"/>
            <w:vAlign w:val="center"/>
          </w:tcPr>
          <w:p w14:paraId="093E5955">
            <w:pPr>
              <w:pStyle w:val="17"/>
              <w:bidi w:val="0"/>
              <w:rPr>
                <w:rFonts w:ascii="Times New Roman" w:hAnsi="Times New Roman"/>
                <w:color w:val="auto"/>
              </w:rPr>
            </w:pPr>
          </w:p>
        </w:tc>
        <w:tc>
          <w:tcPr>
            <w:tcW w:w="1164" w:type="pct"/>
            <w:vAlign w:val="center"/>
          </w:tcPr>
          <w:p w14:paraId="37F5C0B6">
            <w:pPr>
              <w:pStyle w:val="17"/>
              <w:bidi w:val="0"/>
              <w:rPr>
                <w:rFonts w:ascii="Times New Roman" w:hAnsi="Times New Roman"/>
                <w:color w:val="auto"/>
              </w:rPr>
            </w:pPr>
            <w:r>
              <w:rPr>
                <w:rFonts w:ascii="Times New Roman" w:hAnsi="Times New Roman"/>
                <w:color w:val="auto"/>
              </w:rPr>
              <w:t>20km/h</w:t>
            </w:r>
          </w:p>
        </w:tc>
        <w:tc>
          <w:tcPr>
            <w:tcW w:w="1843" w:type="pct"/>
            <w:vAlign w:val="center"/>
          </w:tcPr>
          <w:p w14:paraId="69EECDBF">
            <w:pPr>
              <w:pStyle w:val="17"/>
              <w:bidi w:val="0"/>
              <w:rPr>
                <w:rFonts w:ascii="Times New Roman" w:hAnsi="Times New Roman"/>
                <w:color w:val="auto"/>
              </w:rPr>
            </w:pPr>
            <w:r>
              <w:rPr>
                <w:rFonts w:ascii="Times New Roman" w:hAnsi="Times New Roman"/>
                <w:color w:val="auto"/>
              </w:rPr>
              <w:t>空车</w:t>
            </w:r>
          </w:p>
        </w:tc>
      </w:tr>
      <w:tr w14:paraId="5BB491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restart"/>
            <w:vAlign w:val="center"/>
          </w:tcPr>
          <w:p w14:paraId="11AEC1CF">
            <w:pPr>
              <w:pStyle w:val="17"/>
              <w:bidi w:val="0"/>
              <w:rPr>
                <w:rFonts w:ascii="Times New Roman" w:hAnsi="Times New Roman"/>
                <w:color w:val="auto"/>
              </w:rPr>
            </w:pPr>
            <w:r>
              <w:rPr>
                <w:rFonts w:ascii="Times New Roman" w:hAnsi="Times New Roman"/>
                <w:color w:val="auto"/>
              </w:rPr>
              <w:t>4</w:t>
            </w:r>
          </w:p>
        </w:tc>
        <w:tc>
          <w:tcPr>
            <w:tcW w:w="1503" w:type="pct"/>
            <w:vMerge w:val="restart"/>
            <w:vAlign w:val="center"/>
          </w:tcPr>
          <w:p w14:paraId="784DE21C">
            <w:pPr>
              <w:pStyle w:val="17"/>
              <w:bidi w:val="0"/>
              <w:rPr>
                <w:rFonts w:ascii="Times New Roman" w:hAnsi="Times New Roman"/>
                <w:color w:val="auto"/>
              </w:rPr>
            </w:pPr>
            <w:r>
              <w:rPr>
                <w:rFonts w:ascii="Times New Roman" w:hAnsi="Times New Roman"/>
                <w:color w:val="auto"/>
              </w:rPr>
              <w:t>道路视距</w:t>
            </w:r>
          </w:p>
        </w:tc>
        <w:tc>
          <w:tcPr>
            <w:tcW w:w="1164" w:type="pct"/>
            <w:vAlign w:val="center"/>
          </w:tcPr>
          <w:p w14:paraId="5EE84A0D">
            <w:pPr>
              <w:pStyle w:val="17"/>
              <w:bidi w:val="0"/>
              <w:rPr>
                <w:rFonts w:ascii="Times New Roman" w:hAnsi="Times New Roman"/>
                <w:color w:val="auto"/>
              </w:rPr>
            </w:pPr>
            <w:r>
              <w:rPr>
                <w:rFonts w:ascii="Times New Roman" w:hAnsi="Times New Roman"/>
                <w:color w:val="auto"/>
              </w:rPr>
              <w:t>20m</w:t>
            </w:r>
          </w:p>
        </w:tc>
        <w:tc>
          <w:tcPr>
            <w:tcW w:w="1843" w:type="pct"/>
            <w:vAlign w:val="center"/>
          </w:tcPr>
          <w:p w14:paraId="106DB48F">
            <w:pPr>
              <w:pStyle w:val="17"/>
              <w:bidi w:val="0"/>
              <w:rPr>
                <w:rFonts w:ascii="Times New Roman" w:hAnsi="Times New Roman"/>
                <w:color w:val="auto"/>
              </w:rPr>
            </w:pPr>
            <w:r>
              <w:rPr>
                <w:rFonts w:ascii="Times New Roman" w:hAnsi="Times New Roman"/>
                <w:color w:val="auto"/>
              </w:rPr>
              <w:t>停车视距</w:t>
            </w:r>
          </w:p>
        </w:tc>
      </w:tr>
      <w:tr w14:paraId="4BAA2C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continue"/>
            <w:vAlign w:val="center"/>
          </w:tcPr>
          <w:p w14:paraId="39440331">
            <w:pPr>
              <w:pStyle w:val="17"/>
              <w:bidi w:val="0"/>
              <w:rPr>
                <w:rFonts w:ascii="Times New Roman" w:hAnsi="Times New Roman"/>
                <w:color w:val="auto"/>
              </w:rPr>
            </w:pPr>
          </w:p>
        </w:tc>
        <w:tc>
          <w:tcPr>
            <w:tcW w:w="1503" w:type="pct"/>
            <w:vMerge w:val="continue"/>
            <w:vAlign w:val="center"/>
          </w:tcPr>
          <w:p w14:paraId="013B34A3">
            <w:pPr>
              <w:pStyle w:val="17"/>
              <w:bidi w:val="0"/>
              <w:rPr>
                <w:rFonts w:ascii="Times New Roman" w:hAnsi="Times New Roman"/>
                <w:color w:val="auto"/>
              </w:rPr>
            </w:pPr>
          </w:p>
        </w:tc>
        <w:tc>
          <w:tcPr>
            <w:tcW w:w="1164" w:type="pct"/>
            <w:vAlign w:val="center"/>
          </w:tcPr>
          <w:p w14:paraId="575F0FC7">
            <w:pPr>
              <w:pStyle w:val="17"/>
              <w:bidi w:val="0"/>
              <w:rPr>
                <w:rFonts w:ascii="Times New Roman" w:hAnsi="Times New Roman"/>
                <w:color w:val="auto"/>
              </w:rPr>
            </w:pPr>
            <w:r>
              <w:rPr>
                <w:rFonts w:ascii="Times New Roman" w:hAnsi="Times New Roman"/>
                <w:color w:val="auto"/>
              </w:rPr>
              <w:t>40m</w:t>
            </w:r>
          </w:p>
        </w:tc>
        <w:tc>
          <w:tcPr>
            <w:tcW w:w="1843" w:type="pct"/>
            <w:vAlign w:val="center"/>
          </w:tcPr>
          <w:p w14:paraId="74ED38D5">
            <w:pPr>
              <w:pStyle w:val="17"/>
              <w:bidi w:val="0"/>
              <w:rPr>
                <w:rFonts w:ascii="Times New Roman" w:hAnsi="Times New Roman"/>
                <w:color w:val="auto"/>
              </w:rPr>
            </w:pPr>
            <w:r>
              <w:rPr>
                <w:rFonts w:ascii="Times New Roman" w:hAnsi="Times New Roman"/>
                <w:color w:val="auto"/>
              </w:rPr>
              <w:t>会车视距</w:t>
            </w:r>
          </w:p>
        </w:tc>
      </w:tr>
      <w:tr w14:paraId="4020B2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5A6BC56E">
            <w:pPr>
              <w:pStyle w:val="17"/>
              <w:bidi w:val="0"/>
              <w:rPr>
                <w:rFonts w:ascii="Times New Roman" w:hAnsi="Times New Roman"/>
                <w:color w:val="auto"/>
              </w:rPr>
            </w:pPr>
            <w:r>
              <w:rPr>
                <w:rFonts w:ascii="Times New Roman" w:hAnsi="Times New Roman"/>
                <w:color w:val="auto"/>
              </w:rPr>
              <w:t>5</w:t>
            </w:r>
          </w:p>
        </w:tc>
        <w:tc>
          <w:tcPr>
            <w:tcW w:w="1503" w:type="pct"/>
            <w:vAlign w:val="center"/>
          </w:tcPr>
          <w:p w14:paraId="7381E5D3">
            <w:pPr>
              <w:pStyle w:val="17"/>
              <w:bidi w:val="0"/>
              <w:rPr>
                <w:rFonts w:ascii="Times New Roman" w:hAnsi="Times New Roman"/>
                <w:color w:val="auto"/>
              </w:rPr>
            </w:pPr>
            <w:r>
              <w:rPr>
                <w:rFonts w:ascii="Times New Roman" w:hAnsi="Times New Roman"/>
                <w:color w:val="auto"/>
              </w:rPr>
              <w:t>路面宽度</w:t>
            </w:r>
          </w:p>
        </w:tc>
        <w:tc>
          <w:tcPr>
            <w:tcW w:w="1164" w:type="pct"/>
            <w:vAlign w:val="center"/>
          </w:tcPr>
          <w:p w14:paraId="595AB9D3">
            <w:pPr>
              <w:pStyle w:val="17"/>
              <w:bidi w:val="0"/>
              <w:rPr>
                <w:rFonts w:ascii="Times New Roman" w:hAnsi="Times New Roman"/>
                <w:color w:val="auto"/>
              </w:rPr>
            </w:pPr>
            <w:r>
              <w:rPr>
                <w:rFonts w:ascii="Times New Roman" w:hAnsi="Times New Roman"/>
                <w:color w:val="auto"/>
              </w:rPr>
              <w:t>4m</w:t>
            </w:r>
          </w:p>
        </w:tc>
        <w:tc>
          <w:tcPr>
            <w:tcW w:w="1843" w:type="pct"/>
            <w:vAlign w:val="center"/>
          </w:tcPr>
          <w:p w14:paraId="0897BC55">
            <w:pPr>
              <w:pStyle w:val="17"/>
              <w:bidi w:val="0"/>
              <w:rPr>
                <w:rFonts w:ascii="Times New Roman" w:hAnsi="Times New Roman"/>
                <w:color w:val="auto"/>
              </w:rPr>
            </w:pPr>
            <w:r>
              <w:rPr>
                <w:rFonts w:ascii="Times New Roman" w:hAnsi="Times New Roman"/>
                <w:color w:val="auto"/>
              </w:rPr>
              <w:t>单车道</w:t>
            </w:r>
          </w:p>
        </w:tc>
      </w:tr>
      <w:tr w14:paraId="7C1ED8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restart"/>
            <w:vAlign w:val="center"/>
          </w:tcPr>
          <w:p w14:paraId="4179B128">
            <w:pPr>
              <w:pStyle w:val="17"/>
              <w:bidi w:val="0"/>
              <w:rPr>
                <w:rFonts w:ascii="Times New Roman" w:hAnsi="Times New Roman"/>
                <w:color w:val="auto"/>
              </w:rPr>
            </w:pPr>
            <w:r>
              <w:rPr>
                <w:rFonts w:ascii="Times New Roman" w:hAnsi="Times New Roman"/>
                <w:color w:val="auto"/>
              </w:rPr>
              <w:t>6</w:t>
            </w:r>
          </w:p>
        </w:tc>
        <w:tc>
          <w:tcPr>
            <w:tcW w:w="1503" w:type="pct"/>
            <w:vMerge w:val="restart"/>
            <w:vAlign w:val="center"/>
          </w:tcPr>
          <w:p w14:paraId="748E1735">
            <w:pPr>
              <w:pStyle w:val="17"/>
              <w:bidi w:val="0"/>
              <w:rPr>
                <w:rFonts w:ascii="Times New Roman" w:hAnsi="Times New Roman"/>
                <w:color w:val="auto"/>
              </w:rPr>
            </w:pPr>
            <w:r>
              <w:rPr>
                <w:rFonts w:ascii="Times New Roman" w:hAnsi="Times New Roman"/>
                <w:color w:val="auto"/>
              </w:rPr>
              <w:t>路肩宽度</w:t>
            </w:r>
          </w:p>
        </w:tc>
        <w:tc>
          <w:tcPr>
            <w:tcW w:w="1164" w:type="pct"/>
            <w:vAlign w:val="center"/>
          </w:tcPr>
          <w:p w14:paraId="0A1D37A1">
            <w:pPr>
              <w:pStyle w:val="17"/>
              <w:bidi w:val="0"/>
              <w:rPr>
                <w:rFonts w:ascii="Times New Roman" w:hAnsi="Times New Roman"/>
                <w:color w:val="auto"/>
              </w:rPr>
            </w:pPr>
            <w:r>
              <w:rPr>
                <w:rFonts w:ascii="Times New Roman" w:hAnsi="Times New Roman"/>
                <w:color w:val="auto"/>
              </w:rPr>
              <w:t>1.5m</w:t>
            </w:r>
          </w:p>
        </w:tc>
        <w:tc>
          <w:tcPr>
            <w:tcW w:w="1843" w:type="pct"/>
            <w:vAlign w:val="center"/>
          </w:tcPr>
          <w:p w14:paraId="1DEBDA35">
            <w:pPr>
              <w:pStyle w:val="17"/>
              <w:bidi w:val="0"/>
              <w:rPr>
                <w:rFonts w:ascii="Times New Roman" w:hAnsi="Times New Roman"/>
                <w:color w:val="auto"/>
              </w:rPr>
            </w:pPr>
            <w:r>
              <w:rPr>
                <w:rFonts w:ascii="Times New Roman" w:hAnsi="Times New Roman"/>
                <w:color w:val="auto"/>
              </w:rPr>
              <w:t>填方路段</w:t>
            </w:r>
          </w:p>
        </w:tc>
      </w:tr>
      <w:tr w14:paraId="2BCAD5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continue"/>
            <w:vAlign w:val="center"/>
          </w:tcPr>
          <w:p w14:paraId="46517368">
            <w:pPr>
              <w:pStyle w:val="17"/>
              <w:bidi w:val="0"/>
              <w:rPr>
                <w:rFonts w:ascii="Times New Roman" w:hAnsi="Times New Roman"/>
                <w:color w:val="auto"/>
              </w:rPr>
            </w:pPr>
          </w:p>
        </w:tc>
        <w:tc>
          <w:tcPr>
            <w:tcW w:w="1503" w:type="pct"/>
            <w:vMerge w:val="continue"/>
            <w:vAlign w:val="center"/>
          </w:tcPr>
          <w:p w14:paraId="3DC53CEA">
            <w:pPr>
              <w:pStyle w:val="17"/>
              <w:bidi w:val="0"/>
              <w:rPr>
                <w:rFonts w:ascii="Times New Roman" w:hAnsi="Times New Roman"/>
                <w:color w:val="auto"/>
              </w:rPr>
            </w:pPr>
          </w:p>
        </w:tc>
        <w:tc>
          <w:tcPr>
            <w:tcW w:w="1164" w:type="pct"/>
            <w:vAlign w:val="center"/>
          </w:tcPr>
          <w:p w14:paraId="52BEB892">
            <w:pPr>
              <w:pStyle w:val="17"/>
              <w:bidi w:val="0"/>
              <w:rPr>
                <w:rFonts w:ascii="Times New Roman" w:hAnsi="Times New Roman"/>
                <w:color w:val="auto"/>
              </w:rPr>
            </w:pPr>
            <w:r>
              <w:rPr>
                <w:rFonts w:ascii="Times New Roman" w:hAnsi="Times New Roman"/>
                <w:color w:val="auto"/>
              </w:rPr>
              <w:t>0.75m</w:t>
            </w:r>
          </w:p>
        </w:tc>
        <w:tc>
          <w:tcPr>
            <w:tcW w:w="1843" w:type="pct"/>
            <w:vAlign w:val="center"/>
          </w:tcPr>
          <w:p w14:paraId="79BB9187">
            <w:pPr>
              <w:pStyle w:val="17"/>
              <w:bidi w:val="0"/>
              <w:rPr>
                <w:rFonts w:ascii="Times New Roman" w:hAnsi="Times New Roman"/>
                <w:color w:val="auto"/>
              </w:rPr>
            </w:pPr>
            <w:r>
              <w:rPr>
                <w:rFonts w:ascii="Times New Roman" w:hAnsi="Times New Roman"/>
                <w:color w:val="auto"/>
              </w:rPr>
              <w:t>挖方路段</w:t>
            </w:r>
          </w:p>
        </w:tc>
      </w:tr>
      <w:tr w14:paraId="69EAAD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1F768A81">
            <w:pPr>
              <w:pStyle w:val="17"/>
              <w:bidi w:val="0"/>
              <w:rPr>
                <w:rFonts w:ascii="Times New Roman" w:hAnsi="Times New Roman"/>
                <w:color w:val="auto"/>
              </w:rPr>
            </w:pPr>
            <w:r>
              <w:rPr>
                <w:rFonts w:ascii="Times New Roman" w:hAnsi="Times New Roman"/>
                <w:color w:val="auto"/>
              </w:rPr>
              <w:t>7</w:t>
            </w:r>
          </w:p>
        </w:tc>
        <w:tc>
          <w:tcPr>
            <w:tcW w:w="1503" w:type="pct"/>
            <w:vAlign w:val="center"/>
          </w:tcPr>
          <w:p w14:paraId="21AC3E59">
            <w:pPr>
              <w:pStyle w:val="17"/>
              <w:bidi w:val="0"/>
              <w:rPr>
                <w:rFonts w:ascii="Times New Roman" w:hAnsi="Times New Roman"/>
                <w:color w:val="auto"/>
              </w:rPr>
            </w:pPr>
            <w:r>
              <w:rPr>
                <w:rFonts w:ascii="Times New Roman" w:hAnsi="Times New Roman"/>
                <w:color w:val="auto"/>
              </w:rPr>
              <w:t>最小圆曲线半径</w:t>
            </w:r>
          </w:p>
        </w:tc>
        <w:tc>
          <w:tcPr>
            <w:tcW w:w="1164" w:type="pct"/>
            <w:vAlign w:val="center"/>
          </w:tcPr>
          <w:p w14:paraId="67E09ABF">
            <w:pPr>
              <w:pStyle w:val="17"/>
              <w:bidi w:val="0"/>
              <w:rPr>
                <w:rFonts w:ascii="Times New Roman" w:hAnsi="Times New Roman"/>
                <w:color w:val="auto"/>
              </w:rPr>
            </w:pPr>
            <w:r>
              <w:rPr>
                <w:rFonts w:ascii="Times New Roman" w:hAnsi="Times New Roman"/>
                <w:color w:val="auto"/>
              </w:rPr>
              <w:t>15m</w:t>
            </w:r>
          </w:p>
        </w:tc>
        <w:tc>
          <w:tcPr>
            <w:tcW w:w="1843" w:type="pct"/>
            <w:vAlign w:val="center"/>
          </w:tcPr>
          <w:p w14:paraId="2E9D76FE">
            <w:pPr>
              <w:pStyle w:val="17"/>
              <w:bidi w:val="0"/>
              <w:rPr>
                <w:rFonts w:ascii="Times New Roman" w:hAnsi="Times New Roman"/>
                <w:color w:val="auto"/>
              </w:rPr>
            </w:pPr>
          </w:p>
        </w:tc>
      </w:tr>
      <w:tr w14:paraId="7773E3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6B0C803F">
            <w:pPr>
              <w:pStyle w:val="17"/>
              <w:bidi w:val="0"/>
              <w:rPr>
                <w:rFonts w:ascii="Times New Roman" w:hAnsi="Times New Roman"/>
                <w:color w:val="auto"/>
              </w:rPr>
            </w:pPr>
            <w:r>
              <w:rPr>
                <w:rFonts w:ascii="Times New Roman" w:hAnsi="Times New Roman"/>
                <w:color w:val="auto"/>
              </w:rPr>
              <w:t>8</w:t>
            </w:r>
          </w:p>
        </w:tc>
        <w:tc>
          <w:tcPr>
            <w:tcW w:w="1503" w:type="pct"/>
            <w:vAlign w:val="center"/>
          </w:tcPr>
          <w:p w14:paraId="59A0D391">
            <w:pPr>
              <w:pStyle w:val="17"/>
              <w:bidi w:val="0"/>
              <w:rPr>
                <w:rFonts w:ascii="Times New Roman" w:hAnsi="Times New Roman"/>
                <w:color w:val="auto"/>
              </w:rPr>
            </w:pPr>
            <w:r>
              <w:rPr>
                <w:rFonts w:ascii="Times New Roman" w:hAnsi="Times New Roman"/>
                <w:color w:val="auto"/>
              </w:rPr>
              <w:t>最大纵坡</w:t>
            </w:r>
          </w:p>
        </w:tc>
        <w:tc>
          <w:tcPr>
            <w:tcW w:w="1164" w:type="pct"/>
            <w:vAlign w:val="center"/>
          </w:tcPr>
          <w:p w14:paraId="09E1440F">
            <w:pPr>
              <w:pStyle w:val="17"/>
              <w:bidi w:val="0"/>
              <w:rPr>
                <w:rFonts w:ascii="Times New Roman" w:hAnsi="Times New Roman"/>
                <w:color w:val="auto"/>
              </w:rPr>
            </w:pPr>
            <w:r>
              <w:rPr>
                <w:rFonts w:ascii="Times New Roman" w:hAnsi="Times New Roman"/>
                <w:color w:val="auto"/>
              </w:rPr>
              <w:t>9%</w:t>
            </w:r>
          </w:p>
        </w:tc>
        <w:tc>
          <w:tcPr>
            <w:tcW w:w="1843" w:type="pct"/>
            <w:vAlign w:val="center"/>
          </w:tcPr>
          <w:p w14:paraId="21FCB9E2">
            <w:pPr>
              <w:pStyle w:val="17"/>
              <w:bidi w:val="0"/>
              <w:rPr>
                <w:rFonts w:ascii="Times New Roman" w:hAnsi="Times New Roman"/>
                <w:color w:val="auto"/>
              </w:rPr>
            </w:pPr>
          </w:p>
        </w:tc>
      </w:tr>
      <w:tr w14:paraId="045B6C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restart"/>
            <w:vAlign w:val="center"/>
          </w:tcPr>
          <w:p w14:paraId="33DA3C4B">
            <w:pPr>
              <w:pStyle w:val="17"/>
              <w:bidi w:val="0"/>
              <w:rPr>
                <w:rFonts w:ascii="Times New Roman" w:hAnsi="Times New Roman"/>
                <w:color w:val="auto"/>
              </w:rPr>
            </w:pPr>
            <w:r>
              <w:rPr>
                <w:rFonts w:ascii="Times New Roman" w:hAnsi="Times New Roman"/>
                <w:color w:val="auto"/>
              </w:rPr>
              <w:t>9</w:t>
            </w:r>
          </w:p>
        </w:tc>
        <w:tc>
          <w:tcPr>
            <w:tcW w:w="1503" w:type="pct"/>
            <w:vMerge w:val="restart"/>
            <w:vAlign w:val="center"/>
          </w:tcPr>
          <w:p w14:paraId="5647E9AE">
            <w:pPr>
              <w:pStyle w:val="17"/>
              <w:bidi w:val="0"/>
              <w:rPr>
                <w:rFonts w:ascii="Times New Roman" w:hAnsi="Times New Roman"/>
                <w:color w:val="auto"/>
              </w:rPr>
            </w:pPr>
            <w:r>
              <w:rPr>
                <w:rFonts w:ascii="Times New Roman" w:hAnsi="Times New Roman"/>
                <w:color w:val="auto"/>
              </w:rPr>
              <w:t>纵坡限制长度</w:t>
            </w:r>
          </w:p>
        </w:tc>
        <w:tc>
          <w:tcPr>
            <w:tcW w:w="1164" w:type="pct"/>
            <w:vAlign w:val="center"/>
          </w:tcPr>
          <w:p w14:paraId="1FDC8949">
            <w:pPr>
              <w:pStyle w:val="17"/>
              <w:bidi w:val="0"/>
              <w:rPr>
                <w:rFonts w:ascii="Times New Roman" w:hAnsi="Times New Roman"/>
                <w:color w:val="auto"/>
              </w:rPr>
            </w:pPr>
            <w:r>
              <w:rPr>
                <w:rFonts w:ascii="Times New Roman" w:hAnsi="Times New Roman"/>
                <w:color w:val="auto"/>
              </w:rPr>
              <w:t>500m</w:t>
            </w:r>
          </w:p>
        </w:tc>
        <w:tc>
          <w:tcPr>
            <w:tcW w:w="1843" w:type="pct"/>
            <w:vAlign w:val="center"/>
          </w:tcPr>
          <w:p w14:paraId="6A8B7D86">
            <w:pPr>
              <w:pStyle w:val="17"/>
              <w:bidi w:val="0"/>
              <w:rPr>
                <w:rFonts w:ascii="Times New Roman" w:hAnsi="Times New Roman"/>
                <w:color w:val="auto"/>
              </w:rPr>
            </w:pPr>
            <w:r>
              <w:rPr>
                <w:rFonts w:ascii="Times New Roman" w:hAnsi="Times New Roman"/>
                <w:color w:val="auto"/>
              </w:rPr>
              <w:t>纵坡6~7%</w:t>
            </w:r>
          </w:p>
        </w:tc>
      </w:tr>
      <w:tr w14:paraId="557023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continue"/>
            <w:vAlign w:val="center"/>
          </w:tcPr>
          <w:p w14:paraId="426C9621">
            <w:pPr>
              <w:pStyle w:val="17"/>
              <w:bidi w:val="0"/>
              <w:rPr>
                <w:rFonts w:ascii="Times New Roman" w:hAnsi="Times New Roman"/>
                <w:color w:val="auto"/>
              </w:rPr>
            </w:pPr>
          </w:p>
        </w:tc>
        <w:tc>
          <w:tcPr>
            <w:tcW w:w="1503" w:type="pct"/>
            <w:vMerge w:val="continue"/>
            <w:vAlign w:val="center"/>
          </w:tcPr>
          <w:p w14:paraId="5AC85823">
            <w:pPr>
              <w:pStyle w:val="17"/>
              <w:bidi w:val="0"/>
              <w:rPr>
                <w:rFonts w:ascii="Times New Roman" w:hAnsi="Times New Roman"/>
                <w:color w:val="auto"/>
              </w:rPr>
            </w:pPr>
          </w:p>
        </w:tc>
        <w:tc>
          <w:tcPr>
            <w:tcW w:w="1164" w:type="pct"/>
            <w:vAlign w:val="center"/>
          </w:tcPr>
          <w:p w14:paraId="52EA22FC">
            <w:pPr>
              <w:pStyle w:val="17"/>
              <w:bidi w:val="0"/>
              <w:rPr>
                <w:rFonts w:ascii="Times New Roman" w:hAnsi="Times New Roman"/>
                <w:color w:val="auto"/>
              </w:rPr>
            </w:pPr>
            <w:r>
              <w:rPr>
                <w:rFonts w:ascii="Times New Roman" w:hAnsi="Times New Roman"/>
                <w:color w:val="auto"/>
              </w:rPr>
              <w:t>350m</w:t>
            </w:r>
          </w:p>
        </w:tc>
        <w:tc>
          <w:tcPr>
            <w:tcW w:w="1843" w:type="pct"/>
            <w:vAlign w:val="center"/>
          </w:tcPr>
          <w:p w14:paraId="7B4D0971">
            <w:pPr>
              <w:pStyle w:val="17"/>
              <w:bidi w:val="0"/>
              <w:rPr>
                <w:rFonts w:ascii="Times New Roman" w:hAnsi="Times New Roman"/>
                <w:color w:val="auto"/>
              </w:rPr>
            </w:pPr>
            <w:r>
              <w:rPr>
                <w:rFonts w:ascii="Times New Roman" w:hAnsi="Times New Roman"/>
                <w:color w:val="auto"/>
              </w:rPr>
              <w:t>纵坡7~8%</w:t>
            </w:r>
          </w:p>
        </w:tc>
      </w:tr>
      <w:tr w14:paraId="0EF05D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Merge w:val="continue"/>
            <w:vAlign w:val="center"/>
          </w:tcPr>
          <w:p w14:paraId="4A0D9054">
            <w:pPr>
              <w:pStyle w:val="17"/>
              <w:bidi w:val="0"/>
              <w:rPr>
                <w:rFonts w:ascii="Times New Roman" w:hAnsi="Times New Roman"/>
                <w:color w:val="auto"/>
              </w:rPr>
            </w:pPr>
          </w:p>
        </w:tc>
        <w:tc>
          <w:tcPr>
            <w:tcW w:w="1503" w:type="pct"/>
            <w:vMerge w:val="continue"/>
            <w:vAlign w:val="center"/>
          </w:tcPr>
          <w:p w14:paraId="0566C946">
            <w:pPr>
              <w:pStyle w:val="17"/>
              <w:bidi w:val="0"/>
              <w:rPr>
                <w:rFonts w:ascii="Times New Roman" w:hAnsi="Times New Roman"/>
                <w:color w:val="auto"/>
              </w:rPr>
            </w:pPr>
          </w:p>
        </w:tc>
        <w:tc>
          <w:tcPr>
            <w:tcW w:w="1164" w:type="pct"/>
            <w:vAlign w:val="center"/>
          </w:tcPr>
          <w:p w14:paraId="53444557">
            <w:pPr>
              <w:pStyle w:val="17"/>
              <w:bidi w:val="0"/>
              <w:rPr>
                <w:rFonts w:ascii="Times New Roman" w:hAnsi="Times New Roman"/>
                <w:color w:val="auto"/>
              </w:rPr>
            </w:pPr>
            <w:r>
              <w:rPr>
                <w:rFonts w:ascii="Times New Roman" w:hAnsi="Times New Roman"/>
                <w:color w:val="auto"/>
              </w:rPr>
              <w:t>200m</w:t>
            </w:r>
          </w:p>
        </w:tc>
        <w:tc>
          <w:tcPr>
            <w:tcW w:w="1843" w:type="pct"/>
            <w:vAlign w:val="center"/>
          </w:tcPr>
          <w:p w14:paraId="7D24FC4F">
            <w:pPr>
              <w:pStyle w:val="17"/>
              <w:bidi w:val="0"/>
              <w:rPr>
                <w:rFonts w:ascii="Times New Roman" w:hAnsi="Times New Roman"/>
                <w:color w:val="auto"/>
              </w:rPr>
            </w:pPr>
            <w:r>
              <w:rPr>
                <w:rFonts w:ascii="Times New Roman" w:hAnsi="Times New Roman"/>
                <w:color w:val="auto"/>
              </w:rPr>
              <w:t>纵坡8~9%</w:t>
            </w:r>
          </w:p>
        </w:tc>
      </w:tr>
      <w:tr w14:paraId="44692E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364012FA">
            <w:pPr>
              <w:pStyle w:val="17"/>
              <w:bidi w:val="0"/>
              <w:rPr>
                <w:rFonts w:ascii="Times New Roman" w:hAnsi="Times New Roman"/>
                <w:color w:val="auto"/>
              </w:rPr>
            </w:pPr>
            <w:r>
              <w:rPr>
                <w:rFonts w:ascii="Times New Roman" w:hAnsi="Times New Roman"/>
                <w:color w:val="auto"/>
              </w:rPr>
              <w:t>10</w:t>
            </w:r>
          </w:p>
        </w:tc>
        <w:tc>
          <w:tcPr>
            <w:tcW w:w="1503" w:type="pct"/>
            <w:vAlign w:val="center"/>
          </w:tcPr>
          <w:p w14:paraId="5324D6FD">
            <w:pPr>
              <w:pStyle w:val="17"/>
              <w:bidi w:val="0"/>
              <w:rPr>
                <w:rFonts w:ascii="Times New Roman" w:hAnsi="Times New Roman"/>
                <w:color w:val="auto"/>
              </w:rPr>
            </w:pPr>
            <w:r>
              <w:rPr>
                <w:rFonts w:ascii="Times New Roman" w:hAnsi="Times New Roman"/>
                <w:color w:val="auto"/>
              </w:rPr>
              <w:t>缓和坡段长度</w:t>
            </w:r>
          </w:p>
        </w:tc>
        <w:tc>
          <w:tcPr>
            <w:tcW w:w="1164" w:type="pct"/>
            <w:vAlign w:val="center"/>
          </w:tcPr>
          <w:p w14:paraId="47587D67">
            <w:pPr>
              <w:pStyle w:val="17"/>
              <w:bidi w:val="0"/>
              <w:rPr>
                <w:rFonts w:ascii="Times New Roman" w:hAnsi="Times New Roman"/>
                <w:color w:val="auto"/>
              </w:rPr>
            </w:pPr>
            <w:r>
              <w:rPr>
                <w:rFonts w:ascii="Times New Roman" w:hAnsi="Times New Roman"/>
                <w:color w:val="auto"/>
              </w:rPr>
              <w:t>60m</w:t>
            </w:r>
          </w:p>
        </w:tc>
        <w:tc>
          <w:tcPr>
            <w:tcW w:w="1843" w:type="pct"/>
            <w:vAlign w:val="center"/>
          </w:tcPr>
          <w:p w14:paraId="28CFBBED">
            <w:pPr>
              <w:pStyle w:val="17"/>
              <w:bidi w:val="0"/>
              <w:rPr>
                <w:rFonts w:ascii="Times New Roman" w:hAnsi="Times New Roman"/>
                <w:color w:val="auto"/>
              </w:rPr>
            </w:pPr>
          </w:p>
        </w:tc>
      </w:tr>
      <w:tr w14:paraId="22AFE4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88" w:type="pct"/>
            <w:vAlign w:val="center"/>
          </w:tcPr>
          <w:p w14:paraId="123B9898">
            <w:pPr>
              <w:pStyle w:val="17"/>
              <w:bidi w:val="0"/>
              <w:rPr>
                <w:rFonts w:ascii="Times New Roman" w:hAnsi="Times New Roman"/>
                <w:color w:val="auto"/>
              </w:rPr>
            </w:pPr>
            <w:r>
              <w:rPr>
                <w:rFonts w:ascii="Times New Roman" w:hAnsi="Times New Roman"/>
                <w:color w:val="auto"/>
              </w:rPr>
              <w:t>11</w:t>
            </w:r>
          </w:p>
        </w:tc>
        <w:tc>
          <w:tcPr>
            <w:tcW w:w="1503" w:type="pct"/>
            <w:vAlign w:val="center"/>
          </w:tcPr>
          <w:p w14:paraId="1359B10D">
            <w:pPr>
              <w:pStyle w:val="17"/>
              <w:bidi w:val="0"/>
              <w:rPr>
                <w:rFonts w:ascii="Times New Roman" w:hAnsi="Times New Roman"/>
                <w:color w:val="auto"/>
              </w:rPr>
            </w:pPr>
            <w:r>
              <w:rPr>
                <w:rFonts w:ascii="Times New Roman" w:hAnsi="Times New Roman"/>
                <w:color w:val="auto"/>
              </w:rPr>
              <w:t>缓和坡段坡度</w:t>
            </w:r>
          </w:p>
        </w:tc>
        <w:tc>
          <w:tcPr>
            <w:tcW w:w="1164" w:type="pct"/>
            <w:vAlign w:val="center"/>
          </w:tcPr>
          <w:p w14:paraId="72E9EB2E">
            <w:pPr>
              <w:pStyle w:val="17"/>
              <w:bidi w:val="0"/>
              <w:rPr>
                <w:rFonts w:ascii="Times New Roman" w:hAnsi="Times New Roman"/>
                <w:color w:val="auto"/>
              </w:rPr>
            </w:pPr>
            <w:r>
              <w:rPr>
                <w:rFonts w:ascii="Times New Roman" w:hAnsi="Times New Roman"/>
                <w:color w:val="auto"/>
              </w:rPr>
              <w:t>3%</w:t>
            </w:r>
          </w:p>
        </w:tc>
        <w:tc>
          <w:tcPr>
            <w:tcW w:w="1843" w:type="pct"/>
            <w:vAlign w:val="center"/>
          </w:tcPr>
          <w:p w14:paraId="12F02B0A">
            <w:pPr>
              <w:pStyle w:val="17"/>
              <w:bidi w:val="0"/>
              <w:rPr>
                <w:rFonts w:ascii="Times New Roman" w:hAnsi="Times New Roman"/>
                <w:color w:val="auto"/>
              </w:rPr>
            </w:pPr>
          </w:p>
        </w:tc>
      </w:tr>
    </w:tbl>
    <w:p w14:paraId="4B63FAE8">
      <w:pPr>
        <w:bidi w:val="0"/>
        <w:rPr>
          <w:rFonts w:hint="eastAsia" w:ascii="Times New Roman" w:hAnsi="Times New Roman"/>
          <w:color w:val="auto"/>
          <w:lang w:val="en-US" w:eastAsia="zh-CN"/>
        </w:rPr>
      </w:pPr>
      <w:r>
        <w:rPr>
          <w:rFonts w:hint="eastAsia" w:ascii="Times New Roman" w:hAnsi="Times New Roman"/>
          <w:color w:val="auto"/>
          <w:lang w:val="en-US" w:eastAsia="zh-CN"/>
        </w:rPr>
        <w:t>（3）道路设计</w:t>
      </w:r>
    </w:p>
    <w:p w14:paraId="2F98AA69">
      <w:pPr>
        <w:bidi w:val="0"/>
        <w:rPr>
          <w:rFonts w:hint="eastAsia" w:ascii="Times New Roman" w:hAnsi="Times New Roman"/>
          <w:color w:val="auto"/>
          <w:lang w:val="en-US" w:eastAsia="zh-CN"/>
        </w:rPr>
      </w:pPr>
      <w:r>
        <w:rPr>
          <w:rFonts w:hint="eastAsia" w:ascii="Times New Roman" w:hAnsi="Times New Roman"/>
          <w:color w:val="auto"/>
          <w:lang w:val="en-US" w:eastAsia="zh-CN"/>
        </w:rPr>
        <w:t>道路采用单车道+错车道，道路宽度4m，缓坡段兼做错车道，错车道宽6.5m。</w:t>
      </w:r>
    </w:p>
    <w:p w14:paraId="3C28783A">
      <w:pPr>
        <w:bidi w:val="0"/>
        <w:rPr>
          <w:rFonts w:hint="eastAsia" w:ascii="Times New Roman" w:hAnsi="Times New Roman"/>
          <w:color w:val="auto"/>
          <w:lang w:val="en-US" w:eastAsia="zh-CN"/>
        </w:rPr>
      </w:pPr>
      <w:r>
        <w:rPr>
          <w:rFonts w:hint="eastAsia" w:ascii="Times New Roman" w:hAnsi="Times New Roman"/>
          <w:color w:val="auto"/>
          <w:lang w:val="en-US" w:eastAsia="zh-CN"/>
        </w:rPr>
        <w:t>基建时将原有运输道路整改后连接至2020m平台，作为2020m基建平台的运输道路，路面宽4m，运输道路长1163m，最大纵坡9%，平均纵坡7.6%，最小转弯半径15m。道路邻边坡一侧，设置土质安全车挡，车挡设置为梯形，高度为1.0m，顶宽0.6m，底宽1.2m。</w:t>
      </w:r>
    </w:p>
    <w:p w14:paraId="3EB049D1">
      <w:pPr>
        <w:bidi w:val="0"/>
        <w:rPr>
          <w:rFonts w:hint="eastAsia" w:ascii="Times New Roman" w:hAnsi="Times New Roman"/>
          <w:color w:val="auto"/>
          <w:lang w:val="en-US" w:eastAsia="zh-CN"/>
        </w:rPr>
      </w:pPr>
      <w:r>
        <w:rPr>
          <w:rFonts w:hint="eastAsia" w:ascii="Times New Roman" w:hAnsi="Times New Roman"/>
          <w:color w:val="auto"/>
          <w:lang w:val="en-US" w:eastAsia="zh-CN"/>
        </w:rPr>
        <w:t>因基建运输道路局部通过采空区边坡，为保证边坡及行车安全，需对局部边坡进行削坡处理，运输道路穿过的边坡区域最大高度为15m，拟对边坡进行降坡处理。边坡高度15m及以下，可采用一次性放坡，不设置分级平台。设计放坡坡率为1:0.3，削坡过程中采用浅孔小药量松动爆破，严禁放大炮扰动采空区岩体，削坡完成后自上而下全面清除坡面浮石、危石及松动岩体。详见附图中的开拓系统图、运输道路横断面图。</w:t>
      </w:r>
    </w:p>
    <w:p w14:paraId="2E270CF4">
      <w:pPr>
        <w:bidi w:val="0"/>
        <w:rPr>
          <w:rFonts w:hint="eastAsia" w:ascii="Times New Roman" w:hAnsi="Times New Roman"/>
          <w:color w:val="auto"/>
          <w:lang w:val="en-US" w:eastAsia="zh-CN"/>
        </w:rPr>
      </w:pPr>
      <w:r>
        <w:rPr>
          <w:rFonts w:hint="eastAsia" w:ascii="Times New Roman" w:hAnsi="Times New Roman"/>
          <w:color w:val="auto"/>
          <w:lang w:val="en-US" w:eastAsia="zh-CN"/>
        </w:rPr>
        <w:t>1975m平台矿石运输通过后期整修矿区南部现有道路运输，仅70m路段需新修，具备修建条件。该路面宽4m，道路长797m，最大纵坡9%，平均纵坡5.2%，最小转弯半径15m，能满足矿山运输要求。</w:t>
      </w:r>
    </w:p>
    <w:p w14:paraId="4AFB07FD">
      <w:pPr>
        <w:bidi w:val="0"/>
        <w:rPr>
          <w:rFonts w:hint="eastAsia" w:ascii="Times New Roman" w:hAnsi="Times New Roman"/>
          <w:color w:val="auto"/>
          <w:lang w:val="en-US" w:eastAsia="zh-CN"/>
        </w:rPr>
      </w:pPr>
      <w:r>
        <w:rPr>
          <w:rFonts w:hint="eastAsia" w:ascii="Times New Roman" w:hAnsi="Times New Roman"/>
          <w:color w:val="auto"/>
          <w:lang w:val="en-US" w:eastAsia="zh-CN"/>
        </w:rPr>
        <w:t>1960m平台通过平台联络道运输，修建1960m平台至1975m平台联络道，该联络道总长167m，路面宽8m，平均坡度为9%，最大纵坡为9%。</w:t>
      </w:r>
    </w:p>
    <w:p w14:paraId="28A53F48">
      <w:pPr>
        <w:bidi w:val="0"/>
        <w:rPr>
          <w:rFonts w:hint="eastAsia" w:ascii="Times New Roman" w:hAnsi="Times New Roman"/>
          <w:color w:val="auto"/>
          <w:lang w:val="en-US" w:eastAsia="zh-CN"/>
        </w:rPr>
      </w:pPr>
      <w:r>
        <w:rPr>
          <w:rFonts w:hint="eastAsia" w:ascii="Times New Roman" w:hAnsi="Times New Roman"/>
          <w:color w:val="auto"/>
          <w:lang w:val="en-US" w:eastAsia="zh-CN"/>
        </w:rPr>
        <w:t>4、运输设备</w:t>
      </w:r>
    </w:p>
    <w:p w14:paraId="3085C64B">
      <w:pPr>
        <w:bidi w:val="0"/>
        <w:rPr>
          <w:rFonts w:hint="eastAsia" w:ascii="Times New Roman" w:hAnsi="Times New Roman"/>
          <w:color w:val="auto"/>
          <w:lang w:val="en-US" w:eastAsia="zh-CN"/>
        </w:rPr>
      </w:pPr>
      <w:r>
        <w:rPr>
          <w:rFonts w:hint="eastAsia" w:ascii="Times New Roman" w:hAnsi="Times New Roman"/>
          <w:color w:val="auto"/>
          <w:lang w:val="en-US" w:eastAsia="zh-CN"/>
        </w:rPr>
        <w:t>矿山现有4辆25t自卸式汽车，能够满足矿山生产需求。</w:t>
      </w:r>
    </w:p>
    <w:p w14:paraId="0CD6910C">
      <w:pPr>
        <w:pStyle w:val="4"/>
        <w:bidi w:val="0"/>
        <w:rPr>
          <w:rFonts w:hint="eastAsia" w:ascii="Times New Roman" w:hAnsi="Times New Roman"/>
          <w:color w:val="auto"/>
        </w:rPr>
      </w:pPr>
      <w:bookmarkStart w:id="82" w:name="_Toc30726"/>
      <w:r>
        <w:rPr>
          <w:rFonts w:hint="eastAsia" w:ascii="Times New Roman" w:hAnsi="Times New Roman"/>
          <w:color w:val="auto"/>
          <w:lang w:val="en-US" w:eastAsia="zh-CN"/>
        </w:rPr>
        <w:t xml:space="preserve">2.4.6 </w:t>
      </w:r>
      <w:r>
        <w:rPr>
          <w:rFonts w:hint="eastAsia" w:ascii="Times New Roman" w:hAnsi="Times New Roman"/>
          <w:color w:val="auto"/>
        </w:rPr>
        <w:t>采</w:t>
      </w:r>
      <w:r>
        <w:rPr>
          <w:rFonts w:hint="eastAsia" w:ascii="Times New Roman" w:hAnsi="Times New Roman"/>
          <w:color w:val="auto"/>
          <w:lang w:val="en-US" w:eastAsia="zh-CN"/>
        </w:rPr>
        <w:t>矿</w:t>
      </w:r>
      <w:r>
        <w:rPr>
          <w:rFonts w:hint="eastAsia" w:ascii="Times New Roman" w:hAnsi="Times New Roman"/>
          <w:color w:val="auto"/>
        </w:rPr>
        <w:t>工艺</w:t>
      </w:r>
      <w:bookmarkEnd w:id="82"/>
    </w:p>
    <w:p w14:paraId="3FE2FE86">
      <w:pPr>
        <w:pStyle w:val="5"/>
        <w:bidi w:val="0"/>
        <w:rPr>
          <w:rFonts w:hint="eastAsia" w:ascii="Times New Roman" w:hAnsi="Times New Roman"/>
          <w:color w:val="auto"/>
          <w:lang w:val="en-US" w:eastAsia="zh-CN"/>
        </w:rPr>
      </w:pPr>
      <w:r>
        <w:rPr>
          <w:rFonts w:hint="eastAsia" w:ascii="Times New Roman" w:hAnsi="Times New Roman"/>
          <w:color w:val="auto"/>
          <w:lang w:val="en-US" w:eastAsia="zh-CN"/>
        </w:rPr>
        <w:t>2.4.6.1 露天开采终了境界</w:t>
      </w:r>
    </w:p>
    <w:p w14:paraId="725DF619">
      <w:pPr>
        <w:pStyle w:val="16"/>
        <w:bidi w:val="0"/>
        <w:rPr>
          <w:rFonts w:hint="eastAsia"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 xml:space="preserve">2.4-3  </w:t>
      </w:r>
      <w:r>
        <w:rPr>
          <w:rFonts w:hint="eastAsia" w:ascii="Times New Roman" w:hAnsi="Times New Roman"/>
          <w:color w:val="auto"/>
        </w:rPr>
        <w:t>露天开采终了境界主要指标表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5"/>
        <w:gridCol w:w="2793"/>
        <w:gridCol w:w="1670"/>
        <w:gridCol w:w="3473"/>
      </w:tblGrid>
      <w:tr w14:paraId="546B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4" w:type="pct"/>
            <w:gridSpan w:val="2"/>
            <w:vAlign w:val="center"/>
          </w:tcPr>
          <w:p w14:paraId="6499DD26">
            <w:pPr>
              <w:pStyle w:val="17"/>
              <w:bidi w:val="0"/>
              <w:rPr>
                <w:rFonts w:ascii="Times New Roman" w:hAnsi="Times New Roman"/>
                <w:b/>
                <w:bCs/>
                <w:color w:val="auto"/>
              </w:rPr>
            </w:pPr>
            <w:r>
              <w:rPr>
                <w:rFonts w:ascii="Times New Roman" w:hAnsi="Times New Roman"/>
                <w:b/>
                <w:bCs/>
                <w:color w:val="auto"/>
              </w:rPr>
              <w:t>项目</w:t>
            </w:r>
          </w:p>
        </w:tc>
        <w:tc>
          <w:tcPr>
            <w:tcW w:w="888" w:type="pct"/>
            <w:vAlign w:val="center"/>
          </w:tcPr>
          <w:p w14:paraId="7DC5EB91">
            <w:pPr>
              <w:pStyle w:val="17"/>
              <w:bidi w:val="0"/>
              <w:rPr>
                <w:rFonts w:ascii="Times New Roman" w:hAnsi="Times New Roman"/>
                <w:b/>
                <w:bCs/>
                <w:color w:val="auto"/>
              </w:rPr>
            </w:pPr>
            <w:r>
              <w:rPr>
                <w:rFonts w:ascii="Times New Roman" w:hAnsi="Times New Roman"/>
                <w:b/>
                <w:bCs/>
                <w:color w:val="auto"/>
              </w:rPr>
              <w:t>参数</w:t>
            </w:r>
          </w:p>
        </w:tc>
        <w:tc>
          <w:tcPr>
            <w:tcW w:w="1847" w:type="pct"/>
            <w:vAlign w:val="center"/>
          </w:tcPr>
          <w:p w14:paraId="2CEB280B">
            <w:pPr>
              <w:pStyle w:val="17"/>
              <w:bidi w:val="0"/>
              <w:rPr>
                <w:rFonts w:ascii="Times New Roman" w:hAnsi="Times New Roman"/>
                <w:b/>
                <w:bCs/>
                <w:color w:val="auto"/>
              </w:rPr>
            </w:pPr>
            <w:r>
              <w:rPr>
                <w:rFonts w:ascii="Times New Roman" w:hAnsi="Times New Roman"/>
                <w:b/>
                <w:bCs/>
                <w:color w:val="auto"/>
              </w:rPr>
              <w:t>备注</w:t>
            </w:r>
          </w:p>
        </w:tc>
      </w:tr>
      <w:tr w14:paraId="3006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restart"/>
            <w:vAlign w:val="center"/>
          </w:tcPr>
          <w:p w14:paraId="4A6228DE">
            <w:pPr>
              <w:pStyle w:val="17"/>
              <w:bidi w:val="0"/>
              <w:rPr>
                <w:rFonts w:ascii="Times New Roman" w:hAnsi="Times New Roman"/>
                <w:color w:val="auto"/>
              </w:rPr>
            </w:pPr>
            <w:r>
              <w:rPr>
                <w:rFonts w:ascii="Times New Roman" w:hAnsi="Times New Roman"/>
                <w:color w:val="auto"/>
              </w:rPr>
              <w:t>境界</w:t>
            </w:r>
          </w:p>
        </w:tc>
        <w:tc>
          <w:tcPr>
            <w:tcW w:w="1485" w:type="pct"/>
            <w:vAlign w:val="center"/>
          </w:tcPr>
          <w:p w14:paraId="32C6BB52">
            <w:pPr>
              <w:pStyle w:val="17"/>
              <w:bidi w:val="0"/>
              <w:rPr>
                <w:rFonts w:ascii="Times New Roman" w:hAnsi="Times New Roman"/>
                <w:color w:val="auto"/>
              </w:rPr>
            </w:pPr>
            <w:r>
              <w:rPr>
                <w:rFonts w:ascii="Times New Roman" w:hAnsi="Times New Roman"/>
                <w:color w:val="auto"/>
              </w:rPr>
              <w:t>上口尺寸（长×宽）</w:t>
            </w:r>
          </w:p>
        </w:tc>
        <w:tc>
          <w:tcPr>
            <w:tcW w:w="888" w:type="pct"/>
            <w:vAlign w:val="center"/>
          </w:tcPr>
          <w:p w14:paraId="0D0CF722">
            <w:pPr>
              <w:pStyle w:val="17"/>
              <w:bidi w:val="0"/>
              <w:rPr>
                <w:rFonts w:ascii="Times New Roman" w:hAnsi="Times New Roman"/>
                <w:color w:val="auto"/>
              </w:rPr>
            </w:pPr>
            <w:r>
              <w:rPr>
                <w:rFonts w:hint="eastAsia" w:ascii="Times New Roman" w:hAnsi="Times New Roman"/>
                <w:color w:val="auto"/>
              </w:rPr>
              <w:t>455</w:t>
            </w:r>
            <w:r>
              <w:rPr>
                <w:rFonts w:ascii="Times New Roman" w:hAnsi="Times New Roman"/>
                <w:color w:val="auto"/>
              </w:rPr>
              <w:t>×</w:t>
            </w:r>
            <w:r>
              <w:rPr>
                <w:rFonts w:hint="eastAsia" w:ascii="Times New Roman" w:hAnsi="Times New Roman"/>
                <w:color w:val="auto"/>
              </w:rPr>
              <w:t>175</w:t>
            </w:r>
            <w:r>
              <w:rPr>
                <w:rFonts w:ascii="Times New Roman" w:hAnsi="Times New Roman"/>
                <w:color w:val="auto"/>
              </w:rPr>
              <w:t>m</w:t>
            </w:r>
          </w:p>
        </w:tc>
        <w:tc>
          <w:tcPr>
            <w:tcW w:w="1847" w:type="pct"/>
            <w:vAlign w:val="center"/>
          </w:tcPr>
          <w:p w14:paraId="45718B9F">
            <w:pPr>
              <w:pStyle w:val="17"/>
              <w:bidi w:val="0"/>
              <w:rPr>
                <w:rFonts w:ascii="Times New Roman" w:hAnsi="Times New Roman"/>
                <w:color w:val="auto"/>
              </w:rPr>
            </w:pPr>
          </w:p>
        </w:tc>
      </w:tr>
      <w:tr w14:paraId="72C9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7A486653">
            <w:pPr>
              <w:pStyle w:val="17"/>
              <w:bidi w:val="0"/>
              <w:rPr>
                <w:rFonts w:ascii="Times New Roman" w:hAnsi="Times New Roman"/>
                <w:color w:val="auto"/>
              </w:rPr>
            </w:pPr>
          </w:p>
        </w:tc>
        <w:tc>
          <w:tcPr>
            <w:tcW w:w="1485" w:type="pct"/>
            <w:vAlign w:val="center"/>
          </w:tcPr>
          <w:p w14:paraId="468A8AB8">
            <w:pPr>
              <w:pStyle w:val="17"/>
              <w:bidi w:val="0"/>
              <w:rPr>
                <w:rFonts w:ascii="Times New Roman" w:hAnsi="Times New Roman"/>
                <w:color w:val="auto"/>
              </w:rPr>
            </w:pPr>
            <w:r>
              <w:rPr>
                <w:rFonts w:ascii="Times New Roman" w:hAnsi="Times New Roman"/>
                <w:color w:val="auto"/>
              </w:rPr>
              <w:t>底部尺寸（长×宽）</w:t>
            </w:r>
          </w:p>
        </w:tc>
        <w:tc>
          <w:tcPr>
            <w:tcW w:w="888" w:type="pct"/>
            <w:vAlign w:val="center"/>
          </w:tcPr>
          <w:p w14:paraId="4BF88564">
            <w:pPr>
              <w:pStyle w:val="17"/>
              <w:bidi w:val="0"/>
              <w:rPr>
                <w:rFonts w:ascii="Times New Roman" w:hAnsi="Times New Roman"/>
                <w:color w:val="auto"/>
              </w:rPr>
            </w:pPr>
            <w:r>
              <w:rPr>
                <w:rFonts w:hint="eastAsia" w:ascii="Times New Roman" w:hAnsi="Times New Roman"/>
                <w:color w:val="auto"/>
              </w:rPr>
              <w:t>350</w:t>
            </w:r>
            <w:r>
              <w:rPr>
                <w:rFonts w:ascii="Times New Roman" w:hAnsi="Times New Roman"/>
                <w:color w:val="auto"/>
              </w:rPr>
              <w:t>×</w:t>
            </w:r>
            <w:r>
              <w:rPr>
                <w:rFonts w:hint="eastAsia" w:ascii="Times New Roman" w:hAnsi="Times New Roman"/>
                <w:color w:val="auto"/>
              </w:rPr>
              <w:t>80</w:t>
            </w:r>
            <w:r>
              <w:rPr>
                <w:rFonts w:ascii="Times New Roman" w:hAnsi="Times New Roman"/>
                <w:color w:val="auto"/>
              </w:rPr>
              <w:t>m</w:t>
            </w:r>
          </w:p>
        </w:tc>
        <w:tc>
          <w:tcPr>
            <w:tcW w:w="1847" w:type="pct"/>
            <w:vAlign w:val="center"/>
          </w:tcPr>
          <w:p w14:paraId="18223149">
            <w:pPr>
              <w:pStyle w:val="17"/>
              <w:bidi w:val="0"/>
              <w:rPr>
                <w:rFonts w:ascii="Times New Roman" w:hAnsi="Times New Roman"/>
                <w:color w:val="auto"/>
              </w:rPr>
            </w:pPr>
          </w:p>
        </w:tc>
      </w:tr>
      <w:tr w14:paraId="4C44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36C6E3E0">
            <w:pPr>
              <w:pStyle w:val="17"/>
              <w:bidi w:val="0"/>
              <w:rPr>
                <w:rFonts w:ascii="Times New Roman" w:hAnsi="Times New Roman"/>
                <w:color w:val="auto"/>
              </w:rPr>
            </w:pPr>
          </w:p>
        </w:tc>
        <w:tc>
          <w:tcPr>
            <w:tcW w:w="1485" w:type="pct"/>
            <w:vAlign w:val="center"/>
          </w:tcPr>
          <w:p w14:paraId="0720E2D1">
            <w:pPr>
              <w:pStyle w:val="17"/>
              <w:bidi w:val="0"/>
              <w:rPr>
                <w:rFonts w:ascii="Times New Roman" w:hAnsi="Times New Roman"/>
                <w:color w:val="auto"/>
              </w:rPr>
            </w:pPr>
            <w:r>
              <w:rPr>
                <w:rFonts w:ascii="Times New Roman" w:hAnsi="Times New Roman"/>
                <w:color w:val="auto"/>
              </w:rPr>
              <w:t>最高标高</w:t>
            </w:r>
          </w:p>
        </w:tc>
        <w:tc>
          <w:tcPr>
            <w:tcW w:w="888" w:type="pct"/>
            <w:vAlign w:val="center"/>
          </w:tcPr>
          <w:p w14:paraId="13AA289F">
            <w:pPr>
              <w:pStyle w:val="17"/>
              <w:bidi w:val="0"/>
              <w:rPr>
                <w:rFonts w:ascii="Times New Roman" w:hAnsi="Times New Roman"/>
                <w:color w:val="auto"/>
              </w:rPr>
            </w:pPr>
            <w:r>
              <w:rPr>
                <w:rFonts w:ascii="Times New Roman" w:hAnsi="Times New Roman"/>
                <w:color w:val="auto"/>
              </w:rPr>
              <w:t>2</w:t>
            </w:r>
            <w:r>
              <w:rPr>
                <w:rFonts w:hint="eastAsia" w:ascii="Times New Roman" w:hAnsi="Times New Roman"/>
                <w:color w:val="auto"/>
              </w:rPr>
              <w:t>055</w:t>
            </w:r>
            <w:r>
              <w:rPr>
                <w:rFonts w:ascii="Times New Roman" w:hAnsi="Times New Roman"/>
                <w:color w:val="auto"/>
              </w:rPr>
              <w:t>m</w:t>
            </w:r>
          </w:p>
        </w:tc>
        <w:tc>
          <w:tcPr>
            <w:tcW w:w="1847" w:type="pct"/>
            <w:vMerge w:val="restart"/>
            <w:vAlign w:val="center"/>
          </w:tcPr>
          <w:p w14:paraId="01E51430">
            <w:pPr>
              <w:pStyle w:val="17"/>
              <w:bidi w:val="0"/>
              <w:rPr>
                <w:rFonts w:ascii="Times New Roman" w:hAnsi="Times New Roman"/>
                <w:color w:val="auto"/>
              </w:rPr>
            </w:pPr>
            <w:r>
              <w:rPr>
                <w:rFonts w:hint="eastAsia" w:ascii="Times New Roman" w:hAnsi="Times New Roman"/>
                <w:color w:val="auto"/>
              </w:rPr>
              <w:t>不</w:t>
            </w:r>
            <w:r>
              <w:rPr>
                <w:rFonts w:ascii="Times New Roman" w:hAnsi="Times New Roman"/>
                <w:color w:val="auto"/>
              </w:rPr>
              <w:t>含采空区</w:t>
            </w:r>
          </w:p>
        </w:tc>
      </w:tr>
      <w:tr w14:paraId="1C68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6C97D98D">
            <w:pPr>
              <w:pStyle w:val="17"/>
              <w:bidi w:val="0"/>
              <w:rPr>
                <w:rFonts w:ascii="Times New Roman" w:hAnsi="Times New Roman"/>
                <w:color w:val="auto"/>
              </w:rPr>
            </w:pPr>
          </w:p>
        </w:tc>
        <w:tc>
          <w:tcPr>
            <w:tcW w:w="1485" w:type="pct"/>
            <w:vAlign w:val="center"/>
          </w:tcPr>
          <w:p w14:paraId="1881F42E">
            <w:pPr>
              <w:pStyle w:val="17"/>
              <w:bidi w:val="0"/>
              <w:rPr>
                <w:rFonts w:ascii="Times New Roman" w:hAnsi="Times New Roman"/>
                <w:color w:val="auto"/>
              </w:rPr>
            </w:pPr>
            <w:r>
              <w:rPr>
                <w:rFonts w:ascii="Times New Roman" w:hAnsi="Times New Roman"/>
                <w:color w:val="auto"/>
              </w:rPr>
              <w:t>最低标高</w:t>
            </w:r>
          </w:p>
        </w:tc>
        <w:tc>
          <w:tcPr>
            <w:tcW w:w="888" w:type="pct"/>
            <w:vAlign w:val="center"/>
          </w:tcPr>
          <w:p w14:paraId="4C814939">
            <w:pPr>
              <w:pStyle w:val="17"/>
              <w:bidi w:val="0"/>
              <w:rPr>
                <w:rFonts w:ascii="Times New Roman" w:hAnsi="Times New Roman"/>
                <w:color w:val="auto"/>
              </w:rPr>
            </w:pPr>
            <w:r>
              <w:rPr>
                <w:rFonts w:hint="eastAsia" w:ascii="Times New Roman" w:hAnsi="Times New Roman"/>
                <w:color w:val="auto"/>
              </w:rPr>
              <w:t>1960</w:t>
            </w:r>
            <w:r>
              <w:rPr>
                <w:rFonts w:ascii="Times New Roman" w:hAnsi="Times New Roman"/>
                <w:color w:val="auto"/>
              </w:rPr>
              <w:t>m</w:t>
            </w:r>
          </w:p>
        </w:tc>
        <w:tc>
          <w:tcPr>
            <w:tcW w:w="1847" w:type="pct"/>
            <w:vMerge w:val="continue"/>
            <w:vAlign w:val="center"/>
          </w:tcPr>
          <w:p w14:paraId="16E2F89C">
            <w:pPr>
              <w:pStyle w:val="17"/>
              <w:bidi w:val="0"/>
              <w:rPr>
                <w:rFonts w:ascii="Times New Roman" w:hAnsi="Times New Roman"/>
                <w:color w:val="auto"/>
              </w:rPr>
            </w:pPr>
          </w:p>
        </w:tc>
      </w:tr>
      <w:tr w14:paraId="4EC4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65276BD1">
            <w:pPr>
              <w:pStyle w:val="17"/>
              <w:bidi w:val="0"/>
              <w:rPr>
                <w:rFonts w:ascii="Times New Roman" w:hAnsi="Times New Roman"/>
                <w:color w:val="auto"/>
              </w:rPr>
            </w:pPr>
          </w:p>
        </w:tc>
        <w:tc>
          <w:tcPr>
            <w:tcW w:w="1485" w:type="pct"/>
            <w:vAlign w:val="center"/>
          </w:tcPr>
          <w:p w14:paraId="34602417">
            <w:pPr>
              <w:pStyle w:val="17"/>
              <w:bidi w:val="0"/>
              <w:rPr>
                <w:rFonts w:ascii="Times New Roman" w:hAnsi="Times New Roman"/>
                <w:color w:val="auto"/>
              </w:rPr>
            </w:pPr>
            <w:r>
              <w:rPr>
                <w:rFonts w:ascii="Times New Roman" w:hAnsi="Times New Roman"/>
                <w:color w:val="auto"/>
              </w:rPr>
              <w:t>边坡高度</w:t>
            </w:r>
          </w:p>
        </w:tc>
        <w:tc>
          <w:tcPr>
            <w:tcW w:w="888" w:type="pct"/>
            <w:vAlign w:val="center"/>
          </w:tcPr>
          <w:p w14:paraId="67556729">
            <w:pPr>
              <w:pStyle w:val="17"/>
              <w:bidi w:val="0"/>
              <w:rPr>
                <w:rFonts w:ascii="Times New Roman" w:hAnsi="Times New Roman"/>
                <w:color w:val="auto"/>
              </w:rPr>
            </w:pPr>
            <w:r>
              <w:rPr>
                <w:rFonts w:hint="eastAsia" w:ascii="Times New Roman" w:hAnsi="Times New Roman"/>
                <w:color w:val="auto"/>
              </w:rPr>
              <w:t>95</w:t>
            </w:r>
            <w:r>
              <w:rPr>
                <w:rFonts w:ascii="Times New Roman" w:hAnsi="Times New Roman"/>
                <w:color w:val="auto"/>
              </w:rPr>
              <w:t>m</w:t>
            </w:r>
          </w:p>
        </w:tc>
        <w:tc>
          <w:tcPr>
            <w:tcW w:w="1847" w:type="pct"/>
            <w:vMerge w:val="continue"/>
            <w:vAlign w:val="center"/>
          </w:tcPr>
          <w:p w14:paraId="526383CF">
            <w:pPr>
              <w:pStyle w:val="17"/>
              <w:bidi w:val="0"/>
              <w:rPr>
                <w:rFonts w:ascii="Times New Roman" w:hAnsi="Times New Roman"/>
                <w:color w:val="auto"/>
              </w:rPr>
            </w:pPr>
          </w:p>
        </w:tc>
      </w:tr>
      <w:tr w14:paraId="0C52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restart"/>
            <w:vAlign w:val="center"/>
          </w:tcPr>
          <w:p w14:paraId="61EE4F6F">
            <w:pPr>
              <w:pStyle w:val="17"/>
              <w:bidi w:val="0"/>
              <w:rPr>
                <w:rFonts w:ascii="Times New Roman" w:hAnsi="Times New Roman"/>
                <w:color w:val="auto"/>
              </w:rPr>
            </w:pPr>
            <w:r>
              <w:rPr>
                <w:rFonts w:ascii="Times New Roman" w:hAnsi="Times New Roman"/>
                <w:color w:val="auto"/>
              </w:rPr>
              <w:t>台阶</w:t>
            </w:r>
          </w:p>
        </w:tc>
        <w:tc>
          <w:tcPr>
            <w:tcW w:w="1485" w:type="pct"/>
            <w:vAlign w:val="center"/>
          </w:tcPr>
          <w:p w14:paraId="0E6A32D7">
            <w:pPr>
              <w:pStyle w:val="17"/>
              <w:bidi w:val="0"/>
              <w:rPr>
                <w:rFonts w:ascii="Times New Roman" w:hAnsi="Times New Roman"/>
                <w:color w:val="auto"/>
              </w:rPr>
            </w:pPr>
            <w:r>
              <w:rPr>
                <w:rFonts w:ascii="Times New Roman" w:hAnsi="Times New Roman"/>
                <w:color w:val="auto"/>
              </w:rPr>
              <w:t>台阶高度</w:t>
            </w:r>
          </w:p>
        </w:tc>
        <w:tc>
          <w:tcPr>
            <w:tcW w:w="888" w:type="pct"/>
            <w:vAlign w:val="center"/>
          </w:tcPr>
          <w:p w14:paraId="1B2D0998">
            <w:pPr>
              <w:pStyle w:val="17"/>
              <w:bidi w:val="0"/>
              <w:rPr>
                <w:rFonts w:ascii="Times New Roman" w:hAnsi="Times New Roman"/>
                <w:color w:val="auto"/>
              </w:rPr>
            </w:pPr>
            <w:r>
              <w:rPr>
                <w:rFonts w:ascii="Times New Roman" w:hAnsi="Times New Roman"/>
                <w:color w:val="auto"/>
              </w:rPr>
              <w:t>15m</w:t>
            </w:r>
          </w:p>
        </w:tc>
        <w:tc>
          <w:tcPr>
            <w:tcW w:w="1847" w:type="pct"/>
            <w:vAlign w:val="center"/>
          </w:tcPr>
          <w:p w14:paraId="29D5DB7F">
            <w:pPr>
              <w:pStyle w:val="17"/>
              <w:bidi w:val="0"/>
              <w:rPr>
                <w:rFonts w:ascii="Times New Roman" w:hAnsi="Times New Roman"/>
                <w:color w:val="auto"/>
              </w:rPr>
            </w:pPr>
            <w:r>
              <w:rPr>
                <w:rFonts w:hint="eastAsia" w:ascii="Times New Roman" w:hAnsi="Times New Roman"/>
                <w:color w:val="auto"/>
              </w:rPr>
              <w:t>顶部台阶高5m</w:t>
            </w:r>
          </w:p>
        </w:tc>
      </w:tr>
      <w:tr w14:paraId="3BFF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4D07EF11">
            <w:pPr>
              <w:pStyle w:val="17"/>
              <w:bidi w:val="0"/>
              <w:rPr>
                <w:rFonts w:ascii="Times New Roman" w:hAnsi="Times New Roman"/>
                <w:color w:val="auto"/>
              </w:rPr>
            </w:pPr>
          </w:p>
        </w:tc>
        <w:tc>
          <w:tcPr>
            <w:tcW w:w="1485" w:type="pct"/>
            <w:vAlign w:val="center"/>
          </w:tcPr>
          <w:p w14:paraId="446B454E">
            <w:pPr>
              <w:pStyle w:val="17"/>
              <w:bidi w:val="0"/>
              <w:rPr>
                <w:rFonts w:ascii="Times New Roman" w:hAnsi="Times New Roman"/>
                <w:color w:val="auto"/>
              </w:rPr>
            </w:pPr>
            <w:r>
              <w:rPr>
                <w:rFonts w:ascii="Times New Roman" w:hAnsi="Times New Roman"/>
                <w:color w:val="auto"/>
              </w:rPr>
              <w:t>最高台阶标高</w:t>
            </w:r>
          </w:p>
        </w:tc>
        <w:tc>
          <w:tcPr>
            <w:tcW w:w="888" w:type="pct"/>
            <w:vAlign w:val="center"/>
          </w:tcPr>
          <w:p w14:paraId="624E8AEA">
            <w:pPr>
              <w:pStyle w:val="17"/>
              <w:bidi w:val="0"/>
              <w:rPr>
                <w:rFonts w:ascii="Times New Roman" w:hAnsi="Times New Roman"/>
                <w:color w:val="auto"/>
              </w:rPr>
            </w:pPr>
            <w:r>
              <w:rPr>
                <w:rFonts w:ascii="Times New Roman" w:hAnsi="Times New Roman"/>
                <w:color w:val="auto"/>
              </w:rPr>
              <w:t>2</w:t>
            </w:r>
            <w:r>
              <w:rPr>
                <w:rFonts w:hint="eastAsia" w:ascii="Times New Roman" w:hAnsi="Times New Roman"/>
                <w:color w:val="auto"/>
              </w:rPr>
              <w:t>050</w:t>
            </w:r>
            <w:r>
              <w:rPr>
                <w:rFonts w:ascii="Times New Roman" w:hAnsi="Times New Roman"/>
                <w:color w:val="auto"/>
              </w:rPr>
              <w:t>m</w:t>
            </w:r>
          </w:p>
        </w:tc>
        <w:tc>
          <w:tcPr>
            <w:tcW w:w="1847" w:type="pct"/>
            <w:vAlign w:val="center"/>
          </w:tcPr>
          <w:p w14:paraId="7A341B14">
            <w:pPr>
              <w:pStyle w:val="17"/>
              <w:bidi w:val="0"/>
              <w:rPr>
                <w:rFonts w:ascii="Times New Roman" w:hAnsi="Times New Roman"/>
                <w:color w:val="auto"/>
              </w:rPr>
            </w:pPr>
            <w:r>
              <w:rPr>
                <w:rFonts w:ascii="Times New Roman" w:hAnsi="Times New Roman"/>
                <w:color w:val="auto"/>
              </w:rPr>
              <w:t>最终境界</w:t>
            </w:r>
          </w:p>
        </w:tc>
      </w:tr>
      <w:tr w14:paraId="577C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61586F7A">
            <w:pPr>
              <w:pStyle w:val="17"/>
              <w:bidi w:val="0"/>
              <w:rPr>
                <w:rFonts w:ascii="Times New Roman" w:hAnsi="Times New Roman"/>
                <w:color w:val="auto"/>
              </w:rPr>
            </w:pPr>
          </w:p>
        </w:tc>
        <w:tc>
          <w:tcPr>
            <w:tcW w:w="1485" w:type="pct"/>
            <w:vAlign w:val="center"/>
          </w:tcPr>
          <w:p w14:paraId="18B98A5E">
            <w:pPr>
              <w:pStyle w:val="17"/>
              <w:bidi w:val="0"/>
              <w:rPr>
                <w:rFonts w:ascii="Times New Roman" w:hAnsi="Times New Roman"/>
                <w:color w:val="auto"/>
              </w:rPr>
            </w:pPr>
            <w:r>
              <w:rPr>
                <w:rFonts w:ascii="Times New Roman" w:hAnsi="Times New Roman"/>
                <w:color w:val="auto"/>
              </w:rPr>
              <w:t>最低台阶标高</w:t>
            </w:r>
          </w:p>
        </w:tc>
        <w:tc>
          <w:tcPr>
            <w:tcW w:w="888" w:type="pct"/>
            <w:vAlign w:val="center"/>
          </w:tcPr>
          <w:p w14:paraId="20FDF2F8">
            <w:pPr>
              <w:pStyle w:val="17"/>
              <w:bidi w:val="0"/>
              <w:rPr>
                <w:rFonts w:ascii="Times New Roman" w:hAnsi="Times New Roman"/>
                <w:color w:val="auto"/>
              </w:rPr>
            </w:pPr>
            <w:r>
              <w:rPr>
                <w:rFonts w:hint="eastAsia" w:ascii="Times New Roman" w:hAnsi="Times New Roman"/>
                <w:color w:val="auto"/>
              </w:rPr>
              <w:t>1960</w:t>
            </w:r>
            <w:r>
              <w:rPr>
                <w:rFonts w:ascii="Times New Roman" w:hAnsi="Times New Roman"/>
                <w:color w:val="auto"/>
              </w:rPr>
              <w:t>m</w:t>
            </w:r>
          </w:p>
        </w:tc>
        <w:tc>
          <w:tcPr>
            <w:tcW w:w="1847" w:type="pct"/>
            <w:vAlign w:val="center"/>
          </w:tcPr>
          <w:p w14:paraId="495EDE1F">
            <w:pPr>
              <w:pStyle w:val="17"/>
              <w:bidi w:val="0"/>
              <w:rPr>
                <w:rFonts w:ascii="Times New Roman" w:hAnsi="Times New Roman"/>
                <w:color w:val="auto"/>
              </w:rPr>
            </w:pPr>
            <w:r>
              <w:rPr>
                <w:rFonts w:ascii="Times New Roman" w:hAnsi="Times New Roman"/>
                <w:color w:val="auto"/>
              </w:rPr>
              <w:t>最终境界</w:t>
            </w:r>
          </w:p>
        </w:tc>
      </w:tr>
      <w:tr w14:paraId="167B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534E8998">
            <w:pPr>
              <w:pStyle w:val="17"/>
              <w:bidi w:val="0"/>
              <w:rPr>
                <w:rFonts w:ascii="Times New Roman" w:hAnsi="Times New Roman"/>
                <w:color w:val="auto"/>
              </w:rPr>
            </w:pPr>
          </w:p>
        </w:tc>
        <w:tc>
          <w:tcPr>
            <w:tcW w:w="1485" w:type="pct"/>
            <w:vAlign w:val="center"/>
          </w:tcPr>
          <w:p w14:paraId="07017E7D">
            <w:pPr>
              <w:pStyle w:val="17"/>
              <w:bidi w:val="0"/>
              <w:rPr>
                <w:rFonts w:ascii="Times New Roman" w:hAnsi="Times New Roman"/>
                <w:color w:val="auto"/>
              </w:rPr>
            </w:pPr>
            <w:r>
              <w:rPr>
                <w:rFonts w:ascii="Times New Roman" w:hAnsi="Times New Roman"/>
                <w:color w:val="auto"/>
              </w:rPr>
              <w:t>台阶数</w:t>
            </w:r>
          </w:p>
        </w:tc>
        <w:tc>
          <w:tcPr>
            <w:tcW w:w="888" w:type="pct"/>
            <w:vAlign w:val="center"/>
          </w:tcPr>
          <w:p w14:paraId="5F5E34F6">
            <w:pPr>
              <w:pStyle w:val="17"/>
              <w:bidi w:val="0"/>
              <w:rPr>
                <w:rFonts w:ascii="Times New Roman" w:hAnsi="Times New Roman"/>
                <w:color w:val="auto"/>
              </w:rPr>
            </w:pPr>
            <w:r>
              <w:rPr>
                <w:rFonts w:hint="eastAsia" w:ascii="Times New Roman" w:hAnsi="Times New Roman"/>
                <w:color w:val="auto"/>
              </w:rPr>
              <w:t>7</w:t>
            </w:r>
            <w:r>
              <w:rPr>
                <w:rFonts w:ascii="Times New Roman" w:hAnsi="Times New Roman"/>
                <w:color w:val="auto"/>
              </w:rPr>
              <w:t>个</w:t>
            </w:r>
          </w:p>
        </w:tc>
        <w:tc>
          <w:tcPr>
            <w:tcW w:w="1847" w:type="pct"/>
            <w:vAlign w:val="center"/>
          </w:tcPr>
          <w:p w14:paraId="3C229A02">
            <w:pPr>
              <w:pStyle w:val="17"/>
              <w:bidi w:val="0"/>
              <w:rPr>
                <w:rFonts w:ascii="Times New Roman" w:hAnsi="Times New Roman"/>
                <w:color w:val="auto"/>
              </w:rPr>
            </w:pPr>
          </w:p>
        </w:tc>
      </w:tr>
      <w:tr w14:paraId="534D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restart"/>
            <w:vAlign w:val="center"/>
          </w:tcPr>
          <w:p w14:paraId="5D3174FB">
            <w:pPr>
              <w:pStyle w:val="17"/>
              <w:bidi w:val="0"/>
              <w:rPr>
                <w:rFonts w:ascii="Times New Roman" w:hAnsi="Times New Roman"/>
                <w:color w:val="auto"/>
              </w:rPr>
            </w:pPr>
            <w:r>
              <w:rPr>
                <w:rFonts w:hint="eastAsia" w:ascii="Times New Roman" w:hAnsi="Times New Roman"/>
                <w:color w:val="auto"/>
              </w:rPr>
              <w:t>平台</w:t>
            </w:r>
          </w:p>
        </w:tc>
        <w:tc>
          <w:tcPr>
            <w:tcW w:w="1485" w:type="pct"/>
            <w:vAlign w:val="center"/>
          </w:tcPr>
          <w:p w14:paraId="4D61BBFE">
            <w:pPr>
              <w:pStyle w:val="17"/>
              <w:bidi w:val="0"/>
              <w:rPr>
                <w:rFonts w:ascii="Times New Roman" w:hAnsi="Times New Roman"/>
                <w:color w:val="auto"/>
              </w:rPr>
            </w:pPr>
            <w:r>
              <w:rPr>
                <w:rFonts w:ascii="Times New Roman" w:hAnsi="Times New Roman"/>
                <w:color w:val="auto"/>
              </w:rPr>
              <w:t>最小工作平台宽度</w:t>
            </w:r>
          </w:p>
        </w:tc>
        <w:tc>
          <w:tcPr>
            <w:tcW w:w="888" w:type="pct"/>
            <w:vAlign w:val="center"/>
          </w:tcPr>
          <w:p w14:paraId="3975CDF3">
            <w:pPr>
              <w:pStyle w:val="17"/>
              <w:bidi w:val="0"/>
              <w:rPr>
                <w:rFonts w:ascii="Times New Roman" w:hAnsi="Times New Roman"/>
                <w:color w:val="auto"/>
              </w:rPr>
            </w:pPr>
            <w:r>
              <w:rPr>
                <w:rFonts w:ascii="Times New Roman" w:hAnsi="Times New Roman"/>
                <w:color w:val="auto"/>
              </w:rPr>
              <w:t>26m</w:t>
            </w:r>
          </w:p>
        </w:tc>
        <w:tc>
          <w:tcPr>
            <w:tcW w:w="1847" w:type="pct"/>
            <w:vAlign w:val="center"/>
          </w:tcPr>
          <w:p w14:paraId="776AB279">
            <w:pPr>
              <w:pStyle w:val="17"/>
              <w:bidi w:val="0"/>
              <w:rPr>
                <w:rFonts w:ascii="Times New Roman" w:hAnsi="Times New Roman"/>
                <w:color w:val="auto"/>
              </w:rPr>
            </w:pPr>
          </w:p>
        </w:tc>
      </w:tr>
      <w:tr w14:paraId="53CE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6A9572F4">
            <w:pPr>
              <w:pStyle w:val="17"/>
              <w:bidi w:val="0"/>
              <w:rPr>
                <w:rFonts w:ascii="Times New Roman" w:hAnsi="Times New Roman"/>
                <w:color w:val="auto"/>
              </w:rPr>
            </w:pPr>
          </w:p>
        </w:tc>
        <w:tc>
          <w:tcPr>
            <w:tcW w:w="1485" w:type="pct"/>
            <w:vAlign w:val="center"/>
          </w:tcPr>
          <w:p w14:paraId="0267E066">
            <w:pPr>
              <w:pStyle w:val="17"/>
              <w:bidi w:val="0"/>
              <w:rPr>
                <w:rFonts w:ascii="Times New Roman" w:hAnsi="Times New Roman"/>
                <w:color w:val="auto"/>
              </w:rPr>
            </w:pPr>
            <w:r>
              <w:rPr>
                <w:rFonts w:ascii="Times New Roman" w:hAnsi="Times New Roman"/>
                <w:color w:val="auto"/>
              </w:rPr>
              <w:t>安全平台宽度</w:t>
            </w:r>
          </w:p>
        </w:tc>
        <w:tc>
          <w:tcPr>
            <w:tcW w:w="888" w:type="pct"/>
            <w:vAlign w:val="center"/>
          </w:tcPr>
          <w:p w14:paraId="66184FCA">
            <w:pPr>
              <w:pStyle w:val="17"/>
              <w:bidi w:val="0"/>
              <w:rPr>
                <w:rFonts w:ascii="Times New Roman" w:hAnsi="Times New Roman"/>
                <w:color w:val="auto"/>
              </w:rPr>
            </w:pPr>
            <w:r>
              <w:rPr>
                <w:rFonts w:hint="eastAsia" w:ascii="Times New Roman" w:hAnsi="Times New Roman"/>
                <w:color w:val="auto"/>
              </w:rPr>
              <w:t>5</w:t>
            </w:r>
            <w:r>
              <w:rPr>
                <w:rFonts w:ascii="Times New Roman" w:hAnsi="Times New Roman"/>
                <w:color w:val="auto"/>
              </w:rPr>
              <w:t>m</w:t>
            </w:r>
          </w:p>
        </w:tc>
        <w:tc>
          <w:tcPr>
            <w:tcW w:w="1847" w:type="pct"/>
            <w:vMerge w:val="restart"/>
            <w:vAlign w:val="center"/>
          </w:tcPr>
          <w:p w14:paraId="4DB9F511">
            <w:pPr>
              <w:pStyle w:val="17"/>
              <w:bidi w:val="0"/>
              <w:rPr>
                <w:rFonts w:ascii="Times New Roman" w:hAnsi="Times New Roman"/>
                <w:color w:val="auto"/>
              </w:rPr>
            </w:pPr>
            <w:r>
              <w:rPr>
                <w:rFonts w:ascii="Times New Roman" w:hAnsi="Times New Roman"/>
                <w:color w:val="auto"/>
              </w:rPr>
              <w:t>间隔2个安全平台</w:t>
            </w:r>
          </w:p>
          <w:p w14:paraId="71FB613E">
            <w:pPr>
              <w:pStyle w:val="17"/>
              <w:bidi w:val="0"/>
              <w:rPr>
                <w:rFonts w:ascii="Times New Roman" w:hAnsi="Times New Roman"/>
                <w:color w:val="auto"/>
              </w:rPr>
            </w:pPr>
            <w:r>
              <w:rPr>
                <w:rFonts w:ascii="Times New Roman" w:hAnsi="Times New Roman"/>
                <w:color w:val="auto"/>
              </w:rPr>
              <w:t>设置1个清扫平台</w:t>
            </w:r>
          </w:p>
        </w:tc>
      </w:tr>
      <w:tr w14:paraId="478A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34148982">
            <w:pPr>
              <w:pStyle w:val="17"/>
              <w:bidi w:val="0"/>
              <w:rPr>
                <w:rFonts w:ascii="Times New Roman" w:hAnsi="Times New Roman"/>
                <w:color w:val="auto"/>
              </w:rPr>
            </w:pPr>
          </w:p>
        </w:tc>
        <w:tc>
          <w:tcPr>
            <w:tcW w:w="1485" w:type="pct"/>
            <w:vAlign w:val="center"/>
          </w:tcPr>
          <w:p w14:paraId="12EC1EF0">
            <w:pPr>
              <w:pStyle w:val="17"/>
              <w:bidi w:val="0"/>
              <w:rPr>
                <w:rFonts w:ascii="Times New Roman" w:hAnsi="Times New Roman"/>
                <w:color w:val="auto"/>
              </w:rPr>
            </w:pPr>
            <w:r>
              <w:rPr>
                <w:rFonts w:ascii="Times New Roman" w:hAnsi="Times New Roman"/>
                <w:color w:val="auto"/>
              </w:rPr>
              <w:t>清扫平台宽度</w:t>
            </w:r>
          </w:p>
        </w:tc>
        <w:tc>
          <w:tcPr>
            <w:tcW w:w="888" w:type="pct"/>
            <w:vAlign w:val="center"/>
          </w:tcPr>
          <w:p w14:paraId="076BA772">
            <w:pPr>
              <w:pStyle w:val="17"/>
              <w:bidi w:val="0"/>
              <w:rPr>
                <w:rFonts w:ascii="Times New Roman" w:hAnsi="Times New Roman"/>
                <w:color w:val="auto"/>
              </w:rPr>
            </w:pPr>
            <w:r>
              <w:rPr>
                <w:rFonts w:ascii="Times New Roman" w:hAnsi="Times New Roman"/>
                <w:color w:val="auto"/>
              </w:rPr>
              <w:t>8m</w:t>
            </w:r>
          </w:p>
        </w:tc>
        <w:tc>
          <w:tcPr>
            <w:tcW w:w="1847" w:type="pct"/>
            <w:vMerge w:val="continue"/>
            <w:vAlign w:val="center"/>
          </w:tcPr>
          <w:p w14:paraId="4803741D">
            <w:pPr>
              <w:pStyle w:val="17"/>
              <w:bidi w:val="0"/>
              <w:rPr>
                <w:rFonts w:ascii="Times New Roman" w:hAnsi="Times New Roman"/>
                <w:color w:val="auto"/>
              </w:rPr>
            </w:pPr>
          </w:p>
        </w:tc>
      </w:tr>
      <w:tr w14:paraId="2A2B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restart"/>
            <w:vAlign w:val="center"/>
          </w:tcPr>
          <w:p w14:paraId="2F998FAA">
            <w:pPr>
              <w:pStyle w:val="17"/>
              <w:bidi w:val="0"/>
              <w:rPr>
                <w:rFonts w:ascii="Times New Roman" w:hAnsi="Times New Roman"/>
                <w:color w:val="auto"/>
              </w:rPr>
            </w:pPr>
            <w:r>
              <w:rPr>
                <w:rFonts w:ascii="Times New Roman" w:hAnsi="Times New Roman"/>
                <w:color w:val="auto"/>
              </w:rPr>
              <w:t>台阶坡面角</w:t>
            </w:r>
          </w:p>
        </w:tc>
        <w:tc>
          <w:tcPr>
            <w:tcW w:w="1485" w:type="pct"/>
            <w:vAlign w:val="center"/>
          </w:tcPr>
          <w:p w14:paraId="31292DF2">
            <w:pPr>
              <w:pStyle w:val="17"/>
              <w:bidi w:val="0"/>
              <w:rPr>
                <w:rFonts w:ascii="Times New Roman" w:hAnsi="Times New Roman"/>
                <w:color w:val="auto"/>
              </w:rPr>
            </w:pPr>
            <w:r>
              <w:rPr>
                <w:rFonts w:ascii="Times New Roman" w:hAnsi="Times New Roman"/>
                <w:color w:val="auto"/>
              </w:rPr>
              <w:t>工作台阶坡面角</w:t>
            </w:r>
          </w:p>
        </w:tc>
        <w:tc>
          <w:tcPr>
            <w:tcW w:w="888" w:type="pct"/>
            <w:vAlign w:val="center"/>
          </w:tcPr>
          <w:p w14:paraId="13D477CE">
            <w:pPr>
              <w:pStyle w:val="17"/>
              <w:bidi w:val="0"/>
              <w:rPr>
                <w:rFonts w:ascii="Times New Roman" w:hAnsi="Times New Roman"/>
                <w:color w:val="auto"/>
              </w:rPr>
            </w:pPr>
            <w:r>
              <w:rPr>
                <w:rFonts w:ascii="Times New Roman" w:hAnsi="Times New Roman"/>
                <w:color w:val="auto"/>
              </w:rPr>
              <w:t>75°</w:t>
            </w:r>
          </w:p>
        </w:tc>
        <w:tc>
          <w:tcPr>
            <w:tcW w:w="1847" w:type="pct"/>
            <w:vAlign w:val="center"/>
          </w:tcPr>
          <w:p w14:paraId="5904D9F9">
            <w:pPr>
              <w:pStyle w:val="17"/>
              <w:bidi w:val="0"/>
              <w:rPr>
                <w:rFonts w:ascii="Times New Roman" w:hAnsi="Times New Roman"/>
                <w:color w:val="auto"/>
              </w:rPr>
            </w:pPr>
          </w:p>
        </w:tc>
      </w:tr>
      <w:tr w14:paraId="6F5E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5159B835">
            <w:pPr>
              <w:pStyle w:val="17"/>
              <w:bidi w:val="0"/>
              <w:rPr>
                <w:rFonts w:ascii="Times New Roman" w:hAnsi="Times New Roman"/>
                <w:color w:val="auto"/>
              </w:rPr>
            </w:pPr>
          </w:p>
        </w:tc>
        <w:tc>
          <w:tcPr>
            <w:tcW w:w="1485" w:type="pct"/>
            <w:vAlign w:val="center"/>
          </w:tcPr>
          <w:p w14:paraId="79FCB06D">
            <w:pPr>
              <w:pStyle w:val="17"/>
              <w:bidi w:val="0"/>
              <w:rPr>
                <w:rFonts w:ascii="Times New Roman" w:hAnsi="Times New Roman"/>
                <w:color w:val="auto"/>
              </w:rPr>
            </w:pPr>
            <w:r>
              <w:rPr>
                <w:rFonts w:ascii="Times New Roman" w:hAnsi="Times New Roman"/>
                <w:color w:val="auto"/>
              </w:rPr>
              <w:t>靠帮台阶坡面角</w:t>
            </w:r>
          </w:p>
        </w:tc>
        <w:tc>
          <w:tcPr>
            <w:tcW w:w="888" w:type="pct"/>
            <w:vAlign w:val="center"/>
          </w:tcPr>
          <w:p w14:paraId="6E094A5E">
            <w:pPr>
              <w:pStyle w:val="17"/>
              <w:bidi w:val="0"/>
              <w:rPr>
                <w:rFonts w:ascii="Times New Roman" w:hAnsi="Times New Roman"/>
                <w:color w:val="auto"/>
              </w:rPr>
            </w:pPr>
            <w:r>
              <w:rPr>
                <w:rFonts w:ascii="Times New Roman" w:hAnsi="Times New Roman"/>
                <w:color w:val="auto"/>
              </w:rPr>
              <w:t>6</w:t>
            </w:r>
            <w:r>
              <w:rPr>
                <w:rFonts w:hint="eastAsia" w:ascii="Times New Roman" w:hAnsi="Times New Roman"/>
                <w:color w:val="auto"/>
              </w:rPr>
              <w:t>0</w:t>
            </w:r>
            <w:r>
              <w:rPr>
                <w:rFonts w:ascii="Times New Roman" w:hAnsi="Times New Roman"/>
                <w:color w:val="auto"/>
              </w:rPr>
              <w:t>°</w:t>
            </w:r>
          </w:p>
        </w:tc>
        <w:tc>
          <w:tcPr>
            <w:tcW w:w="1847" w:type="pct"/>
            <w:vAlign w:val="center"/>
          </w:tcPr>
          <w:p w14:paraId="7576F341">
            <w:pPr>
              <w:pStyle w:val="17"/>
              <w:bidi w:val="0"/>
              <w:rPr>
                <w:rFonts w:ascii="Times New Roman" w:hAnsi="Times New Roman"/>
                <w:color w:val="auto"/>
              </w:rPr>
            </w:pPr>
          </w:p>
        </w:tc>
      </w:tr>
      <w:tr w14:paraId="2448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restart"/>
            <w:vAlign w:val="center"/>
          </w:tcPr>
          <w:p w14:paraId="0BB86169">
            <w:pPr>
              <w:pStyle w:val="17"/>
              <w:bidi w:val="0"/>
              <w:rPr>
                <w:rFonts w:ascii="Times New Roman" w:hAnsi="Times New Roman"/>
                <w:color w:val="auto"/>
              </w:rPr>
            </w:pPr>
            <w:r>
              <w:rPr>
                <w:rFonts w:hint="eastAsia" w:ascii="Times New Roman" w:hAnsi="Times New Roman"/>
                <w:color w:val="auto"/>
              </w:rPr>
              <w:t>最终边坡角</w:t>
            </w:r>
          </w:p>
        </w:tc>
        <w:tc>
          <w:tcPr>
            <w:tcW w:w="1485" w:type="pct"/>
            <w:vAlign w:val="center"/>
          </w:tcPr>
          <w:p w14:paraId="3B7DAB0C">
            <w:pPr>
              <w:pStyle w:val="17"/>
              <w:bidi w:val="0"/>
              <w:rPr>
                <w:rFonts w:ascii="Times New Roman" w:hAnsi="Times New Roman"/>
                <w:color w:val="auto"/>
              </w:rPr>
            </w:pPr>
            <w:r>
              <w:rPr>
                <w:rFonts w:hint="eastAsia" w:ascii="Times New Roman" w:hAnsi="Times New Roman"/>
                <w:color w:val="auto"/>
              </w:rPr>
              <w:t>东</w:t>
            </w:r>
            <w:r>
              <w:rPr>
                <w:rFonts w:ascii="Times New Roman" w:hAnsi="Times New Roman"/>
                <w:color w:val="auto"/>
              </w:rPr>
              <w:t>侧</w:t>
            </w:r>
          </w:p>
        </w:tc>
        <w:tc>
          <w:tcPr>
            <w:tcW w:w="888" w:type="pct"/>
            <w:vAlign w:val="center"/>
          </w:tcPr>
          <w:p w14:paraId="5F17C426">
            <w:pPr>
              <w:pStyle w:val="17"/>
              <w:bidi w:val="0"/>
              <w:rPr>
                <w:rFonts w:ascii="Times New Roman" w:hAnsi="Times New Roman"/>
                <w:color w:val="auto"/>
              </w:rPr>
            </w:pPr>
            <w:r>
              <w:rPr>
                <w:rFonts w:hint="eastAsia"/>
                <w:color w:val="auto"/>
                <w:lang w:val="en-US" w:eastAsia="zh-CN"/>
              </w:rPr>
              <w:t>46</w:t>
            </w:r>
            <w:r>
              <w:rPr>
                <w:rFonts w:ascii="Times New Roman" w:hAnsi="Times New Roman"/>
                <w:color w:val="auto"/>
              </w:rPr>
              <w:t>°</w:t>
            </w:r>
          </w:p>
        </w:tc>
        <w:tc>
          <w:tcPr>
            <w:tcW w:w="1847" w:type="pct"/>
            <w:vAlign w:val="center"/>
          </w:tcPr>
          <w:p w14:paraId="2DCCC903">
            <w:pPr>
              <w:pStyle w:val="17"/>
              <w:bidi w:val="0"/>
              <w:rPr>
                <w:rFonts w:ascii="Times New Roman" w:hAnsi="Times New Roman"/>
                <w:color w:val="auto"/>
              </w:rPr>
            </w:pPr>
            <w:r>
              <w:rPr>
                <w:rFonts w:ascii="Times New Roman" w:hAnsi="Times New Roman"/>
                <w:color w:val="auto"/>
              </w:rPr>
              <w:t>边坡最高高度</w:t>
            </w:r>
            <w:r>
              <w:rPr>
                <w:rFonts w:hint="eastAsia" w:ascii="Times New Roman" w:hAnsi="Times New Roman"/>
                <w:color w:val="auto"/>
              </w:rPr>
              <w:t>95</w:t>
            </w:r>
            <w:r>
              <w:rPr>
                <w:rFonts w:ascii="Times New Roman" w:hAnsi="Times New Roman"/>
                <w:color w:val="auto"/>
              </w:rPr>
              <w:t>m</w:t>
            </w:r>
          </w:p>
        </w:tc>
      </w:tr>
      <w:tr w14:paraId="29D7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79" w:type="pct"/>
            <w:vMerge w:val="continue"/>
            <w:vAlign w:val="center"/>
          </w:tcPr>
          <w:p w14:paraId="02908AC3">
            <w:pPr>
              <w:pStyle w:val="17"/>
              <w:bidi w:val="0"/>
              <w:rPr>
                <w:rFonts w:ascii="Times New Roman" w:hAnsi="Times New Roman"/>
                <w:color w:val="auto"/>
              </w:rPr>
            </w:pPr>
          </w:p>
        </w:tc>
        <w:tc>
          <w:tcPr>
            <w:tcW w:w="1485" w:type="pct"/>
            <w:vAlign w:val="center"/>
          </w:tcPr>
          <w:p w14:paraId="7E280B2A">
            <w:pPr>
              <w:pStyle w:val="17"/>
              <w:bidi w:val="0"/>
              <w:rPr>
                <w:rFonts w:ascii="Times New Roman" w:hAnsi="Times New Roman"/>
                <w:color w:val="auto"/>
              </w:rPr>
            </w:pPr>
            <w:r>
              <w:rPr>
                <w:rFonts w:hint="eastAsia" w:ascii="Times New Roman" w:hAnsi="Times New Roman"/>
                <w:color w:val="auto"/>
              </w:rPr>
              <w:t>东南侧</w:t>
            </w:r>
          </w:p>
        </w:tc>
        <w:tc>
          <w:tcPr>
            <w:tcW w:w="888" w:type="pct"/>
            <w:vAlign w:val="center"/>
          </w:tcPr>
          <w:p w14:paraId="61415088">
            <w:pPr>
              <w:pStyle w:val="17"/>
              <w:bidi w:val="0"/>
              <w:rPr>
                <w:rFonts w:ascii="Times New Roman" w:hAnsi="Times New Roman"/>
                <w:color w:val="auto"/>
              </w:rPr>
            </w:pPr>
            <w:r>
              <w:rPr>
                <w:rFonts w:hint="eastAsia"/>
                <w:color w:val="auto"/>
                <w:lang w:val="en-US" w:eastAsia="zh-CN"/>
              </w:rPr>
              <w:t>43</w:t>
            </w:r>
            <w:r>
              <w:rPr>
                <w:rFonts w:ascii="Times New Roman" w:hAnsi="Times New Roman"/>
                <w:color w:val="auto"/>
              </w:rPr>
              <w:t>°</w:t>
            </w:r>
          </w:p>
        </w:tc>
        <w:tc>
          <w:tcPr>
            <w:tcW w:w="1847" w:type="pct"/>
            <w:vAlign w:val="center"/>
          </w:tcPr>
          <w:p w14:paraId="21BB4F25">
            <w:pPr>
              <w:pStyle w:val="17"/>
              <w:bidi w:val="0"/>
              <w:rPr>
                <w:rFonts w:ascii="Times New Roman" w:hAnsi="Times New Roman"/>
                <w:color w:val="auto"/>
              </w:rPr>
            </w:pPr>
            <w:r>
              <w:rPr>
                <w:rFonts w:ascii="Times New Roman" w:hAnsi="Times New Roman"/>
                <w:color w:val="auto"/>
              </w:rPr>
              <w:t>边坡最高高度</w:t>
            </w:r>
            <w:r>
              <w:rPr>
                <w:rFonts w:hint="eastAsia" w:ascii="Times New Roman" w:hAnsi="Times New Roman"/>
                <w:color w:val="auto"/>
              </w:rPr>
              <w:t>67</w:t>
            </w:r>
            <w:r>
              <w:rPr>
                <w:rFonts w:ascii="Times New Roman" w:hAnsi="Times New Roman"/>
                <w:color w:val="auto"/>
              </w:rPr>
              <w:t>m</w:t>
            </w:r>
          </w:p>
        </w:tc>
      </w:tr>
    </w:tbl>
    <w:p w14:paraId="265E7F83">
      <w:pPr>
        <w:pStyle w:val="5"/>
        <w:bidi w:val="0"/>
        <w:rPr>
          <w:rFonts w:hint="eastAsia" w:ascii="Times New Roman" w:hAnsi="Times New Roman"/>
          <w:color w:val="auto"/>
          <w:lang w:val="en-US" w:eastAsia="zh-CN"/>
        </w:rPr>
      </w:pPr>
      <w:r>
        <w:rPr>
          <w:rFonts w:hint="eastAsia" w:ascii="Times New Roman" w:hAnsi="Times New Roman"/>
          <w:color w:val="auto"/>
          <w:lang w:val="en-US" w:eastAsia="zh-CN"/>
        </w:rPr>
        <w:t>2.4.6.2 采剥工艺</w:t>
      </w:r>
    </w:p>
    <w:p w14:paraId="7DA291E9">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采剥方法的确定</w:t>
      </w:r>
    </w:p>
    <w:p w14:paraId="495860F0">
      <w:pPr>
        <w:bidi w:val="0"/>
        <w:rPr>
          <w:rFonts w:hint="eastAsia" w:ascii="Times New Roman" w:hAnsi="Times New Roman"/>
          <w:color w:val="auto"/>
        </w:rPr>
      </w:pPr>
      <w:r>
        <w:rPr>
          <w:rFonts w:hint="eastAsia" w:ascii="Times New Roman" w:hAnsi="Times New Roman"/>
          <w:color w:val="auto"/>
        </w:rPr>
        <w:t>根据露天采场的布置情况，露天采场采用前进式开采顺序的缓帮作业采矿工艺；开采顺序均由上往下分台阶开采，台阶高度15m。</w:t>
      </w:r>
    </w:p>
    <w:p w14:paraId="4CFA2929">
      <w:pPr>
        <w:bidi w:val="0"/>
        <w:rPr>
          <w:rFonts w:hint="eastAsia" w:ascii="Times New Roman" w:hAnsi="Times New Roman"/>
          <w:color w:val="auto"/>
        </w:rPr>
      </w:pPr>
      <w:r>
        <w:rPr>
          <w:rFonts w:hint="eastAsia" w:ascii="Times New Roman" w:hAnsi="Times New Roman"/>
          <w:color w:val="auto"/>
        </w:rPr>
        <w:t>根据矿区内矿岩性质，采用中深孔、多排逐孔微差挤压爆破，数码电子雷管起爆，然后进行铲装运输的采剥方法。</w:t>
      </w:r>
    </w:p>
    <w:p w14:paraId="0BC8F688">
      <w:pPr>
        <w:bidi w:val="0"/>
        <w:rPr>
          <w:rFonts w:hint="eastAsia" w:ascii="Times New Roman" w:hAnsi="Times New Roman"/>
          <w:color w:val="auto"/>
        </w:rPr>
      </w:pPr>
      <w:r>
        <w:rPr>
          <w:rFonts w:hint="eastAsia" w:ascii="Times New Roman" w:hAnsi="Times New Roman"/>
          <w:color w:val="auto"/>
        </w:rPr>
        <w:t>（1）最小工作平台宽度</w:t>
      </w:r>
    </w:p>
    <w:p w14:paraId="1D600E5B">
      <w:pPr>
        <w:bidi w:val="0"/>
        <w:rPr>
          <w:rFonts w:hint="eastAsia" w:ascii="Times New Roman" w:hAnsi="Times New Roman"/>
          <w:color w:val="auto"/>
        </w:rPr>
      </w:pPr>
      <w:r>
        <w:rPr>
          <w:rFonts w:hint="eastAsia" w:ascii="Times New Roman" w:hAnsi="Times New Roman"/>
          <w:color w:val="auto"/>
        </w:rPr>
        <w:t>最小工作平台宽度为26m。</w:t>
      </w:r>
    </w:p>
    <w:p w14:paraId="2802C4EF">
      <w:pPr>
        <w:bidi w:val="0"/>
        <w:rPr>
          <w:rFonts w:hint="eastAsia" w:ascii="Times New Roman" w:hAnsi="Times New Roman"/>
          <w:color w:val="auto"/>
        </w:rPr>
      </w:pPr>
      <w:r>
        <w:rPr>
          <w:rFonts w:hint="eastAsia" w:ascii="Times New Roman" w:hAnsi="Times New Roman"/>
          <w:color w:val="auto"/>
        </w:rPr>
        <w:t>（2）挖机工作线长度的确定</w:t>
      </w:r>
    </w:p>
    <w:p w14:paraId="43E90DEE">
      <w:pPr>
        <w:bidi w:val="0"/>
        <w:rPr>
          <w:rFonts w:hint="eastAsia" w:ascii="Times New Roman" w:hAnsi="Times New Roman"/>
          <w:color w:val="auto"/>
        </w:rPr>
      </w:pPr>
      <w:r>
        <w:rPr>
          <w:rFonts w:hint="eastAsia" w:ascii="Times New Roman" w:hAnsi="Times New Roman"/>
          <w:color w:val="auto"/>
        </w:rPr>
        <w:t>最小工作线长度为90m，当遇工作面狭窄区域或横向采剥时可适当减小，但必须保证每台铲装设备有5天的待装矿量和调车的要求。</w:t>
      </w:r>
    </w:p>
    <w:p w14:paraId="4A819B83">
      <w:pPr>
        <w:bidi w:val="0"/>
        <w:rPr>
          <w:rFonts w:hint="eastAsia" w:ascii="Times New Roman" w:hAnsi="Times New Roman"/>
          <w:color w:val="auto"/>
        </w:rPr>
      </w:pPr>
      <w:r>
        <w:rPr>
          <w:rFonts w:hint="eastAsia" w:ascii="Times New Roman" w:hAnsi="Times New Roman"/>
          <w:color w:val="auto"/>
        </w:rPr>
        <w:t>2、开段沟位置确定及推进方向</w:t>
      </w:r>
    </w:p>
    <w:p w14:paraId="3ACF82DA">
      <w:pPr>
        <w:bidi w:val="0"/>
        <w:rPr>
          <w:rFonts w:hint="eastAsia" w:ascii="Times New Roman" w:hAnsi="Times New Roman"/>
          <w:color w:val="auto"/>
        </w:rPr>
      </w:pPr>
      <w:r>
        <w:rPr>
          <w:rFonts w:hint="eastAsia" w:ascii="Times New Roman" w:hAnsi="Times New Roman"/>
          <w:color w:val="auto"/>
        </w:rPr>
        <w:t>新水平准备时，由外部地形处开掘段沟，垂直矿体走向或沿矿体走向布置工作面，矿山开采顺序采用自上而下分台阶开采。</w:t>
      </w:r>
    </w:p>
    <w:p w14:paraId="0A04BA12">
      <w:pPr>
        <w:bidi w:val="0"/>
        <w:rPr>
          <w:rFonts w:hint="eastAsia" w:ascii="Times New Roman" w:hAnsi="Times New Roman"/>
          <w:color w:val="auto"/>
        </w:rPr>
      </w:pPr>
      <w:r>
        <w:rPr>
          <w:rFonts w:hint="eastAsia" w:ascii="Times New Roman" w:hAnsi="Times New Roman"/>
          <w:color w:val="auto"/>
        </w:rPr>
        <w:t>3、采剥台阶工作面主要结构要素</w:t>
      </w:r>
    </w:p>
    <w:p w14:paraId="695B5D0C">
      <w:pPr>
        <w:bidi w:val="0"/>
        <w:rPr>
          <w:rFonts w:hint="eastAsia" w:ascii="Times New Roman" w:hAnsi="Times New Roman"/>
          <w:color w:val="auto"/>
        </w:rPr>
      </w:pPr>
      <w:r>
        <w:rPr>
          <w:rFonts w:hint="eastAsia" w:ascii="Times New Roman" w:hAnsi="Times New Roman"/>
          <w:color w:val="auto"/>
        </w:rPr>
        <w:t>采用自上而下分台阶开采工艺，台阶高度15m，最小工作平台宽度为26m，挖掘机工作线长度90m。</w:t>
      </w:r>
    </w:p>
    <w:p w14:paraId="248125B0">
      <w:pPr>
        <w:bidi w:val="0"/>
        <w:rPr>
          <w:rFonts w:hint="eastAsia" w:ascii="Times New Roman" w:hAnsi="Times New Roman"/>
          <w:color w:val="auto"/>
        </w:rPr>
      </w:pPr>
      <w:r>
        <w:rPr>
          <w:rFonts w:hint="eastAsia" w:ascii="Times New Roman" w:hAnsi="Times New Roman"/>
          <w:color w:val="auto"/>
        </w:rPr>
        <w:t>矿山设计采用的挖掘机铲挖最大高度为10.21m，根据、铲装效果和采掘作业方式对应的台阶高度，满足15m台阶高度要求。</w:t>
      </w:r>
    </w:p>
    <w:p w14:paraId="3B951055">
      <w:pPr>
        <w:bidi w:val="0"/>
        <w:rPr>
          <w:rFonts w:hint="eastAsia" w:ascii="Times New Roman" w:hAnsi="Times New Roman"/>
          <w:color w:val="auto"/>
        </w:rPr>
      </w:pPr>
      <w:r>
        <w:rPr>
          <w:rFonts w:hint="eastAsia" w:ascii="Times New Roman" w:hAnsi="Times New Roman"/>
          <w:color w:val="auto"/>
        </w:rPr>
        <w:t>根据矿山道路布置情况，设计工作线垂直矿体走向横向布置或沿矿体走向纵向布置。采剥工艺参数见表</w:t>
      </w:r>
      <w:r>
        <w:rPr>
          <w:rFonts w:hint="eastAsia" w:ascii="Times New Roman" w:hAnsi="Times New Roman"/>
          <w:color w:val="auto"/>
          <w:lang w:val="en-US" w:eastAsia="zh-CN"/>
        </w:rPr>
        <w:t>2.4-4</w:t>
      </w:r>
      <w:r>
        <w:rPr>
          <w:rFonts w:hint="eastAsia" w:ascii="Times New Roman" w:hAnsi="Times New Roman"/>
          <w:color w:val="auto"/>
        </w:rPr>
        <w:t>。</w:t>
      </w:r>
    </w:p>
    <w:p w14:paraId="5A3E3A79">
      <w:pPr>
        <w:pStyle w:val="16"/>
        <w:bidi w:val="0"/>
        <w:rPr>
          <w:rFonts w:hint="eastAsia" w:ascii="Times New Roman" w:hAnsi="Times New Roman"/>
          <w:color w:val="auto"/>
        </w:rPr>
      </w:pPr>
      <w:r>
        <w:rPr>
          <w:rFonts w:hint="eastAsia" w:ascii="Times New Roman" w:hAnsi="Times New Roman"/>
          <w:color w:val="auto"/>
        </w:rPr>
        <w:t>表2.4-4</w:t>
      </w:r>
      <w:r>
        <w:rPr>
          <w:rFonts w:hint="eastAsia" w:ascii="Times New Roman" w:hAnsi="Times New Roman"/>
          <w:color w:val="auto"/>
          <w:lang w:val="en-US" w:eastAsia="zh-CN"/>
        </w:rPr>
        <w:t xml:space="preserve">  </w:t>
      </w:r>
      <w:r>
        <w:rPr>
          <w:rFonts w:hint="eastAsia" w:ascii="Times New Roman" w:hAnsi="Times New Roman"/>
          <w:color w:val="auto"/>
        </w:rPr>
        <w:t>采剥工艺参数</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0"/>
        <w:gridCol w:w="5292"/>
        <w:gridCol w:w="1290"/>
        <w:gridCol w:w="1529"/>
      </w:tblGrid>
      <w:tr w14:paraId="7076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86" w:type="pct"/>
            <w:vAlign w:val="center"/>
          </w:tcPr>
          <w:p w14:paraId="59E85F86">
            <w:pPr>
              <w:pStyle w:val="17"/>
              <w:bidi w:val="0"/>
              <w:rPr>
                <w:rFonts w:ascii="Times New Roman" w:hAnsi="Times New Roman"/>
                <w:b/>
                <w:bCs/>
                <w:color w:val="auto"/>
              </w:rPr>
            </w:pPr>
            <w:bookmarkStart w:id="83" w:name="_Hlk167709238"/>
            <w:r>
              <w:rPr>
                <w:rFonts w:ascii="Times New Roman" w:hAnsi="Times New Roman"/>
                <w:b/>
                <w:bCs/>
                <w:color w:val="auto"/>
              </w:rPr>
              <w:t>序号</w:t>
            </w:r>
          </w:p>
        </w:tc>
        <w:tc>
          <w:tcPr>
            <w:tcW w:w="2814" w:type="pct"/>
            <w:vAlign w:val="center"/>
          </w:tcPr>
          <w:p w14:paraId="42A58753">
            <w:pPr>
              <w:pStyle w:val="17"/>
              <w:bidi w:val="0"/>
              <w:rPr>
                <w:rFonts w:ascii="Times New Roman" w:hAnsi="Times New Roman"/>
                <w:b/>
                <w:bCs/>
                <w:color w:val="auto"/>
              </w:rPr>
            </w:pPr>
            <w:r>
              <w:rPr>
                <w:rFonts w:ascii="Times New Roman" w:hAnsi="Times New Roman"/>
                <w:b/>
                <w:bCs/>
                <w:color w:val="auto"/>
              </w:rPr>
              <w:t>项目</w:t>
            </w:r>
          </w:p>
        </w:tc>
        <w:tc>
          <w:tcPr>
            <w:tcW w:w="686" w:type="pct"/>
            <w:vAlign w:val="center"/>
          </w:tcPr>
          <w:p w14:paraId="6345475A">
            <w:pPr>
              <w:pStyle w:val="17"/>
              <w:bidi w:val="0"/>
              <w:rPr>
                <w:rFonts w:ascii="Times New Roman" w:hAnsi="Times New Roman"/>
                <w:b/>
                <w:bCs/>
                <w:color w:val="auto"/>
              </w:rPr>
            </w:pPr>
            <w:r>
              <w:rPr>
                <w:rFonts w:ascii="Times New Roman" w:hAnsi="Times New Roman"/>
                <w:b/>
                <w:bCs/>
                <w:color w:val="auto"/>
              </w:rPr>
              <w:t>单位</w:t>
            </w:r>
          </w:p>
        </w:tc>
        <w:tc>
          <w:tcPr>
            <w:tcW w:w="813" w:type="pct"/>
            <w:vAlign w:val="center"/>
          </w:tcPr>
          <w:p w14:paraId="73CF3D7B">
            <w:pPr>
              <w:pStyle w:val="17"/>
              <w:bidi w:val="0"/>
              <w:rPr>
                <w:rFonts w:ascii="Times New Roman" w:hAnsi="Times New Roman"/>
                <w:b/>
                <w:bCs/>
                <w:color w:val="auto"/>
              </w:rPr>
            </w:pPr>
            <w:r>
              <w:rPr>
                <w:rFonts w:ascii="Times New Roman" w:hAnsi="Times New Roman"/>
                <w:b/>
                <w:bCs/>
                <w:color w:val="auto"/>
              </w:rPr>
              <w:t>取值</w:t>
            </w:r>
          </w:p>
        </w:tc>
      </w:tr>
      <w:tr w14:paraId="3DA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6" w:type="pct"/>
            <w:vAlign w:val="center"/>
          </w:tcPr>
          <w:p w14:paraId="0E074FBC">
            <w:pPr>
              <w:pStyle w:val="17"/>
              <w:bidi w:val="0"/>
              <w:rPr>
                <w:rFonts w:ascii="Times New Roman" w:hAnsi="Times New Roman"/>
                <w:color w:val="auto"/>
              </w:rPr>
            </w:pPr>
            <w:r>
              <w:rPr>
                <w:rFonts w:ascii="Times New Roman" w:hAnsi="Times New Roman"/>
                <w:color w:val="auto"/>
              </w:rPr>
              <w:t>1</w:t>
            </w:r>
          </w:p>
        </w:tc>
        <w:tc>
          <w:tcPr>
            <w:tcW w:w="2814" w:type="pct"/>
            <w:vAlign w:val="center"/>
          </w:tcPr>
          <w:p w14:paraId="498AA6DA">
            <w:pPr>
              <w:pStyle w:val="17"/>
              <w:bidi w:val="0"/>
              <w:rPr>
                <w:rFonts w:ascii="Times New Roman" w:hAnsi="Times New Roman"/>
                <w:color w:val="auto"/>
              </w:rPr>
            </w:pPr>
            <w:r>
              <w:rPr>
                <w:rFonts w:ascii="Times New Roman" w:hAnsi="Times New Roman"/>
                <w:color w:val="auto"/>
              </w:rPr>
              <w:t>作业台阶高度</w:t>
            </w:r>
          </w:p>
        </w:tc>
        <w:tc>
          <w:tcPr>
            <w:tcW w:w="686" w:type="pct"/>
            <w:vAlign w:val="center"/>
          </w:tcPr>
          <w:p w14:paraId="672FE4F1">
            <w:pPr>
              <w:pStyle w:val="17"/>
              <w:bidi w:val="0"/>
              <w:rPr>
                <w:rFonts w:ascii="Times New Roman" w:hAnsi="Times New Roman"/>
                <w:color w:val="auto"/>
              </w:rPr>
            </w:pPr>
            <w:r>
              <w:rPr>
                <w:rFonts w:ascii="Times New Roman" w:hAnsi="Times New Roman"/>
                <w:color w:val="auto"/>
              </w:rPr>
              <w:t>m</w:t>
            </w:r>
          </w:p>
        </w:tc>
        <w:tc>
          <w:tcPr>
            <w:tcW w:w="813" w:type="pct"/>
            <w:vAlign w:val="center"/>
          </w:tcPr>
          <w:p w14:paraId="336ED309">
            <w:pPr>
              <w:pStyle w:val="17"/>
              <w:bidi w:val="0"/>
              <w:rPr>
                <w:rFonts w:ascii="Times New Roman" w:hAnsi="Times New Roman"/>
                <w:color w:val="auto"/>
              </w:rPr>
            </w:pPr>
            <w:r>
              <w:rPr>
                <w:rFonts w:ascii="Times New Roman" w:hAnsi="Times New Roman"/>
                <w:color w:val="auto"/>
              </w:rPr>
              <w:t>15</w:t>
            </w:r>
          </w:p>
        </w:tc>
      </w:tr>
      <w:tr w14:paraId="1C1E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6" w:type="pct"/>
            <w:vAlign w:val="center"/>
          </w:tcPr>
          <w:p w14:paraId="27A5433D">
            <w:pPr>
              <w:pStyle w:val="17"/>
              <w:bidi w:val="0"/>
              <w:rPr>
                <w:rFonts w:ascii="Times New Roman" w:hAnsi="Times New Roman"/>
                <w:color w:val="auto"/>
              </w:rPr>
            </w:pPr>
            <w:r>
              <w:rPr>
                <w:rFonts w:ascii="Times New Roman" w:hAnsi="Times New Roman"/>
                <w:color w:val="auto"/>
              </w:rPr>
              <w:t>2</w:t>
            </w:r>
          </w:p>
        </w:tc>
        <w:tc>
          <w:tcPr>
            <w:tcW w:w="2814" w:type="pct"/>
            <w:vAlign w:val="center"/>
          </w:tcPr>
          <w:p w14:paraId="0A11493D">
            <w:pPr>
              <w:pStyle w:val="17"/>
              <w:bidi w:val="0"/>
              <w:rPr>
                <w:rFonts w:ascii="Times New Roman" w:hAnsi="Times New Roman"/>
                <w:color w:val="auto"/>
              </w:rPr>
            </w:pPr>
            <w:r>
              <w:rPr>
                <w:rFonts w:ascii="Times New Roman" w:hAnsi="Times New Roman"/>
                <w:color w:val="auto"/>
              </w:rPr>
              <w:t>最小作业平台宽度</w:t>
            </w:r>
          </w:p>
        </w:tc>
        <w:tc>
          <w:tcPr>
            <w:tcW w:w="686" w:type="pct"/>
            <w:vAlign w:val="center"/>
          </w:tcPr>
          <w:p w14:paraId="543366FA">
            <w:pPr>
              <w:pStyle w:val="17"/>
              <w:bidi w:val="0"/>
              <w:rPr>
                <w:rFonts w:ascii="Times New Roman" w:hAnsi="Times New Roman"/>
                <w:color w:val="auto"/>
              </w:rPr>
            </w:pPr>
            <w:r>
              <w:rPr>
                <w:rFonts w:ascii="Times New Roman" w:hAnsi="Times New Roman"/>
                <w:color w:val="auto"/>
              </w:rPr>
              <w:t>m</w:t>
            </w:r>
          </w:p>
        </w:tc>
        <w:tc>
          <w:tcPr>
            <w:tcW w:w="813" w:type="pct"/>
            <w:vAlign w:val="center"/>
          </w:tcPr>
          <w:p w14:paraId="5302590A">
            <w:pPr>
              <w:pStyle w:val="17"/>
              <w:bidi w:val="0"/>
              <w:rPr>
                <w:rFonts w:ascii="Times New Roman" w:hAnsi="Times New Roman"/>
                <w:color w:val="auto"/>
              </w:rPr>
            </w:pPr>
            <w:r>
              <w:rPr>
                <w:rFonts w:ascii="Times New Roman" w:hAnsi="Times New Roman"/>
                <w:color w:val="auto"/>
              </w:rPr>
              <w:t>26</w:t>
            </w:r>
          </w:p>
        </w:tc>
      </w:tr>
      <w:tr w14:paraId="7EB0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6" w:type="pct"/>
            <w:vAlign w:val="center"/>
          </w:tcPr>
          <w:p w14:paraId="61099EC4">
            <w:pPr>
              <w:pStyle w:val="17"/>
              <w:bidi w:val="0"/>
              <w:rPr>
                <w:rFonts w:ascii="Times New Roman" w:hAnsi="Times New Roman"/>
                <w:color w:val="auto"/>
              </w:rPr>
            </w:pPr>
            <w:r>
              <w:rPr>
                <w:rFonts w:ascii="Times New Roman" w:hAnsi="Times New Roman"/>
                <w:color w:val="auto"/>
              </w:rPr>
              <w:t>3</w:t>
            </w:r>
          </w:p>
        </w:tc>
        <w:tc>
          <w:tcPr>
            <w:tcW w:w="2814" w:type="pct"/>
            <w:vAlign w:val="center"/>
          </w:tcPr>
          <w:p w14:paraId="491C9DB1">
            <w:pPr>
              <w:pStyle w:val="17"/>
              <w:bidi w:val="0"/>
              <w:rPr>
                <w:rFonts w:ascii="Times New Roman" w:hAnsi="Times New Roman"/>
                <w:color w:val="auto"/>
              </w:rPr>
            </w:pPr>
            <w:r>
              <w:rPr>
                <w:rFonts w:ascii="Times New Roman" w:hAnsi="Times New Roman"/>
                <w:color w:val="auto"/>
              </w:rPr>
              <w:t>正常生产时工作平台宽度</w:t>
            </w:r>
          </w:p>
        </w:tc>
        <w:tc>
          <w:tcPr>
            <w:tcW w:w="686" w:type="pct"/>
            <w:vAlign w:val="center"/>
          </w:tcPr>
          <w:p w14:paraId="69DA7CFE">
            <w:pPr>
              <w:pStyle w:val="17"/>
              <w:bidi w:val="0"/>
              <w:rPr>
                <w:rFonts w:ascii="Times New Roman" w:hAnsi="Times New Roman"/>
                <w:color w:val="auto"/>
              </w:rPr>
            </w:pPr>
            <w:r>
              <w:rPr>
                <w:rFonts w:ascii="Times New Roman" w:hAnsi="Times New Roman"/>
                <w:color w:val="auto"/>
              </w:rPr>
              <w:t>m</w:t>
            </w:r>
          </w:p>
        </w:tc>
        <w:tc>
          <w:tcPr>
            <w:tcW w:w="813" w:type="pct"/>
            <w:vAlign w:val="center"/>
          </w:tcPr>
          <w:p w14:paraId="7DFA197A">
            <w:pPr>
              <w:pStyle w:val="17"/>
              <w:bidi w:val="0"/>
              <w:rPr>
                <w:rFonts w:ascii="Times New Roman" w:hAnsi="Times New Roman"/>
                <w:color w:val="auto"/>
              </w:rPr>
            </w:pPr>
            <w:r>
              <w:rPr>
                <w:rFonts w:ascii="Times New Roman" w:hAnsi="Times New Roman"/>
                <w:color w:val="auto"/>
              </w:rPr>
              <w:t>50~60</w:t>
            </w:r>
          </w:p>
        </w:tc>
      </w:tr>
      <w:tr w14:paraId="0914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6" w:type="pct"/>
            <w:vAlign w:val="center"/>
          </w:tcPr>
          <w:p w14:paraId="4C406F30">
            <w:pPr>
              <w:pStyle w:val="17"/>
              <w:bidi w:val="0"/>
              <w:rPr>
                <w:rFonts w:ascii="Times New Roman" w:hAnsi="Times New Roman"/>
                <w:color w:val="auto"/>
              </w:rPr>
            </w:pPr>
            <w:r>
              <w:rPr>
                <w:rFonts w:ascii="Times New Roman" w:hAnsi="Times New Roman"/>
                <w:color w:val="auto"/>
              </w:rPr>
              <w:t>4</w:t>
            </w:r>
          </w:p>
        </w:tc>
        <w:tc>
          <w:tcPr>
            <w:tcW w:w="2814" w:type="pct"/>
            <w:vAlign w:val="center"/>
          </w:tcPr>
          <w:p w14:paraId="5EF651B0">
            <w:pPr>
              <w:pStyle w:val="17"/>
              <w:bidi w:val="0"/>
              <w:rPr>
                <w:rFonts w:ascii="Times New Roman" w:hAnsi="Times New Roman"/>
                <w:color w:val="auto"/>
              </w:rPr>
            </w:pPr>
            <w:r>
              <w:rPr>
                <w:rFonts w:ascii="Times New Roman" w:hAnsi="Times New Roman"/>
                <w:color w:val="auto"/>
              </w:rPr>
              <w:t>工作台阶坡面角</w:t>
            </w:r>
          </w:p>
        </w:tc>
        <w:tc>
          <w:tcPr>
            <w:tcW w:w="686" w:type="pct"/>
            <w:vAlign w:val="center"/>
          </w:tcPr>
          <w:p w14:paraId="2AA8B131">
            <w:pPr>
              <w:pStyle w:val="17"/>
              <w:bidi w:val="0"/>
              <w:rPr>
                <w:rFonts w:ascii="Times New Roman" w:hAnsi="Times New Roman"/>
                <w:color w:val="auto"/>
              </w:rPr>
            </w:pPr>
            <w:r>
              <w:rPr>
                <w:rFonts w:ascii="Times New Roman" w:hAnsi="Times New Roman"/>
                <w:color w:val="auto"/>
              </w:rPr>
              <w:t>°</w:t>
            </w:r>
          </w:p>
        </w:tc>
        <w:tc>
          <w:tcPr>
            <w:tcW w:w="813" w:type="pct"/>
            <w:vAlign w:val="center"/>
          </w:tcPr>
          <w:p w14:paraId="24A27FFE">
            <w:pPr>
              <w:pStyle w:val="17"/>
              <w:bidi w:val="0"/>
              <w:rPr>
                <w:rFonts w:ascii="Times New Roman" w:hAnsi="Times New Roman"/>
                <w:color w:val="auto"/>
              </w:rPr>
            </w:pPr>
            <w:r>
              <w:rPr>
                <w:rFonts w:ascii="Times New Roman" w:hAnsi="Times New Roman"/>
                <w:color w:val="auto"/>
              </w:rPr>
              <w:t>75</w:t>
            </w:r>
          </w:p>
        </w:tc>
      </w:tr>
      <w:tr w14:paraId="6CB2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6" w:type="pct"/>
            <w:vAlign w:val="center"/>
          </w:tcPr>
          <w:p w14:paraId="023881AD">
            <w:pPr>
              <w:pStyle w:val="17"/>
              <w:bidi w:val="0"/>
              <w:rPr>
                <w:rFonts w:ascii="Times New Roman" w:hAnsi="Times New Roman"/>
                <w:color w:val="auto"/>
              </w:rPr>
            </w:pPr>
            <w:r>
              <w:rPr>
                <w:rFonts w:ascii="Times New Roman" w:hAnsi="Times New Roman"/>
                <w:color w:val="auto"/>
              </w:rPr>
              <w:t>5</w:t>
            </w:r>
          </w:p>
        </w:tc>
        <w:tc>
          <w:tcPr>
            <w:tcW w:w="2814" w:type="pct"/>
            <w:vAlign w:val="center"/>
          </w:tcPr>
          <w:p w14:paraId="4CD37874">
            <w:pPr>
              <w:pStyle w:val="17"/>
              <w:bidi w:val="0"/>
              <w:rPr>
                <w:rFonts w:ascii="Times New Roman" w:hAnsi="Times New Roman"/>
                <w:color w:val="auto"/>
              </w:rPr>
            </w:pPr>
            <w:r>
              <w:rPr>
                <w:rFonts w:ascii="Times New Roman" w:hAnsi="Times New Roman"/>
                <w:color w:val="auto"/>
              </w:rPr>
              <w:t>最小工作线长度</w:t>
            </w:r>
          </w:p>
        </w:tc>
        <w:tc>
          <w:tcPr>
            <w:tcW w:w="686" w:type="pct"/>
            <w:vAlign w:val="center"/>
          </w:tcPr>
          <w:p w14:paraId="67C0D33B">
            <w:pPr>
              <w:pStyle w:val="17"/>
              <w:bidi w:val="0"/>
              <w:rPr>
                <w:rFonts w:ascii="Times New Roman" w:hAnsi="Times New Roman"/>
                <w:color w:val="auto"/>
              </w:rPr>
            </w:pPr>
            <w:r>
              <w:rPr>
                <w:rFonts w:ascii="Times New Roman" w:hAnsi="Times New Roman"/>
                <w:color w:val="auto"/>
              </w:rPr>
              <w:t>m</w:t>
            </w:r>
          </w:p>
        </w:tc>
        <w:tc>
          <w:tcPr>
            <w:tcW w:w="813" w:type="pct"/>
            <w:vAlign w:val="center"/>
          </w:tcPr>
          <w:p w14:paraId="6B746E26">
            <w:pPr>
              <w:pStyle w:val="17"/>
              <w:bidi w:val="0"/>
              <w:rPr>
                <w:rFonts w:ascii="Times New Roman" w:hAnsi="Times New Roman"/>
                <w:color w:val="auto"/>
              </w:rPr>
            </w:pPr>
            <w:r>
              <w:rPr>
                <w:rFonts w:hint="eastAsia" w:ascii="Times New Roman" w:hAnsi="Times New Roman"/>
                <w:color w:val="auto"/>
              </w:rPr>
              <w:t>90</w:t>
            </w:r>
          </w:p>
        </w:tc>
      </w:tr>
      <w:bookmarkEnd w:id="83"/>
    </w:tbl>
    <w:p w14:paraId="76BEE667">
      <w:pPr>
        <w:bidi w:val="0"/>
        <w:rPr>
          <w:rFonts w:hint="eastAsia" w:ascii="Times New Roman" w:hAnsi="Times New Roman"/>
          <w:color w:val="auto"/>
        </w:rPr>
      </w:pPr>
      <w:r>
        <w:rPr>
          <w:rFonts w:hint="eastAsia" w:ascii="Times New Roman" w:hAnsi="Times New Roman"/>
          <w:color w:val="auto"/>
          <w:lang w:val="en-US" w:eastAsia="zh-CN"/>
        </w:rPr>
        <w:t>4、</w:t>
      </w:r>
      <w:r>
        <w:rPr>
          <w:rFonts w:hint="eastAsia" w:ascii="Times New Roman" w:hAnsi="Times New Roman"/>
          <w:color w:val="auto"/>
        </w:rPr>
        <w:t>采</w:t>
      </w:r>
      <w:r>
        <w:rPr>
          <w:rFonts w:hint="eastAsia" w:ascii="Times New Roman" w:hAnsi="Times New Roman"/>
          <w:color w:val="auto"/>
          <w:lang w:val="en-US" w:eastAsia="zh-CN"/>
        </w:rPr>
        <w:t>矿</w:t>
      </w:r>
      <w:r>
        <w:rPr>
          <w:rFonts w:hint="eastAsia" w:ascii="Times New Roman" w:hAnsi="Times New Roman"/>
          <w:color w:val="auto"/>
        </w:rPr>
        <w:t>工艺</w:t>
      </w:r>
    </w:p>
    <w:p w14:paraId="552098A0">
      <w:pPr>
        <w:bidi w:val="0"/>
        <w:rPr>
          <w:rFonts w:hint="eastAsia" w:ascii="Times New Roman" w:hAnsi="Times New Roman"/>
          <w:color w:val="auto"/>
        </w:rPr>
      </w:pPr>
      <w:r>
        <w:rPr>
          <w:rFonts w:hint="eastAsia" w:ascii="Times New Roman" w:hAnsi="Times New Roman"/>
          <w:color w:val="auto"/>
        </w:rPr>
        <w:t>矿山采剥作业过程中，需穿爆的矿岩主要为灰岩，普氏系数f=4-6，矿岩较坚硬，采用现有红五环240型潜孔钻机穿孔。正常生产时采用垂直中深孔台阶爆破，孔深16.5m（包括超深1.5m），采用</w:t>
      </w:r>
      <w:r>
        <w:rPr>
          <w:rFonts w:hint="eastAsia"/>
          <w:color w:val="auto"/>
          <w:lang w:val="en-US" w:eastAsia="zh-CN"/>
        </w:rPr>
        <w:t>三角</w:t>
      </w:r>
      <w:r>
        <w:rPr>
          <w:rFonts w:hint="eastAsia" w:ascii="Times New Roman" w:hAnsi="Times New Roman"/>
          <w:color w:val="auto"/>
        </w:rPr>
        <w:t>形布孔；孔网参数5m×3.5m（孔距×排距），为了改善爆破质量，提高爆破效果，减少单段爆破药量，设计采用逐孔起爆爆破方式，数码电子雷管起爆。矿石铲装设计主要铲装设备为1台2.1m</w:t>
      </w:r>
      <w:r>
        <w:rPr>
          <w:rFonts w:hint="eastAsia" w:ascii="Times New Roman" w:hAnsi="Times New Roman"/>
          <w:color w:val="auto"/>
          <w:vertAlign w:val="superscript"/>
        </w:rPr>
        <w:t>3</w:t>
      </w:r>
      <w:r>
        <w:rPr>
          <w:rFonts w:hint="eastAsia" w:ascii="Times New Roman" w:hAnsi="Times New Roman"/>
          <w:color w:val="auto"/>
        </w:rPr>
        <w:t>神钢260挖掘机。</w:t>
      </w:r>
    </w:p>
    <w:p w14:paraId="75BB5640">
      <w:pPr>
        <w:pStyle w:val="5"/>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 xml:space="preserve">2.4.6.3 </w:t>
      </w:r>
      <w:r>
        <w:rPr>
          <w:rFonts w:hint="eastAsia" w:ascii="Times New Roman" w:hAnsi="Times New Roman"/>
          <w:color w:val="auto"/>
        </w:rPr>
        <w:t>穿孔爆破</w:t>
      </w:r>
      <w:r>
        <w:rPr>
          <w:rFonts w:hint="eastAsia" w:ascii="Times New Roman" w:hAnsi="Times New Roman"/>
          <w:color w:val="auto"/>
          <w:lang w:val="en-US" w:eastAsia="zh-CN"/>
        </w:rPr>
        <w:t>作业</w:t>
      </w:r>
    </w:p>
    <w:p w14:paraId="00C0A2C8">
      <w:pPr>
        <w:bidi w:val="0"/>
        <w:rPr>
          <w:rFonts w:hint="eastAsia" w:ascii="Times New Roman" w:hAnsi="Times New Roman"/>
          <w:color w:val="auto"/>
          <w:lang w:val="en-US" w:eastAsia="zh-CN"/>
        </w:rPr>
      </w:pPr>
      <w:r>
        <w:rPr>
          <w:rFonts w:hint="eastAsia" w:ascii="Times New Roman" w:hAnsi="Times New Roman"/>
          <w:color w:val="auto"/>
          <w:lang w:val="en-US" w:eastAsia="zh-CN"/>
        </w:rPr>
        <w:t>1、穿孔设备</w:t>
      </w:r>
    </w:p>
    <w:p w14:paraId="1F9C2023">
      <w:pPr>
        <w:bidi w:val="0"/>
        <w:rPr>
          <w:rFonts w:hint="eastAsia" w:ascii="Times New Roman" w:hAnsi="Times New Roman"/>
          <w:color w:val="auto"/>
          <w:lang w:val="en-US" w:eastAsia="zh-CN"/>
        </w:rPr>
      </w:pPr>
      <w:r>
        <w:rPr>
          <w:rFonts w:hint="eastAsia" w:ascii="Times New Roman" w:hAnsi="Times New Roman"/>
          <w:color w:val="auto"/>
          <w:lang w:val="en-US" w:eastAsia="zh-CN"/>
        </w:rPr>
        <w:t>设计采用矿山现有红五环240型潜孔钻机。设备参数见下表。</w:t>
      </w:r>
    </w:p>
    <w:p w14:paraId="0CC77BDC">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表2.4-5  设备参数表</w:t>
      </w:r>
    </w:p>
    <w:tbl>
      <w:tblPr>
        <w:tblStyle w:val="12"/>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88"/>
        <w:gridCol w:w="1738"/>
        <w:gridCol w:w="1573"/>
        <w:gridCol w:w="1573"/>
        <w:gridCol w:w="1937"/>
        <w:gridCol w:w="792"/>
      </w:tblGrid>
      <w:tr w14:paraId="6522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63" w:type="pct"/>
            <w:vAlign w:val="center"/>
          </w:tcPr>
          <w:p w14:paraId="5F8D38A1">
            <w:pPr>
              <w:pStyle w:val="17"/>
              <w:bidi w:val="0"/>
              <w:rPr>
                <w:rFonts w:ascii="Times New Roman" w:hAnsi="Times New Roman"/>
                <w:b/>
                <w:bCs/>
                <w:color w:val="auto"/>
              </w:rPr>
            </w:pPr>
            <w:bookmarkStart w:id="84" w:name="_Hlk148963466"/>
            <w:r>
              <w:rPr>
                <w:rFonts w:ascii="Times New Roman" w:hAnsi="Times New Roman"/>
                <w:b/>
                <w:bCs/>
                <w:color w:val="auto"/>
              </w:rPr>
              <w:t>型号</w:t>
            </w:r>
          </w:p>
        </w:tc>
        <w:tc>
          <w:tcPr>
            <w:tcW w:w="944" w:type="pct"/>
            <w:vAlign w:val="center"/>
          </w:tcPr>
          <w:p w14:paraId="0510EFDD">
            <w:pPr>
              <w:pStyle w:val="17"/>
              <w:bidi w:val="0"/>
              <w:rPr>
                <w:rFonts w:ascii="Times New Roman" w:hAnsi="Times New Roman"/>
                <w:b/>
                <w:bCs/>
                <w:color w:val="auto"/>
              </w:rPr>
            </w:pPr>
            <w:r>
              <w:rPr>
                <w:rFonts w:ascii="Times New Roman" w:hAnsi="Times New Roman"/>
                <w:b/>
                <w:bCs/>
                <w:color w:val="auto"/>
              </w:rPr>
              <w:t>钻孔直径（mm）</w:t>
            </w:r>
          </w:p>
        </w:tc>
        <w:tc>
          <w:tcPr>
            <w:tcW w:w="854" w:type="pct"/>
            <w:vAlign w:val="center"/>
          </w:tcPr>
          <w:p w14:paraId="13E41AE5">
            <w:pPr>
              <w:pStyle w:val="17"/>
              <w:bidi w:val="0"/>
              <w:rPr>
                <w:rFonts w:ascii="Times New Roman" w:hAnsi="Times New Roman"/>
                <w:b/>
                <w:bCs/>
                <w:color w:val="auto"/>
              </w:rPr>
            </w:pPr>
            <w:r>
              <w:rPr>
                <w:rFonts w:ascii="Times New Roman" w:hAnsi="Times New Roman"/>
                <w:b/>
                <w:bCs/>
                <w:color w:val="auto"/>
              </w:rPr>
              <w:t>经济钻深（m）</w:t>
            </w:r>
          </w:p>
        </w:tc>
        <w:tc>
          <w:tcPr>
            <w:tcW w:w="854" w:type="pct"/>
            <w:vAlign w:val="center"/>
          </w:tcPr>
          <w:p w14:paraId="610650D3">
            <w:pPr>
              <w:pStyle w:val="17"/>
              <w:bidi w:val="0"/>
              <w:rPr>
                <w:rFonts w:ascii="Times New Roman" w:hAnsi="Times New Roman"/>
                <w:b/>
                <w:bCs/>
                <w:color w:val="auto"/>
              </w:rPr>
            </w:pPr>
            <w:r>
              <w:rPr>
                <w:rFonts w:ascii="Times New Roman" w:hAnsi="Times New Roman"/>
                <w:b/>
                <w:bCs/>
                <w:color w:val="auto"/>
              </w:rPr>
              <w:t>工作气压（MPa）</w:t>
            </w:r>
          </w:p>
        </w:tc>
        <w:tc>
          <w:tcPr>
            <w:tcW w:w="1052" w:type="pct"/>
            <w:vAlign w:val="center"/>
          </w:tcPr>
          <w:p w14:paraId="1FFBA352">
            <w:pPr>
              <w:pStyle w:val="17"/>
              <w:bidi w:val="0"/>
              <w:rPr>
                <w:rFonts w:ascii="Times New Roman" w:hAnsi="Times New Roman"/>
                <w:b/>
                <w:bCs/>
                <w:color w:val="auto"/>
              </w:rPr>
            </w:pPr>
            <w:r>
              <w:rPr>
                <w:rFonts w:ascii="Times New Roman" w:hAnsi="Times New Roman"/>
                <w:b/>
                <w:bCs/>
                <w:color w:val="auto"/>
              </w:rPr>
              <w:t>耗气量（m</w:t>
            </w:r>
            <w:r>
              <w:rPr>
                <w:rFonts w:ascii="Times New Roman" w:hAnsi="Times New Roman"/>
                <w:b/>
                <w:bCs/>
                <w:color w:val="auto"/>
                <w:vertAlign w:val="superscript"/>
              </w:rPr>
              <w:t>3</w:t>
            </w:r>
            <w:r>
              <w:rPr>
                <w:rFonts w:ascii="Times New Roman" w:hAnsi="Times New Roman"/>
                <w:b/>
                <w:bCs/>
                <w:color w:val="auto"/>
              </w:rPr>
              <w:t>/min）</w:t>
            </w:r>
          </w:p>
        </w:tc>
        <w:tc>
          <w:tcPr>
            <w:tcW w:w="430" w:type="pct"/>
            <w:vAlign w:val="center"/>
          </w:tcPr>
          <w:p w14:paraId="2BBF4E10">
            <w:pPr>
              <w:pStyle w:val="17"/>
              <w:bidi w:val="0"/>
              <w:rPr>
                <w:rFonts w:ascii="Times New Roman" w:hAnsi="Times New Roman"/>
                <w:b/>
                <w:bCs/>
                <w:color w:val="auto"/>
              </w:rPr>
            </w:pPr>
            <w:r>
              <w:rPr>
                <w:rFonts w:ascii="Times New Roman" w:hAnsi="Times New Roman"/>
                <w:b/>
                <w:bCs/>
                <w:color w:val="auto"/>
              </w:rPr>
              <w:t>备注</w:t>
            </w:r>
          </w:p>
        </w:tc>
      </w:tr>
      <w:tr w14:paraId="5698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63" w:type="pct"/>
            <w:vAlign w:val="center"/>
          </w:tcPr>
          <w:p w14:paraId="79A3470C">
            <w:pPr>
              <w:pStyle w:val="17"/>
              <w:bidi w:val="0"/>
              <w:rPr>
                <w:rFonts w:ascii="Times New Roman" w:hAnsi="Times New Roman"/>
                <w:color w:val="auto"/>
              </w:rPr>
            </w:pPr>
            <w:r>
              <w:rPr>
                <w:rFonts w:hint="eastAsia" w:ascii="Times New Roman" w:hAnsi="Times New Roman"/>
                <w:color w:val="auto"/>
              </w:rPr>
              <w:t>红五环240型</w:t>
            </w:r>
          </w:p>
        </w:tc>
        <w:tc>
          <w:tcPr>
            <w:tcW w:w="944" w:type="pct"/>
            <w:vAlign w:val="center"/>
          </w:tcPr>
          <w:p w14:paraId="07E97F97">
            <w:pPr>
              <w:pStyle w:val="17"/>
              <w:bidi w:val="0"/>
              <w:rPr>
                <w:rFonts w:ascii="Times New Roman" w:hAnsi="Times New Roman"/>
                <w:color w:val="auto"/>
              </w:rPr>
            </w:pPr>
            <w:r>
              <w:rPr>
                <w:rFonts w:ascii="Times New Roman" w:hAnsi="Times New Roman"/>
                <w:color w:val="auto"/>
              </w:rPr>
              <w:t>8</w:t>
            </w:r>
            <w:r>
              <w:rPr>
                <w:rFonts w:hint="eastAsia" w:ascii="Times New Roman" w:hAnsi="Times New Roman"/>
                <w:color w:val="auto"/>
              </w:rPr>
              <w:t>0</w:t>
            </w:r>
            <w:r>
              <w:rPr>
                <w:rFonts w:ascii="Times New Roman" w:hAnsi="Times New Roman"/>
                <w:color w:val="auto"/>
              </w:rPr>
              <w:t>-1</w:t>
            </w:r>
            <w:r>
              <w:rPr>
                <w:rFonts w:hint="eastAsia" w:ascii="Times New Roman" w:hAnsi="Times New Roman"/>
                <w:color w:val="auto"/>
              </w:rPr>
              <w:t>1</w:t>
            </w:r>
            <w:r>
              <w:rPr>
                <w:rFonts w:ascii="Times New Roman" w:hAnsi="Times New Roman"/>
                <w:color w:val="auto"/>
              </w:rPr>
              <w:t>0</w:t>
            </w:r>
          </w:p>
        </w:tc>
        <w:tc>
          <w:tcPr>
            <w:tcW w:w="854" w:type="pct"/>
            <w:vAlign w:val="center"/>
          </w:tcPr>
          <w:p w14:paraId="23D06A72">
            <w:pPr>
              <w:pStyle w:val="17"/>
              <w:bidi w:val="0"/>
              <w:rPr>
                <w:rFonts w:ascii="Times New Roman" w:hAnsi="Times New Roman"/>
                <w:color w:val="auto"/>
              </w:rPr>
            </w:pPr>
            <w:r>
              <w:rPr>
                <w:rFonts w:hint="eastAsia" w:ascii="Times New Roman" w:hAnsi="Times New Roman"/>
                <w:color w:val="auto"/>
              </w:rPr>
              <w:t>30</w:t>
            </w:r>
          </w:p>
        </w:tc>
        <w:tc>
          <w:tcPr>
            <w:tcW w:w="854" w:type="pct"/>
            <w:vAlign w:val="center"/>
          </w:tcPr>
          <w:p w14:paraId="0D905FCC">
            <w:pPr>
              <w:pStyle w:val="17"/>
              <w:bidi w:val="0"/>
              <w:rPr>
                <w:rFonts w:ascii="Times New Roman" w:hAnsi="Times New Roman"/>
                <w:color w:val="auto"/>
              </w:rPr>
            </w:pPr>
            <w:r>
              <w:rPr>
                <w:rFonts w:ascii="Times New Roman" w:hAnsi="Times New Roman"/>
                <w:color w:val="auto"/>
              </w:rPr>
              <w:t>0.7-1.6</w:t>
            </w:r>
          </w:p>
        </w:tc>
        <w:tc>
          <w:tcPr>
            <w:tcW w:w="1052" w:type="pct"/>
            <w:vAlign w:val="center"/>
          </w:tcPr>
          <w:p w14:paraId="76B7DA6A">
            <w:pPr>
              <w:pStyle w:val="17"/>
              <w:bidi w:val="0"/>
              <w:rPr>
                <w:rFonts w:ascii="Times New Roman" w:hAnsi="Times New Roman"/>
                <w:color w:val="auto"/>
              </w:rPr>
            </w:pPr>
            <w:r>
              <w:rPr>
                <w:rFonts w:ascii="Times New Roman" w:hAnsi="Times New Roman"/>
                <w:color w:val="auto"/>
              </w:rPr>
              <w:t>7-12</w:t>
            </w:r>
          </w:p>
        </w:tc>
        <w:tc>
          <w:tcPr>
            <w:tcW w:w="430" w:type="pct"/>
            <w:vAlign w:val="center"/>
          </w:tcPr>
          <w:p w14:paraId="06431563">
            <w:pPr>
              <w:pStyle w:val="17"/>
              <w:bidi w:val="0"/>
              <w:rPr>
                <w:rFonts w:ascii="Times New Roman" w:hAnsi="Times New Roman"/>
                <w:color w:val="auto"/>
              </w:rPr>
            </w:pPr>
          </w:p>
        </w:tc>
      </w:tr>
      <w:bookmarkEnd w:id="84"/>
    </w:tbl>
    <w:p w14:paraId="62DDEAED">
      <w:pPr>
        <w:bidi w:val="0"/>
        <w:rPr>
          <w:rFonts w:hint="eastAsia" w:ascii="Times New Roman" w:hAnsi="Times New Roman"/>
          <w:color w:val="auto"/>
          <w:lang w:val="en-US" w:eastAsia="zh-CN"/>
        </w:rPr>
      </w:pPr>
      <w:r>
        <w:rPr>
          <w:rFonts w:hint="eastAsia" w:ascii="Times New Roman" w:hAnsi="Times New Roman"/>
          <w:color w:val="auto"/>
          <w:lang w:val="en-US" w:eastAsia="zh-CN"/>
        </w:rPr>
        <w:t>2、钻机数量的确定</w:t>
      </w:r>
    </w:p>
    <w:p w14:paraId="54C8C4CB">
      <w:pPr>
        <w:bidi w:val="0"/>
        <w:rPr>
          <w:rFonts w:hint="eastAsia" w:ascii="Times New Roman" w:hAnsi="Times New Roman"/>
          <w:color w:val="auto"/>
          <w:lang w:val="en-US" w:eastAsia="zh-CN"/>
        </w:rPr>
      </w:pPr>
      <w:r>
        <w:rPr>
          <w:rFonts w:hint="eastAsia" w:ascii="Times New Roman" w:hAnsi="Times New Roman"/>
          <w:color w:val="auto"/>
          <w:lang w:val="en-US" w:eastAsia="zh-CN"/>
        </w:rPr>
        <w:t>设计1台红五环240型潜孔钻机能满足生产要求。</w:t>
      </w:r>
    </w:p>
    <w:p w14:paraId="7436D075">
      <w:pPr>
        <w:bidi w:val="0"/>
        <w:rPr>
          <w:rFonts w:hint="eastAsia" w:ascii="Times New Roman" w:hAnsi="Times New Roman"/>
          <w:color w:val="auto"/>
          <w:lang w:val="en-US" w:eastAsia="zh-CN"/>
        </w:rPr>
      </w:pPr>
      <w:r>
        <w:rPr>
          <w:rFonts w:hint="eastAsia" w:ascii="Times New Roman" w:hAnsi="Times New Roman"/>
          <w:color w:val="auto"/>
          <w:lang w:val="en-US" w:eastAsia="zh-CN"/>
        </w:rPr>
        <w:t>3、采场穿孔爆破参数设计</w:t>
      </w:r>
    </w:p>
    <w:p w14:paraId="32FDF8FE">
      <w:pPr>
        <w:bidi w:val="0"/>
        <w:rPr>
          <w:rFonts w:hint="default" w:ascii="Times New Roman" w:hAnsi="Times New Roman"/>
          <w:color w:val="auto"/>
          <w:lang w:val="en-US" w:eastAsia="zh-CN"/>
        </w:rPr>
      </w:pPr>
      <w:r>
        <w:rPr>
          <w:rFonts w:hint="eastAsia" w:ascii="Times New Roman" w:hAnsi="Times New Roman"/>
          <w:color w:val="auto"/>
          <w:lang w:val="en-US" w:eastAsia="zh-CN"/>
        </w:rPr>
        <w:t>（1）正常爆破</w:t>
      </w:r>
    </w:p>
    <w:p w14:paraId="63CE2FD8">
      <w:pPr>
        <w:bidi w:val="0"/>
        <w:rPr>
          <w:rFonts w:hint="eastAsia" w:ascii="Times New Roman" w:hAnsi="Times New Roman"/>
          <w:color w:val="auto"/>
          <w:lang w:val="en-US" w:eastAsia="zh-CN"/>
        </w:rPr>
      </w:pPr>
      <w:r>
        <w:rPr>
          <w:rFonts w:hint="eastAsia" w:ascii="Times New Roman" w:hAnsi="Times New Roman"/>
          <w:color w:val="auto"/>
          <w:lang w:val="en-US" w:eastAsia="zh-CN"/>
        </w:rPr>
        <w:t>设计一次爆破孔数35，总爆破量满足要求。设计二排孔爆破，爆区宽为</w:t>
      </w:r>
      <w:r>
        <w:rPr>
          <w:rFonts w:hint="eastAsia"/>
          <w:color w:val="auto"/>
          <w:lang w:val="en-US" w:eastAsia="zh-CN"/>
        </w:rPr>
        <w:t>7</w:t>
      </w:r>
      <w:r>
        <w:rPr>
          <w:rFonts w:hint="eastAsia" w:ascii="Times New Roman" w:hAnsi="Times New Roman"/>
          <w:color w:val="auto"/>
          <w:lang w:val="en-US" w:eastAsia="zh-CN"/>
        </w:rPr>
        <w:t>m，爆区长为</w:t>
      </w:r>
      <w:r>
        <w:rPr>
          <w:rFonts w:hint="eastAsia"/>
          <w:color w:val="auto"/>
          <w:lang w:val="en-US" w:eastAsia="zh-CN"/>
        </w:rPr>
        <w:t>85</w:t>
      </w:r>
      <w:r>
        <w:rPr>
          <w:rFonts w:hint="eastAsia" w:ascii="Times New Roman" w:hAnsi="Times New Roman"/>
          <w:color w:val="auto"/>
          <w:lang w:val="en-US" w:eastAsia="zh-CN"/>
        </w:rPr>
        <w:t>m，台阶高15m。爆破量为：23611.88t，可以满足矿山10天生产所需，炮孔布置合理。</w:t>
      </w:r>
    </w:p>
    <w:p w14:paraId="519D0FEE">
      <w:pPr>
        <w:bidi w:val="0"/>
        <w:rPr>
          <w:rFonts w:hint="eastAsia" w:ascii="Times New Roman" w:hAnsi="Times New Roman"/>
          <w:color w:val="auto"/>
          <w:lang w:val="en-US" w:eastAsia="zh-CN"/>
        </w:rPr>
      </w:pPr>
      <w:r>
        <w:rPr>
          <w:rFonts w:hint="eastAsia" w:ascii="Times New Roman" w:hAnsi="Times New Roman"/>
          <w:color w:val="auto"/>
          <w:lang w:val="en-US" w:eastAsia="zh-CN"/>
        </w:rPr>
        <w:t>为改善爆破效果，减少爆破飞石影响距离，设计矿山正常生产爆破作业采用中深孔微差挤压爆破，爆破后，结合爆后成型坡面，预留一定矿渣，使台阶工作坡面接近75°，后再进行穿孔爆破工作，降低飞石影响距离，改善爆破效果，具体以现场试爆情况为准。</w:t>
      </w:r>
    </w:p>
    <w:p w14:paraId="7BC67D3E">
      <w:pPr>
        <w:bidi w:val="0"/>
        <w:rPr>
          <w:rFonts w:hint="eastAsia" w:ascii="Times New Roman" w:hAnsi="Times New Roman"/>
          <w:color w:val="auto"/>
          <w:lang w:val="en-US" w:eastAsia="zh-CN"/>
        </w:rPr>
      </w:pPr>
      <w:r>
        <w:rPr>
          <w:rFonts w:hint="eastAsia" w:ascii="Times New Roman" w:hAnsi="Times New Roman"/>
          <w:color w:val="auto"/>
          <w:lang w:val="en-US" w:eastAsia="zh-CN"/>
        </w:rPr>
        <w:t>炸药选用2#岩石乳化炸药。设计采用数码电子雷管、逐孔微差起爆。</w:t>
      </w:r>
    </w:p>
    <w:p w14:paraId="30B98022">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表2.4-6  矿山正常爆破参数表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4"/>
        <w:gridCol w:w="4525"/>
        <w:gridCol w:w="1881"/>
        <w:gridCol w:w="1881"/>
      </w:tblGrid>
      <w:tr w14:paraId="432A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593" w:type="pct"/>
            <w:vAlign w:val="center"/>
          </w:tcPr>
          <w:p w14:paraId="122DE748">
            <w:pPr>
              <w:pStyle w:val="17"/>
              <w:bidi w:val="0"/>
              <w:rPr>
                <w:rFonts w:ascii="Times New Roman" w:hAnsi="Times New Roman"/>
                <w:b/>
                <w:bCs/>
                <w:color w:val="auto"/>
              </w:rPr>
            </w:pPr>
            <w:bookmarkStart w:id="85" w:name="_Hlk150793585"/>
            <w:r>
              <w:rPr>
                <w:rFonts w:ascii="Times New Roman" w:hAnsi="Times New Roman"/>
                <w:b/>
                <w:bCs/>
                <w:color w:val="auto"/>
              </w:rPr>
              <w:t>序号</w:t>
            </w:r>
          </w:p>
        </w:tc>
        <w:tc>
          <w:tcPr>
            <w:tcW w:w="2406" w:type="pct"/>
            <w:vAlign w:val="center"/>
          </w:tcPr>
          <w:p w14:paraId="060E66FD">
            <w:pPr>
              <w:pStyle w:val="17"/>
              <w:bidi w:val="0"/>
              <w:rPr>
                <w:rFonts w:ascii="Times New Roman" w:hAnsi="Times New Roman"/>
                <w:b/>
                <w:bCs/>
                <w:color w:val="auto"/>
              </w:rPr>
            </w:pPr>
            <w:r>
              <w:rPr>
                <w:rFonts w:ascii="Times New Roman" w:hAnsi="Times New Roman"/>
                <w:b/>
                <w:bCs/>
                <w:color w:val="auto"/>
              </w:rPr>
              <w:t>名称及符号</w:t>
            </w:r>
          </w:p>
        </w:tc>
        <w:tc>
          <w:tcPr>
            <w:tcW w:w="1000" w:type="pct"/>
            <w:vAlign w:val="center"/>
          </w:tcPr>
          <w:p w14:paraId="7191A35E">
            <w:pPr>
              <w:pStyle w:val="17"/>
              <w:bidi w:val="0"/>
              <w:rPr>
                <w:rFonts w:ascii="Times New Roman" w:hAnsi="Times New Roman"/>
                <w:b/>
                <w:bCs/>
                <w:color w:val="auto"/>
              </w:rPr>
            </w:pPr>
            <w:r>
              <w:rPr>
                <w:rFonts w:ascii="Times New Roman" w:hAnsi="Times New Roman"/>
                <w:b/>
                <w:bCs/>
                <w:color w:val="auto"/>
              </w:rPr>
              <w:t>设计参数</w:t>
            </w:r>
          </w:p>
        </w:tc>
        <w:tc>
          <w:tcPr>
            <w:tcW w:w="1000" w:type="pct"/>
            <w:vAlign w:val="center"/>
          </w:tcPr>
          <w:p w14:paraId="7B353479">
            <w:pPr>
              <w:pStyle w:val="17"/>
              <w:bidi w:val="0"/>
              <w:rPr>
                <w:rFonts w:ascii="Times New Roman" w:hAnsi="Times New Roman"/>
                <w:b/>
                <w:bCs/>
                <w:color w:val="auto"/>
              </w:rPr>
            </w:pPr>
            <w:r>
              <w:rPr>
                <w:rFonts w:ascii="Times New Roman" w:hAnsi="Times New Roman"/>
                <w:b/>
                <w:bCs/>
                <w:color w:val="auto"/>
              </w:rPr>
              <w:t>备注</w:t>
            </w:r>
          </w:p>
        </w:tc>
      </w:tr>
      <w:tr w14:paraId="1AC0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61A146C8">
            <w:pPr>
              <w:pStyle w:val="17"/>
              <w:bidi w:val="0"/>
              <w:rPr>
                <w:rFonts w:ascii="Times New Roman" w:hAnsi="Times New Roman"/>
                <w:color w:val="auto"/>
              </w:rPr>
            </w:pPr>
            <w:r>
              <w:rPr>
                <w:rFonts w:ascii="Times New Roman" w:hAnsi="Times New Roman"/>
                <w:color w:val="auto"/>
              </w:rPr>
              <w:t>1</w:t>
            </w:r>
          </w:p>
        </w:tc>
        <w:tc>
          <w:tcPr>
            <w:tcW w:w="2406" w:type="pct"/>
            <w:vAlign w:val="center"/>
          </w:tcPr>
          <w:p w14:paraId="032554CE">
            <w:pPr>
              <w:pStyle w:val="17"/>
              <w:bidi w:val="0"/>
              <w:rPr>
                <w:rFonts w:ascii="Times New Roman" w:hAnsi="Times New Roman"/>
                <w:color w:val="auto"/>
              </w:rPr>
            </w:pPr>
            <w:r>
              <w:rPr>
                <w:rFonts w:ascii="Times New Roman" w:hAnsi="Times New Roman"/>
                <w:color w:val="auto"/>
              </w:rPr>
              <w:t>炮孔直径（d）</w:t>
            </w:r>
          </w:p>
        </w:tc>
        <w:tc>
          <w:tcPr>
            <w:tcW w:w="1000" w:type="pct"/>
            <w:vAlign w:val="center"/>
          </w:tcPr>
          <w:p w14:paraId="4A3316C3">
            <w:pPr>
              <w:pStyle w:val="17"/>
              <w:bidi w:val="0"/>
              <w:rPr>
                <w:rFonts w:ascii="Times New Roman" w:hAnsi="Times New Roman"/>
                <w:color w:val="auto"/>
              </w:rPr>
            </w:pPr>
            <w:r>
              <w:rPr>
                <w:rFonts w:ascii="Times New Roman" w:hAnsi="Times New Roman"/>
                <w:color w:val="auto"/>
              </w:rPr>
              <w:t>1</w:t>
            </w:r>
            <w:r>
              <w:rPr>
                <w:rFonts w:hint="eastAsia" w:ascii="Times New Roman" w:hAnsi="Times New Roman"/>
                <w:color w:val="auto"/>
              </w:rPr>
              <w:t>0</w:t>
            </w:r>
            <w:r>
              <w:rPr>
                <w:rFonts w:ascii="Times New Roman" w:hAnsi="Times New Roman"/>
                <w:color w:val="auto"/>
              </w:rPr>
              <w:t>0mm</w:t>
            </w:r>
          </w:p>
        </w:tc>
        <w:tc>
          <w:tcPr>
            <w:tcW w:w="1000" w:type="pct"/>
            <w:vAlign w:val="center"/>
          </w:tcPr>
          <w:p w14:paraId="24FD0BF6">
            <w:pPr>
              <w:pStyle w:val="17"/>
              <w:bidi w:val="0"/>
              <w:rPr>
                <w:rFonts w:ascii="Times New Roman" w:hAnsi="Times New Roman"/>
                <w:color w:val="auto"/>
              </w:rPr>
            </w:pPr>
          </w:p>
        </w:tc>
      </w:tr>
      <w:tr w14:paraId="4103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6DC784AC">
            <w:pPr>
              <w:pStyle w:val="17"/>
              <w:bidi w:val="0"/>
              <w:rPr>
                <w:rFonts w:ascii="Times New Roman" w:hAnsi="Times New Roman"/>
                <w:color w:val="auto"/>
              </w:rPr>
            </w:pPr>
            <w:r>
              <w:rPr>
                <w:rFonts w:ascii="Times New Roman" w:hAnsi="Times New Roman"/>
                <w:color w:val="auto"/>
              </w:rPr>
              <w:t>2</w:t>
            </w:r>
          </w:p>
        </w:tc>
        <w:tc>
          <w:tcPr>
            <w:tcW w:w="2406" w:type="pct"/>
            <w:vAlign w:val="center"/>
          </w:tcPr>
          <w:p w14:paraId="1A39BEA9">
            <w:pPr>
              <w:pStyle w:val="17"/>
              <w:bidi w:val="0"/>
              <w:rPr>
                <w:rFonts w:ascii="Times New Roman" w:hAnsi="Times New Roman"/>
                <w:color w:val="auto"/>
              </w:rPr>
            </w:pPr>
            <w:r>
              <w:rPr>
                <w:rFonts w:ascii="Times New Roman" w:hAnsi="Times New Roman"/>
                <w:color w:val="auto"/>
              </w:rPr>
              <w:t>台阶高度（H）</w:t>
            </w:r>
          </w:p>
        </w:tc>
        <w:tc>
          <w:tcPr>
            <w:tcW w:w="1000" w:type="pct"/>
            <w:vAlign w:val="center"/>
          </w:tcPr>
          <w:p w14:paraId="34541CC2">
            <w:pPr>
              <w:pStyle w:val="17"/>
              <w:bidi w:val="0"/>
              <w:rPr>
                <w:rFonts w:ascii="Times New Roman" w:hAnsi="Times New Roman"/>
                <w:color w:val="auto"/>
              </w:rPr>
            </w:pPr>
            <w:r>
              <w:rPr>
                <w:rFonts w:ascii="Times New Roman" w:hAnsi="Times New Roman"/>
                <w:color w:val="auto"/>
              </w:rPr>
              <w:t>15m</w:t>
            </w:r>
          </w:p>
        </w:tc>
        <w:tc>
          <w:tcPr>
            <w:tcW w:w="1000" w:type="pct"/>
            <w:vAlign w:val="center"/>
          </w:tcPr>
          <w:p w14:paraId="19DFFD45">
            <w:pPr>
              <w:pStyle w:val="17"/>
              <w:bidi w:val="0"/>
              <w:rPr>
                <w:rFonts w:ascii="Times New Roman" w:hAnsi="Times New Roman"/>
                <w:color w:val="auto"/>
              </w:rPr>
            </w:pPr>
          </w:p>
        </w:tc>
      </w:tr>
      <w:tr w14:paraId="6449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50DF1EF1">
            <w:pPr>
              <w:pStyle w:val="17"/>
              <w:bidi w:val="0"/>
              <w:rPr>
                <w:rFonts w:ascii="Times New Roman" w:hAnsi="Times New Roman"/>
                <w:color w:val="auto"/>
              </w:rPr>
            </w:pPr>
            <w:r>
              <w:rPr>
                <w:rFonts w:ascii="Times New Roman" w:hAnsi="Times New Roman"/>
                <w:color w:val="auto"/>
              </w:rPr>
              <w:t>3</w:t>
            </w:r>
          </w:p>
        </w:tc>
        <w:tc>
          <w:tcPr>
            <w:tcW w:w="2406" w:type="pct"/>
            <w:vAlign w:val="center"/>
          </w:tcPr>
          <w:p w14:paraId="1AB2E3FC">
            <w:pPr>
              <w:pStyle w:val="17"/>
              <w:bidi w:val="0"/>
              <w:rPr>
                <w:rFonts w:ascii="Times New Roman" w:hAnsi="Times New Roman"/>
                <w:color w:val="auto"/>
              </w:rPr>
            </w:pPr>
            <w:r>
              <w:rPr>
                <w:rFonts w:ascii="Times New Roman" w:hAnsi="Times New Roman"/>
                <w:color w:val="auto"/>
              </w:rPr>
              <w:t>孔距（a）</w:t>
            </w:r>
          </w:p>
        </w:tc>
        <w:tc>
          <w:tcPr>
            <w:tcW w:w="1000" w:type="pct"/>
            <w:vAlign w:val="center"/>
          </w:tcPr>
          <w:p w14:paraId="5BE10B9E">
            <w:pPr>
              <w:pStyle w:val="17"/>
              <w:bidi w:val="0"/>
              <w:rPr>
                <w:rFonts w:ascii="Times New Roman" w:hAnsi="Times New Roman"/>
                <w:color w:val="auto"/>
              </w:rPr>
            </w:pPr>
            <w:r>
              <w:rPr>
                <w:rFonts w:ascii="Times New Roman" w:hAnsi="Times New Roman"/>
                <w:color w:val="auto"/>
              </w:rPr>
              <w:t>5m</w:t>
            </w:r>
          </w:p>
        </w:tc>
        <w:tc>
          <w:tcPr>
            <w:tcW w:w="1000" w:type="pct"/>
            <w:vAlign w:val="center"/>
          </w:tcPr>
          <w:p w14:paraId="63879AC4">
            <w:pPr>
              <w:pStyle w:val="17"/>
              <w:bidi w:val="0"/>
              <w:rPr>
                <w:rFonts w:ascii="Times New Roman" w:hAnsi="Times New Roman"/>
                <w:color w:val="auto"/>
              </w:rPr>
            </w:pPr>
          </w:p>
        </w:tc>
      </w:tr>
      <w:tr w14:paraId="1707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693851CF">
            <w:pPr>
              <w:pStyle w:val="17"/>
              <w:bidi w:val="0"/>
              <w:rPr>
                <w:rFonts w:ascii="Times New Roman" w:hAnsi="Times New Roman"/>
                <w:color w:val="auto"/>
              </w:rPr>
            </w:pPr>
            <w:r>
              <w:rPr>
                <w:rFonts w:ascii="Times New Roman" w:hAnsi="Times New Roman"/>
                <w:color w:val="auto"/>
              </w:rPr>
              <w:t>4</w:t>
            </w:r>
          </w:p>
        </w:tc>
        <w:tc>
          <w:tcPr>
            <w:tcW w:w="2406" w:type="pct"/>
            <w:vAlign w:val="center"/>
          </w:tcPr>
          <w:p w14:paraId="30A75A5A">
            <w:pPr>
              <w:pStyle w:val="17"/>
              <w:bidi w:val="0"/>
              <w:rPr>
                <w:rFonts w:ascii="Times New Roman" w:hAnsi="Times New Roman"/>
                <w:color w:val="auto"/>
              </w:rPr>
            </w:pPr>
            <w:r>
              <w:rPr>
                <w:rFonts w:ascii="Times New Roman" w:hAnsi="Times New Roman"/>
                <w:color w:val="auto"/>
              </w:rPr>
              <w:t>排距（b）</w:t>
            </w:r>
          </w:p>
        </w:tc>
        <w:tc>
          <w:tcPr>
            <w:tcW w:w="1000" w:type="pct"/>
            <w:vAlign w:val="center"/>
          </w:tcPr>
          <w:p w14:paraId="1F41F49B">
            <w:pPr>
              <w:pStyle w:val="17"/>
              <w:bidi w:val="0"/>
              <w:rPr>
                <w:rFonts w:ascii="Times New Roman" w:hAnsi="Times New Roman"/>
                <w:color w:val="auto"/>
              </w:rPr>
            </w:pPr>
            <w:r>
              <w:rPr>
                <w:rFonts w:ascii="Times New Roman" w:hAnsi="Times New Roman"/>
                <w:color w:val="auto"/>
              </w:rPr>
              <w:t>3.5m</w:t>
            </w:r>
          </w:p>
        </w:tc>
        <w:tc>
          <w:tcPr>
            <w:tcW w:w="1000" w:type="pct"/>
            <w:vAlign w:val="center"/>
          </w:tcPr>
          <w:p w14:paraId="4051A3D8">
            <w:pPr>
              <w:pStyle w:val="17"/>
              <w:bidi w:val="0"/>
              <w:rPr>
                <w:rFonts w:ascii="Times New Roman" w:hAnsi="Times New Roman"/>
                <w:color w:val="auto"/>
              </w:rPr>
            </w:pPr>
          </w:p>
        </w:tc>
      </w:tr>
      <w:tr w14:paraId="0233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10C21858">
            <w:pPr>
              <w:pStyle w:val="17"/>
              <w:bidi w:val="0"/>
              <w:rPr>
                <w:rFonts w:ascii="Times New Roman" w:hAnsi="Times New Roman"/>
                <w:color w:val="auto"/>
              </w:rPr>
            </w:pPr>
            <w:r>
              <w:rPr>
                <w:rFonts w:ascii="Times New Roman" w:hAnsi="Times New Roman"/>
                <w:color w:val="auto"/>
              </w:rPr>
              <w:t>5</w:t>
            </w:r>
          </w:p>
        </w:tc>
        <w:tc>
          <w:tcPr>
            <w:tcW w:w="2406" w:type="pct"/>
            <w:vAlign w:val="center"/>
          </w:tcPr>
          <w:p w14:paraId="012C9D66">
            <w:pPr>
              <w:pStyle w:val="17"/>
              <w:bidi w:val="0"/>
              <w:rPr>
                <w:rFonts w:ascii="Times New Roman" w:hAnsi="Times New Roman"/>
                <w:color w:val="auto"/>
              </w:rPr>
            </w:pPr>
            <w:r>
              <w:rPr>
                <w:rFonts w:ascii="Times New Roman" w:hAnsi="Times New Roman"/>
                <w:color w:val="auto"/>
              </w:rPr>
              <w:t>底盘抵抗线（Wd）</w:t>
            </w:r>
          </w:p>
        </w:tc>
        <w:tc>
          <w:tcPr>
            <w:tcW w:w="1000" w:type="pct"/>
            <w:vAlign w:val="center"/>
          </w:tcPr>
          <w:p w14:paraId="279EF2BA">
            <w:pPr>
              <w:pStyle w:val="17"/>
              <w:bidi w:val="0"/>
              <w:rPr>
                <w:rFonts w:ascii="Times New Roman" w:hAnsi="Times New Roman"/>
                <w:color w:val="auto"/>
              </w:rPr>
            </w:pPr>
            <w:r>
              <w:rPr>
                <w:rFonts w:ascii="Times New Roman" w:hAnsi="Times New Roman"/>
                <w:color w:val="auto"/>
              </w:rPr>
              <w:t>7m</w:t>
            </w:r>
          </w:p>
        </w:tc>
        <w:tc>
          <w:tcPr>
            <w:tcW w:w="1000" w:type="pct"/>
            <w:vAlign w:val="center"/>
          </w:tcPr>
          <w:p w14:paraId="17D2848B">
            <w:pPr>
              <w:pStyle w:val="17"/>
              <w:bidi w:val="0"/>
              <w:rPr>
                <w:rFonts w:ascii="Times New Roman" w:hAnsi="Times New Roman"/>
                <w:color w:val="auto"/>
              </w:rPr>
            </w:pPr>
          </w:p>
        </w:tc>
      </w:tr>
      <w:tr w14:paraId="4812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0D993084">
            <w:pPr>
              <w:pStyle w:val="17"/>
              <w:bidi w:val="0"/>
              <w:rPr>
                <w:rFonts w:ascii="Times New Roman" w:hAnsi="Times New Roman"/>
                <w:color w:val="auto"/>
              </w:rPr>
            </w:pPr>
            <w:r>
              <w:rPr>
                <w:rFonts w:ascii="Times New Roman" w:hAnsi="Times New Roman"/>
                <w:color w:val="auto"/>
              </w:rPr>
              <w:t>6</w:t>
            </w:r>
          </w:p>
        </w:tc>
        <w:tc>
          <w:tcPr>
            <w:tcW w:w="2406" w:type="pct"/>
            <w:vAlign w:val="center"/>
          </w:tcPr>
          <w:p w14:paraId="48E6DF54">
            <w:pPr>
              <w:pStyle w:val="17"/>
              <w:bidi w:val="0"/>
              <w:rPr>
                <w:rFonts w:ascii="Times New Roman" w:hAnsi="Times New Roman"/>
                <w:color w:val="auto"/>
              </w:rPr>
            </w:pPr>
            <w:r>
              <w:rPr>
                <w:rFonts w:ascii="Times New Roman" w:hAnsi="Times New Roman"/>
                <w:color w:val="auto"/>
              </w:rPr>
              <w:t>钻孔倾角（θ）</w:t>
            </w:r>
          </w:p>
        </w:tc>
        <w:tc>
          <w:tcPr>
            <w:tcW w:w="1000" w:type="pct"/>
            <w:vAlign w:val="center"/>
          </w:tcPr>
          <w:p w14:paraId="5C128885">
            <w:pPr>
              <w:pStyle w:val="17"/>
              <w:bidi w:val="0"/>
              <w:rPr>
                <w:rFonts w:ascii="Times New Roman" w:hAnsi="Times New Roman"/>
                <w:color w:val="auto"/>
              </w:rPr>
            </w:pPr>
            <w:r>
              <w:rPr>
                <w:rFonts w:ascii="Times New Roman" w:hAnsi="Times New Roman"/>
                <w:color w:val="auto"/>
              </w:rPr>
              <w:t>90°</w:t>
            </w:r>
          </w:p>
        </w:tc>
        <w:tc>
          <w:tcPr>
            <w:tcW w:w="1000" w:type="pct"/>
            <w:vAlign w:val="center"/>
          </w:tcPr>
          <w:p w14:paraId="4E0C4728">
            <w:pPr>
              <w:pStyle w:val="17"/>
              <w:bidi w:val="0"/>
              <w:rPr>
                <w:rFonts w:ascii="Times New Roman" w:hAnsi="Times New Roman"/>
                <w:color w:val="auto"/>
              </w:rPr>
            </w:pPr>
          </w:p>
        </w:tc>
      </w:tr>
      <w:tr w14:paraId="30CE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113CE0B8">
            <w:pPr>
              <w:pStyle w:val="17"/>
              <w:bidi w:val="0"/>
              <w:rPr>
                <w:rFonts w:ascii="Times New Roman" w:hAnsi="Times New Roman"/>
                <w:color w:val="auto"/>
              </w:rPr>
            </w:pPr>
            <w:r>
              <w:rPr>
                <w:rFonts w:ascii="Times New Roman" w:hAnsi="Times New Roman"/>
                <w:color w:val="auto"/>
              </w:rPr>
              <w:t>7</w:t>
            </w:r>
          </w:p>
        </w:tc>
        <w:tc>
          <w:tcPr>
            <w:tcW w:w="2406" w:type="pct"/>
            <w:vAlign w:val="center"/>
          </w:tcPr>
          <w:p w14:paraId="67859AA1">
            <w:pPr>
              <w:pStyle w:val="17"/>
              <w:bidi w:val="0"/>
              <w:rPr>
                <w:rFonts w:ascii="Times New Roman" w:hAnsi="Times New Roman"/>
                <w:color w:val="auto"/>
              </w:rPr>
            </w:pPr>
            <w:r>
              <w:rPr>
                <w:rFonts w:ascii="Times New Roman" w:hAnsi="Times New Roman"/>
                <w:color w:val="auto"/>
              </w:rPr>
              <w:t>超深（h）</w:t>
            </w:r>
          </w:p>
        </w:tc>
        <w:tc>
          <w:tcPr>
            <w:tcW w:w="1000" w:type="pct"/>
            <w:vAlign w:val="center"/>
          </w:tcPr>
          <w:p w14:paraId="0B89FDA4">
            <w:pPr>
              <w:pStyle w:val="17"/>
              <w:bidi w:val="0"/>
              <w:rPr>
                <w:rFonts w:ascii="Times New Roman" w:hAnsi="Times New Roman"/>
                <w:color w:val="auto"/>
              </w:rPr>
            </w:pPr>
            <w:r>
              <w:rPr>
                <w:rFonts w:ascii="Times New Roman" w:hAnsi="Times New Roman"/>
                <w:color w:val="auto"/>
              </w:rPr>
              <w:t>1.5m</w:t>
            </w:r>
          </w:p>
        </w:tc>
        <w:tc>
          <w:tcPr>
            <w:tcW w:w="1000" w:type="pct"/>
            <w:vAlign w:val="center"/>
          </w:tcPr>
          <w:p w14:paraId="47D42650">
            <w:pPr>
              <w:pStyle w:val="17"/>
              <w:bidi w:val="0"/>
              <w:rPr>
                <w:rFonts w:ascii="Times New Roman" w:hAnsi="Times New Roman"/>
                <w:color w:val="auto"/>
              </w:rPr>
            </w:pPr>
          </w:p>
        </w:tc>
      </w:tr>
      <w:tr w14:paraId="3553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0398D815">
            <w:pPr>
              <w:pStyle w:val="17"/>
              <w:bidi w:val="0"/>
              <w:rPr>
                <w:rFonts w:ascii="Times New Roman" w:hAnsi="Times New Roman"/>
                <w:color w:val="auto"/>
              </w:rPr>
            </w:pPr>
            <w:r>
              <w:rPr>
                <w:rFonts w:ascii="Times New Roman" w:hAnsi="Times New Roman"/>
                <w:color w:val="auto"/>
              </w:rPr>
              <w:t>8</w:t>
            </w:r>
          </w:p>
        </w:tc>
        <w:tc>
          <w:tcPr>
            <w:tcW w:w="2406" w:type="pct"/>
            <w:vAlign w:val="center"/>
          </w:tcPr>
          <w:p w14:paraId="19A66184">
            <w:pPr>
              <w:pStyle w:val="17"/>
              <w:bidi w:val="0"/>
              <w:rPr>
                <w:rFonts w:ascii="Times New Roman" w:hAnsi="Times New Roman"/>
                <w:color w:val="auto"/>
              </w:rPr>
            </w:pPr>
            <w:r>
              <w:rPr>
                <w:rFonts w:ascii="Times New Roman" w:hAnsi="Times New Roman"/>
                <w:color w:val="auto"/>
              </w:rPr>
              <w:t>填塞（L</w:t>
            </w:r>
            <w:r>
              <w:rPr>
                <w:rFonts w:ascii="Times New Roman" w:hAnsi="Times New Roman"/>
                <w:color w:val="auto"/>
                <w:vertAlign w:val="subscript"/>
              </w:rPr>
              <w:t>1</w:t>
            </w:r>
            <w:r>
              <w:rPr>
                <w:rFonts w:ascii="Times New Roman" w:hAnsi="Times New Roman"/>
                <w:color w:val="auto"/>
              </w:rPr>
              <w:t>）</w:t>
            </w:r>
          </w:p>
        </w:tc>
        <w:tc>
          <w:tcPr>
            <w:tcW w:w="1000" w:type="pct"/>
            <w:vAlign w:val="center"/>
          </w:tcPr>
          <w:p w14:paraId="1EF7CE29">
            <w:pPr>
              <w:pStyle w:val="17"/>
              <w:bidi w:val="0"/>
              <w:rPr>
                <w:rFonts w:ascii="Times New Roman" w:hAnsi="Times New Roman"/>
                <w:color w:val="auto"/>
              </w:rPr>
            </w:pPr>
            <w:r>
              <w:rPr>
                <w:rFonts w:ascii="Times New Roman" w:hAnsi="Times New Roman"/>
                <w:color w:val="auto"/>
              </w:rPr>
              <w:t>4.5m</w:t>
            </w:r>
          </w:p>
        </w:tc>
        <w:tc>
          <w:tcPr>
            <w:tcW w:w="1000" w:type="pct"/>
            <w:vAlign w:val="center"/>
          </w:tcPr>
          <w:p w14:paraId="23ACC021">
            <w:pPr>
              <w:pStyle w:val="17"/>
              <w:bidi w:val="0"/>
              <w:rPr>
                <w:rFonts w:ascii="Times New Roman" w:hAnsi="Times New Roman"/>
                <w:color w:val="auto"/>
              </w:rPr>
            </w:pPr>
          </w:p>
        </w:tc>
      </w:tr>
      <w:tr w14:paraId="32EE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6036A08D">
            <w:pPr>
              <w:pStyle w:val="17"/>
              <w:bidi w:val="0"/>
              <w:rPr>
                <w:rFonts w:ascii="Times New Roman" w:hAnsi="Times New Roman"/>
                <w:color w:val="auto"/>
              </w:rPr>
            </w:pPr>
            <w:r>
              <w:rPr>
                <w:rFonts w:ascii="Times New Roman" w:hAnsi="Times New Roman"/>
                <w:color w:val="auto"/>
              </w:rPr>
              <w:t>9</w:t>
            </w:r>
          </w:p>
        </w:tc>
        <w:tc>
          <w:tcPr>
            <w:tcW w:w="2406" w:type="pct"/>
            <w:vAlign w:val="center"/>
          </w:tcPr>
          <w:p w14:paraId="2ABA1B83">
            <w:pPr>
              <w:pStyle w:val="17"/>
              <w:bidi w:val="0"/>
              <w:rPr>
                <w:rFonts w:ascii="Times New Roman" w:hAnsi="Times New Roman"/>
                <w:color w:val="auto"/>
              </w:rPr>
            </w:pPr>
            <w:r>
              <w:rPr>
                <w:rFonts w:ascii="Times New Roman" w:hAnsi="Times New Roman"/>
                <w:color w:val="auto"/>
              </w:rPr>
              <w:t>钻孔长度（L）</w:t>
            </w:r>
          </w:p>
        </w:tc>
        <w:tc>
          <w:tcPr>
            <w:tcW w:w="1000" w:type="pct"/>
            <w:vAlign w:val="center"/>
          </w:tcPr>
          <w:p w14:paraId="40BE45B5">
            <w:pPr>
              <w:pStyle w:val="17"/>
              <w:bidi w:val="0"/>
              <w:rPr>
                <w:rFonts w:ascii="Times New Roman" w:hAnsi="Times New Roman"/>
                <w:color w:val="auto"/>
              </w:rPr>
            </w:pPr>
            <w:r>
              <w:rPr>
                <w:rFonts w:ascii="Times New Roman" w:hAnsi="Times New Roman"/>
                <w:color w:val="auto"/>
              </w:rPr>
              <w:t>16.5m</w:t>
            </w:r>
          </w:p>
        </w:tc>
        <w:tc>
          <w:tcPr>
            <w:tcW w:w="1000" w:type="pct"/>
            <w:vAlign w:val="center"/>
          </w:tcPr>
          <w:p w14:paraId="5E8517C7">
            <w:pPr>
              <w:pStyle w:val="17"/>
              <w:bidi w:val="0"/>
              <w:rPr>
                <w:rFonts w:ascii="Times New Roman" w:hAnsi="Times New Roman"/>
                <w:color w:val="auto"/>
              </w:rPr>
            </w:pPr>
          </w:p>
        </w:tc>
      </w:tr>
      <w:tr w14:paraId="3EA8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74ECE2F9">
            <w:pPr>
              <w:pStyle w:val="17"/>
              <w:bidi w:val="0"/>
              <w:rPr>
                <w:rFonts w:ascii="Times New Roman" w:hAnsi="Times New Roman"/>
                <w:color w:val="auto"/>
              </w:rPr>
            </w:pPr>
            <w:r>
              <w:rPr>
                <w:rFonts w:ascii="Times New Roman" w:hAnsi="Times New Roman"/>
                <w:color w:val="auto"/>
              </w:rPr>
              <w:t>10</w:t>
            </w:r>
          </w:p>
        </w:tc>
        <w:tc>
          <w:tcPr>
            <w:tcW w:w="2406" w:type="pct"/>
            <w:vAlign w:val="center"/>
          </w:tcPr>
          <w:p w14:paraId="3ECC5442">
            <w:pPr>
              <w:pStyle w:val="17"/>
              <w:bidi w:val="0"/>
              <w:rPr>
                <w:rFonts w:ascii="Times New Roman" w:hAnsi="Times New Roman"/>
                <w:color w:val="auto"/>
              </w:rPr>
            </w:pPr>
            <w:r>
              <w:rPr>
                <w:rFonts w:ascii="Times New Roman" w:hAnsi="Times New Roman"/>
                <w:color w:val="auto"/>
              </w:rPr>
              <w:t>装药长度（L</w:t>
            </w:r>
            <w:r>
              <w:rPr>
                <w:rFonts w:ascii="Times New Roman" w:hAnsi="Times New Roman"/>
                <w:color w:val="auto"/>
                <w:vertAlign w:val="subscript"/>
              </w:rPr>
              <w:t>2</w:t>
            </w:r>
            <w:r>
              <w:rPr>
                <w:rFonts w:ascii="Times New Roman" w:hAnsi="Times New Roman"/>
                <w:color w:val="auto"/>
              </w:rPr>
              <w:t>）</w:t>
            </w:r>
          </w:p>
        </w:tc>
        <w:tc>
          <w:tcPr>
            <w:tcW w:w="1000" w:type="pct"/>
            <w:vAlign w:val="center"/>
          </w:tcPr>
          <w:p w14:paraId="3FC92DBC">
            <w:pPr>
              <w:pStyle w:val="17"/>
              <w:bidi w:val="0"/>
              <w:rPr>
                <w:rFonts w:ascii="Times New Roman" w:hAnsi="Times New Roman"/>
                <w:color w:val="auto"/>
              </w:rPr>
            </w:pPr>
            <w:r>
              <w:rPr>
                <w:rFonts w:ascii="Times New Roman" w:hAnsi="Times New Roman"/>
                <w:color w:val="auto"/>
              </w:rPr>
              <w:t>12m</w:t>
            </w:r>
          </w:p>
        </w:tc>
        <w:tc>
          <w:tcPr>
            <w:tcW w:w="1000" w:type="pct"/>
            <w:vAlign w:val="center"/>
          </w:tcPr>
          <w:p w14:paraId="23EC6342">
            <w:pPr>
              <w:pStyle w:val="17"/>
              <w:bidi w:val="0"/>
              <w:rPr>
                <w:rFonts w:ascii="Times New Roman" w:hAnsi="Times New Roman"/>
                <w:color w:val="auto"/>
              </w:rPr>
            </w:pPr>
          </w:p>
        </w:tc>
      </w:tr>
      <w:tr w14:paraId="7DDE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67E5D657">
            <w:pPr>
              <w:pStyle w:val="17"/>
              <w:bidi w:val="0"/>
              <w:rPr>
                <w:rFonts w:ascii="Times New Roman" w:hAnsi="Times New Roman"/>
                <w:color w:val="auto"/>
              </w:rPr>
            </w:pPr>
            <w:r>
              <w:rPr>
                <w:rFonts w:ascii="Times New Roman" w:hAnsi="Times New Roman"/>
                <w:color w:val="auto"/>
              </w:rPr>
              <w:t>11</w:t>
            </w:r>
          </w:p>
        </w:tc>
        <w:tc>
          <w:tcPr>
            <w:tcW w:w="2406" w:type="pct"/>
            <w:vAlign w:val="center"/>
          </w:tcPr>
          <w:p w14:paraId="775CAA6F">
            <w:pPr>
              <w:pStyle w:val="17"/>
              <w:bidi w:val="0"/>
              <w:rPr>
                <w:rFonts w:ascii="Times New Roman" w:hAnsi="Times New Roman"/>
                <w:color w:val="auto"/>
              </w:rPr>
            </w:pPr>
            <w:r>
              <w:rPr>
                <w:rFonts w:ascii="Times New Roman" w:hAnsi="Times New Roman"/>
                <w:color w:val="auto"/>
              </w:rPr>
              <w:t>单孔装药量（Q）</w:t>
            </w:r>
          </w:p>
        </w:tc>
        <w:tc>
          <w:tcPr>
            <w:tcW w:w="1000" w:type="pct"/>
            <w:vAlign w:val="center"/>
          </w:tcPr>
          <w:p w14:paraId="39035491">
            <w:pPr>
              <w:pStyle w:val="17"/>
              <w:bidi w:val="0"/>
              <w:rPr>
                <w:rFonts w:ascii="Times New Roman" w:hAnsi="Times New Roman"/>
                <w:color w:val="auto"/>
              </w:rPr>
            </w:pPr>
            <w:r>
              <w:rPr>
                <w:rFonts w:hint="eastAsia" w:ascii="Times New Roman" w:hAnsi="Times New Roman"/>
                <w:color w:val="auto"/>
              </w:rPr>
              <w:t>94.5</w:t>
            </w:r>
            <w:r>
              <w:rPr>
                <w:rFonts w:ascii="Times New Roman" w:hAnsi="Times New Roman"/>
                <w:color w:val="auto"/>
              </w:rPr>
              <w:t>kg</w:t>
            </w:r>
          </w:p>
        </w:tc>
        <w:tc>
          <w:tcPr>
            <w:tcW w:w="1000" w:type="pct"/>
            <w:vAlign w:val="center"/>
          </w:tcPr>
          <w:p w14:paraId="4FD01C69">
            <w:pPr>
              <w:pStyle w:val="17"/>
              <w:bidi w:val="0"/>
              <w:rPr>
                <w:rFonts w:ascii="Times New Roman" w:hAnsi="Times New Roman"/>
                <w:color w:val="auto"/>
              </w:rPr>
            </w:pPr>
          </w:p>
        </w:tc>
      </w:tr>
      <w:tr w14:paraId="7B28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671AC2D4">
            <w:pPr>
              <w:pStyle w:val="17"/>
              <w:bidi w:val="0"/>
              <w:rPr>
                <w:rFonts w:ascii="Times New Roman" w:hAnsi="Times New Roman"/>
                <w:color w:val="auto"/>
              </w:rPr>
            </w:pPr>
            <w:r>
              <w:rPr>
                <w:rFonts w:ascii="Times New Roman" w:hAnsi="Times New Roman"/>
                <w:color w:val="auto"/>
              </w:rPr>
              <w:t>12</w:t>
            </w:r>
          </w:p>
        </w:tc>
        <w:tc>
          <w:tcPr>
            <w:tcW w:w="2406" w:type="pct"/>
            <w:vAlign w:val="center"/>
          </w:tcPr>
          <w:p w14:paraId="08B120CD">
            <w:pPr>
              <w:pStyle w:val="17"/>
              <w:bidi w:val="0"/>
              <w:rPr>
                <w:rFonts w:ascii="Times New Roman" w:hAnsi="Times New Roman"/>
                <w:color w:val="auto"/>
              </w:rPr>
            </w:pPr>
            <w:r>
              <w:rPr>
                <w:rFonts w:ascii="Times New Roman" w:hAnsi="Times New Roman"/>
                <w:color w:val="auto"/>
              </w:rPr>
              <w:t>最大一段装药量（Q</w:t>
            </w:r>
            <w:r>
              <w:rPr>
                <w:rFonts w:ascii="Times New Roman" w:hAnsi="Times New Roman"/>
                <w:color w:val="auto"/>
                <w:vertAlign w:val="subscript"/>
              </w:rPr>
              <w:t>max</w:t>
            </w:r>
            <w:r>
              <w:rPr>
                <w:rFonts w:ascii="Times New Roman" w:hAnsi="Times New Roman"/>
                <w:color w:val="auto"/>
              </w:rPr>
              <w:t>）</w:t>
            </w:r>
          </w:p>
        </w:tc>
        <w:tc>
          <w:tcPr>
            <w:tcW w:w="1000" w:type="pct"/>
            <w:vAlign w:val="center"/>
          </w:tcPr>
          <w:p w14:paraId="0E440D86">
            <w:pPr>
              <w:pStyle w:val="17"/>
              <w:bidi w:val="0"/>
              <w:rPr>
                <w:rFonts w:ascii="Times New Roman" w:hAnsi="Times New Roman"/>
                <w:color w:val="auto"/>
              </w:rPr>
            </w:pPr>
            <w:r>
              <w:rPr>
                <w:rFonts w:hint="eastAsia" w:ascii="Times New Roman" w:hAnsi="Times New Roman"/>
                <w:color w:val="auto"/>
              </w:rPr>
              <w:t>94.5</w:t>
            </w:r>
            <w:r>
              <w:rPr>
                <w:rFonts w:ascii="Times New Roman" w:hAnsi="Times New Roman"/>
                <w:color w:val="auto"/>
              </w:rPr>
              <w:t>kg</w:t>
            </w:r>
          </w:p>
        </w:tc>
        <w:tc>
          <w:tcPr>
            <w:tcW w:w="1000" w:type="pct"/>
            <w:vAlign w:val="center"/>
          </w:tcPr>
          <w:p w14:paraId="63C7983B">
            <w:pPr>
              <w:pStyle w:val="17"/>
              <w:bidi w:val="0"/>
              <w:rPr>
                <w:rFonts w:ascii="Times New Roman" w:hAnsi="Times New Roman"/>
                <w:color w:val="auto"/>
              </w:rPr>
            </w:pPr>
            <w:r>
              <w:rPr>
                <w:rFonts w:ascii="Times New Roman" w:hAnsi="Times New Roman"/>
                <w:color w:val="auto"/>
              </w:rPr>
              <w:t>逐孔爆破</w:t>
            </w:r>
          </w:p>
        </w:tc>
      </w:tr>
      <w:tr w14:paraId="154A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4962E39B">
            <w:pPr>
              <w:pStyle w:val="17"/>
              <w:bidi w:val="0"/>
              <w:rPr>
                <w:rFonts w:ascii="Times New Roman" w:hAnsi="Times New Roman"/>
                <w:color w:val="auto"/>
              </w:rPr>
            </w:pPr>
            <w:r>
              <w:rPr>
                <w:rFonts w:ascii="Times New Roman" w:hAnsi="Times New Roman"/>
                <w:color w:val="auto"/>
              </w:rPr>
              <w:t>13</w:t>
            </w:r>
          </w:p>
        </w:tc>
        <w:tc>
          <w:tcPr>
            <w:tcW w:w="2406" w:type="pct"/>
            <w:vAlign w:val="center"/>
          </w:tcPr>
          <w:p w14:paraId="71C27FE8">
            <w:pPr>
              <w:pStyle w:val="17"/>
              <w:bidi w:val="0"/>
              <w:rPr>
                <w:rFonts w:ascii="Times New Roman" w:hAnsi="Times New Roman"/>
                <w:color w:val="auto"/>
              </w:rPr>
            </w:pPr>
            <w:r>
              <w:rPr>
                <w:rFonts w:ascii="Times New Roman" w:hAnsi="Times New Roman"/>
                <w:color w:val="auto"/>
              </w:rPr>
              <w:t>炸药单耗（q）</w:t>
            </w:r>
          </w:p>
        </w:tc>
        <w:tc>
          <w:tcPr>
            <w:tcW w:w="1000" w:type="pct"/>
            <w:vAlign w:val="center"/>
          </w:tcPr>
          <w:p w14:paraId="4DB1D5E0">
            <w:pPr>
              <w:pStyle w:val="17"/>
              <w:bidi w:val="0"/>
              <w:rPr>
                <w:rFonts w:ascii="Times New Roman" w:hAnsi="Times New Roman"/>
                <w:color w:val="auto"/>
              </w:rPr>
            </w:pPr>
            <w:r>
              <w:rPr>
                <w:rFonts w:ascii="Times New Roman" w:hAnsi="Times New Roman"/>
                <w:color w:val="auto"/>
              </w:rPr>
              <w:t>0.1</w:t>
            </w:r>
            <w:r>
              <w:rPr>
                <w:rFonts w:hint="eastAsia"/>
                <w:color w:val="auto"/>
                <w:lang w:val="en-US" w:eastAsia="zh-CN"/>
              </w:rPr>
              <w:t>7</w:t>
            </w:r>
            <w:r>
              <w:rPr>
                <w:rFonts w:ascii="Times New Roman" w:hAnsi="Times New Roman"/>
                <w:color w:val="auto"/>
              </w:rPr>
              <w:t>kg/t</w:t>
            </w:r>
          </w:p>
        </w:tc>
        <w:tc>
          <w:tcPr>
            <w:tcW w:w="1000" w:type="pct"/>
            <w:vAlign w:val="center"/>
          </w:tcPr>
          <w:p w14:paraId="3A66D01C">
            <w:pPr>
              <w:pStyle w:val="17"/>
              <w:bidi w:val="0"/>
              <w:rPr>
                <w:rFonts w:ascii="Times New Roman" w:hAnsi="Times New Roman"/>
                <w:color w:val="auto"/>
              </w:rPr>
            </w:pPr>
            <w:r>
              <w:rPr>
                <w:rFonts w:hint="eastAsia" w:ascii="Times New Roman" w:hAnsi="Times New Roman"/>
                <w:color w:val="auto"/>
              </w:rPr>
              <w:t>0.</w:t>
            </w:r>
            <w:r>
              <w:rPr>
                <w:rFonts w:hint="eastAsia"/>
                <w:color w:val="auto"/>
                <w:lang w:val="en-US" w:eastAsia="zh-CN"/>
              </w:rPr>
              <w:t>43</w:t>
            </w:r>
            <w:r>
              <w:rPr>
                <w:rFonts w:ascii="Times New Roman" w:hAnsi="Times New Roman"/>
                <w:color w:val="auto"/>
              </w:rPr>
              <w:t>kg/m</w:t>
            </w:r>
            <w:r>
              <w:rPr>
                <w:rFonts w:ascii="Times New Roman" w:hAnsi="Times New Roman"/>
                <w:color w:val="auto"/>
                <w:vertAlign w:val="superscript"/>
              </w:rPr>
              <w:t>3</w:t>
            </w:r>
          </w:p>
        </w:tc>
      </w:tr>
      <w:tr w14:paraId="5293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3" w:type="pct"/>
            <w:vAlign w:val="center"/>
          </w:tcPr>
          <w:p w14:paraId="6BA6015F">
            <w:pPr>
              <w:pStyle w:val="17"/>
              <w:bidi w:val="0"/>
              <w:rPr>
                <w:rFonts w:ascii="Times New Roman" w:hAnsi="Times New Roman"/>
                <w:color w:val="auto"/>
              </w:rPr>
            </w:pPr>
            <w:r>
              <w:rPr>
                <w:rFonts w:ascii="Times New Roman" w:hAnsi="Times New Roman"/>
                <w:color w:val="auto"/>
              </w:rPr>
              <w:t>14</w:t>
            </w:r>
          </w:p>
        </w:tc>
        <w:tc>
          <w:tcPr>
            <w:tcW w:w="2406" w:type="pct"/>
            <w:vAlign w:val="center"/>
          </w:tcPr>
          <w:p w14:paraId="5A8F7B38">
            <w:pPr>
              <w:pStyle w:val="17"/>
              <w:bidi w:val="0"/>
              <w:rPr>
                <w:rFonts w:ascii="Times New Roman" w:hAnsi="Times New Roman"/>
                <w:color w:val="auto"/>
              </w:rPr>
            </w:pPr>
            <w:r>
              <w:rPr>
                <w:rFonts w:ascii="Times New Roman" w:hAnsi="Times New Roman"/>
                <w:color w:val="auto"/>
              </w:rPr>
              <w:t>布孔方式</w:t>
            </w:r>
          </w:p>
        </w:tc>
        <w:tc>
          <w:tcPr>
            <w:tcW w:w="1000" w:type="pct"/>
            <w:vAlign w:val="center"/>
          </w:tcPr>
          <w:p w14:paraId="4D76E7CA">
            <w:pPr>
              <w:pStyle w:val="17"/>
              <w:bidi w:val="0"/>
              <w:rPr>
                <w:rFonts w:ascii="Times New Roman" w:hAnsi="Times New Roman"/>
                <w:color w:val="auto"/>
              </w:rPr>
            </w:pPr>
            <w:r>
              <w:rPr>
                <w:rFonts w:ascii="Times New Roman" w:hAnsi="Times New Roman"/>
                <w:color w:val="auto"/>
              </w:rPr>
              <w:t>三角形</w:t>
            </w:r>
          </w:p>
        </w:tc>
        <w:tc>
          <w:tcPr>
            <w:tcW w:w="1000" w:type="pct"/>
            <w:vAlign w:val="center"/>
          </w:tcPr>
          <w:p w14:paraId="65A6FF0E">
            <w:pPr>
              <w:pStyle w:val="17"/>
              <w:bidi w:val="0"/>
              <w:rPr>
                <w:rFonts w:ascii="Times New Roman" w:hAnsi="Times New Roman"/>
                <w:color w:val="auto"/>
              </w:rPr>
            </w:pPr>
          </w:p>
        </w:tc>
      </w:tr>
      <w:bookmarkEnd w:id="85"/>
    </w:tbl>
    <w:p w14:paraId="79695A94">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01073510">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图2.4-</w:t>
      </w:r>
      <w:r>
        <w:rPr>
          <w:rFonts w:hint="eastAsia"/>
          <w:color w:val="auto"/>
          <w:lang w:val="en-US" w:eastAsia="zh-CN"/>
        </w:rPr>
        <w:t>6</w:t>
      </w:r>
      <w:r>
        <w:rPr>
          <w:rFonts w:hint="eastAsia" w:ascii="Times New Roman" w:hAnsi="Times New Roman"/>
          <w:color w:val="auto"/>
          <w:lang w:val="en-US" w:eastAsia="zh-CN"/>
        </w:rPr>
        <w:t xml:space="preserve">  正常爆破炮孔布置剖面图</w:t>
      </w:r>
    </w:p>
    <w:p w14:paraId="5919550A">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72577D8D">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图2.4-</w:t>
      </w:r>
      <w:r>
        <w:rPr>
          <w:rFonts w:hint="eastAsia"/>
          <w:color w:val="auto"/>
          <w:lang w:val="en-US" w:eastAsia="zh-CN"/>
        </w:rPr>
        <w:t>7</w:t>
      </w:r>
      <w:r>
        <w:rPr>
          <w:rFonts w:hint="eastAsia" w:ascii="Times New Roman" w:hAnsi="Times New Roman"/>
          <w:color w:val="auto"/>
          <w:lang w:val="en-US" w:eastAsia="zh-CN"/>
        </w:rPr>
        <w:t xml:space="preserve">  正常爆破炮孔布置平面图</w:t>
      </w:r>
    </w:p>
    <w:p w14:paraId="62F339F8">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59C351ED">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图2.4-</w:t>
      </w:r>
      <w:r>
        <w:rPr>
          <w:rFonts w:hint="eastAsia"/>
          <w:color w:val="auto"/>
          <w:lang w:val="en-US" w:eastAsia="zh-CN"/>
        </w:rPr>
        <w:t>8</w:t>
      </w:r>
      <w:r>
        <w:rPr>
          <w:rFonts w:hint="eastAsia" w:ascii="Times New Roman" w:hAnsi="Times New Roman"/>
          <w:color w:val="auto"/>
          <w:lang w:val="en-US" w:eastAsia="zh-CN"/>
        </w:rPr>
        <w:t xml:space="preserve">  正常爆破逐孔起爆网络示意图</w:t>
      </w:r>
    </w:p>
    <w:p w14:paraId="005E176E">
      <w:pPr>
        <w:bidi w:val="0"/>
        <w:rPr>
          <w:rFonts w:hint="eastAsia" w:ascii="Times New Roman" w:hAnsi="Times New Roman"/>
          <w:color w:val="auto"/>
          <w:lang w:val="en-US" w:eastAsia="zh-CN"/>
        </w:rPr>
      </w:pPr>
      <w:r>
        <w:rPr>
          <w:rFonts w:hint="eastAsia" w:ascii="Times New Roman" w:hAnsi="Times New Roman"/>
          <w:color w:val="auto"/>
          <w:lang w:val="en-US" w:eastAsia="zh-CN"/>
        </w:rPr>
        <w:t>（2）预裂爆破</w:t>
      </w:r>
    </w:p>
    <w:p w14:paraId="6B0203BD">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表2.4-7  矿山靠帮预裂爆破参数表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3235"/>
        <w:gridCol w:w="1619"/>
        <w:gridCol w:w="1619"/>
        <w:gridCol w:w="1734"/>
      </w:tblGrid>
      <w:tr w14:paraId="5708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35" w:type="pct"/>
            <w:vAlign w:val="center"/>
          </w:tcPr>
          <w:p w14:paraId="664078CD">
            <w:pPr>
              <w:pStyle w:val="17"/>
              <w:bidi w:val="0"/>
              <w:rPr>
                <w:rFonts w:ascii="Times New Roman" w:hAnsi="Times New Roman"/>
                <w:b/>
                <w:bCs/>
                <w:color w:val="auto"/>
              </w:rPr>
            </w:pPr>
            <w:bookmarkStart w:id="86" w:name="_Hlk169963742"/>
            <w:r>
              <w:rPr>
                <w:rFonts w:ascii="Times New Roman" w:hAnsi="Times New Roman"/>
                <w:b/>
                <w:bCs/>
                <w:color w:val="auto"/>
              </w:rPr>
              <w:t>序号</w:t>
            </w:r>
          </w:p>
        </w:tc>
        <w:tc>
          <w:tcPr>
            <w:tcW w:w="1720" w:type="pct"/>
            <w:vAlign w:val="center"/>
          </w:tcPr>
          <w:p w14:paraId="526748A8">
            <w:pPr>
              <w:pStyle w:val="17"/>
              <w:bidi w:val="0"/>
              <w:rPr>
                <w:rFonts w:ascii="Times New Roman" w:hAnsi="Times New Roman"/>
                <w:b/>
                <w:bCs/>
                <w:color w:val="auto"/>
              </w:rPr>
            </w:pPr>
            <w:r>
              <w:rPr>
                <w:rFonts w:ascii="Times New Roman" w:hAnsi="Times New Roman"/>
                <w:b/>
                <w:bCs/>
                <w:color w:val="auto"/>
              </w:rPr>
              <w:t>名称及符号</w:t>
            </w:r>
          </w:p>
        </w:tc>
        <w:tc>
          <w:tcPr>
            <w:tcW w:w="861" w:type="pct"/>
            <w:vAlign w:val="center"/>
          </w:tcPr>
          <w:p w14:paraId="5F5B3C5B">
            <w:pPr>
              <w:pStyle w:val="17"/>
              <w:bidi w:val="0"/>
              <w:rPr>
                <w:rFonts w:ascii="Times New Roman" w:hAnsi="Times New Roman"/>
                <w:b/>
                <w:bCs/>
                <w:color w:val="auto"/>
              </w:rPr>
            </w:pPr>
            <w:r>
              <w:rPr>
                <w:rFonts w:ascii="Times New Roman" w:hAnsi="Times New Roman"/>
                <w:b/>
                <w:bCs/>
                <w:color w:val="auto"/>
              </w:rPr>
              <w:t>主爆孔</w:t>
            </w:r>
          </w:p>
        </w:tc>
        <w:tc>
          <w:tcPr>
            <w:tcW w:w="861" w:type="pct"/>
            <w:vAlign w:val="center"/>
          </w:tcPr>
          <w:p w14:paraId="4A275B68">
            <w:pPr>
              <w:pStyle w:val="17"/>
              <w:bidi w:val="0"/>
              <w:rPr>
                <w:rFonts w:ascii="Times New Roman" w:hAnsi="Times New Roman"/>
                <w:b/>
                <w:bCs/>
                <w:color w:val="auto"/>
              </w:rPr>
            </w:pPr>
            <w:r>
              <w:rPr>
                <w:rFonts w:ascii="Times New Roman" w:hAnsi="Times New Roman"/>
                <w:b/>
                <w:bCs/>
                <w:color w:val="auto"/>
              </w:rPr>
              <w:t>辅助孔</w:t>
            </w:r>
          </w:p>
        </w:tc>
        <w:tc>
          <w:tcPr>
            <w:tcW w:w="922" w:type="pct"/>
            <w:vAlign w:val="center"/>
          </w:tcPr>
          <w:p w14:paraId="62EA7148">
            <w:pPr>
              <w:pStyle w:val="17"/>
              <w:bidi w:val="0"/>
              <w:rPr>
                <w:rFonts w:ascii="Times New Roman" w:hAnsi="Times New Roman"/>
                <w:b/>
                <w:bCs/>
                <w:color w:val="auto"/>
              </w:rPr>
            </w:pPr>
            <w:r>
              <w:rPr>
                <w:rFonts w:ascii="Times New Roman" w:hAnsi="Times New Roman"/>
                <w:b/>
                <w:bCs/>
                <w:color w:val="auto"/>
              </w:rPr>
              <w:t>预裂孔</w:t>
            </w:r>
          </w:p>
        </w:tc>
      </w:tr>
      <w:tr w14:paraId="581F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0618BA2E">
            <w:pPr>
              <w:pStyle w:val="17"/>
              <w:bidi w:val="0"/>
              <w:rPr>
                <w:rFonts w:ascii="Times New Roman" w:hAnsi="Times New Roman"/>
                <w:color w:val="auto"/>
              </w:rPr>
            </w:pPr>
            <w:r>
              <w:rPr>
                <w:rFonts w:ascii="Times New Roman" w:hAnsi="Times New Roman"/>
                <w:color w:val="auto"/>
              </w:rPr>
              <w:t>1</w:t>
            </w:r>
          </w:p>
        </w:tc>
        <w:tc>
          <w:tcPr>
            <w:tcW w:w="1720" w:type="pct"/>
            <w:vAlign w:val="center"/>
          </w:tcPr>
          <w:p w14:paraId="7DAB289C">
            <w:pPr>
              <w:pStyle w:val="17"/>
              <w:bidi w:val="0"/>
              <w:rPr>
                <w:rFonts w:ascii="Times New Roman" w:hAnsi="Times New Roman"/>
                <w:color w:val="auto"/>
              </w:rPr>
            </w:pPr>
            <w:r>
              <w:rPr>
                <w:rFonts w:ascii="Times New Roman" w:hAnsi="Times New Roman"/>
                <w:color w:val="auto"/>
              </w:rPr>
              <w:t>炮孔直径（d）</w:t>
            </w:r>
          </w:p>
        </w:tc>
        <w:tc>
          <w:tcPr>
            <w:tcW w:w="861" w:type="pct"/>
            <w:vAlign w:val="center"/>
          </w:tcPr>
          <w:p w14:paraId="2A41E7D4">
            <w:pPr>
              <w:pStyle w:val="17"/>
              <w:bidi w:val="0"/>
              <w:rPr>
                <w:rFonts w:ascii="Times New Roman" w:hAnsi="Times New Roman"/>
                <w:color w:val="auto"/>
              </w:rPr>
            </w:pPr>
            <w:r>
              <w:rPr>
                <w:rFonts w:ascii="Times New Roman" w:hAnsi="Times New Roman"/>
                <w:color w:val="auto"/>
              </w:rPr>
              <w:t>1</w:t>
            </w:r>
            <w:r>
              <w:rPr>
                <w:rFonts w:hint="eastAsia" w:ascii="Times New Roman" w:hAnsi="Times New Roman"/>
                <w:color w:val="auto"/>
              </w:rPr>
              <w:t>0</w:t>
            </w:r>
            <w:r>
              <w:rPr>
                <w:rFonts w:ascii="Times New Roman" w:hAnsi="Times New Roman"/>
                <w:color w:val="auto"/>
              </w:rPr>
              <w:t>0mm</w:t>
            </w:r>
          </w:p>
        </w:tc>
        <w:tc>
          <w:tcPr>
            <w:tcW w:w="861" w:type="pct"/>
            <w:vAlign w:val="center"/>
          </w:tcPr>
          <w:p w14:paraId="3D676CEF">
            <w:pPr>
              <w:pStyle w:val="17"/>
              <w:bidi w:val="0"/>
              <w:rPr>
                <w:rFonts w:ascii="Times New Roman" w:hAnsi="Times New Roman"/>
                <w:color w:val="auto"/>
              </w:rPr>
            </w:pPr>
            <w:r>
              <w:rPr>
                <w:rFonts w:ascii="Times New Roman" w:hAnsi="Times New Roman"/>
                <w:color w:val="auto"/>
              </w:rPr>
              <w:t>90mm</w:t>
            </w:r>
          </w:p>
        </w:tc>
        <w:tc>
          <w:tcPr>
            <w:tcW w:w="922" w:type="pct"/>
            <w:vAlign w:val="center"/>
          </w:tcPr>
          <w:p w14:paraId="43CADA26">
            <w:pPr>
              <w:pStyle w:val="17"/>
              <w:bidi w:val="0"/>
              <w:rPr>
                <w:rFonts w:ascii="Times New Roman" w:hAnsi="Times New Roman"/>
                <w:color w:val="auto"/>
              </w:rPr>
            </w:pPr>
            <w:r>
              <w:rPr>
                <w:rFonts w:ascii="Times New Roman" w:hAnsi="Times New Roman"/>
                <w:color w:val="auto"/>
              </w:rPr>
              <w:t>90mm</w:t>
            </w:r>
          </w:p>
        </w:tc>
      </w:tr>
      <w:tr w14:paraId="1E89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5756169C">
            <w:pPr>
              <w:pStyle w:val="17"/>
              <w:bidi w:val="0"/>
              <w:rPr>
                <w:rFonts w:ascii="Times New Roman" w:hAnsi="Times New Roman"/>
                <w:color w:val="auto"/>
              </w:rPr>
            </w:pPr>
            <w:r>
              <w:rPr>
                <w:rFonts w:ascii="Times New Roman" w:hAnsi="Times New Roman"/>
                <w:color w:val="auto"/>
              </w:rPr>
              <w:t>2</w:t>
            </w:r>
          </w:p>
        </w:tc>
        <w:tc>
          <w:tcPr>
            <w:tcW w:w="1720" w:type="pct"/>
            <w:vAlign w:val="center"/>
          </w:tcPr>
          <w:p w14:paraId="1CAE3B10">
            <w:pPr>
              <w:pStyle w:val="17"/>
              <w:bidi w:val="0"/>
              <w:rPr>
                <w:rFonts w:ascii="Times New Roman" w:hAnsi="Times New Roman"/>
                <w:color w:val="auto"/>
              </w:rPr>
            </w:pPr>
            <w:r>
              <w:rPr>
                <w:rFonts w:ascii="Times New Roman" w:hAnsi="Times New Roman"/>
                <w:color w:val="auto"/>
              </w:rPr>
              <w:t>孔距（a）</w:t>
            </w:r>
          </w:p>
        </w:tc>
        <w:tc>
          <w:tcPr>
            <w:tcW w:w="861" w:type="pct"/>
            <w:vAlign w:val="center"/>
          </w:tcPr>
          <w:p w14:paraId="631C86DD">
            <w:pPr>
              <w:pStyle w:val="17"/>
              <w:bidi w:val="0"/>
              <w:rPr>
                <w:rFonts w:ascii="Times New Roman" w:hAnsi="Times New Roman"/>
                <w:color w:val="auto"/>
              </w:rPr>
            </w:pPr>
            <w:r>
              <w:rPr>
                <w:rFonts w:ascii="Times New Roman" w:hAnsi="Times New Roman"/>
                <w:color w:val="auto"/>
              </w:rPr>
              <w:t>5m</w:t>
            </w:r>
          </w:p>
        </w:tc>
        <w:tc>
          <w:tcPr>
            <w:tcW w:w="861" w:type="pct"/>
            <w:vAlign w:val="center"/>
          </w:tcPr>
          <w:p w14:paraId="586EB303">
            <w:pPr>
              <w:pStyle w:val="17"/>
              <w:bidi w:val="0"/>
              <w:rPr>
                <w:rFonts w:ascii="Times New Roman" w:hAnsi="Times New Roman"/>
                <w:color w:val="auto"/>
              </w:rPr>
            </w:pPr>
            <w:r>
              <w:rPr>
                <w:rFonts w:ascii="Times New Roman" w:hAnsi="Times New Roman"/>
                <w:color w:val="auto"/>
              </w:rPr>
              <w:t>4m</w:t>
            </w:r>
          </w:p>
        </w:tc>
        <w:tc>
          <w:tcPr>
            <w:tcW w:w="922" w:type="pct"/>
            <w:vAlign w:val="center"/>
          </w:tcPr>
          <w:p w14:paraId="29D6550E">
            <w:pPr>
              <w:pStyle w:val="17"/>
              <w:bidi w:val="0"/>
              <w:rPr>
                <w:rFonts w:ascii="Times New Roman" w:hAnsi="Times New Roman"/>
                <w:color w:val="auto"/>
              </w:rPr>
            </w:pPr>
            <w:r>
              <w:rPr>
                <w:rFonts w:ascii="Times New Roman" w:hAnsi="Times New Roman"/>
                <w:color w:val="auto"/>
              </w:rPr>
              <w:t>1m</w:t>
            </w:r>
          </w:p>
        </w:tc>
      </w:tr>
      <w:tr w14:paraId="6756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25C55D1A">
            <w:pPr>
              <w:pStyle w:val="17"/>
              <w:bidi w:val="0"/>
              <w:rPr>
                <w:rFonts w:ascii="Times New Roman" w:hAnsi="Times New Roman"/>
                <w:color w:val="auto"/>
              </w:rPr>
            </w:pPr>
            <w:r>
              <w:rPr>
                <w:rFonts w:ascii="Times New Roman" w:hAnsi="Times New Roman"/>
                <w:color w:val="auto"/>
              </w:rPr>
              <w:t>3</w:t>
            </w:r>
          </w:p>
        </w:tc>
        <w:tc>
          <w:tcPr>
            <w:tcW w:w="1720" w:type="pct"/>
            <w:vAlign w:val="center"/>
          </w:tcPr>
          <w:p w14:paraId="1F91824B">
            <w:pPr>
              <w:pStyle w:val="17"/>
              <w:bidi w:val="0"/>
              <w:rPr>
                <w:rFonts w:ascii="Times New Roman" w:hAnsi="Times New Roman"/>
                <w:color w:val="auto"/>
              </w:rPr>
            </w:pPr>
            <w:r>
              <w:rPr>
                <w:rFonts w:ascii="Times New Roman" w:hAnsi="Times New Roman"/>
                <w:color w:val="auto"/>
              </w:rPr>
              <w:t>排距（b）</w:t>
            </w:r>
          </w:p>
        </w:tc>
        <w:tc>
          <w:tcPr>
            <w:tcW w:w="861" w:type="pct"/>
            <w:vAlign w:val="center"/>
          </w:tcPr>
          <w:p w14:paraId="2C40348A">
            <w:pPr>
              <w:pStyle w:val="17"/>
              <w:bidi w:val="0"/>
              <w:rPr>
                <w:rFonts w:ascii="Times New Roman" w:hAnsi="Times New Roman"/>
                <w:color w:val="auto"/>
              </w:rPr>
            </w:pPr>
            <w:r>
              <w:rPr>
                <w:rFonts w:ascii="Times New Roman" w:hAnsi="Times New Roman"/>
                <w:color w:val="auto"/>
              </w:rPr>
              <w:t>3.5m</w:t>
            </w:r>
          </w:p>
        </w:tc>
        <w:tc>
          <w:tcPr>
            <w:tcW w:w="861" w:type="pct"/>
            <w:vAlign w:val="center"/>
          </w:tcPr>
          <w:p w14:paraId="362C5BF0">
            <w:pPr>
              <w:pStyle w:val="17"/>
              <w:bidi w:val="0"/>
              <w:rPr>
                <w:rFonts w:ascii="Times New Roman" w:hAnsi="Times New Roman"/>
                <w:color w:val="auto"/>
              </w:rPr>
            </w:pPr>
            <w:r>
              <w:rPr>
                <w:rFonts w:hint="eastAsia" w:ascii="Times New Roman" w:hAnsi="Times New Roman"/>
                <w:color w:val="auto"/>
              </w:rPr>
              <w:t>8</w:t>
            </w:r>
            <w:r>
              <w:rPr>
                <w:rFonts w:ascii="Times New Roman" w:hAnsi="Times New Roman"/>
                <w:color w:val="auto"/>
              </w:rPr>
              <w:t>m</w:t>
            </w:r>
          </w:p>
        </w:tc>
        <w:tc>
          <w:tcPr>
            <w:tcW w:w="922" w:type="pct"/>
            <w:vAlign w:val="center"/>
          </w:tcPr>
          <w:p w14:paraId="5ECFDCCE">
            <w:pPr>
              <w:pStyle w:val="17"/>
              <w:bidi w:val="0"/>
              <w:rPr>
                <w:rFonts w:ascii="Times New Roman" w:hAnsi="Times New Roman"/>
                <w:color w:val="auto"/>
              </w:rPr>
            </w:pPr>
            <w:r>
              <w:rPr>
                <w:rFonts w:ascii="Times New Roman" w:hAnsi="Times New Roman"/>
                <w:color w:val="auto"/>
              </w:rPr>
              <w:t>3.5m</w:t>
            </w:r>
          </w:p>
        </w:tc>
      </w:tr>
      <w:tr w14:paraId="0589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01D5D413">
            <w:pPr>
              <w:pStyle w:val="17"/>
              <w:bidi w:val="0"/>
              <w:rPr>
                <w:rFonts w:ascii="Times New Roman" w:hAnsi="Times New Roman"/>
                <w:color w:val="auto"/>
              </w:rPr>
            </w:pPr>
            <w:r>
              <w:rPr>
                <w:rFonts w:ascii="Times New Roman" w:hAnsi="Times New Roman"/>
                <w:color w:val="auto"/>
              </w:rPr>
              <w:t>4</w:t>
            </w:r>
          </w:p>
        </w:tc>
        <w:tc>
          <w:tcPr>
            <w:tcW w:w="1720" w:type="pct"/>
            <w:vAlign w:val="center"/>
          </w:tcPr>
          <w:p w14:paraId="03359B06">
            <w:pPr>
              <w:pStyle w:val="17"/>
              <w:bidi w:val="0"/>
              <w:rPr>
                <w:rFonts w:ascii="Times New Roman" w:hAnsi="Times New Roman"/>
                <w:color w:val="auto"/>
              </w:rPr>
            </w:pPr>
            <w:r>
              <w:rPr>
                <w:rFonts w:ascii="Times New Roman" w:hAnsi="Times New Roman"/>
                <w:color w:val="auto"/>
              </w:rPr>
              <w:t>钻孔倾角（θ）</w:t>
            </w:r>
          </w:p>
        </w:tc>
        <w:tc>
          <w:tcPr>
            <w:tcW w:w="861" w:type="pct"/>
            <w:vAlign w:val="center"/>
          </w:tcPr>
          <w:p w14:paraId="3A88D88D">
            <w:pPr>
              <w:pStyle w:val="17"/>
              <w:bidi w:val="0"/>
              <w:rPr>
                <w:rFonts w:ascii="Times New Roman" w:hAnsi="Times New Roman"/>
                <w:color w:val="auto"/>
              </w:rPr>
            </w:pPr>
            <w:r>
              <w:rPr>
                <w:rFonts w:hint="eastAsia" w:ascii="Times New Roman" w:hAnsi="Times New Roman"/>
                <w:color w:val="auto"/>
              </w:rPr>
              <w:t>90</w:t>
            </w:r>
            <w:r>
              <w:rPr>
                <w:rFonts w:ascii="Times New Roman" w:hAnsi="Times New Roman"/>
                <w:color w:val="auto"/>
              </w:rPr>
              <w:t>°</w:t>
            </w:r>
          </w:p>
        </w:tc>
        <w:tc>
          <w:tcPr>
            <w:tcW w:w="861" w:type="pct"/>
            <w:vAlign w:val="center"/>
          </w:tcPr>
          <w:p w14:paraId="2EE85982">
            <w:pPr>
              <w:pStyle w:val="17"/>
              <w:bidi w:val="0"/>
              <w:rPr>
                <w:rFonts w:ascii="Times New Roman" w:hAnsi="Times New Roman"/>
                <w:color w:val="auto"/>
              </w:rPr>
            </w:pPr>
            <w:r>
              <w:rPr>
                <w:rFonts w:ascii="Times New Roman" w:hAnsi="Times New Roman"/>
                <w:color w:val="auto"/>
              </w:rPr>
              <w:t>60°</w:t>
            </w:r>
          </w:p>
        </w:tc>
        <w:tc>
          <w:tcPr>
            <w:tcW w:w="922" w:type="pct"/>
            <w:vAlign w:val="center"/>
          </w:tcPr>
          <w:p w14:paraId="22BE9C95">
            <w:pPr>
              <w:pStyle w:val="17"/>
              <w:bidi w:val="0"/>
              <w:rPr>
                <w:rFonts w:ascii="Times New Roman" w:hAnsi="Times New Roman"/>
                <w:color w:val="auto"/>
              </w:rPr>
            </w:pPr>
            <w:r>
              <w:rPr>
                <w:rFonts w:ascii="Times New Roman" w:hAnsi="Times New Roman"/>
                <w:color w:val="auto"/>
              </w:rPr>
              <w:t>60°</w:t>
            </w:r>
          </w:p>
        </w:tc>
      </w:tr>
      <w:tr w14:paraId="048F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0F432CE8">
            <w:pPr>
              <w:pStyle w:val="17"/>
              <w:bidi w:val="0"/>
              <w:rPr>
                <w:rFonts w:ascii="Times New Roman" w:hAnsi="Times New Roman"/>
                <w:color w:val="auto"/>
              </w:rPr>
            </w:pPr>
            <w:r>
              <w:rPr>
                <w:rFonts w:ascii="Times New Roman" w:hAnsi="Times New Roman"/>
                <w:color w:val="auto"/>
              </w:rPr>
              <w:t>5</w:t>
            </w:r>
          </w:p>
        </w:tc>
        <w:tc>
          <w:tcPr>
            <w:tcW w:w="1720" w:type="pct"/>
            <w:vAlign w:val="center"/>
          </w:tcPr>
          <w:p w14:paraId="1F1E7170">
            <w:pPr>
              <w:pStyle w:val="17"/>
              <w:bidi w:val="0"/>
              <w:rPr>
                <w:rFonts w:ascii="Times New Roman" w:hAnsi="Times New Roman"/>
                <w:color w:val="auto"/>
              </w:rPr>
            </w:pPr>
            <w:r>
              <w:rPr>
                <w:rFonts w:ascii="Times New Roman" w:hAnsi="Times New Roman"/>
                <w:color w:val="auto"/>
              </w:rPr>
              <w:t>钻孔超深（h）</w:t>
            </w:r>
          </w:p>
        </w:tc>
        <w:tc>
          <w:tcPr>
            <w:tcW w:w="861" w:type="pct"/>
            <w:vAlign w:val="center"/>
          </w:tcPr>
          <w:p w14:paraId="6DF28F28">
            <w:pPr>
              <w:pStyle w:val="17"/>
              <w:bidi w:val="0"/>
              <w:rPr>
                <w:rFonts w:ascii="Times New Roman" w:hAnsi="Times New Roman"/>
                <w:color w:val="auto"/>
              </w:rPr>
            </w:pPr>
            <w:r>
              <w:rPr>
                <w:rFonts w:ascii="Times New Roman" w:hAnsi="Times New Roman"/>
                <w:color w:val="auto"/>
              </w:rPr>
              <w:t>1m</w:t>
            </w:r>
          </w:p>
        </w:tc>
        <w:tc>
          <w:tcPr>
            <w:tcW w:w="861" w:type="pct"/>
            <w:vAlign w:val="center"/>
          </w:tcPr>
          <w:p w14:paraId="0D6AD796">
            <w:pPr>
              <w:pStyle w:val="17"/>
              <w:bidi w:val="0"/>
              <w:rPr>
                <w:rFonts w:ascii="Times New Roman" w:hAnsi="Times New Roman"/>
                <w:color w:val="auto"/>
              </w:rPr>
            </w:pPr>
            <w:r>
              <w:rPr>
                <w:rFonts w:ascii="Times New Roman" w:hAnsi="Times New Roman"/>
                <w:color w:val="auto"/>
              </w:rPr>
              <w:t>/</w:t>
            </w:r>
          </w:p>
        </w:tc>
        <w:tc>
          <w:tcPr>
            <w:tcW w:w="922" w:type="pct"/>
            <w:vAlign w:val="center"/>
          </w:tcPr>
          <w:p w14:paraId="56DD5841">
            <w:pPr>
              <w:pStyle w:val="17"/>
              <w:bidi w:val="0"/>
              <w:rPr>
                <w:rFonts w:ascii="Times New Roman" w:hAnsi="Times New Roman"/>
                <w:color w:val="auto"/>
              </w:rPr>
            </w:pPr>
            <w:r>
              <w:rPr>
                <w:rFonts w:ascii="Times New Roman" w:hAnsi="Times New Roman"/>
                <w:color w:val="auto"/>
              </w:rPr>
              <w:t>0.5m</w:t>
            </w:r>
          </w:p>
        </w:tc>
      </w:tr>
      <w:tr w14:paraId="4819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1196514B">
            <w:pPr>
              <w:pStyle w:val="17"/>
              <w:bidi w:val="0"/>
              <w:rPr>
                <w:rFonts w:ascii="Times New Roman" w:hAnsi="Times New Roman"/>
                <w:color w:val="auto"/>
              </w:rPr>
            </w:pPr>
            <w:r>
              <w:rPr>
                <w:rFonts w:ascii="Times New Roman" w:hAnsi="Times New Roman"/>
                <w:color w:val="auto"/>
              </w:rPr>
              <w:t>6</w:t>
            </w:r>
          </w:p>
        </w:tc>
        <w:tc>
          <w:tcPr>
            <w:tcW w:w="1720" w:type="pct"/>
            <w:vAlign w:val="center"/>
          </w:tcPr>
          <w:p w14:paraId="4EB951CF">
            <w:pPr>
              <w:pStyle w:val="17"/>
              <w:bidi w:val="0"/>
              <w:rPr>
                <w:rFonts w:ascii="Times New Roman" w:hAnsi="Times New Roman"/>
                <w:color w:val="auto"/>
              </w:rPr>
            </w:pPr>
            <w:r>
              <w:rPr>
                <w:rFonts w:ascii="Times New Roman" w:hAnsi="Times New Roman"/>
                <w:color w:val="auto"/>
              </w:rPr>
              <w:t>钻孔长度（L）</w:t>
            </w:r>
          </w:p>
        </w:tc>
        <w:tc>
          <w:tcPr>
            <w:tcW w:w="861" w:type="pct"/>
            <w:vAlign w:val="center"/>
          </w:tcPr>
          <w:p w14:paraId="36844871">
            <w:pPr>
              <w:pStyle w:val="17"/>
              <w:bidi w:val="0"/>
              <w:rPr>
                <w:rFonts w:ascii="Times New Roman" w:hAnsi="Times New Roman"/>
                <w:color w:val="auto"/>
              </w:rPr>
            </w:pPr>
            <w:r>
              <w:rPr>
                <w:rFonts w:ascii="Times New Roman" w:hAnsi="Times New Roman"/>
                <w:color w:val="auto"/>
              </w:rPr>
              <w:t>1</w:t>
            </w:r>
            <w:r>
              <w:rPr>
                <w:rFonts w:hint="eastAsia" w:ascii="Times New Roman" w:hAnsi="Times New Roman"/>
                <w:color w:val="auto"/>
              </w:rPr>
              <w:t>6.5</w:t>
            </w:r>
            <w:r>
              <w:rPr>
                <w:rFonts w:ascii="Times New Roman" w:hAnsi="Times New Roman"/>
                <w:color w:val="auto"/>
              </w:rPr>
              <w:t>m</w:t>
            </w:r>
          </w:p>
        </w:tc>
        <w:tc>
          <w:tcPr>
            <w:tcW w:w="861" w:type="pct"/>
            <w:vAlign w:val="center"/>
          </w:tcPr>
          <w:p w14:paraId="0BDBF384">
            <w:pPr>
              <w:pStyle w:val="17"/>
              <w:bidi w:val="0"/>
              <w:rPr>
                <w:rFonts w:ascii="Times New Roman" w:hAnsi="Times New Roman"/>
                <w:color w:val="auto"/>
              </w:rPr>
            </w:pPr>
            <w:r>
              <w:rPr>
                <w:rFonts w:ascii="Times New Roman" w:hAnsi="Times New Roman"/>
                <w:color w:val="auto"/>
              </w:rPr>
              <w:t>8m</w:t>
            </w:r>
          </w:p>
        </w:tc>
        <w:tc>
          <w:tcPr>
            <w:tcW w:w="922" w:type="pct"/>
            <w:vAlign w:val="center"/>
          </w:tcPr>
          <w:p w14:paraId="1019C7FA">
            <w:pPr>
              <w:pStyle w:val="17"/>
              <w:bidi w:val="0"/>
              <w:rPr>
                <w:rFonts w:ascii="Times New Roman" w:hAnsi="Times New Roman"/>
                <w:color w:val="auto"/>
              </w:rPr>
            </w:pPr>
            <w:r>
              <w:rPr>
                <w:rFonts w:ascii="Times New Roman" w:hAnsi="Times New Roman"/>
                <w:color w:val="auto"/>
              </w:rPr>
              <w:t>17.</w:t>
            </w:r>
            <w:r>
              <w:rPr>
                <w:rFonts w:hint="eastAsia" w:ascii="Times New Roman" w:hAnsi="Times New Roman"/>
                <w:color w:val="auto"/>
              </w:rPr>
              <w:t>82</w:t>
            </w:r>
          </w:p>
        </w:tc>
      </w:tr>
      <w:tr w14:paraId="2695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15060727">
            <w:pPr>
              <w:pStyle w:val="17"/>
              <w:bidi w:val="0"/>
              <w:rPr>
                <w:rFonts w:ascii="Times New Roman" w:hAnsi="Times New Roman"/>
                <w:color w:val="auto"/>
              </w:rPr>
            </w:pPr>
            <w:r>
              <w:rPr>
                <w:rFonts w:ascii="Times New Roman" w:hAnsi="Times New Roman"/>
                <w:color w:val="auto"/>
              </w:rPr>
              <w:t>7</w:t>
            </w:r>
          </w:p>
        </w:tc>
        <w:tc>
          <w:tcPr>
            <w:tcW w:w="1720" w:type="pct"/>
            <w:vAlign w:val="center"/>
          </w:tcPr>
          <w:p w14:paraId="234D26C1">
            <w:pPr>
              <w:pStyle w:val="17"/>
              <w:bidi w:val="0"/>
              <w:rPr>
                <w:rFonts w:ascii="Times New Roman" w:hAnsi="Times New Roman"/>
                <w:color w:val="auto"/>
              </w:rPr>
            </w:pPr>
            <w:r>
              <w:rPr>
                <w:rFonts w:ascii="Times New Roman" w:hAnsi="Times New Roman"/>
                <w:color w:val="auto"/>
              </w:rPr>
              <w:t>填塞（L1）</w:t>
            </w:r>
          </w:p>
        </w:tc>
        <w:tc>
          <w:tcPr>
            <w:tcW w:w="861" w:type="pct"/>
            <w:vAlign w:val="center"/>
          </w:tcPr>
          <w:p w14:paraId="61D48DCE">
            <w:pPr>
              <w:pStyle w:val="17"/>
              <w:bidi w:val="0"/>
              <w:rPr>
                <w:rFonts w:ascii="Times New Roman" w:hAnsi="Times New Roman"/>
                <w:color w:val="auto"/>
              </w:rPr>
            </w:pPr>
            <w:r>
              <w:rPr>
                <w:rFonts w:ascii="Times New Roman" w:hAnsi="Times New Roman"/>
                <w:color w:val="auto"/>
              </w:rPr>
              <w:t>4.5m</w:t>
            </w:r>
          </w:p>
        </w:tc>
        <w:tc>
          <w:tcPr>
            <w:tcW w:w="861" w:type="pct"/>
            <w:vAlign w:val="center"/>
          </w:tcPr>
          <w:p w14:paraId="325113EB">
            <w:pPr>
              <w:pStyle w:val="17"/>
              <w:bidi w:val="0"/>
              <w:rPr>
                <w:rFonts w:ascii="Times New Roman" w:hAnsi="Times New Roman"/>
                <w:color w:val="auto"/>
              </w:rPr>
            </w:pPr>
            <w:r>
              <w:rPr>
                <w:rFonts w:ascii="Times New Roman" w:hAnsi="Times New Roman"/>
                <w:color w:val="auto"/>
              </w:rPr>
              <w:t>3m</w:t>
            </w:r>
          </w:p>
        </w:tc>
        <w:tc>
          <w:tcPr>
            <w:tcW w:w="922" w:type="pct"/>
            <w:vAlign w:val="center"/>
          </w:tcPr>
          <w:p w14:paraId="6B75F06A">
            <w:pPr>
              <w:pStyle w:val="17"/>
              <w:bidi w:val="0"/>
              <w:rPr>
                <w:rFonts w:ascii="Times New Roman" w:hAnsi="Times New Roman"/>
                <w:color w:val="auto"/>
              </w:rPr>
            </w:pPr>
            <w:r>
              <w:rPr>
                <w:rFonts w:ascii="Times New Roman" w:hAnsi="Times New Roman"/>
                <w:color w:val="auto"/>
              </w:rPr>
              <w:t>3m</w:t>
            </w:r>
          </w:p>
        </w:tc>
      </w:tr>
      <w:tr w14:paraId="65A4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3F6348CB">
            <w:pPr>
              <w:pStyle w:val="17"/>
              <w:bidi w:val="0"/>
              <w:rPr>
                <w:rFonts w:ascii="Times New Roman" w:hAnsi="Times New Roman"/>
                <w:color w:val="auto"/>
              </w:rPr>
            </w:pPr>
            <w:r>
              <w:rPr>
                <w:rFonts w:ascii="Times New Roman" w:hAnsi="Times New Roman"/>
                <w:color w:val="auto"/>
              </w:rPr>
              <w:t>8</w:t>
            </w:r>
          </w:p>
        </w:tc>
        <w:tc>
          <w:tcPr>
            <w:tcW w:w="1720" w:type="pct"/>
            <w:vAlign w:val="center"/>
          </w:tcPr>
          <w:p w14:paraId="5EEC6F4F">
            <w:pPr>
              <w:pStyle w:val="17"/>
              <w:bidi w:val="0"/>
              <w:rPr>
                <w:rFonts w:ascii="Times New Roman" w:hAnsi="Times New Roman"/>
                <w:color w:val="auto"/>
              </w:rPr>
            </w:pPr>
            <w:r>
              <w:rPr>
                <w:rFonts w:ascii="Times New Roman" w:hAnsi="Times New Roman"/>
                <w:color w:val="auto"/>
              </w:rPr>
              <w:t>装药长度（L2）</w:t>
            </w:r>
          </w:p>
        </w:tc>
        <w:tc>
          <w:tcPr>
            <w:tcW w:w="861" w:type="pct"/>
            <w:vAlign w:val="center"/>
          </w:tcPr>
          <w:p w14:paraId="2F770231">
            <w:pPr>
              <w:pStyle w:val="17"/>
              <w:bidi w:val="0"/>
              <w:rPr>
                <w:rFonts w:ascii="Times New Roman" w:hAnsi="Times New Roman"/>
                <w:color w:val="auto"/>
              </w:rPr>
            </w:pPr>
            <w:r>
              <w:rPr>
                <w:rFonts w:ascii="Times New Roman" w:hAnsi="Times New Roman"/>
                <w:color w:val="auto"/>
              </w:rPr>
              <w:t>12m</w:t>
            </w:r>
          </w:p>
        </w:tc>
        <w:tc>
          <w:tcPr>
            <w:tcW w:w="861" w:type="pct"/>
            <w:vAlign w:val="center"/>
          </w:tcPr>
          <w:p w14:paraId="039BD923">
            <w:pPr>
              <w:pStyle w:val="17"/>
              <w:bidi w:val="0"/>
              <w:rPr>
                <w:rFonts w:ascii="Times New Roman" w:hAnsi="Times New Roman"/>
                <w:color w:val="auto"/>
              </w:rPr>
            </w:pPr>
            <w:r>
              <w:rPr>
                <w:rFonts w:ascii="Times New Roman" w:hAnsi="Times New Roman"/>
                <w:color w:val="auto"/>
              </w:rPr>
              <w:t>5m</w:t>
            </w:r>
          </w:p>
        </w:tc>
        <w:tc>
          <w:tcPr>
            <w:tcW w:w="922" w:type="pct"/>
            <w:vAlign w:val="center"/>
          </w:tcPr>
          <w:p w14:paraId="0CE5C432">
            <w:pPr>
              <w:pStyle w:val="17"/>
              <w:bidi w:val="0"/>
              <w:rPr>
                <w:rFonts w:ascii="Times New Roman" w:hAnsi="Times New Roman"/>
                <w:color w:val="auto"/>
              </w:rPr>
            </w:pPr>
            <w:r>
              <w:rPr>
                <w:rFonts w:ascii="Times New Roman" w:hAnsi="Times New Roman"/>
                <w:color w:val="auto"/>
              </w:rPr>
              <w:t>14.</w:t>
            </w:r>
            <w:r>
              <w:rPr>
                <w:rFonts w:hint="eastAsia" w:ascii="Times New Roman" w:hAnsi="Times New Roman"/>
                <w:color w:val="auto"/>
              </w:rPr>
              <w:t>82</w:t>
            </w:r>
            <w:r>
              <w:rPr>
                <w:rFonts w:ascii="Times New Roman" w:hAnsi="Times New Roman"/>
                <w:color w:val="auto"/>
              </w:rPr>
              <w:t>m</w:t>
            </w:r>
          </w:p>
        </w:tc>
      </w:tr>
      <w:tr w14:paraId="084E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71DB93B8">
            <w:pPr>
              <w:pStyle w:val="17"/>
              <w:bidi w:val="0"/>
              <w:rPr>
                <w:rFonts w:ascii="Times New Roman" w:hAnsi="Times New Roman"/>
                <w:color w:val="auto"/>
              </w:rPr>
            </w:pPr>
            <w:r>
              <w:rPr>
                <w:rFonts w:ascii="Times New Roman" w:hAnsi="Times New Roman"/>
                <w:color w:val="auto"/>
              </w:rPr>
              <w:t>9</w:t>
            </w:r>
          </w:p>
        </w:tc>
        <w:tc>
          <w:tcPr>
            <w:tcW w:w="1720" w:type="pct"/>
            <w:vAlign w:val="center"/>
          </w:tcPr>
          <w:p w14:paraId="0FBEDF73">
            <w:pPr>
              <w:pStyle w:val="17"/>
              <w:bidi w:val="0"/>
              <w:rPr>
                <w:rFonts w:ascii="Times New Roman" w:hAnsi="Times New Roman"/>
                <w:color w:val="auto"/>
              </w:rPr>
            </w:pPr>
            <w:r>
              <w:rPr>
                <w:rFonts w:ascii="Times New Roman" w:hAnsi="Times New Roman"/>
                <w:color w:val="auto"/>
              </w:rPr>
              <w:t>药卷直径（φ）</w:t>
            </w:r>
          </w:p>
        </w:tc>
        <w:tc>
          <w:tcPr>
            <w:tcW w:w="861" w:type="pct"/>
            <w:vAlign w:val="center"/>
          </w:tcPr>
          <w:p w14:paraId="288EFDF2">
            <w:pPr>
              <w:pStyle w:val="17"/>
              <w:bidi w:val="0"/>
              <w:rPr>
                <w:rFonts w:ascii="Times New Roman" w:hAnsi="Times New Roman"/>
                <w:color w:val="auto"/>
              </w:rPr>
            </w:pPr>
            <w:r>
              <w:rPr>
                <w:rFonts w:ascii="Times New Roman" w:hAnsi="Times New Roman"/>
                <w:color w:val="auto"/>
              </w:rPr>
              <w:t>/</w:t>
            </w:r>
          </w:p>
        </w:tc>
        <w:tc>
          <w:tcPr>
            <w:tcW w:w="861" w:type="pct"/>
            <w:vAlign w:val="center"/>
          </w:tcPr>
          <w:p w14:paraId="10B0E51D">
            <w:pPr>
              <w:pStyle w:val="17"/>
              <w:bidi w:val="0"/>
              <w:rPr>
                <w:rFonts w:ascii="Times New Roman" w:hAnsi="Times New Roman"/>
                <w:color w:val="auto"/>
              </w:rPr>
            </w:pPr>
            <w:r>
              <w:rPr>
                <w:rFonts w:ascii="Times New Roman" w:hAnsi="Times New Roman"/>
                <w:color w:val="auto"/>
              </w:rPr>
              <w:t>/</w:t>
            </w:r>
          </w:p>
        </w:tc>
        <w:tc>
          <w:tcPr>
            <w:tcW w:w="922" w:type="pct"/>
            <w:vAlign w:val="center"/>
          </w:tcPr>
          <w:p w14:paraId="6D5245DA">
            <w:pPr>
              <w:pStyle w:val="17"/>
              <w:bidi w:val="0"/>
              <w:rPr>
                <w:rFonts w:ascii="Times New Roman" w:hAnsi="Times New Roman"/>
                <w:color w:val="auto"/>
              </w:rPr>
            </w:pPr>
            <w:r>
              <w:rPr>
                <w:rFonts w:ascii="Times New Roman" w:hAnsi="Times New Roman"/>
                <w:color w:val="auto"/>
              </w:rPr>
              <w:t>32mm</w:t>
            </w:r>
          </w:p>
        </w:tc>
      </w:tr>
      <w:tr w14:paraId="483C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4B237A54">
            <w:pPr>
              <w:pStyle w:val="17"/>
              <w:bidi w:val="0"/>
              <w:rPr>
                <w:rFonts w:ascii="Times New Roman" w:hAnsi="Times New Roman"/>
                <w:color w:val="auto"/>
              </w:rPr>
            </w:pPr>
            <w:r>
              <w:rPr>
                <w:rFonts w:ascii="Times New Roman" w:hAnsi="Times New Roman"/>
                <w:color w:val="auto"/>
              </w:rPr>
              <w:t>10</w:t>
            </w:r>
          </w:p>
        </w:tc>
        <w:tc>
          <w:tcPr>
            <w:tcW w:w="1720" w:type="pct"/>
            <w:vAlign w:val="center"/>
          </w:tcPr>
          <w:p w14:paraId="2B18BC96">
            <w:pPr>
              <w:pStyle w:val="17"/>
              <w:bidi w:val="0"/>
              <w:rPr>
                <w:rFonts w:ascii="Times New Roman" w:hAnsi="Times New Roman"/>
                <w:color w:val="auto"/>
              </w:rPr>
            </w:pPr>
            <w:r>
              <w:rPr>
                <w:rFonts w:ascii="Times New Roman" w:hAnsi="Times New Roman"/>
                <w:color w:val="auto"/>
              </w:rPr>
              <w:t>不耦合系数</w:t>
            </w:r>
          </w:p>
        </w:tc>
        <w:tc>
          <w:tcPr>
            <w:tcW w:w="861" w:type="pct"/>
            <w:vAlign w:val="center"/>
          </w:tcPr>
          <w:p w14:paraId="6F0798B0">
            <w:pPr>
              <w:pStyle w:val="17"/>
              <w:bidi w:val="0"/>
              <w:rPr>
                <w:rFonts w:ascii="Times New Roman" w:hAnsi="Times New Roman"/>
                <w:color w:val="auto"/>
              </w:rPr>
            </w:pPr>
            <w:r>
              <w:rPr>
                <w:rFonts w:ascii="Times New Roman" w:hAnsi="Times New Roman"/>
                <w:color w:val="auto"/>
              </w:rPr>
              <w:t>/</w:t>
            </w:r>
          </w:p>
        </w:tc>
        <w:tc>
          <w:tcPr>
            <w:tcW w:w="861" w:type="pct"/>
            <w:vAlign w:val="center"/>
          </w:tcPr>
          <w:p w14:paraId="11797BBF">
            <w:pPr>
              <w:pStyle w:val="17"/>
              <w:bidi w:val="0"/>
              <w:rPr>
                <w:rFonts w:ascii="Times New Roman" w:hAnsi="Times New Roman"/>
                <w:color w:val="auto"/>
              </w:rPr>
            </w:pPr>
            <w:r>
              <w:rPr>
                <w:rFonts w:ascii="Times New Roman" w:hAnsi="Times New Roman"/>
                <w:color w:val="auto"/>
              </w:rPr>
              <w:t>/</w:t>
            </w:r>
          </w:p>
        </w:tc>
        <w:tc>
          <w:tcPr>
            <w:tcW w:w="922" w:type="pct"/>
            <w:vAlign w:val="center"/>
          </w:tcPr>
          <w:p w14:paraId="7C8CFFC3">
            <w:pPr>
              <w:pStyle w:val="17"/>
              <w:bidi w:val="0"/>
              <w:rPr>
                <w:rFonts w:ascii="Times New Roman" w:hAnsi="Times New Roman"/>
                <w:color w:val="auto"/>
              </w:rPr>
            </w:pPr>
            <w:r>
              <w:rPr>
                <w:rFonts w:ascii="Times New Roman" w:hAnsi="Times New Roman"/>
                <w:color w:val="auto"/>
              </w:rPr>
              <w:t>2.81</w:t>
            </w:r>
          </w:p>
        </w:tc>
      </w:tr>
      <w:tr w14:paraId="31F0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601A979A">
            <w:pPr>
              <w:pStyle w:val="17"/>
              <w:bidi w:val="0"/>
              <w:rPr>
                <w:rFonts w:ascii="Times New Roman" w:hAnsi="Times New Roman"/>
                <w:color w:val="auto"/>
              </w:rPr>
            </w:pPr>
            <w:r>
              <w:rPr>
                <w:rFonts w:ascii="Times New Roman" w:hAnsi="Times New Roman"/>
                <w:color w:val="auto"/>
              </w:rPr>
              <w:t>11</w:t>
            </w:r>
          </w:p>
        </w:tc>
        <w:tc>
          <w:tcPr>
            <w:tcW w:w="1720" w:type="pct"/>
            <w:vAlign w:val="center"/>
          </w:tcPr>
          <w:p w14:paraId="7736E6FA">
            <w:pPr>
              <w:pStyle w:val="17"/>
              <w:bidi w:val="0"/>
              <w:rPr>
                <w:rFonts w:ascii="Times New Roman" w:hAnsi="Times New Roman"/>
                <w:color w:val="auto"/>
              </w:rPr>
            </w:pPr>
            <w:r>
              <w:rPr>
                <w:rFonts w:ascii="Times New Roman" w:hAnsi="Times New Roman"/>
                <w:color w:val="auto"/>
              </w:rPr>
              <w:t>线装药密度</w:t>
            </w:r>
          </w:p>
        </w:tc>
        <w:tc>
          <w:tcPr>
            <w:tcW w:w="861" w:type="pct"/>
            <w:vAlign w:val="center"/>
          </w:tcPr>
          <w:p w14:paraId="10480494">
            <w:pPr>
              <w:pStyle w:val="17"/>
              <w:bidi w:val="0"/>
              <w:rPr>
                <w:rFonts w:ascii="Times New Roman" w:hAnsi="Times New Roman"/>
                <w:color w:val="auto"/>
              </w:rPr>
            </w:pPr>
            <w:r>
              <w:rPr>
                <w:rFonts w:ascii="Times New Roman" w:hAnsi="Times New Roman"/>
                <w:color w:val="auto"/>
              </w:rPr>
              <w:t>/</w:t>
            </w:r>
          </w:p>
        </w:tc>
        <w:tc>
          <w:tcPr>
            <w:tcW w:w="861" w:type="pct"/>
            <w:vAlign w:val="center"/>
          </w:tcPr>
          <w:p w14:paraId="35E449B4">
            <w:pPr>
              <w:pStyle w:val="17"/>
              <w:bidi w:val="0"/>
              <w:rPr>
                <w:rFonts w:ascii="Times New Roman" w:hAnsi="Times New Roman"/>
                <w:color w:val="auto"/>
              </w:rPr>
            </w:pPr>
            <w:r>
              <w:rPr>
                <w:rFonts w:ascii="Times New Roman" w:hAnsi="Times New Roman"/>
                <w:color w:val="auto"/>
              </w:rPr>
              <w:t>/</w:t>
            </w:r>
          </w:p>
        </w:tc>
        <w:tc>
          <w:tcPr>
            <w:tcW w:w="922" w:type="pct"/>
            <w:vAlign w:val="center"/>
          </w:tcPr>
          <w:p w14:paraId="11EC511D">
            <w:pPr>
              <w:pStyle w:val="17"/>
              <w:bidi w:val="0"/>
              <w:rPr>
                <w:rFonts w:ascii="Times New Roman" w:hAnsi="Times New Roman"/>
                <w:color w:val="auto"/>
              </w:rPr>
            </w:pPr>
            <w:r>
              <w:rPr>
                <w:rFonts w:ascii="Times New Roman" w:hAnsi="Times New Roman"/>
                <w:color w:val="auto"/>
              </w:rPr>
              <w:t>0.54kg/m</w:t>
            </w:r>
          </w:p>
        </w:tc>
      </w:tr>
      <w:tr w14:paraId="7A88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Align w:val="center"/>
          </w:tcPr>
          <w:p w14:paraId="746D1695">
            <w:pPr>
              <w:pStyle w:val="17"/>
              <w:bidi w:val="0"/>
              <w:rPr>
                <w:rFonts w:ascii="Times New Roman" w:hAnsi="Times New Roman"/>
                <w:color w:val="auto"/>
              </w:rPr>
            </w:pPr>
            <w:r>
              <w:rPr>
                <w:rFonts w:ascii="Times New Roman" w:hAnsi="Times New Roman"/>
                <w:color w:val="auto"/>
              </w:rPr>
              <w:t>12</w:t>
            </w:r>
          </w:p>
        </w:tc>
        <w:tc>
          <w:tcPr>
            <w:tcW w:w="1720" w:type="pct"/>
            <w:vAlign w:val="center"/>
          </w:tcPr>
          <w:p w14:paraId="1808497E">
            <w:pPr>
              <w:pStyle w:val="17"/>
              <w:bidi w:val="0"/>
              <w:rPr>
                <w:rFonts w:ascii="Times New Roman" w:hAnsi="Times New Roman"/>
                <w:color w:val="auto"/>
              </w:rPr>
            </w:pPr>
            <w:r>
              <w:rPr>
                <w:rFonts w:ascii="Times New Roman" w:hAnsi="Times New Roman"/>
                <w:color w:val="auto"/>
              </w:rPr>
              <w:t>单孔装药量</w:t>
            </w:r>
          </w:p>
        </w:tc>
        <w:tc>
          <w:tcPr>
            <w:tcW w:w="861" w:type="pct"/>
            <w:vAlign w:val="center"/>
          </w:tcPr>
          <w:p w14:paraId="10F827E4">
            <w:pPr>
              <w:pStyle w:val="17"/>
              <w:bidi w:val="0"/>
              <w:rPr>
                <w:rFonts w:ascii="Times New Roman" w:hAnsi="Times New Roman"/>
                <w:color w:val="auto"/>
              </w:rPr>
            </w:pPr>
            <w:r>
              <w:rPr>
                <w:rFonts w:hint="eastAsia"/>
                <w:color w:val="auto"/>
                <w:lang w:val="en-US" w:eastAsia="zh-CN"/>
              </w:rPr>
              <w:t>112.87</w:t>
            </w:r>
            <w:r>
              <w:rPr>
                <w:rFonts w:ascii="Times New Roman" w:hAnsi="Times New Roman"/>
                <w:color w:val="auto"/>
              </w:rPr>
              <w:t>kg</w:t>
            </w:r>
          </w:p>
        </w:tc>
        <w:tc>
          <w:tcPr>
            <w:tcW w:w="861" w:type="pct"/>
            <w:vAlign w:val="center"/>
          </w:tcPr>
          <w:p w14:paraId="1B1F0363">
            <w:pPr>
              <w:pStyle w:val="17"/>
              <w:bidi w:val="0"/>
              <w:rPr>
                <w:rFonts w:ascii="Times New Roman" w:hAnsi="Times New Roman"/>
                <w:color w:val="auto"/>
              </w:rPr>
            </w:pPr>
            <w:r>
              <w:rPr>
                <w:rFonts w:ascii="Times New Roman" w:hAnsi="Times New Roman"/>
                <w:color w:val="auto"/>
              </w:rPr>
              <w:t>53.75kg</w:t>
            </w:r>
          </w:p>
        </w:tc>
        <w:tc>
          <w:tcPr>
            <w:tcW w:w="922" w:type="pct"/>
            <w:vAlign w:val="center"/>
          </w:tcPr>
          <w:p w14:paraId="0FD1B13A">
            <w:pPr>
              <w:pStyle w:val="17"/>
              <w:bidi w:val="0"/>
              <w:rPr>
                <w:rFonts w:ascii="Times New Roman" w:hAnsi="Times New Roman"/>
                <w:color w:val="auto"/>
              </w:rPr>
            </w:pPr>
            <w:r>
              <w:rPr>
                <w:rFonts w:ascii="Times New Roman" w:hAnsi="Times New Roman"/>
                <w:color w:val="auto"/>
              </w:rPr>
              <w:t>8kg</w:t>
            </w:r>
          </w:p>
        </w:tc>
      </w:tr>
      <w:bookmarkEnd w:id="86"/>
    </w:tbl>
    <w:p w14:paraId="1B982246">
      <w:pPr>
        <w:bidi w:val="0"/>
        <w:ind w:left="0" w:leftChars="0" w:firstLine="0" w:firstLineChars="0"/>
        <w:jc w:val="center"/>
        <w:rPr>
          <w:rFonts w:hint="eastAsia" w:ascii="Times New Roman" w:hAnsi="Times New Roman"/>
          <w:color w:val="auto"/>
        </w:rPr>
      </w:pPr>
    </w:p>
    <w:p w14:paraId="41F2CA94">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4F453200">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图2.4-</w:t>
      </w:r>
      <w:r>
        <w:rPr>
          <w:rFonts w:hint="eastAsia"/>
          <w:color w:val="auto"/>
          <w:lang w:val="en-US" w:eastAsia="zh-CN"/>
        </w:rPr>
        <w:t>9</w:t>
      </w:r>
      <w:r>
        <w:rPr>
          <w:rFonts w:hint="eastAsia" w:ascii="Times New Roman" w:hAnsi="Times New Roman"/>
          <w:color w:val="auto"/>
          <w:lang w:val="en-US" w:eastAsia="zh-CN"/>
        </w:rPr>
        <w:t xml:space="preserve">  预裂爆破炮孔布置剖面图</w:t>
      </w:r>
    </w:p>
    <w:p w14:paraId="7518940F">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49C59DAA">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图2.4-</w:t>
      </w:r>
      <w:r>
        <w:rPr>
          <w:rFonts w:hint="eastAsia"/>
          <w:color w:val="auto"/>
          <w:lang w:val="en-US" w:eastAsia="zh-CN"/>
        </w:rPr>
        <w:t>10</w:t>
      </w:r>
      <w:r>
        <w:rPr>
          <w:rFonts w:hint="eastAsia" w:ascii="Times New Roman" w:hAnsi="Times New Roman"/>
          <w:color w:val="auto"/>
          <w:lang w:val="en-US" w:eastAsia="zh-CN"/>
        </w:rPr>
        <w:t xml:space="preserve">  预裂爆破炮孔布置平面图</w:t>
      </w:r>
    </w:p>
    <w:p w14:paraId="53105624">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4784E0A5">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图2.4-</w:t>
      </w:r>
      <w:r>
        <w:rPr>
          <w:rFonts w:hint="eastAsia"/>
          <w:color w:val="auto"/>
          <w:lang w:val="en-US" w:eastAsia="zh-CN"/>
        </w:rPr>
        <w:t>11</w:t>
      </w:r>
      <w:r>
        <w:rPr>
          <w:rFonts w:hint="eastAsia" w:ascii="Times New Roman" w:hAnsi="Times New Roman"/>
          <w:color w:val="auto"/>
          <w:lang w:val="en-US" w:eastAsia="zh-CN"/>
        </w:rPr>
        <w:t xml:space="preserve">  预裂孔装药结构示意图</w:t>
      </w:r>
    </w:p>
    <w:p w14:paraId="13B18C9C">
      <w:pPr>
        <w:bidi w:val="0"/>
        <w:rPr>
          <w:rFonts w:hint="eastAsia" w:ascii="Times New Roman" w:hAnsi="Times New Roman"/>
          <w:color w:val="auto"/>
          <w:lang w:val="en-US" w:eastAsia="zh-CN"/>
        </w:rPr>
      </w:pPr>
      <w:r>
        <w:rPr>
          <w:rFonts w:hint="eastAsia" w:ascii="Times New Roman" w:hAnsi="Times New Roman"/>
          <w:color w:val="auto"/>
          <w:lang w:val="en-US" w:eastAsia="zh-CN"/>
        </w:rPr>
        <w:t>3、爆破安全距离的确定</w:t>
      </w:r>
    </w:p>
    <w:p w14:paraId="170068C1">
      <w:pPr>
        <w:bidi w:val="0"/>
        <w:rPr>
          <w:rFonts w:hint="eastAsia" w:ascii="Times New Roman" w:hAnsi="Times New Roman"/>
          <w:color w:val="auto"/>
          <w:lang w:val="en-US" w:eastAsia="zh-CN"/>
        </w:rPr>
      </w:pPr>
      <w:r>
        <w:rPr>
          <w:rFonts w:hint="eastAsia" w:ascii="Times New Roman" w:hAnsi="Times New Roman"/>
          <w:color w:val="auto"/>
          <w:lang w:val="en-US" w:eastAsia="zh-CN"/>
        </w:rPr>
        <w:t>（1）爆破振动安全距离</w:t>
      </w:r>
    </w:p>
    <w:p w14:paraId="145A0663">
      <w:pPr>
        <w:bidi w:val="0"/>
        <w:rPr>
          <w:rFonts w:hint="eastAsia" w:ascii="Times New Roman" w:hAnsi="Times New Roman"/>
          <w:color w:val="auto"/>
          <w:lang w:val="en-US" w:eastAsia="zh-CN"/>
        </w:rPr>
      </w:pPr>
      <w:r>
        <w:rPr>
          <w:rFonts w:hint="eastAsia" w:ascii="Times New Roman" w:hAnsi="Times New Roman"/>
          <w:color w:val="auto"/>
          <w:lang w:val="en-US" w:eastAsia="zh-CN"/>
        </w:rPr>
        <w:t>爆破振动安全距离为</w:t>
      </w:r>
      <w:r>
        <w:rPr>
          <w:rFonts w:hint="eastAsia"/>
          <w:color w:val="auto"/>
          <w:lang w:val="en-US" w:eastAsia="zh-CN"/>
        </w:rPr>
        <w:t>68.05</w:t>
      </w:r>
      <w:r>
        <w:rPr>
          <w:rFonts w:hint="eastAsia" w:ascii="Times New Roman" w:hAnsi="Times New Roman"/>
          <w:color w:val="auto"/>
          <w:lang w:val="en-US" w:eastAsia="zh-CN"/>
        </w:rPr>
        <w:t>m。</w:t>
      </w:r>
    </w:p>
    <w:p w14:paraId="5DEBCBF6">
      <w:pPr>
        <w:bidi w:val="0"/>
        <w:rPr>
          <w:rFonts w:hint="eastAsia" w:ascii="Times New Roman" w:hAnsi="Times New Roman"/>
          <w:color w:val="auto"/>
          <w:lang w:val="en-US" w:eastAsia="zh-CN"/>
        </w:rPr>
      </w:pPr>
      <w:r>
        <w:rPr>
          <w:rFonts w:hint="eastAsia" w:ascii="Times New Roman" w:hAnsi="Times New Roman"/>
          <w:color w:val="auto"/>
          <w:lang w:val="en-US" w:eastAsia="zh-CN"/>
        </w:rPr>
        <w:t>（2）爆破冲击波安全距离</w:t>
      </w:r>
    </w:p>
    <w:p w14:paraId="7870CC60">
      <w:pPr>
        <w:bidi w:val="0"/>
        <w:rPr>
          <w:rFonts w:hint="eastAsia" w:ascii="Times New Roman" w:hAnsi="Times New Roman"/>
          <w:color w:val="auto"/>
          <w:lang w:val="en-US" w:eastAsia="zh-CN"/>
        </w:rPr>
      </w:pPr>
      <w:r>
        <w:rPr>
          <w:rFonts w:hint="eastAsia" w:ascii="Times New Roman" w:hAnsi="Times New Roman"/>
          <w:color w:val="auto"/>
          <w:lang w:val="en-US" w:eastAsia="zh-CN"/>
        </w:rPr>
        <w:t>爆破空气冲击波安全距离为</w:t>
      </w:r>
      <w:r>
        <w:rPr>
          <w:rFonts w:hint="eastAsia"/>
          <w:color w:val="auto"/>
          <w:lang w:val="en-US" w:eastAsia="zh-CN"/>
        </w:rPr>
        <w:t>50.60</w:t>
      </w:r>
      <w:r>
        <w:rPr>
          <w:rFonts w:hint="eastAsia" w:ascii="Times New Roman" w:hAnsi="Times New Roman"/>
          <w:color w:val="auto"/>
          <w:lang w:val="en-US" w:eastAsia="zh-CN"/>
        </w:rPr>
        <w:t>m。</w:t>
      </w:r>
    </w:p>
    <w:p w14:paraId="3E10E107">
      <w:pPr>
        <w:bidi w:val="0"/>
        <w:rPr>
          <w:rFonts w:hint="eastAsia" w:ascii="Times New Roman" w:hAnsi="Times New Roman"/>
          <w:color w:val="auto"/>
          <w:lang w:val="en-US" w:eastAsia="zh-CN"/>
        </w:rPr>
      </w:pPr>
      <w:r>
        <w:rPr>
          <w:rFonts w:hint="eastAsia" w:ascii="Times New Roman" w:hAnsi="Times New Roman"/>
          <w:color w:val="auto"/>
          <w:lang w:val="en-US" w:eastAsia="zh-CN"/>
        </w:rPr>
        <w:t>（3）爆破飞石安全距离</w:t>
      </w:r>
    </w:p>
    <w:p w14:paraId="1CFF3287">
      <w:pPr>
        <w:bidi w:val="0"/>
        <w:rPr>
          <w:rFonts w:hint="eastAsia" w:ascii="Times New Roman" w:hAnsi="Times New Roman"/>
          <w:color w:val="auto"/>
          <w:lang w:val="en-US" w:eastAsia="zh-CN"/>
        </w:rPr>
      </w:pPr>
      <w:r>
        <w:rPr>
          <w:rFonts w:hint="eastAsia" w:ascii="Times New Roman" w:hAnsi="Times New Roman"/>
          <w:color w:val="auto"/>
          <w:lang w:val="en-US" w:eastAsia="zh-CN"/>
        </w:rPr>
        <w:t>常规爆破飞石安全距离为</w:t>
      </w:r>
      <w:r>
        <w:rPr>
          <w:rFonts w:hint="eastAsia"/>
          <w:color w:val="auto"/>
          <w:lang w:val="en-US" w:eastAsia="zh-CN"/>
        </w:rPr>
        <w:t>44.36</w:t>
      </w:r>
      <w:r>
        <w:rPr>
          <w:rFonts w:hint="eastAsia" w:ascii="Times New Roman" w:hAnsi="Times New Roman"/>
          <w:color w:val="auto"/>
          <w:lang w:val="en-US" w:eastAsia="zh-CN"/>
        </w:rPr>
        <w:t>m。</w:t>
      </w:r>
    </w:p>
    <w:p w14:paraId="2C395ABC">
      <w:pPr>
        <w:bidi w:val="0"/>
        <w:rPr>
          <w:rFonts w:hint="eastAsia" w:ascii="Times New Roman" w:hAnsi="Times New Roman"/>
          <w:color w:val="auto"/>
          <w:lang w:val="en-US" w:eastAsia="zh-CN"/>
        </w:rPr>
      </w:pPr>
      <w:r>
        <w:rPr>
          <w:rFonts w:hint="eastAsia" w:ascii="Times New Roman" w:hAnsi="Times New Roman"/>
          <w:color w:val="auto"/>
          <w:lang w:val="en-US" w:eastAsia="zh-CN"/>
        </w:rPr>
        <w:t>（4）爆破安全警戒范围确定</w:t>
      </w:r>
    </w:p>
    <w:p w14:paraId="55BE690F">
      <w:pPr>
        <w:bidi w:val="0"/>
        <w:rPr>
          <w:rFonts w:hint="eastAsia" w:ascii="Times New Roman" w:hAnsi="Times New Roman"/>
          <w:color w:val="auto"/>
          <w:lang w:val="en-US" w:eastAsia="zh-CN"/>
        </w:rPr>
      </w:pPr>
      <w:r>
        <w:rPr>
          <w:rFonts w:hint="eastAsia" w:ascii="Times New Roman" w:hAnsi="Times New Roman"/>
          <w:color w:val="auto"/>
          <w:lang w:val="en-US" w:eastAsia="zh-CN"/>
        </w:rPr>
        <w:t>最终爆破安全警戒范围为300m。</w:t>
      </w:r>
    </w:p>
    <w:p w14:paraId="5BC6AF43">
      <w:pPr>
        <w:bidi w:val="0"/>
        <w:rPr>
          <w:rFonts w:hint="eastAsia" w:ascii="Times New Roman" w:hAnsi="Times New Roman"/>
          <w:color w:val="auto"/>
          <w:lang w:val="en-US" w:eastAsia="zh-CN"/>
        </w:rPr>
      </w:pPr>
      <w:r>
        <w:rPr>
          <w:rFonts w:hint="eastAsia" w:ascii="Times New Roman" w:hAnsi="Times New Roman"/>
          <w:color w:val="auto"/>
          <w:lang w:val="en-US" w:eastAsia="zh-CN"/>
        </w:rPr>
        <w:t>由于实际爆破点的位置是不断变化的，所以每次实际警戒范围应按爆破点的实际位置，依设计要求的距离派出警戒人员，爆破开始前所有人员必须及时撤离到安全警戒线以外的安全地区。</w:t>
      </w:r>
    </w:p>
    <w:p w14:paraId="67D53C88">
      <w:pPr>
        <w:pStyle w:val="5"/>
        <w:bidi w:val="0"/>
        <w:rPr>
          <w:rFonts w:hint="eastAsia" w:ascii="Times New Roman" w:hAnsi="Times New Roman"/>
          <w:color w:val="auto"/>
          <w:lang w:val="en-US" w:eastAsia="zh-CN"/>
        </w:rPr>
      </w:pPr>
      <w:r>
        <w:rPr>
          <w:rFonts w:hint="eastAsia" w:ascii="Times New Roman" w:hAnsi="Times New Roman"/>
          <w:color w:val="auto"/>
          <w:lang w:val="en-US" w:eastAsia="zh-CN"/>
        </w:rPr>
        <w:t>2.4.6.4 铲装作业</w:t>
      </w:r>
    </w:p>
    <w:p w14:paraId="6FC98EFD">
      <w:pPr>
        <w:bidi w:val="0"/>
        <w:rPr>
          <w:rFonts w:hint="eastAsia" w:ascii="Times New Roman" w:hAnsi="Times New Roman"/>
          <w:color w:val="auto"/>
          <w:lang w:val="en-US" w:eastAsia="zh-CN"/>
        </w:rPr>
      </w:pPr>
      <w:r>
        <w:rPr>
          <w:rFonts w:hint="eastAsia" w:ascii="Times New Roman" w:hAnsi="Times New Roman"/>
          <w:color w:val="auto"/>
          <w:lang w:val="en-US" w:eastAsia="zh-CN"/>
        </w:rPr>
        <w:t>设计选用矿山现有1台斗容2.1m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的神钢260液压挖掘机作为采场主要铲装设备，可以满足矿山生产需求。</w:t>
      </w:r>
    </w:p>
    <w:p w14:paraId="07962364">
      <w:pPr>
        <w:pStyle w:val="5"/>
        <w:bidi w:val="0"/>
        <w:rPr>
          <w:rFonts w:hint="eastAsia" w:ascii="Times New Roman" w:hAnsi="Times New Roman"/>
          <w:color w:val="auto"/>
          <w:lang w:val="en-US" w:eastAsia="zh-CN"/>
        </w:rPr>
      </w:pPr>
      <w:r>
        <w:rPr>
          <w:rFonts w:hint="eastAsia" w:ascii="Times New Roman" w:hAnsi="Times New Roman"/>
          <w:color w:val="auto"/>
          <w:lang w:val="en-US" w:eastAsia="zh-CN"/>
        </w:rPr>
        <w:t>2.4.6.5 运输设备</w:t>
      </w:r>
    </w:p>
    <w:p w14:paraId="434B9DA5">
      <w:pPr>
        <w:bidi w:val="0"/>
        <w:rPr>
          <w:rFonts w:hint="eastAsia" w:ascii="Times New Roman" w:hAnsi="Times New Roman"/>
          <w:color w:val="auto"/>
          <w:lang w:val="en-US" w:eastAsia="zh-CN"/>
        </w:rPr>
      </w:pPr>
      <w:r>
        <w:rPr>
          <w:rFonts w:hint="eastAsia" w:ascii="Times New Roman" w:hAnsi="Times New Roman"/>
          <w:color w:val="auto"/>
          <w:lang w:val="en-US" w:eastAsia="zh-CN"/>
        </w:rPr>
        <w:t>矿山公路运输设备采用25t自卸汽车运输矿岩，矿山现有4辆25t自卸式汽车可以满足矿山生产需求。</w:t>
      </w:r>
    </w:p>
    <w:p w14:paraId="7D880220">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表2.4-8  卡车计算结果表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0"/>
        <w:gridCol w:w="1593"/>
        <w:gridCol w:w="2140"/>
        <w:gridCol w:w="2138"/>
      </w:tblGrid>
      <w:tr w14:paraId="080F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7" w:type="pct"/>
            <w:vAlign w:val="center"/>
          </w:tcPr>
          <w:p w14:paraId="5980187D">
            <w:pPr>
              <w:pStyle w:val="17"/>
              <w:bidi w:val="0"/>
              <w:rPr>
                <w:rFonts w:ascii="Times New Roman" w:hAnsi="Times New Roman"/>
                <w:b/>
                <w:bCs/>
                <w:color w:val="auto"/>
              </w:rPr>
            </w:pPr>
            <w:r>
              <w:rPr>
                <w:rFonts w:ascii="Times New Roman" w:hAnsi="Times New Roman"/>
                <w:b/>
                <w:bCs/>
                <w:color w:val="auto"/>
              </w:rPr>
              <w:t>型号规格</w:t>
            </w:r>
          </w:p>
        </w:tc>
        <w:tc>
          <w:tcPr>
            <w:tcW w:w="847" w:type="pct"/>
            <w:vAlign w:val="center"/>
          </w:tcPr>
          <w:p w14:paraId="22386993">
            <w:pPr>
              <w:pStyle w:val="17"/>
              <w:bidi w:val="0"/>
              <w:rPr>
                <w:rFonts w:ascii="Times New Roman" w:hAnsi="Times New Roman"/>
                <w:b/>
                <w:bCs/>
                <w:color w:val="auto"/>
              </w:rPr>
            </w:pPr>
            <w:r>
              <w:rPr>
                <w:rFonts w:ascii="Times New Roman" w:hAnsi="Times New Roman"/>
                <w:b/>
                <w:bCs/>
                <w:color w:val="auto"/>
              </w:rPr>
              <w:t>单位</w:t>
            </w:r>
          </w:p>
        </w:tc>
        <w:tc>
          <w:tcPr>
            <w:tcW w:w="1138" w:type="pct"/>
            <w:vAlign w:val="center"/>
          </w:tcPr>
          <w:p w14:paraId="6936F109">
            <w:pPr>
              <w:pStyle w:val="17"/>
              <w:bidi w:val="0"/>
              <w:rPr>
                <w:rFonts w:ascii="Times New Roman" w:hAnsi="Times New Roman"/>
                <w:b/>
                <w:bCs/>
                <w:color w:val="auto"/>
              </w:rPr>
            </w:pPr>
            <w:r>
              <w:rPr>
                <w:rFonts w:ascii="Times New Roman" w:hAnsi="Times New Roman"/>
                <w:b/>
                <w:bCs/>
                <w:color w:val="auto"/>
              </w:rPr>
              <w:t>数量</w:t>
            </w:r>
          </w:p>
        </w:tc>
        <w:tc>
          <w:tcPr>
            <w:tcW w:w="1137" w:type="pct"/>
            <w:vAlign w:val="center"/>
          </w:tcPr>
          <w:p w14:paraId="7BC9CECB">
            <w:pPr>
              <w:pStyle w:val="17"/>
              <w:bidi w:val="0"/>
              <w:rPr>
                <w:rFonts w:ascii="Times New Roman" w:hAnsi="Times New Roman"/>
                <w:b/>
                <w:bCs/>
                <w:color w:val="auto"/>
              </w:rPr>
            </w:pPr>
            <w:r>
              <w:rPr>
                <w:rFonts w:ascii="Times New Roman" w:hAnsi="Times New Roman"/>
                <w:b/>
                <w:bCs/>
                <w:color w:val="auto"/>
              </w:rPr>
              <w:t>用途</w:t>
            </w:r>
          </w:p>
        </w:tc>
      </w:tr>
      <w:tr w14:paraId="164E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7" w:type="pct"/>
            <w:vAlign w:val="center"/>
          </w:tcPr>
          <w:p w14:paraId="48DE2194">
            <w:pPr>
              <w:pStyle w:val="17"/>
              <w:bidi w:val="0"/>
              <w:rPr>
                <w:rFonts w:ascii="Times New Roman" w:hAnsi="Times New Roman"/>
                <w:color w:val="auto"/>
              </w:rPr>
            </w:pPr>
            <w:r>
              <w:rPr>
                <w:rFonts w:ascii="Times New Roman" w:hAnsi="Times New Roman"/>
                <w:color w:val="auto"/>
              </w:rPr>
              <w:t>25t自卸汽车</w:t>
            </w:r>
          </w:p>
        </w:tc>
        <w:tc>
          <w:tcPr>
            <w:tcW w:w="847" w:type="pct"/>
            <w:vAlign w:val="center"/>
          </w:tcPr>
          <w:p w14:paraId="0CBB03A2">
            <w:pPr>
              <w:pStyle w:val="17"/>
              <w:bidi w:val="0"/>
              <w:rPr>
                <w:rFonts w:ascii="Times New Roman" w:hAnsi="Times New Roman"/>
                <w:color w:val="auto"/>
              </w:rPr>
            </w:pPr>
            <w:r>
              <w:rPr>
                <w:rFonts w:ascii="Times New Roman" w:hAnsi="Times New Roman"/>
                <w:color w:val="auto"/>
              </w:rPr>
              <w:t>辆</w:t>
            </w:r>
          </w:p>
        </w:tc>
        <w:tc>
          <w:tcPr>
            <w:tcW w:w="1138" w:type="pct"/>
            <w:vAlign w:val="center"/>
          </w:tcPr>
          <w:p w14:paraId="7D8721A9">
            <w:pPr>
              <w:pStyle w:val="17"/>
              <w:bidi w:val="0"/>
              <w:rPr>
                <w:rFonts w:ascii="Times New Roman" w:hAnsi="Times New Roman"/>
                <w:color w:val="auto"/>
              </w:rPr>
            </w:pPr>
            <w:r>
              <w:rPr>
                <w:rFonts w:hint="eastAsia" w:ascii="Times New Roman" w:hAnsi="Times New Roman"/>
                <w:color w:val="auto"/>
              </w:rPr>
              <w:t>4</w:t>
            </w:r>
          </w:p>
        </w:tc>
        <w:tc>
          <w:tcPr>
            <w:tcW w:w="1137" w:type="pct"/>
            <w:vAlign w:val="center"/>
          </w:tcPr>
          <w:p w14:paraId="442338FF">
            <w:pPr>
              <w:pStyle w:val="17"/>
              <w:bidi w:val="0"/>
              <w:rPr>
                <w:rFonts w:ascii="Times New Roman" w:hAnsi="Times New Roman"/>
                <w:color w:val="auto"/>
              </w:rPr>
            </w:pPr>
            <w:r>
              <w:rPr>
                <w:rFonts w:ascii="Times New Roman" w:hAnsi="Times New Roman"/>
                <w:color w:val="auto"/>
              </w:rPr>
              <w:t>运矿石</w:t>
            </w:r>
          </w:p>
        </w:tc>
      </w:tr>
    </w:tbl>
    <w:p w14:paraId="1C5CD78C">
      <w:pPr>
        <w:pStyle w:val="5"/>
        <w:bidi w:val="0"/>
        <w:rPr>
          <w:rFonts w:hint="eastAsia" w:ascii="Times New Roman" w:hAnsi="Times New Roman"/>
          <w:color w:val="auto"/>
          <w:lang w:val="en-US" w:eastAsia="zh-CN"/>
        </w:rPr>
      </w:pPr>
      <w:r>
        <w:rPr>
          <w:rFonts w:hint="eastAsia" w:ascii="Times New Roman" w:hAnsi="Times New Roman"/>
          <w:color w:val="auto"/>
          <w:lang w:val="en-US" w:eastAsia="zh-CN"/>
        </w:rPr>
        <w:t>2.4.6.6 辅助作业及主要设备</w:t>
      </w:r>
    </w:p>
    <w:p w14:paraId="6E2A7A18">
      <w:pPr>
        <w:bidi w:val="0"/>
        <w:rPr>
          <w:rFonts w:hint="eastAsia" w:ascii="Times New Roman" w:hAnsi="Times New Roman"/>
          <w:color w:val="auto"/>
          <w:lang w:eastAsia="zh-CN"/>
        </w:rPr>
      </w:pPr>
      <w:r>
        <w:rPr>
          <w:rFonts w:hint="eastAsia" w:ascii="Times New Roman" w:hAnsi="Times New Roman"/>
          <w:color w:val="auto"/>
          <w:lang w:eastAsia="zh-CN"/>
        </w:rPr>
        <w:t>露天采场辅助作业内容主要包括：采场工作面整平、爆破松散残留矿岩集堆工挖掘机铲装、爆堆及路面洒水除尘、临时道路修整和维护、中深孔装药爆破等。具体采矿主要设备见下表。</w:t>
      </w:r>
    </w:p>
    <w:p w14:paraId="7173EB33">
      <w:pPr>
        <w:pStyle w:val="16"/>
        <w:bidi w:val="0"/>
        <w:rPr>
          <w:rFonts w:hint="eastAsia" w:ascii="Times New Roman" w:hAnsi="Times New Roman"/>
          <w:color w:val="auto"/>
          <w:lang w:eastAsia="zh-CN"/>
        </w:rPr>
      </w:pPr>
      <w:r>
        <w:rPr>
          <w:rFonts w:hint="eastAsia" w:ascii="Times New Roman" w:hAnsi="Times New Roman"/>
          <w:color w:val="auto"/>
          <w:lang w:eastAsia="zh-CN"/>
        </w:rPr>
        <w:t>表</w:t>
      </w:r>
      <w:r>
        <w:rPr>
          <w:rFonts w:hint="eastAsia" w:ascii="Times New Roman" w:hAnsi="Times New Roman"/>
          <w:color w:val="auto"/>
          <w:lang w:val="en-US" w:eastAsia="zh-CN"/>
        </w:rPr>
        <w:t xml:space="preserve">2.4-9  </w:t>
      </w:r>
      <w:r>
        <w:rPr>
          <w:rFonts w:hint="eastAsia" w:ascii="Times New Roman" w:hAnsi="Times New Roman"/>
          <w:color w:val="auto"/>
          <w:lang w:eastAsia="zh-CN"/>
        </w:rPr>
        <w:t>主要采矿设备表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873"/>
        <w:gridCol w:w="3291"/>
        <w:gridCol w:w="844"/>
        <w:gridCol w:w="844"/>
        <w:gridCol w:w="844"/>
        <w:gridCol w:w="864"/>
      </w:tblGrid>
      <w:tr w14:paraId="58E2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7" w:type="pct"/>
            <w:vMerge w:val="restart"/>
            <w:noWrap/>
            <w:vAlign w:val="center"/>
          </w:tcPr>
          <w:p w14:paraId="6C679B1E">
            <w:pPr>
              <w:pStyle w:val="17"/>
              <w:bidi w:val="0"/>
              <w:rPr>
                <w:rFonts w:ascii="Times New Roman" w:hAnsi="Times New Roman"/>
                <w:b/>
                <w:bCs/>
                <w:color w:val="auto"/>
              </w:rPr>
            </w:pPr>
            <w:bookmarkStart w:id="87" w:name="_Hlk166163868"/>
            <w:r>
              <w:rPr>
                <w:rFonts w:ascii="Times New Roman" w:hAnsi="Times New Roman"/>
                <w:b/>
                <w:bCs/>
                <w:color w:val="auto"/>
              </w:rPr>
              <w:t>序号</w:t>
            </w:r>
          </w:p>
        </w:tc>
        <w:tc>
          <w:tcPr>
            <w:tcW w:w="996" w:type="pct"/>
            <w:vMerge w:val="restart"/>
            <w:noWrap/>
            <w:vAlign w:val="center"/>
          </w:tcPr>
          <w:p w14:paraId="5DB6C688">
            <w:pPr>
              <w:pStyle w:val="17"/>
              <w:bidi w:val="0"/>
              <w:rPr>
                <w:rFonts w:ascii="Times New Roman" w:hAnsi="Times New Roman"/>
                <w:b/>
                <w:bCs/>
                <w:color w:val="auto"/>
              </w:rPr>
            </w:pPr>
            <w:r>
              <w:rPr>
                <w:rFonts w:ascii="Times New Roman" w:hAnsi="Times New Roman"/>
                <w:b/>
                <w:bCs/>
                <w:color w:val="auto"/>
              </w:rPr>
              <w:t>名称</w:t>
            </w:r>
          </w:p>
        </w:tc>
        <w:tc>
          <w:tcPr>
            <w:tcW w:w="1750" w:type="pct"/>
            <w:vMerge w:val="restart"/>
            <w:noWrap/>
            <w:vAlign w:val="center"/>
          </w:tcPr>
          <w:p w14:paraId="47EB3A54">
            <w:pPr>
              <w:pStyle w:val="17"/>
              <w:bidi w:val="0"/>
              <w:rPr>
                <w:rFonts w:ascii="Times New Roman" w:hAnsi="Times New Roman"/>
                <w:b/>
                <w:bCs/>
                <w:color w:val="auto"/>
              </w:rPr>
            </w:pPr>
            <w:r>
              <w:rPr>
                <w:rFonts w:ascii="Times New Roman" w:hAnsi="Times New Roman"/>
                <w:b/>
                <w:bCs/>
                <w:color w:val="auto"/>
              </w:rPr>
              <w:t>型号规格</w:t>
            </w:r>
          </w:p>
        </w:tc>
        <w:tc>
          <w:tcPr>
            <w:tcW w:w="449" w:type="pct"/>
            <w:vMerge w:val="restart"/>
            <w:noWrap/>
            <w:vAlign w:val="center"/>
          </w:tcPr>
          <w:p w14:paraId="26298A13">
            <w:pPr>
              <w:pStyle w:val="17"/>
              <w:bidi w:val="0"/>
              <w:rPr>
                <w:rFonts w:ascii="Times New Roman" w:hAnsi="Times New Roman"/>
                <w:b/>
                <w:bCs/>
                <w:color w:val="auto"/>
              </w:rPr>
            </w:pPr>
            <w:r>
              <w:rPr>
                <w:rFonts w:ascii="Times New Roman" w:hAnsi="Times New Roman"/>
                <w:b/>
                <w:bCs/>
                <w:color w:val="auto"/>
              </w:rPr>
              <w:t>单位</w:t>
            </w:r>
          </w:p>
        </w:tc>
        <w:tc>
          <w:tcPr>
            <w:tcW w:w="1356" w:type="pct"/>
            <w:gridSpan w:val="3"/>
            <w:noWrap/>
            <w:vAlign w:val="center"/>
          </w:tcPr>
          <w:p w14:paraId="22A2C169">
            <w:pPr>
              <w:pStyle w:val="17"/>
              <w:bidi w:val="0"/>
              <w:rPr>
                <w:rFonts w:ascii="Times New Roman" w:hAnsi="Times New Roman"/>
                <w:b/>
                <w:bCs/>
                <w:color w:val="auto"/>
              </w:rPr>
            </w:pPr>
            <w:r>
              <w:rPr>
                <w:rFonts w:ascii="Times New Roman" w:hAnsi="Times New Roman"/>
                <w:b/>
                <w:bCs/>
                <w:color w:val="auto"/>
              </w:rPr>
              <w:t>数量</w:t>
            </w:r>
          </w:p>
        </w:tc>
      </w:tr>
      <w:tr w14:paraId="2316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47" w:type="pct"/>
            <w:vMerge w:val="continue"/>
            <w:vAlign w:val="center"/>
          </w:tcPr>
          <w:p w14:paraId="0B892444">
            <w:pPr>
              <w:pStyle w:val="17"/>
              <w:bidi w:val="0"/>
              <w:rPr>
                <w:rFonts w:ascii="Times New Roman" w:hAnsi="Times New Roman"/>
                <w:b/>
                <w:bCs/>
                <w:color w:val="auto"/>
              </w:rPr>
            </w:pPr>
          </w:p>
        </w:tc>
        <w:tc>
          <w:tcPr>
            <w:tcW w:w="996" w:type="pct"/>
            <w:vMerge w:val="continue"/>
            <w:vAlign w:val="center"/>
          </w:tcPr>
          <w:p w14:paraId="2740FF00">
            <w:pPr>
              <w:pStyle w:val="17"/>
              <w:bidi w:val="0"/>
              <w:rPr>
                <w:rFonts w:ascii="Times New Roman" w:hAnsi="Times New Roman"/>
                <w:b/>
                <w:bCs/>
                <w:color w:val="auto"/>
              </w:rPr>
            </w:pPr>
          </w:p>
        </w:tc>
        <w:tc>
          <w:tcPr>
            <w:tcW w:w="1750" w:type="pct"/>
            <w:vMerge w:val="continue"/>
            <w:vAlign w:val="center"/>
          </w:tcPr>
          <w:p w14:paraId="0383629E">
            <w:pPr>
              <w:pStyle w:val="17"/>
              <w:bidi w:val="0"/>
              <w:rPr>
                <w:rFonts w:ascii="Times New Roman" w:hAnsi="Times New Roman"/>
                <w:b/>
                <w:bCs/>
                <w:color w:val="auto"/>
              </w:rPr>
            </w:pPr>
          </w:p>
        </w:tc>
        <w:tc>
          <w:tcPr>
            <w:tcW w:w="449" w:type="pct"/>
            <w:vMerge w:val="continue"/>
            <w:vAlign w:val="center"/>
          </w:tcPr>
          <w:p w14:paraId="626B030A">
            <w:pPr>
              <w:pStyle w:val="17"/>
              <w:bidi w:val="0"/>
              <w:rPr>
                <w:rFonts w:ascii="Times New Roman" w:hAnsi="Times New Roman"/>
                <w:b/>
                <w:bCs/>
                <w:color w:val="auto"/>
              </w:rPr>
            </w:pPr>
          </w:p>
        </w:tc>
        <w:tc>
          <w:tcPr>
            <w:tcW w:w="449" w:type="pct"/>
            <w:noWrap/>
            <w:vAlign w:val="center"/>
          </w:tcPr>
          <w:p w14:paraId="3E6086F3">
            <w:pPr>
              <w:pStyle w:val="17"/>
              <w:bidi w:val="0"/>
              <w:rPr>
                <w:rFonts w:ascii="Times New Roman" w:hAnsi="Times New Roman"/>
                <w:b/>
                <w:bCs/>
                <w:color w:val="auto"/>
              </w:rPr>
            </w:pPr>
            <w:r>
              <w:rPr>
                <w:rFonts w:ascii="Times New Roman" w:hAnsi="Times New Roman"/>
                <w:b/>
                <w:bCs/>
                <w:color w:val="auto"/>
              </w:rPr>
              <w:t>已有</w:t>
            </w:r>
          </w:p>
        </w:tc>
        <w:tc>
          <w:tcPr>
            <w:tcW w:w="449" w:type="pct"/>
            <w:noWrap/>
            <w:vAlign w:val="center"/>
          </w:tcPr>
          <w:p w14:paraId="1825FCD5">
            <w:pPr>
              <w:pStyle w:val="17"/>
              <w:bidi w:val="0"/>
              <w:rPr>
                <w:rFonts w:ascii="Times New Roman" w:hAnsi="Times New Roman"/>
                <w:b/>
                <w:bCs/>
                <w:color w:val="auto"/>
              </w:rPr>
            </w:pPr>
            <w:r>
              <w:rPr>
                <w:rFonts w:ascii="Times New Roman" w:hAnsi="Times New Roman"/>
                <w:b/>
                <w:bCs/>
                <w:color w:val="auto"/>
              </w:rPr>
              <w:t>新增</w:t>
            </w:r>
          </w:p>
        </w:tc>
        <w:tc>
          <w:tcPr>
            <w:tcW w:w="456" w:type="pct"/>
            <w:noWrap/>
            <w:vAlign w:val="center"/>
          </w:tcPr>
          <w:p w14:paraId="04614815">
            <w:pPr>
              <w:pStyle w:val="17"/>
              <w:bidi w:val="0"/>
              <w:rPr>
                <w:rFonts w:ascii="Times New Roman" w:hAnsi="Times New Roman"/>
                <w:b/>
                <w:bCs/>
                <w:color w:val="auto"/>
              </w:rPr>
            </w:pPr>
            <w:r>
              <w:rPr>
                <w:rFonts w:ascii="Times New Roman" w:hAnsi="Times New Roman"/>
                <w:b/>
                <w:bCs/>
                <w:color w:val="auto"/>
              </w:rPr>
              <w:t>合计</w:t>
            </w:r>
          </w:p>
        </w:tc>
      </w:tr>
      <w:tr w14:paraId="35CE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426D332F">
            <w:pPr>
              <w:pStyle w:val="17"/>
              <w:bidi w:val="0"/>
              <w:rPr>
                <w:rFonts w:ascii="Times New Roman" w:hAnsi="Times New Roman"/>
                <w:color w:val="auto"/>
              </w:rPr>
            </w:pPr>
            <w:r>
              <w:rPr>
                <w:rFonts w:ascii="Times New Roman" w:hAnsi="Times New Roman"/>
                <w:color w:val="auto"/>
              </w:rPr>
              <w:t>1</w:t>
            </w:r>
          </w:p>
        </w:tc>
        <w:tc>
          <w:tcPr>
            <w:tcW w:w="4552" w:type="pct"/>
            <w:gridSpan w:val="6"/>
            <w:noWrap/>
            <w:vAlign w:val="center"/>
          </w:tcPr>
          <w:p w14:paraId="725158F4">
            <w:pPr>
              <w:pStyle w:val="17"/>
              <w:bidi w:val="0"/>
              <w:rPr>
                <w:rFonts w:ascii="Times New Roman" w:hAnsi="Times New Roman"/>
                <w:color w:val="auto"/>
              </w:rPr>
            </w:pPr>
            <w:r>
              <w:rPr>
                <w:rFonts w:ascii="Times New Roman" w:hAnsi="Times New Roman"/>
                <w:color w:val="auto"/>
              </w:rPr>
              <w:t>主要凿岩设备</w:t>
            </w:r>
          </w:p>
        </w:tc>
      </w:tr>
      <w:tr w14:paraId="65F0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4E6D6356">
            <w:pPr>
              <w:pStyle w:val="17"/>
              <w:bidi w:val="0"/>
              <w:rPr>
                <w:rFonts w:ascii="Times New Roman" w:hAnsi="Times New Roman"/>
                <w:color w:val="auto"/>
              </w:rPr>
            </w:pPr>
            <w:r>
              <w:rPr>
                <w:rFonts w:ascii="Times New Roman" w:hAnsi="Times New Roman"/>
                <w:color w:val="auto"/>
              </w:rPr>
              <w:t>1.1</w:t>
            </w:r>
          </w:p>
        </w:tc>
        <w:tc>
          <w:tcPr>
            <w:tcW w:w="996" w:type="pct"/>
            <w:noWrap/>
            <w:vAlign w:val="center"/>
          </w:tcPr>
          <w:p w14:paraId="5588C3BD">
            <w:pPr>
              <w:pStyle w:val="17"/>
              <w:bidi w:val="0"/>
              <w:rPr>
                <w:rFonts w:ascii="Times New Roman" w:hAnsi="Times New Roman"/>
                <w:color w:val="auto"/>
              </w:rPr>
            </w:pPr>
            <w:r>
              <w:rPr>
                <w:rFonts w:ascii="Times New Roman" w:hAnsi="Times New Roman"/>
                <w:color w:val="auto"/>
              </w:rPr>
              <w:t>潜孔钻机</w:t>
            </w:r>
          </w:p>
        </w:tc>
        <w:tc>
          <w:tcPr>
            <w:tcW w:w="1750" w:type="pct"/>
            <w:noWrap/>
            <w:vAlign w:val="center"/>
          </w:tcPr>
          <w:p w14:paraId="7ACA2045">
            <w:pPr>
              <w:pStyle w:val="17"/>
              <w:bidi w:val="0"/>
              <w:rPr>
                <w:rFonts w:ascii="Times New Roman" w:hAnsi="Times New Roman"/>
                <w:color w:val="auto"/>
              </w:rPr>
            </w:pPr>
            <w:r>
              <w:rPr>
                <w:rFonts w:hint="eastAsia" w:ascii="Times New Roman" w:hAnsi="Times New Roman"/>
                <w:color w:val="auto"/>
              </w:rPr>
              <w:t>红五环240型</w:t>
            </w:r>
          </w:p>
        </w:tc>
        <w:tc>
          <w:tcPr>
            <w:tcW w:w="449" w:type="pct"/>
            <w:noWrap/>
            <w:vAlign w:val="center"/>
          </w:tcPr>
          <w:p w14:paraId="3744E583">
            <w:pPr>
              <w:pStyle w:val="17"/>
              <w:bidi w:val="0"/>
              <w:rPr>
                <w:rFonts w:ascii="Times New Roman" w:hAnsi="Times New Roman"/>
                <w:color w:val="auto"/>
              </w:rPr>
            </w:pPr>
            <w:r>
              <w:rPr>
                <w:rFonts w:ascii="Times New Roman" w:hAnsi="Times New Roman"/>
                <w:color w:val="auto"/>
              </w:rPr>
              <w:t>台</w:t>
            </w:r>
          </w:p>
        </w:tc>
        <w:tc>
          <w:tcPr>
            <w:tcW w:w="449" w:type="pct"/>
            <w:noWrap/>
            <w:vAlign w:val="center"/>
          </w:tcPr>
          <w:p w14:paraId="6925A289">
            <w:pPr>
              <w:pStyle w:val="17"/>
              <w:bidi w:val="0"/>
              <w:rPr>
                <w:rFonts w:ascii="Times New Roman" w:hAnsi="Times New Roman"/>
                <w:color w:val="auto"/>
              </w:rPr>
            </w:pPr>
            <w:r>
              <w:rPr>
                <w:rFonts w:ascii="Times New Roman" w:hAnsi="Times New Roman"/>
                <w:color w:val="auto"/>
              </w:rPr>
              <w:t>1</w:t>
            </w:r>
          </w:p>
        </w:tc>
        <w:tc>
          <w:tcPr>
            <w:tcW w:w="449" w:type="pct"/>
            <w:noWrap/>
            <w:vAlign w:val="center"/>
          </w:tcPr>
          <w:p w14:paraId="63D95AB4">
            <w:pPr>
              <w:pStyle w:val="17"/>
              <w:bidi w:val="0"/>
              <w:rPr>
                <w:rFonts w:ascii="Times New Roman" w:hAnsi="Times New Roman"/>
                <w:color w:val="auto"/>
              </w:rPr>
            </w:pPr>
            <w:r>
              <w:rPr>
                <w:rFonts w:ascii="Times New Roman" w:hAnsi="Times New Roman"/>
                <w:color w:val="auto"/>
              </w:rPr>
              <w:t>0</w:t>
            </w:r>
          </w:p>
        </w:tc>
        <w:tc>
          <w:tcPr>
            <w:tcW w:w="456" w:type="pct"/>
            <w:noWrap/>
            <w:vAlign w:val="center"/>
          </w:tcPr>
          <w:p w14:paraId="24798BAD">
            <w:pPr>
              <w:pStyle w:val="17"/>
              <w:bidi w:val="0"/>
              <w:rPr>
                <w:rFonts w:ascii="Times New Roman" w:hAnsi="Times New Roman"/>
                <w:color w:val="auto"/>
              </w:rPr>
            </w:pPr>
            <w:r>
              <w:rPr>
                <w:rFonts w:ascii="Times New Roman" w:hAnsi="Times New Roman"/>
                <w:color w:val="auto"/>
              </w:rPr>
              <w:t>1</w:t>
            </w:r>
          </w:p>
        </w:tc>
      </w:tr>
      <w:tr w14:paraId="792F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4A4749CB">
            <w:pPr>
              <w:pStyle w:val="17"/>
              <w:bidi w:val="0"/>
              <w:rPr>
                <w:rFonts w:ascii="Times New Roman" w:hAnsi="Times New Roman"/>
                <w:color w:val="auto"/>
              </w:rPr>
            </w:pPr>
            <w:r>
              <w:rPr>
                <w:rFonts w:ascii="Times New Roman" w:hAnsi="Times New Roman"/>
                <w:color w:val="auto"/>
              </w:rPr>
              <w:t>1.2</w:t>
            </w:r>
          </w:p>
        </w:tc>
        <w:tc>
          <w:tcPr>
            <w:tcW w:w="996" w:type="pct"/>
            <w:noWrap/>
            <w:vAlign w:val="center"/>
          </w:tcPr>
          <w:p w14:paraId="2BE6DF31">
            <w:pPr>
              <w:pStyle w:val="17"/>
              <w:bidi w:val="0"/>
              <w:rPr>
                <w:rFonts w:ascii="Times New Roman" w:hAnsi="Times New Roman"/>
                <w:color w:val="auto"/>
              </w:rPr>
            </w:pPr>
            <w:r>
              <w:rPr>
                <w:rFonts w:ascii="Times New Roman" w:hAnsi="Times New Roman"/>
                <w:color w:val="auto"/>
              </w:rPr>
              <w:t>空压机</w:t>
            </w:r>
          </w:p>
        </w:tc>
        <w:tc>
          <w:tcPr>
            <w:tcW w:w="1750" w:type="pct"/>
            <w:noWrap/>
            <w:vAlign w:val="center"/>
          </w:tcPr>
          <w:p w14:paraId="530D2A99">
            <w:pPr>
              <w:pStyle w:val="17"/>
              <w:bidi w:val="0"/>
              <w:rPr>
                <w:rFonts w:ascii="Times New Roman" w:hAnsi="Times New Roman"/>
                <w:color w:val="auto"/>
              </w:rPr>
            </w:pPr>
            <w:r>
              <w:rPr>
                <w:rFonts w:hint="eastAsia" w:ascii="Times New Roman" w:hAnsi="Times New Roman"/>
                <w:color w:val="auto"/>
              </w:rPr>
              <w:t>红五环螺杆式18m</w:t>
            </w:r>
            <w:r>
              <w:rPr>
                <w:rFonts w:hint="eastAsia" w:ascii="Times New Roman" w:hAnsi="Times New Roman"/>
                <w:color w:val="auto"/>
                <w:vertAlign w:val="superscript"/>
              </w:rPr>
              <w:t>3</w:t>
            </w:r>
          </w:p>
        </w:tc>
        <w:tc>
          <w:tcPr>
            <w:tcW w:w="449" w:type="pct"/>
            <w:noWrap/>
            <w:vAlign w:val="center"/>
          </w:tcPr>
          <w:p w14:paraId="3B281A95">
            <w:pPr>
              <w:pStyle w:val="17"/>
              <w:bidi w:val="0"/>
              <w:rPr>
                <w:rFonts w:ascii="Times New Roman" w:hAnsi="Times New Roman"/>
                <w:color w:val="auto"/>
              </w:rPr>
            </w:pPr>
            <w:r>
              <w:rPr>
                <w:rFonts w:ascii="Times New Roman" w:hAnsi="Times New Roman"/>
                <w:color w:val="auto"/>
              </w:rPr>
              <w:t>台</w:t>
            </w:r>
          </w:p>
        </w:tc>
        <w:tc>
          <w:tcPr>
            <w:tcW w:w="449" w:type="pct"/>
            <w:noWrap/>
            <w:vAlign w:val="center"/>
          </w:tcPr>
          <w:p w14:paraId="0C90884B">
            <w:pPr>
              <w:pStyle w:val="17"/>
              <w:bidi w:val="0"/>
              <w:rPr>
                <w:rFonts w:ascii="Times New Roman" w:hAnsi="Times New Roman"/>
                <w:color w:val="auto"/>
              </w:rPr>
            </w:pPr>
            <w:r>
              <w:rPr>
                <w:rFonts w:ascii="Times New Roman" w:hAnsi="Times New Roman"/>
                <w:color w:val="auto"/>
              </w:rPr>
              <w:t>1</w:t>
            </w:r>
          </w:p>
        </w:tc>
        <w:tc>
          <w:tcPr>
            <w:tcW w:w="449" w:type="pct"/>
            <w:noWrap/>
            <w:vAlign w:val="center"/>
          </w:tcPr>
          <w:p w14:paraId="1FC967A3">
            <w:pPr>
              <w:pStyle w:val="17"/>
              <w:bidi w:val="0"/>
              <w:rPr>
                <w:rFonts w:ascii="Times New Roman" w:hAnsi="Times New Roman"/>
                <w:color w:val="auto"/>
              </w:rPr>
            </w:pPr>
            <w:r>
              <w:rPr>
                <w:rFonts w:ascii="Times New Roman" w:hAnsi="Times New Roman"/>
                <w:color w:val="auto"/>
              </w:rPr>
              <w:t>0</w:t>
            </w:r>
          </w:p>
        </w:tc>
        <w:tc>
          <w:tcPr>
            <w:tcW w:w="456" w:type="pct"/>
            <w:noWrap/>
            <w:vAlign w:val="center"/>
          </w:tcPr>
          <w:p w14:paraId="0C998926">
            <w:pPr>
              <w:pStyle w:val="17"/>
              <w:bidi w:val="0"/>
              <w:rPr>
                <w:rFonts w:ascii="Times New Roman" w:hAnsi="Times New Roman"/>
                <w:color w:val="auto"/>
              </w:rPr>
            </w:pPr>
            <w:r>
              <w:rPr>
                <w:rFonts w:ascii="Times New Roman" w:hAnsi="Times New Roman"/>
                <w:color w:val="auto"/>
              </w:rPr>
              <w:t>1</w:t>
            </w:r>
          </w:p>
        </w:tc>
      </w:tr>
      <w:tr w14:paraId="3629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1F39D791">
            <w:pPr>
              <w:pStyle w:val="17"/>
              <w:bidi w:val="0"/>
              <w:rPr>
                <w:rFonts w:ascii="Times New Roman" w:hAnsi="Times New Roman"/>
                <w:color w:val="auto"/>
              </w:rPr>
            </w:pPr>
            <w:r>
              <w:rPr>
                <w:rFonts w:ascii="Times New Roman" w:hAnsi="Times New Roman"/>
                <w:color w:val="auto"/>
              </w:rPr>
              <w:t>2</w:t>
            </w:r>
          </w:p>
        </w:tc>
        <w:tc>
          <w:tcPr>
            <w:tcW w:w="4552" w:type="pct"/>
            <w:gridSpan w:val="6"/>
            <w:noWrap/>
            <w:vAlign w:val="center"/>
          </w:tcPr>
          <w:p w14:paraId="090F973E">
            <w:pPr>
              <w:pStyle w:val="17"/>
              <w:bidi w:val="0"/>
              <w:rPr>
                <w:rFonts w:ascii="Times New Roman" w:hAnsi="Times New Roman"/>
                <w:color w:val="auto"/>
              </w:rPr>
            </w:pPr>
            <w:r>
              <w:rPr>
                <w:rFonts w:ascii="Times New Roman" w:hAnsi="Times New Roman"/>
                <w:color w:val="auto"/>
              </w:rPr>
              <w:t>主要铲装设备</w:t>
            </w:r>
          </w:p>
        </w:tc>
      </w:tr>
      <w:tr w14:paraId="7DA8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7E17CAF0">
            <w:pPr>
              <w:pStyle w:val="17"/>
              <w:bidi w:val="0"/>
              <w:rPr>
                <w:rFonts w:ascii="Times New Roman" w:hAnsi="Times New Roman"/>
                <w:color w:val="auto"/>
              </w:rPr>
            </w:pPr>
            <w:r>
              <w:rPr>
                <w:rFonts w:ascii="Times New Roman" w:hAnsi="Times New Roman"/>
                <w:color w:val="auto"/>
              </w:rPr>
              <w:t>2.1</w:t>
            </w:r>
          </w:p>
        </w:tc>
        <w:tc>
          <w:tcPr>
            <w:tcW w:w="996" w:type="pct"/>
            <w:noWrap/>
            <w:vAlign w:val="center"/>
          </w:tcPr>
          <w:p w14:paraId="71D1477B">
            <w:pPr>
              <w:pStyle w:val="17"/>
              <w:bidi w:val="0"/>
              <w:rPr>
                <w:rFonts w:ascii="Times New Roman" w:hAnsi="Times New Roman"/>
                <w:color w:val="auto"/>
              </w:rPr>
            </w:pPr>
            <w:r>
              <w:rPr>
                <w:rFonts w:ascii="Times New Roman" w:hAnsi="Times New Roman"/>
                <w:color w:val="auto"/>
              </w:rPr>
              <w:t>挖掘机</w:t>
            </w:r>
          </w:p>
        </w:tc>
        <w:tc>
          <w:tcPr>
            <w:tcW w:w="1750" w:type="pct"/>
            <w:noWrap/>
            <w:vAlign w:val="center"/>
          </w:tcPr>
          <w:p w14:paraId="04B021EA">
            <w:pPr>
              <w:pStyle w:val="17"/>
              <w:bidi w:val="0"/>
              <w:rPr>
                <w:rFonts w:ascii="Times New Roman" w:hAnsi="Times New Roman"/>
                <w:color w:val="auto"/>
              </w:rPr>
            </w:pPr>
            <w:r>
              <w:rPr>
                <w:rFonts w:hint="eastAsia" w:ascii="Times New Roman" w:hAnsi="Times New Roman"/>
                <w:color w:val="auto"/>
              </w:rPr>
              <w:t>神钢260</w:t>
            </w:r>
          </w:p>
        </w:tc>
        <w:tc>
          <w:tcPr>
            <w:tcW w:w="449" w:type="pct"/>
            <w:noWrap/>
            <w:vAlign w:val="center"/>
          </w:tcPr>
          <w:p w14:paraId="7411B498">
            <w:pPr>
              <w:pStyle w:val="17"/>
              <w:bidi w:val="0"/>
              <w:rPr>
                <w:rFonts w:ascii="Times New Roman" w:hAnsi="Times New Roman"/>
                <w:color w:val="auto"/>
              </w:rPr>
            </w:pPr>
            <w:r>
              <w:rPr>
                <w:rFonts w:ascii="Times New Roman" w:hAnsi="Times New Roman"/>
                <w:color w:val="auto"/>
              </w:rPr>
              <w:t>台</w:t>
            </w:r>
          </w:p>
        </w:tc>
        <w:tc>
          <w:tcPr>
            <w:tcW w:w="449" w:type="pct"/>
            <w:noWrap/>
            <w:vAlign w:val="center"/>
          </w:tcPr>
          <w:p w14:paraId="664A19F6">
            <w:pPr>
              <w:pStyle w:val="17"/>
              <w:bidi w:val="0"/>
              <w:rPr>
                <w:rFonts w:ascii="Times New Roman" w:hAnsi="Times New Roman"/>
                <w:color w:val="auto"/>
              </w:rPr>
            </w:pPr>
            <w:r>
              <w:rPr>
                <w:rFonts w:ascii="Times New Roman" w:hAnsi="Times New Roman"/>
                <w:color w:val="auto"/>
              </w:rPr>
              <w:t>1</w:t>
            </w:r>
          </w:p>
        </w:tc>
        <w:tc>
          <w:tcPr>
            <w:tcW w:w="449" w:type="pct"/>
            <w:noWrap/>
            <w:vAlign w:val="center"/>
          </w:tcPr>
          <w:p w14:paraId="43D2DE30">
            <w:pPr>
              <w:pStyle w:val="17"/>
              <w:bidi w:val="0"/>
              <w:rPr>
                <w:rFonts w:ascii="Times New Roman" w:hAnsi="Times New Roman"/>
                <w:color w:val="auto"/>
              </w:rPr>
            </w:pPr>
            <w:r>
              <w:rPr>
                <w:rFonts w:ascii="Times New Roman" w:hAnsi="Times New Roman"/>
                <w:color w:val="auto"/>
              </w:rPr>
              <w:t>0</w:t>
            </w:r>
          </w:p>
        </w:tc>
        <w:tc>
          <w:tcPr>
            <w:tcW w:w="456" w:type="pct"/>
            <w:noWrap/>
            <w:vAlign w:val="center"/>
          </w:tcPr>
          <w:p w14:paraId="0BA2BFE4">
            <w:pPr>
              <w:pStyle w:val="17"/>
              <w:bidi w:val="0"/>
              <w:rPr>
                <w:rFonts w:ascii="Times New Roman" w:hAnsi="Times New Roman"/>
                <w:color w:val="auto"/>
              </w:rPr>
            </w:pPr>
            <w:r>
              <w:rPr>
                <w:rFonts w:ascii="Times New Roman" w:hAnsi="Times New Roman"/>
                <w:color w:val="auto"/>
              </w:rPr>
              <w:t>1</w:t>
            </w:r>
          </w:p>
        </w:tc>
      </w:tr>
      <w:tr w14:paraId="165E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3C0ED14D">
            <w:pPr>
              <w:pStyle w:val="17"/>
              <w:bidi w:val="0"/>
              <w:rPr>
                <w:rFonts w:ascii="Times New Roman" w:hAnsi="Times New Roman"/>
                <w:color w:val="auto"/>
              </w:rPr>
            </w:pPr>
            <w:r>
              <w:rPr>
                <w:rFonts w:ascii="Times New Roman" w:hAnsi="Times New Roman"/>
                <w:color w:val="auto"/>
              </w:rPr>
              <w:t>3</w:t>
            </w:r>
          </w:p>
        </w:tc>
        <w:tc>
          <w:tcPr>
            <w:tcW w:w="4552" w:type="pct"/>
            <w:gridSpan w:val="6"/>
            <w:noWrap/>
            <w:vAlign w:val="center"/>
          </w:tcPr>
          <w:p w14:paraId="1F804187">
            <w:pPr>
              <w:pStyle w:val="17"/>
              <w:bidi w:val="0"/>
              <w:rPr>
                <w:rFonts w:ascii="Times New Roman" w:hAnsi="Times New Roman"/>
                <w:color w:val="auto"/>
              </w:rPr>
            </w:pPr>
            <w:r>
              <w:rPr>
                <w:rFonts w:ascii="Times New Roman" w:hAnsi="Times New Roman"/>
                <w:color w:val="auto"/>
              </w:rPr>
              <w:t>运输设备</w:t>
            </w:r>
          </w:p>
        </w:tc>
      </w:tr>
      <w:tr w14:paraId="182B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48512E7E">
            <w:pPr>
              <w:pStyle w:val="17"/>
              <w:bidi w:val="0"/>
              <w:rPr>
                <w:rFonts w:ascii="Times New Roman" w:hAnsi="Times New Roman"/>
                <w:color w:val="auto"/>
              </w:rPr>
            </w:pPr>
            <w:r>
              <w:rPr>
                <w:rFonts w:ascii="Times New Roman" w:hAnsi="Times New Roman"/>
                <w:color w:val="auto"/>
              </w:rPr>
              <w:t>3.1</w:t>
            </w:r>
          </w:p>
        </w:tc>
        <w:tc>
          <w:tcPr>
            <w:tcW w:w="996" w:type="pct"/>
            <w:noWrap/>
            <w:vAlign w:val="center"/>
          </w:tcPr>
          <w:p w14:paraId="6D71664C">
            <w:pPr>
              <w:pStyle w:val="17"/>
              <w:bidi w:val="0"/>
              <w:rPr>
                <w:rFonts w:ascii="Times New Roman" w:hAnsi="Times New Roman"/>
                <w:color w:val="auto"/>
              </w:rPr>
            </w:pPr>
            <w:r>
              <w:rPr>
                <w:rFonts w:ascii="Times New Roman" w:hAnsi="Times New Roman"/>
                <w:color w:val="auto"/>
              </w:rPr>
              <w:t>自卸汽车</w:t>
            </w:r>
          </w:p>
        </w:tc>
        <w:tc>
          <w:tcPr>
            <w:tcW w:w="1750" w:type="pct"/>
            <w:noWrap/>
            <w:vAlign w:val="center"/>
          </w:tcPr>
          <w:p w14:paraId="326E593D">
            <w:pPr>
              <w:pStyle w:val="17"/>
              <w:bidi w:val="0"/>
              <w:rPr>
                <w:rFonts w:ascii="Times New Roman" w:hAnsi="Times New Roman"/>
                <w:color w:val="auto"/>
              </w:rPr>
            </w:pPr>
            <w:r>
              <w:rPr>
                <w:rFonts w:ascii="Times New Roman" w:hAnsi="Times New Roman"/>
                <w:color w:val="auto"/>
              </w:rPr>
              <w:t>25t型</w:t>
            </w:r>
          </w:p>
        </w:tc>
        <w:tc>
          <w:tcPr>
            <w:tcW w:w="449" w:type="pct"/>
            <w:noWrap/>
            <w:vAlign w:val="center"/>
          </w:tcPr>
          <w:p w14:paraId="4E6234BA">
            <w:pPr>
              <w:pStyle w:val="17"/>
              <w:bidi w:val="0"/>
              <w:rPr>
                <w:rFonts w:ascii="Times New Roman" w:hAnsi="Times New Roman"/>
                <w:color w:val="auto"/>
              </w:rPr>
            </w:pPr>
            <w:r>
              <w:rPr>
                <w:rFonts w:ascii="Times New Roman" w:hAnsi="Times New Roman"/>
                <w:color w:val="auto"/>
              </w:rPr>
              <w:t>辆</w:t>
            </w:r>
          </w:p>
        </w:tc>
        <w:tc>
          <w:tcPr>
            <w:tcW w:w="449" w:type="pct"/>
            <w:noWrap/>
            <w:vAlign w:val="center"/>
          </w:tcPr>
          <w:p w14:paraId="288DACEC">
            <w:pPr>
              <w:pStyle w:val="17"/>
              <w:bidi w:val="0"/>
              <w:rPr>
                <w:rFonts w:ascii="Times New Roman" w:hAnsi="Times New Roman"/>
                <w:color w:val="auto"/>
              </w:rPr>
            </w:pPr>
            <w:r>
              <w:rPr>
                <w:rFonts w:hint="eastAsia" w:ascii="Times New Roman" w:hAnsi="Times New Roman"/>
                <w:color w:val="auto"/>
              </w:rPr>
              <w:t>4</w:t>
            </w:r>
          </w:p>
        </w:tc>
        <w:tc>
          <w:tcPr>
            <w:tcW w:w="449" w:type="pct"/>
            <w:noWrap/>
            <w:vAlign w:val="center"/>
          </w:tcPr>
          <w:p w14:paraId="5E2F9C0B">
            <w:pPr>
              <w:pStyle w:val="17"/>
              <w:bidi w:val="0"/>
              <w:rPr>
                <w:rFonts w:ascii="Times New Roman" w:hAnsi="Times New Roman"/>
                <w:color w:val="auto"/>
              </w:rPr>
            </w:pPr>
            <w:r>
              <w:rPr>
                <w:rFonts w:ascii="Times New Roman" w:hAnsi="Times New Roman"/>
                <w:color w:val="auto"/>
              </w:rPr>
              <w:t>0</w:t>
            </w:r>
          </w:p>
        </w:tc>
        <w:tc>
          <w:tcPr>
            <w:tcW w:w="456" w:type="pct"/>
            <w:noWrap/>
            <w:vAlign w:val="center"/>
          </w:tcPr>
          <w:p w14:paraId="638248AE">
            <w:pPr>
              <w:pStyle w:val="17"/>
              <w:bidi w:val="0"/>
              <w:rPr>
                <w:rFonts w:ascii="Times New Roman" w:hAnsi="Times New Roman"/>
                <w:color w:val="auto"/>
              </w:rPr>
            </w:pPr>
            <w:r>
              <w:rPr>
                <w:rFonts w:hint="eastAsia" w:ascii="Times New Roman" w:hAnsi="Times New Roman"/>
                <w:color w:val="auto"/>
              </w:rPr>
              <w:t>4</w:t>
            </w:r>
          </w:p>
        </w:tc>
      </w:tr>
      <w:tr w14:paraId="2AE1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4BF535CD">
            <w:pPr>
              <w:pStyle w:val="17"/>
              <w:bidi w:val="0"/>
              <w:rPr>
                <w:rFonts w:ascii="Times New Roman" w:hAnsi="Times New Roman"/>
                <w:color w:val="auto"/>
              </w:rPr>
            </w:pPr>
            <w:r>
              <w:rPr>
                <w:rFonts w:ascii="Times New Roman" w:hAnsi="Times New Roman"/>
                <w:color w:val="auto"/>
              </w:rPr>
              <w:t>4</w:t>
            </w:r>
          </w:p>
        </w:tc>
        <w:tc>
          <w:tcPr>
            <w:tcW w:w="4552" w:type="pct"/>
            <w:gridSpan w:val="6"/>
            <w:noWrap/>
            <w:vAlign w:val="center"/>
          </w:tcPr>
          <w:p w14:paraId="191DE4D9">
            <w:pPr>
              <w:pStyle w:val="17"/>
              <w:bidi w:val="0"/>
              <w:rPr>
                <w:rFonts w:ascii="Times New Roman" w:hAnsi="Times New Roman"/>
                <w:color w:val="auto"/>
              </w:rPr>
            </w:pPr>
            <w:r>
              <w:rPr>
                <w:rFonts w:ascii="Times New Roman" w:hAnsi="Times New Roman"/>
                <w:color w:val="auto"/>
              </w:rPr>
              <w:t>辅助设备</w:t>
            </w:r>
          </w:p>
        </w:tc>
      </w:tr>
      <w:tr w14:paraId="4E7E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184E511B">
            <w:pPr>
              <w:pStyle w:val="17"/>
              <w:bidi w:val="0"/>
              <w:rPr>
                <w:rFonts w:ascii="Times New Roman" w:hAnsi="Times New Roman"/>
                <w:color w:val="auto"/>
              </w:rPr>
            </w:pPr>
            <w:r>
              <w:rPr>
                <w:rFonts w:ascii="Times New Roman" w:hAnsi="Times New Roman"/>
                <w:color w:val="auto"/>
              </w:rPr>
              <w:t>4.1</w:t>
            </w:r>
          </w:p>
        </w:tc>
        <w:tc>
          <w:tcPr>
            <w:tcW w:w="996" w:type="pct"/>
            <w:noWrap/>
            <w:vAlign w:val="center"/>
          </w:tcPr>
          <w:p w14:paraId="0F8A2B9D">
            <w:pPr>
              <w:pStyle w:val="17"/>
              <w:bidi w:val="0"/>
              <w:rPr>
                <w:rFonts w:ascii="Times New Roman" w:hAnsi="Times New Roman"/>
                <w:color w:val="auto"/>
              </w:rPr>
            </w:pPr>
            <w:r>
              <w:rPr>
                <w:rFonts w:ascii="Times New Roman" w:hAnsi="Times New Roman"/>
                <w:color w:val="auto"/>
              </w:rPr>
              <w:t>挖掘机</w:t>
            </w:r>
          </w:p>
        </w:tc>
        <w:tc>
          <w:tcPr>
            <w:tcW w:w="1750" w:type="pct"/>
            <w:noWrap/>
            <w:vAlign w:val="center"/>
          </w:tcPr>
          <w:p w14:paraId="42B7DF5B">
            <w:pPr>
              <w:pStyle w:val="17"/>
              <w:bidi w:val="0"/>
              <w:rPr>
                <w:rFonts w:ascii="Times New Roman" w:hAnsi="Times New Roman"/>
                <w:color w:val="auto"/>
              </w:rPr>
            </w:pPr>
            <w:r>
              <w:rPr>
                <w:rFonts w:hint="eastAsia" w:ascii="Times New Roman" w:hAnsi="Times New Roman"/>
                <w:color w:val="auto"/>
              </w:rPr>
              <w:t>神钢260</w:t>
            </w:r>
          </w:p>
        </w:tc>
        <w:tc>
          <w:tcPr>
            <w:tcW w:w="449" w:type="pct"/>
            <w:noWrap/>
            <w:vAlign w:val="center"/>
          </w:tcPr>
          <w:p w14:paraId="23007E2D">
            <w:pPr>
              <w:pStyle w:val="17"/>
              <w:bidi w:val="0"/>
              <w:rPr>
                <w:rFonts w:ascii="Times New Roman" w:hAnsi="Times New Roman"/>
                <w:color w:val="auto"/>
              </w:rPr>
            </w:pPr>
            <w:r>
              <w:rPr>
                <w:rFonts w:ascii="Times New Roman" w:hAnsi="Times New Roman"/>
                <w:color w:val="auto"/>
              </w:rPr>
              <w:t>台</w:t>
            </w:r>
          </w:p>
        </w:tc>
        <w:tc>
          <w:tcPr>
            <w:tcW w:w="449" w:type="pct"/>
            <w:noWrap/>
            <w:vAlign w:val="center"/>
          </w:tcPr>
          <w:p w14:paraId="64F54F33">
            <w:pPr>
              <w:pStyle w:val="17"/>
              <w:bidi w:val="0"/>
              <w:rPr>
                <w:rFonts w:ascii="Times New Roman" w:hAnsi="Times New Roman"/>
                <w:color w:val="auto"/>
              </w:rPr>
            </w:pPr>
            <w:r>
              <w:rPr>
                <w:rFonts w:hint="eastAsia" w:ascii="Times New Roman" w:hAnsi="Times New Roman"/>
                <w:color w:val="auto"/>
              </w:rPr>
              <w:t>1</w:t>
            </w:r>
          </w:p>
        </w:tc>
        <w:tc>
          <w:tcPr>
            <w:tcW w:w="449" w:type="pct"/>
            <w:noWrap/>
            <w:vAlign w:val="center"/>
          </w:tcPr>
          <w:p w14:paraId="31EC42FA">
            <w:pPr>
              <w:pStyle w:val="17"/>
              <w:bidi w:val="0"/>
              <w:rPr>
                <w:rFonts w:ascii="Times New Roman" w:hAnsi="Times New Roman"/>
                <w:color w:val="auto"/>
              </w:rPr>
            </w:pPr>
            <w:r>
              <w:rPr>
                <w:rFonts w:ascii="Times New Roman" w:hAnsi="Times New Roman"/>
                <w:color w:val="auto"/>
              </w:rPr>
              <w:t>0</w:t>
            </w:r>
          </w:p>
        </w:tc>
        <w:tc>
          <w:tcPr>
            <w:tcW w:w="456" w:type="pct"/>
            <w:noWrap/>
            <w:vAlign w:val="center"/>
          </w:tcPr>
          <w:p w14:paraId="4FD2366E">
            <w:pPr>
              <w:pStyle w:val="17"/>
              <w:bidi w:val="0"/>
              <w:rPr>
                <w:rFonts w:ascii="Times New Roman" w:hAnsi="Times New Roman"/>
                <w:color w:val="auto"/>
              </w:rPr>
            </w:pPr>
            <w:r>
              <w:rPr>
                <w:rFonts w:hint="eastAsia" w:ascii="Times New Roman" w:hAnsi="Times New Roman"/>
                <w:color w:val="auto"/>
              </w:rPr>
              <w:t>1</w:t>
            </w:r>
          </w:p>
        </w:tc>
      </w:tr>
      <w:tr w14:paraId="0CFE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75E34215">
            <w:pPr>
              <w:pStyle w:val="17"/>
              <w:bidi w:val="0"/>
              <w:rPr>
                <w:rFonts w:ascii="Times New Roman" w:hAnsi="Times New Roman"/>
                <w:color w:val="auto"/>
              </w:rPr>
            </w:pPr>
            <w:r>
              <w:rPr>
                <w:rFonts w:ascii="Times New Roman" w:hAnsi="Times New Roman"/>
                <w:color w:val="auto"/>
              </w:rPr>
              <w:t>4.</w:t>
            </w:r>
            <w:r>
              <w:rPr>
                <w:rFonts w:hint="eastAsia" w:ascii="Times New Roman" w:hAnsi="Times New Roman"/>
                <w:color w:val="auto"/>
              </w:rPr>
              <w:t>2</w:t>
            </w:r>
          </w:p>
        </w:tc>
        <w:tc>
          <w:tcPr>
            <w:tcW w:w="996" w:type="pct"/>
            <w:noWrap/>
            <w:vAlign w:val="center"/>
          </w:tcPr>
          <w:p w14:paraId="2A6B2228">
            <w:pPr>
              <w:pStyle w:val="17"/>
              <w:bidi w:val="0"/>
              <w:rPr>
                <w:rFonts w:ascii="Times New Roman" w:hAnsi="Times New Roman"/>
                <w:color w:val="auto"/>
              </w:rPr>
            </w:pPr>
            <w:r>
              <w:rPr>
                <w:rFonts w:ascii="Times New Roman" w:hAnsi="Times New Roman"/>
                <w:color w:val="auto"/>
              </w:rPr>
              <w:t>装载机</w:t>
            </w:r>
          </w:p>
        </w:tc>
        <w:tc>
          <w:tcPr>
            <w:tcW w:w="1750" w:type="pct"/>
            <w:noWrap/>
            <w:vAlign w:val="center"/>
          </w:tcPr>
          <w:p w14:paraId="6B0A1C30">
            <w:pPr>
              <w:pStyle w:val="17"/>
              <w:bidi w:val="0"/>
              <w:rPr>
                <w:rFonts w:ascii="Times New Roman" w:hAnsi="Times New Roman"/>
                <w:color w:val="auto"/>
              </w:rPr>
            </w:pPr>
            <w:r>
              <w:rPr>
                <w:rFonts w:hint="eastAsia" w:ascii="Times New Roman" w:hAnsi="Times New Roman"/>
                <w:color w:val="auto"/>
              </w:rPr>
              <w:t>临工995</w:t>
            </w:r>
          </w:p>
        </w:tc>
        <w:tc>
          <w:tcPr>
            <w:tcW w:w="449" w:type="pct"/>
            <w:noWrap/>
            <w:vAlign w:val="center"/>
          </w:tcPr>
          <w:p w14:paraId="7DE85E76">
            <w:pPr>
              <w:pStyle w:val="17"/>
              <w:bidi w:val="0"/>
              <w:rPr>
                <w:rFonts w:ascii="Times New Roman" w:hAnsi="Times New Roman"/>
                <w:color w:val="auto"/>
              </w:rPr>
            </w:pPr>
            <w:r>
              <w:rPr>
                <w:rFonts w:ascii="Times New Roman" w:hAnsi="Times New Roman"/>
                <w:color w:val="auto"/>
              </w:rPr>
              <w:t>台</w:t>
            </w:r>
          </w:p>
        </w:tc>
        <w:tc>
          <w:tcPr>
            <w:tcW w:w="449" w:type="pct"/>
            <w:noWrap/>
            <w:vAlign w:val="center"/>
          </w:tcPr>
          <w:p w14:paraId="567CCCFA">
            <w:pPr>
              <w:pStyle w:val="17"/>
              <w:bidi w:val="0"/>
              <w:rPr>
                <w:rFonts w:ascii="Times New Roman" w:hAnsi="Times New Roman"/>
                <w:color w:val="auto"/>
              </w:rPr>
            </w:pPr>
            <w:r>
              <w:rPr>
                <w:rFonts w:hint="eastAsia" w:ascii="Times New Roman" w:hAnsi="Times New Roman"/>
                <w:color w:val="auto"/>
              </w:rPr>
              <w:t>1</w:t>
            </w:r>
          </w:p>
        </w:tc>
        <w:tc>
          <w:tcPr>
            <w:tcW w:w="449" w:type="pct"/>
            <w:noWrap/>
            <w:vAlign w:val="center"/>
          </w:tcPr>
          <w:p w14:paraId="0CD07342">
            <w:pPr>
              <w:pStyle w:val="17"/>
              <w:bidi w:val="0"/>
              <w:rPr>
                <w:rFonts w:ascii="Times New Roman" w:hAnsi="Times New Roman"/>
                <w:color w:val="auto"/>
              </w:rPr>
            </w:pPr>
            <w:r>
              <w:rPr>
                <w:rFonts w:ascii="Times New Roman" w:hAnsi="Times New Roman"/>
                <w:color w:val="auto"/>
              </w:rPr>
              <w:t>0</w:t>
            </w:r>
          </w:p>
        </w:tc>
        <w:tc>
          <w:tcPr>
            <w:tcW w:w="456" w:type="pct"/>
            <w:noWrap/>
            <w:vAlign w:val="center"/>
          </w:tcPr>
          <w:p w14:paraId="33E255B0">
            <w:pPr>
              <w:pStyle w:val="17"/>
              <w:bidi w:val="0"/>
              <w:rPr>
                <w:rFonts w:ascii="Times New Roman" w:hAnsi="Times New Roman"/>
                <w:color w:val="auto"/>
              </w:rPr>
            </w:pPr>
            <w:r>
              <w:rPr>
                <w:rFonts w:hint="eastAsia" w:ascii="Times New Roman" w:hAnsi="Times New Roman"/>
                <w:color w:val="auto"/>
              </w:rPr>
              <w:t>1</w:t>
            </w:r>
          </w:p>
        </w:tc>
      </w:tr>
      <w:tr w14:paraId="52D6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7" w:type="pct"/>
            <w:noWrap/>
            <w:vAlign w:val="center"/>
          </w:tcPr>
          <w:p w14:paraId="08A9F4C0">
            <w:pPr>
              <w:pStyle w:val="17"/>
              <w:bidi w:val="0"/>
              <w:rPr>
                <w:rFonts w:ascii="Times New Roman" w:hAnsi="Times New Roman"/>
                <w:color w:val="auto"/>
              </w:rPr>
            </w:pPr>
            <w:r>
              <w:rPr>
                <w:rFonts w:ascii="Times New Roman" w:hAnsi="Times New Roman"/>
                <w:color w:val="auto"/>
              </w:rPr>
              <w:t>4.</w:t>
            </w:r>
            <w:r>
              <w:rPr>
                <w:rFonts w:hint="eastAsia" w:ascii="Times New Roman" w:hAnsi="Times New Roman"/>
                <w:color w:val="auto"/>
              </w:rPr>
              <w:t>3</w:t>
            </w:r>
          </w:p>
        </w:tc>
        <w:tc>
          <w:tcPr>
            <w:tcW w:w="996" w:type="pct"/>
            <w:noWrap/>
            <w:vAlign w:val="center"/>
          </w:tcPr>
          <w:p w14:paraId="7B1F0C24">
            <w:pPr>
              <w:pStyle w:val="17"/>
              <w:bidi w:val="0"/>
              <w:rPr>
                <w:rFonts w:ascii="Times New Roman" w:hAnsi="Times New Roman"/>
                <w:color w:val="auto"/>
              </w:rPr>
            </w:pPr>
            <w:r>
              <w:rPr>
                <w:rFonts w:ascii="Times New Roman" w:hAnsi="Times New Roman"/>
                <w:color w:val="auto"/>
              </w:rPr>
              <w:t>洒水车</w:t>
            </w:r>
          </w:p>
        </w:tc>
        <w:tc>
          <w:tcPr>
            <w:tcW w:w="1750" w:type="pct"/>
            <w:noWrap/>
            <w:vAlign w:val="center"/>
          </w:tcPr>
          <w:p w14:paraId="7121A93A">
            <w:pPr>
              <w:pStyle w:val="17"/>
              <w:bidi w:val="0"/>
              <w:rPr>
                <w:rFonts w:ascii="Times New Roman" w:hAnsi="Times New Roman"/>
                <w:color w:val="auto"/>
              </w:rPr>
            </w:pPr>
            <w:r>
              <w:rPr>
                <w:rFonts w:ascii="Times New Roman" w:hAnsi="Times New Roman"/>
                <w:color w:val="auto"/>
              </w:rPr>
              <w:t>矿用</w:t>
            </w:r>
            <w:r>
              <w:rPr>
                <w:rFonts w:hint="eastAsia" w:ascii="Times New Roman" w:hAnsi="Times New Roman"/>
                <w:color w:val="auto"/>
              </w:rPr>
              <w:t>8</w:t>
            </w:r>
            <w:r>
              <w:rPr>
                <w:rFonts w:ascii="Times New Roman" w:hAnsi="Times New Roman"/>
                <w:color w:val="auto"/>
              </w:rPr>
              <w:t>m</w:t>
            </w:r>
            <w:r>
              <w:rPr>
                <w:rFonts w:ascii="Times New Roman" w:hAnsi="Times New Roman"/>
                <w:color w:val="auto"/>
                <w:vertAlign w:val="superscript"/>
              </w:rPr>
              <w:t>3</w:t>
            </w:r>
            <w:r>
              <w:rPr>
                <w:rFonts w:ascii="Times New Roman" w:hAnsi="Times New Roman"/>
                <w:color w:val="auto"/>
              </w:rPr>
              <w:t>洒水车</w:t>
            </w:r>
          </w:p>
        </w:tc>
        <w:tc>
          <w:tcPr>
            <w:tcW w:w="449" w:type="pct"/>
            <w:noWrap/>
            <w:vAlign w:val="center"/>
          </w:tcPr>
          <w:p w14:paraId="3366027E">
            <w:pPr>
              <w:pStyle w:val="17"/>
              <w:bidi w:val="0"/>
              <w:rPr>
                <w:rFonts w:ascii="Times New Roman" w:hAnsi="Times New Roman"/>
                <w:color w:val="auto"/>
              </w:rPr>
            </w:pPr>
            <w:r>
              <w:rPr>
                <w:rFonts w:ascii="Times New Roman" w:hAnsi="Times New Roman"/>
                <w:color w:val="auto"/>
              </w:rPr>
              <w:t>辆</w:t>
            </w:r>
          </w:p>
        </w:tc>
        <w:tc>
          <w:tcPr>
            <w:tcW w:w="449" w:type="pct"/>
            <w:noWrap/>
            <w:vAlign w:val="center"/>
          </w:tcPr>
          <w:p w14:paraId="6B7A6F51">
            <w:pPr>
              <w:pStyle w:val="17"/>
              <w:bidi w:val="0"/>
              <w:rPr>
                <w:rFonts w:ascii="Times New Roman" w:hAnsi="Times New Roman"/>
                <w:color w:val="auto"/>
              </w:rPr>
            </w:pPr>
            <w:r>
              <w:rPr>
                <w:rFonts w:ascii="Times New Roman" w:hAnsi="Times New Roman"/>
                <w:color w:val="auto"/>
              </w:rPr>
              <w:t>1</w:t>
            </w:r>
          </w:p>
        </w:tc>
        <w:tc>
          <w:tcPr>
            <w:tcW w:w="449" w:type="pct"/>
            <w:noWrap/>
            <w:vAlign w:val="center"/>
          </w:tcPr>
          <w:p w14:paraId="530D6492">
            <w:pPr>
              <w:pStyle w:val="17"/>
              <w:bidi w:val="0"/>
              <w:rPr>
                <w:rFonts w:ascii="Times New Roman" w:hAnsi="Times New Roman"/>
                <w:color w:val="auto"/>
              </w:rPr>
            </w:pPr>
            <w:r>
              <w:rPr>
                <w:rFonts w:ascii="Times New Roman" w:hAnsi="Times New Roman"/>
                <w:color w:val="auto"/>
              </w:rPr>
              <w:t>0</w:t>
            </w:r>
          </w:p>
        </w:tc>
        <w:tc>
          <w:tcPr>
            <w:tcW w:w="456" w:type="pct"/>
            <w:noWrap/>
            <w:vAlign w:val="center"/>
          </w:tcPr>
          <w:p w14:paraId="43D80F7A">
            <w:pPr>
              <w:pStyle w:val="17"/>
              <w:bidi w:val="0"/>
              <w:rPr>
                <w:rFonts w:ascii="Times New Roman" w:hAnsi="Times New Roman"/>
                <w:color w:val="auto"/>
              </w:rPr>
            </w:pPr>
            <w:r>
              <w:rPr>
                <w:rFonts w:ascii="Times New Roman" w:hAnsi="Times New Roman"/>
                <w:color w:val="auto"/>
              </w:rPr>
              <w:t>1</w:t>
            </w:r>
          </w:p>
        </w:tc>
      </w:tr>
      <w:bookmarkEnd w:id="87"/>
    </w:tbl>
    <w:p w14:paraId="7B04513F">
      <w:pPr>
        <w:pStyle w:val="4"/>
        <w:bidi w:val="0"/>
        <w:rPr>
          <w:rFonts w:hint="eastAsia" w:ascii="Times New Roman" w:hAnsi="Times New Roman" w:eastAsia="宋体"/>
          <w:color w:val="auto"/>
          <w:lang w:val="en-US" w:eastAsia="zh-CN"/>
        </w:rPr>
      </w:pPr>
      <w:bookmarkStart w:id="88" w:name="_Toc8081"/>
      <w:r>
        <w:rPr>
          <w:rFonts w:hint="eastAsia" w:ascii="Times New Roman" w:hAnsi="Times New Roman"/>
          <w:color w:val="auto"/>
          <w:lang w:val="en-US" w:eastAsia="zh-CN"/>
        </w:rPr>
        <w:t>2.4.7 通风防尘系统</w:t>
      </w:r>
      <w:bookmarkEnd w:id="88"/>
    </w:p>
    <w:p w14:paraId="14AAC328">
      <w:pPr>
        <w:bidi w:val="0"/>
        <w:rPr>
          <w:rFonts w:hint="eastAsia" w:ascii="Times New Roman" w:hAnsi="Times New Roman"/>
          <w:color w:val="auto"/>
          <w:lang w:val="en-US" w:eastAsia="zh-CN"/>
        </w:rPr>
      </w:pPr>
      <w:r>
        <w:rPr>
          <w:rFonts w:hint="eastAsia" w:ascii="Times New Roman" w:hAnsi="Times New Roman"/>
          <w:color w:val="auto"/>
          <w:lang w:val="en-US" w:eastAsia="zh-CN"/>
        </w:rPr>
        <w:t>1、通风</w:t>
      </w:r>
    </w:p>
    <w:p w14:paraId="10DAA6F4">
      <w:pPr>
        <w:bidi w:val="0"/>
        <w:rPr>
          <w:rFonts w:hint="eastAsia" w:ascii="Times New Roman" w:hAnsi="Times New Roman"/>
          <w:color w:val="auto"/>
          <w:lang w:val="en-US" w:eastAsia="zh-CN"/>
        </w:rPr>
      </w:pPr>
      <w:r>
        <w:rPr>
          <w:rFonts w:hint="eastAsia" w:ascii="Times New Roman" w:hAnsi="Times New Roman"/>
          <w:color w:val="auto"/>
          <w:lang w:val="en-US" w:eastAsia="zh-CN"/>
        </w:rPr>
        <w:t>本项目为露天开采，作业面均有良好的自然通风条件，不需采取人为的通风方式。</w:t>
      </w:r>
    </w:p>
    <w:p w14:paraId="64432D1C">
      <w:pPr>
        <w:bidi w:val="0"/>
        <w:rPr>
          <w:rFonts w:hint="default" w:ascii="Times New Roman" w:hAnsi="Times New Roman"/>
          <w:color w:val="auto"/>
          <w:lang w:val="en-US" w:eastAsia="zh-CN"/>
        </w:rPr>
      </w:pPr>
      <w:r>
        <w:rPr>
          <w:rFonts w:hint="eastAsia" w:ascii="Times New Roman" w:hAnsi="Times New Roman"/>
          <w:color w:val="auto"/>
          <w:lang w:val="en-US" w:eastAsia="zh-CN"/>
        </w:rPr>
        <w:t>2、除尘</w:t>
      </w:r>
    </w:p>
    <w:p w14:paraId="724C3A5B">
      <w:pPr>
        <w:bidi w:val="0"/>
        <w:rPr>
          <w:rFonts w:hint="eastAsia" w:ascii="Times New Roman" w:hAnsi="Times New Roman"/>
          <w:color w:val="auto"/>
          <w:lang w:val="en-US" w:eastAsia="zh-CN"/>
        </w:rPr>
      </w:pPr>
      <w:r>
        <w:rPr>
          <w:rFonts w:hint="eastAsia" w:ascii="Times New Roman" w:hAnsi="Times New Roman"/>
          <w:color w:val="auto"/>
          <w:lang w:val="en-US" w:eastAsia="zh-CN"/>
        </w:rPr>
        <w:t>（1）设计对中深孔爆破采用多排孔微差爆破。可降低场内二次爆破频率，减少粉尘产生量。</w:t>
      </w:r>
    </w:p>
    <w:p w14:paraId="2BE7E07C">
      <w:pPr>
        <w:bidi w:val="0"/>
        <w:rPr>
          <w:rFonts w:hint="eastAsia" w:ascii="Times New Roman" w:hAnsi="Times New Roman"/>
          <w:color w:val="auto"/>
          <w:lang w:val="en-US" w:eastAsia="zh-CN"/>
        </w:rPr>
      </w:pPr>
      <w:r>
        <w:rPr>
          <w:rFonts w:hint="eastAsia" w:ascii="Times New Roman" w:hAnsi="Times New Roman"/>
          <w:color w:val="auto"/>
          <w:lang w:val="en-US" w:eastAsia="zh-CN"/>
        </w:rPr>
        <w:t>（2）穿孔采用干式捕尘系统。矿山采用潜孔钻机穿孔，其独特的高速液压马达驱动的风扇除尘系统在分体风动钻机实现了完美除尘，达到了全液压履带钻机的水平，使司机彻底摆脱粉尘之苦除尘效率达99.9%，外排废气含尘深度低于2mg/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w:t>
      </w:r>
    </w:p>
    <w:p w14:paraId="3CE57267">
      <w:pPr>
        <w:bidi w:val="0"/>
        <w:rPr>
          <w:rFonts w:hint="eastAsia" w:ascii="Times New Roman" w:hAnsi="Times New Roman"/>
          <w:color w:val="auto"/>
          <w:lang w:val="en-US" w:eastAsia="zh-CN"/>
        </w:rPr>
      </w:pPr>
      <w:r>
        <w:rPr>
          <w:rFonts w:hint="eastAsia" w:ascii="Times New Roman" w:hAnsi="Times New Roman"/>
          <w:color w:val="auto"/>
          <w:lang w:val="en-US" w:eastAsia="zh-CN"/>
        </w:rPr>
        <w:t>（3）对采场爆堆和运输道路扬尘采用洒水车进行洒水抑尘，从而降低挖掘机装车和运输道路产生的二次扬尘。</w:t>
      </w:r>
    </w:p>
    <w:p w14:paraId="3BA943EA">
      <w:pPr>
        <w:bidi w:val="0"/>
        <w:rPr>
          <w:rFonts w:hint="eastAsia" w:ascii="Times New Roman" w:hAnsi="Times New Roman"/>
          <w:color w:val="auto"/>
          <w:lang w:val="en-US" w:eastAsia="zh-CN"/>
        </w:rPr>
      </w:pPr>
      <w:r>
        <w:rPr>
          <w:rFonts w:hint="eastAsia" w:ascii="Times New Roman" w:hAnsi="Times New Roman"/>
          <w:color w:val="auto"/>
          <w:lang w:val="en-US" w:eastAsia="zh-CN"/>
        </w:rPr>
        <w:t>（4）在矿山及汽车队，设洗车装置清洗汽车，减少扬尘。</w:t>
      </w:r>
    </w:p>
    <w:p w14:paraId="31E7DEBB">
      <w:pPr>
        <w:bidi w:val="0"/>
        <w:rPr>
          <w:rFonts w:hint="eastAsia" w:ascii="Times New Roman" w:hAnsi="Times New Roman"/>
          <w:color w:val="auto"/>
          <w:lang w:val="en-US" w:eastAsia="zh-CN"/>
        </w:rPr>
      </w:pPr>
      <w:r>
        <w:rPr>
          <w:rFonts w:hint="eastAsia" w:ascii="Times New Roman" w:hAnsi="Times New Roman"/>
          <w:color w:val="auto"/>
          <w:lang w:val="en-US" w:eastAsia="zh-CN"/>
        </w:rPr>
        <w:t>（5）在破碎站卸料口设置水管喷雾降尘，在破碎机旁配备了破碎除尘器，以达到降尘的作用。</w:t>
      </w:r>
    </w:p>
    <w:p w14:paraId="72F20F60">
      <w:pPr>
        <w:pStyle w:val="4"/>
        <w:bidi w:val="0"/>
        <w:rPr>
          <w:rFonts w:hint="eastAsia" w:ascii="Times New Roman" w:hAnsi="Times New Roman"/>
          <w:color w:val="auto"/>
          <w:lang w:val="en-US" w:eastAsia="zh-CN"/>
        </w:rPr>
      </w:pPr>
      <w:bookmarkStart w:id="89" w:name="_Toc13229"/>
      <w:r>
        <w:rPr>
          <w:rFonts w:hint="eastAsia" w:ascii="Times New Roman" w:hAnsi="Times New Roman"/>
          <w:color w:val="auto"/>
          <w:lang w:val="en-US" w:eastAsia="zh-CN"/>
        </w:rPr>
        <w:t>2.4.8 矿山供配电设施</w:t>
      </w:r>
      <w:bookmarkEnd w:id="89"/>
    </w:p>
    <w:p w14:paraId="7BAFCF40">
      <w:pPr>
        <w:bidi w:val="0"/>
        <w:rPr>
          <w:rFonts w:hint="eastAsia" w:ascii="Times New Roman" w:hAnsi="Times New Roman"/>
          <w:color w:val="auto"/>
          <w:lang w:val="en-US" w:eastAsia="zh-CN"/>
        </w:rPr>
      </w:pPr>
      <w:r>
        <w:rPr>
          <w:rFonts w:hint="eastAsia" w:ascii="Times New Roman" w:hAnsi="Times New Roman"/>
          <w:color w:val="auto"/>
          <w:lang w:val="en-US" w:eastAsia="zh-CN"/>
        </w:rPr>
        <w:t>矿山供电引自附近村镇10kV电网，经矿山配电室降压后供给矿山用电设备，能够满足矿山生产需求。</w:t>
      </w:r>
    </w:p>
    <w:p w14:paraId="6213410D">
      <w:pPr>
        <w:bidi w:val="0"/>
        <w:rPr>
          <w:rFonts w:hint="eastAsia" w:ascii="Times New Roman" w:hAnsi="Times New Roman"/>
          <w:color w:val="auto"/>
          <w:lang w:val="en-US" w:eastAsia="zh-CN"/>
        </w:rPr>
      </w:pPr>
      <w:r>
        <w:rPr>
          <w:rFonts w:hint="eastAsia" w:ascii="Times New Roman" w:hAnsi="Times New Roman"/>
          <w:color w:val="auto"/>
          <w:lang w:val="en-US" w:eastAsia="zh-CN"/>
        </w:rPr>
        <w:t>1、供电电源</w:t>
      </w:r>
    </w:p>
    <w:p w14:paraId="127A9AF3">
      <w:pPr>
        <w:bidi w:val="0"/>
        <w:rPr>
          <w:rFonts w:hint="eastAsia" w:ascii="Times New Roman" w:hAnsi="Times New Roman"/>
          <w:color w:val="auto"/>
          <w:lang w:val="en-US" w:eastAsia="zh-CN"/>
        </w:rPr>
      </w:pPr>
      <w:r>
        <w:rPr>
          <w:rFonts w:hint="eastAsia" w:ascii="Times New Roman" w:hAnsi="Times New Roman"/>
          <w:color w:val="auto"/>
          <w:lang w:val="en-US" w:eastAsia="zh-CN"/>
        </w:rPr>
        <w:t>矿山配电电压采用10kV，采矿场采用沿采矿场边缘架设半环形固定式、干线式配电系统，并在线路的入口处和分段处以及干线、环形与分支线路连接处装设负荷开关。低压电网装设具有剩余电流动作的保护器作单相接地故障保护，其末端线路的切断时间不大于0.1s。</w:t>
      </w:r>
    </w:p>
    <w:p w14:paraId="7A7ABB2A">
      <w:pPr>
        <w:bidi w:val="0"/>
        <w:rPr>
          <w:rFonts w:hint="eastAsia" w:ascii="Times New Roman" w:hAnsi="Times New Roman"/>
          <w:color w:val="auto"/>
          <w:lang w:val="en-US" w:eastAsia="zh-CN"/>
        </w:rPr>
      </w:pPr>
      <w:r>
        <w:rPr>
          <w:rFonts w:hint="eastAsia" w:ascii="Times New Roman" w:hAnsi="Times New Roman"/>
          <w:color w:val="auto"/>
          <w:lang w:val="en-US" w:eastAsia="zh-CN"/>
        </w:rPr>
        <w:t>根据采矿场负荷利用800kVA电力变压器1台对破碎站、工业场地、采场照明等供电。</w:t>
      </w:r>
    </w:p>
    <w:p w14:paraId="413DF3A8">
      <w:pPr>
        <w:bidi w:val="0"/>
        <w:rPr>
          <w:rFonts w:hint="eastAsia" w:ascii="Times New Roman" w:hAnsi="Times New Roman"/>
          <w:color w:val="auto"/>
          <w:lang w:val="en-US" w:eastAsia="zh-CN"/>
        </w:rPr>
      </w:pPr>
      <w:r>
        <w:rPr>
          <w:rFonts w:hint="eastAsia" w:ascii="Times New Roman" w:hAnsi="Times New Roman"/>
          <w:color w:val="auto"/>
          <w:lang w:val="en-US" w:eastAsia="zh-CN"/>
        </w:rPr>
        <w:t>2、电压等级</w:t>
      </w:r>
    </w:p>
    <w:p w14:paraId="09534CD3">
      <w:pPr>
        <w:bidi w:val="0"/>
        <w:rPr>
          <w:rFonts w:hint="eastAsia" w:ascii="Times New Roman" w:hAnsi="Times New Roman"/>
          <w:color w:val="auto"/>
          <w:lang w:val="en-US" w:eastAsia="zh-CN"/>
        </w:rPr>
      </w:pPr>
      <w:r>
        <w:rPr>
          <w:rFonts w:hint="eastAsia" w:ascii="Times New Roman" w:hAnsi="Times New Roman"/>
          <w:color w:val="auto"/>
          <w:lang w:val="en-US" w:eastAsia="zh-CN"/>
        </w:rPr>
        <w:t>矿山配电站受电电压：10KV；</w:t>
      </w:r>
    </w:p>
    <w:p w14:paraId="05EB2AA2">
      <w:pPr>
        <w:bidi w:val="0"/>
        <w:rPr>
          <w:rFonts w:hint="eastAsia" w:ascii="Times New Roman" w:hAnsi="Times New Roman"/>
          <w:color w:val="auto"/>
          <w:lang w:val="en-US" w:eastAsia="zh-CN"/>
        </w:rPr>
      </w:pPr>
      <w:r>
        <w:rPr>
          <w:rFonts w:hint="eastAsia" w:ascii="Times New Roman" w:hAnsi="Times New Roman"/>
          <w:color w:val="auto"/>
          <w:lang w:val="en-US" w:eastAsia="zh-CN"/>
        </w:rPr>
        <w:t>高压配电电压：10KV；</w:t>
      </w:r>
    </w:p>
    <w:p w14:paraId="5C9D87A0">
      <w:pPr>
        <w:bidi w:val="0"/>
        <w:rPr>
          <w:rFonts w:hint="eastAsia" w:ascii="Times New Roman" w:hAnsi="Times New Roman"/>
          <w:color w:val="auto"/>
          <w:lang w:val="en-US" w:eastAsia="zh-CN"/>
        </w:rPr>
      </w:pPr>
      <w:r>
        <w:rPr>
          <w:rFonts w:hint="eastAsia" w:ascii="Times New Roman" w:hAnsi="Times New Roman"/>
          <w:color w:val="auto"/>
          <w:lang w:val="en-US" w:eastAsia="zh-CN"/>
        </w:rPr>
        <w:t>低压配电电压：380/220V；</w:t>
      </w:r>
    </w:p>
    <w:p w14:paraId="1E585F85">
      <w:pPr>
        <w:bidi w:val="0"/>
        <w:rPr>
          <w:rFonts w:hint="eastAsia" w:ascii="Times New Roman" w:hAnsi="Times New Roman"/>
          <w:color w:val="auto"/>
          <w:lang w:val="en-US" w:eastAsia="zh-CN"/>
        </w:rPr>
      </w:pPr>
      <w:r>
        <w:rPr>
          <w:rFonts w:hint="eastAsia" w:ascii="Times New Roman" w:hAnsi="Times New Roman"/>
          <w:color w:val="auto"/>
          <w:lang w:val="en-US" w:eastAsia="zh-CN"/>
        </w:rPr>
        <w:t>低压电动机电压：380V；</w:t>
      </w:r>
    </w:p>
    <w:p w14:paraId="091DDA6F">
      <w:pPr>
        <w:bidi w:val="0"/>
        <w:rPr>
          <w:rFonts w:hint="eastAsia" w:ascii="Times New Roman" w:hAnsi="Times New Roman"/>
          <w:color w:val="auto"/>
          <w:lang w:val="en-US" w:eastAsia="zh-CN"/>
        </w:rPr>
      </w:pPr>
      <w:r>
        <w:rPr>
          <w:rFonts w:hint="eastAsia" w:ascii="Times New Roman" w:hAnsi="Times New Roman"/>
          <w:color w:val="auto"/>
          <w:lang w:val="en-US" w:eastAsia="zh-CN"/>
        </w:rPr>
        <w:t>检修、照明电压：220V。</w:t>
      </w:r>
    </w:p>
    <w:p w14:paraId="5AEDC5EF">
      <w:pPr>
        <w:bidi w:val="0"/>
        <w:rPr>
          <w:rFonts w:hint="eastAsia" w:ascii="Times New Roman" w:hAnsi="Times New Roman"/>
          <w:color w:val="auto"/>
          <w:lang w:val="en-US" w:eastAsia="zh-CN"/>
        </w:rPr>
      </w:pPr>
      <w:r>
        <w:rPr>
          <w:rFonts w:hint="eastAsia" w:ascii="Times New Roman" w:hAnsi="Times New Roman"/>
          <w:color w:val="auto"/>
          <w:lang w:val="en-US" w:eastAsia="zh-CN"/>
        </w:rPr>
        <w:t>3、供配电系统</w:t>
      </w:r>
    </w:p>
    <w:p w14:paraId="697527C4">
      <w:pPr>
        <w:bidi w:val="0"/>
        <w:rPr>
          <w:rFonts w:hint="eastAsia" w:ascii="Times New Roman" w:hAnsi="Times New Roman"/>
          <w:color w:val="auto"/>
          <w:lang w:val="en-US" w:eastAsia="zh-CN"/>
        </w:rPr>
      </w:pPr>
      <w:r>
        <w:rPr>
          <w:rFonts w:hint="eastAsia" w:ascii="Times New Roman" w:hAnsi="Times New Roman"/>
          <w:color w:val="auto"/>
          <w:lang w:val="en-US" w:eastAsia="zh-CN"/>
        </w:rPr>
        <w:t>（1）本工程由矿区附近村镇10kV高压电网“T”接而来，10kV的高压电经矿山变压器降压后，变为380V的低压电，然后送到低压配电柜，再由低压配电柜以放射式向各用电车间供电。</w:t>
      </w:r>
    </w:p>
    <w:p w14:paraId="259CD593">
      <w:pPr>
        <w:bidi w:val="0"/>
        <w:rPr>
          <w:rFonts w:hint="eastAsia" w:ascii="Times New Roman" w:hAnsi="Times New Roman"/>
          <w:color w:val="auto"/>
          <w:lang w:val="en-US" w:eastAsia="zh-CN"/>
        </w:rPr>
      </w:pPr>
      <w:r>
        <w:rPr>
          <w:rFonts w:hint="eastAsia" w:ascii="Times New Roman" w:hAnsi="Times New Roman"/>
          <w:color w:val="auto"/>
          <w:lang w:val="en-US" w:eastAsia="zh-CN"/>
        </w:rPr>
        <w:t>（2）配电站的接线方式</w:t>
      </w:r>
    </w:p>
    <w:p w14:paraId="6D8CC769">
      <w:pPr>
        <w:bidi w:val="0"/>
        <w:rPr>
          <w:rFonts w:hint="eastAsia" w:ascii="Times New Roman" w:hAnsi="Times New Roman"/>
          <w:color w:val="auto"/>
          <w:lang w:val="en-US" w:eastAsia="zh-CN"/>
        </w:rPr>
      </w:pPr>
      <w:r>
        <w:rPr>
          <w:rFonts w:hint="eastAsia" w:ascii="Times New Roman" w:hAnsi="Times New Roman"/>
          <w:color w:val="auto"/>
          <w:lang w:val="en-US" w:eastAsia="zh-CN"/>
        </w:rPr>
        <w:t>本工程由矿区附近村镇10kV高压电网“T”接而来，采用10kV单回路受电，配电站内为单母线不分段运行方式。</w:t>
      </w:r>
    </w:p>
    <w:p w14:paraId="7D297B1A">
      <w:pPr>
        <w:bidi w:val="0"/>
        <w:rPr>
          <w:rFonts w:hint="eastAsia" w:ascii="Times New Roman" w:hAnsi="Times New Roman"/>
          <w:color w:val="auto"/>
          <w:lang w:val="en-US" w:eastAsia="zh-CN"/>
        </w:rPr>
      </w:pPr>
      <w:r>
        <w:rPr>
          <w:rFonts w:hint="eastAsia" w:ascii="Times New Roman" w:hAnsi="Times New Roman"/>
          <w:color w:val="auto"/>
          <w:lang w:val="en-US" w:eastAsia="zh-CN"/>
        </w:rPr>
        <w:t>（3）主要设备选型及操作方式：</w:t>
      </w:r>
    </w:p>
    <w:p w14:paraId="4B585A91">
      <w:pPr>
        <w:bidi w:val="0"/>
        <w:rPr>
          <w:rFonts w:hint="eastAsia" w:ascii="Times New Roman" w:hAnsi="Times New Roman"/>
          <w:color w:val="auto"/>
          <w:lang w:val="en-US" w:eastAsia="zh-CN"/>
        </w:rPr>
      </w:pPr>
      <w:r>
        <w:rPr>
          <w:rFonts w:hint="eastAsia" w:ascii="Times New Roman" w:hAnsi="Times New Roman"/>
          <w:color w:val="auto"/>
          <w:lang w:val="en-US" w:eastAsia="zh-CN"/>
        </w:rPr>
        <w:t>1）设备选型</w:t>
      </w:r>
    </w:p>
    <w:p w14:paraId="5EDDD9FD">
      <w:pPr>
        <w:bidi w:val="0"/>
        <w:rPr>
          <w:rFonts w:hint="eastAsia" w:ascii="Times New Roman" w:hAnsi="Times New Roman"/>
          <w:color w:val="auto"/>
          <w:lang w:val="en-US" w:eastAsia="zh-CN"/>
        </w:rPr>
      </w:pPr>
      <w:r>
        <w:rPr>
          <w:rFonts w:hint="eastAsia" w:ascii="Times New Roman" w:hAnsi="Times New Roman"/>
          <w:color w:val="auto"/>
          <w:lang w:val="en-US" w:eastAsia="zh-CN"/>
        </w:rPr>
        <w:t>变压器采用通海型变压器，低损耗，高环保，绝缘强度高。变压器户外落地式安装，变压器型号800kVA。</w:t>
      </w:r>
    </w:p>
    <w:p w14:paraId="03B40ABA">
      <w:pPr>
        <w:bidi w:val="0"/>
        <w:rPr>
          <w:rFonts w:hint="eastAsia" w:ascii="Times New Roman" w:hAnsi="Times New Roman"/>
          <w:color w:val="auto"/>
          <w:lang w:val="en-US" w:eastAsia="zh-CN"/>
        </w:rPr>
      </w:pPr>
      <w:r>
        <w:rPr>
          <w:rFonts w:hint="eastAsia" w:ascii="Times New Roman" w:hAnsi="Times New Roman"/>
          <w:color w:val="auto"/>
          <w:lang w:val="en-US" w:eastAsia="zh-CN"/>
        </w:rPr>
        <w:t>10kV配电装置采用成套开关柜，柜内选用真空断路器。</w:t>
      </w:r>
    </w:p>
    <w:p w14:paraId="6CB27118">
      <w:pPr>
        <w:bidi w:val="0"/>
        <w:rPr>
          <w:rFonts w:hint="eastAsia" w:ascii="Times New Roman" w:hAnsi="Times New Roman"/>
          <w:color w:val="auto"/>
          <w:lang w:val="en-US" w:eastAsia="zh-CN"/>
        </w:rPr>
      </w:pPr>
      <w:r>
        <w:rPr>
          <w:rFonts w:hint="eastAsia" w:ascii="Times New Roman" w:hAnsi="Times New Roman"/>
          <w:color w:val="auto"/>
          <w:lang w:val="en-US" w:eastAsia="zh-CN"/>
        </w:rPr>
        <w:t>采用微机监控免维护直流屏。</w:t>
      </w:r>
    </w:p>
    <w:p w14:paraId="4FB5C5C3">
      <w:pPr>
        <w:bidi w:val="0"/>
        <w:rPr>
          <w:rFonts w:hint="eastAsia" w:ascii="Times New Roman" w:hAnsi="Times New Roman"/>
          <w:color w:val="auto"/>
          <w:lang w:val="en-US" w:eastAsia="zh-CN"/>
        </w:rPr>
      </w:pPr>
      <w:r>
        <w:rPr>
          <w:rFonts w:hint="eastAsia" w:ascii="Times New Roman" w:hAnsi="Times New Roman"/>
          <w:color w:val="auto"/>
          <w:lang w:val="en-US" w:eastAsia="zh-CN"/>
        </w:rPr>
        <w:t>配电站采用计算机综合保护器。</w:t>
      </w:r>
    </w:p>
    <w:p w14:paraId="7BBA2F23">
      <w:pPr>
        <w:bidi w:val="0"/>
        <w:rPr>
          <w:rFonts w:hint="eastAsia" w:ascii="Times New Roman" w:hAnsi="Times New Roman"/>
          <w:color w:val="auto"/>
          <w:lang w:val="en-US" w:eastAsia="zh-CN"/>
        </w:rPr>
      </w:pPr>
      <w:r>
        <w:rPr>
          <w:rFonts w:hint="eastAsia" w:ascii="Times New Roman" w:hAnsi="Times New Roman"/>
          <w:color w:val="auto"/>
          <w:lang w:val="en-US" w:eastAsia="zh-CN"/>
        </w:rPr>
        <w:t>2）操作及监视：</w:t>
      </w:r>
    </w:p>
    <w:p w14:paraId="41FDB100">
      <w:pPr>
        <w:bidi w:val="0"/>
        <w:rPr>
          <w:rFonts w:hint="eastAsia" w:ascii="Times New Roman" w:hAnsi="Times New Roman"/>
          <w:color w:val="auto"/>
          <w:lang w:val="en-US" w:eastAsia="zh-CN"/>
        </w:rPr>
      </w:pPr>
      <w:r>
        <w:rPr>
          <w:rFonts w:hint="eastAsia" w:ascii="Times New Roman" w:hAnsi="Times New Roman"/>
          <w:color w:val="auto"/>
          <w:lang w:val="en-US" w:eastAsia="zh-CN"/>
        </w:rPr>
        <w:t>变压器回路可直接在开关柜上分合闸，在集中方式时，也可集中操作分合闸；电动机回路在集中方式时，由中央控制室分合闸，紧急情况时也可在机旁分闸；在机旁方式时，由机旁控制箱分合闸。运行状态除在开关柜上指示外，还将电气测量及各种状态信号、故障信号等送入全厂DCS计算机控制系统，由中控室监控。</w:t>
      </w:r>
    </w:p>
    <w:p w14:paraId="5F80E1E9">
      <w:pPr>
        <w:bidi w:val="0"/>
        <w:rPr>
          <w:rFonts w:hint="eastAsia" w:ascii="Times New Roman" w:hAnsi="Times New Roman"/>
          <w:color w:val="auto"/>
          <w:lang w:val="en-US" w:eastAsia="zh-CN"/>
        </w:rPr>
      </w:pPr>
      <w:r>
        <w:rPr>
          <w:rFonts w:hint="eastAsia" w:ascii="Times New Roman" w:hAnsi="Times New Roman"/>
          <w:color w:val="auto"/>
          <w:lang w:val="en-US" w:eastAsia="zh-CN"/>
        </w:rPr>
        <w:t>4、继电保护及计量</w:t>
      </w:r>
    </w:p>
    <w:p w14:paraId="28ED6589">
      <w:pPr>
        <w:bidi w:val="0"/>
        <w:rPr>
          <w:rFonts w:hint="eastAsia" w:ascii="Times New Roman" w:hAnsi="Times New Roman"/>
          <w:color w:val="auto"/>
          <w:lang w:val="en-US" w:eastAsia="zh-CN"/>
        </w:rPr>
      </w:pPr>
      <w:r>
        <w:rPr>
          <w:rFonts w:hint="eastAsia" w:ascii="Times New Roman" w:hAnsi="Times New Roman"/>
          <w:color w:val="auto"/>
          <w:lang w:val="en-US" w:eastAsia="zh-CN"/>
        </w:rPr>
        <w:t>高压配电系统的继电保护按照GB50062-2008《电力装置的继电保护和自动设置设计规范》装设。</w:t>
      </w:r>
    </w:p>
    <w:p w14:paraId="6A19D748">
      <w:pPr>
        <w:bidi w:val="0"/>
        <w:rPr>
          <w:rFonts w:hint="eastAsia" w:ascii="Times New Roman" w:hAnsi="Times New Roman"/>
          <w:color w:val="auto"/>
          <w:lang w:val="en-US" w:eastAsia="zh-CN"/>
        </w:rPr>
      </w:pPr>
      <w:r>
        <w:rPr>
          <w:rFonts w:hint="eastAsia" w:ascii="Times New Roman" w:hAnsi="Times New Roman"/>
          <w:color w:val="auto"/>
          <w:lang w:val="en-US" w:eastAsia="zh-CN"/>
        </w:rPr>
        <w:t>配电站10kV进线保护：定时限过电流及电流速断；</w:t>
      </w:r>
    </w:p>
    <w:p w14:paraId="39CA2911">
      <w:pPr>
        <w:bidi w:val="0"/>
        <w:rPr>
          <w:rFonts w:hint="eastAsia" w:ascii="Times New Roman" w:hAnsi="Times New Roman"/>
          <w:color w:val="auto"/>
          <w:lang w:val="en-US" w:eastAsia="zh-CN"/>
        </w:rPr>
      </w:pPr>
      <w:r>
        <w:rPr>
          <w:rFonts w:hint="eastAsia" w:ascii="Times New Roman" w:hAnsi="Times New Roman"/>
          <w:color w:val="auto"/>
          <w:lang w:val="en-US" w:eastAsia="zh-CN"/>
        </w:rPr>
        <w:t>配电站10kV变压器回路的保护：定时限过电流及电流速断，过负荷及瓦斯和温度保护；</w:t>
      </w:r>
    </w:p>
    <w:p w14:paraId="685903D6">
      <w:pPr>
        <w:bidi w:val="0"/>
        <w:rPr>
          <w:rFonts w:hint="eastAsia" w:ascii="Times New Roman" w:hAnsi="Times New Roman"/>
          <w:color w:val="auto"/>
          <w:lang w:val="en-US" w:eastAsia="zh-CN"/>
        </w:rPr>
      </w:pPr>
      <w:r>
        <w:rPr>
          <w:rFonts w:hint="eastAsia" w:ascii="Times New Roman" w:hAnsi="Times New Roman"/>
          <w:color w:val="auto"/>
          <w:lang w:val="en-US" w:eastAsia="zh-CN"/>
        </w:rPr>
        <w:t>配电站10kV高压电动机保护：反时限过电流及电流速断，低电压及单相接地保护；</w:t>
      </w:r>
    </w:p>
    <w:p w14:paraId="2319FAED">
      <w:pPr>
        <w:bidi w:val="0"/>
        <w:rPr>
          <w:rFonts w:hint="eastAsia" w:ascii="Times New Roman" w:hAnsi="Times New Roman"/>
          <w:color w:val="auto"/>
          <w:lang w:val="en-US" w:eastAsia="zh-CN"/>
        </w:rPr>
      </w:pPr>
      <w:r>
        <w:rPr>
          <w:rFonts w:hint="eastAsia" w:ascii="Times New Roman" w:hAnsi="Times New Roman"/>
          <w:color w:val="auto"/>
          <w:lang w:val="en-US" w:eastAsia="zh-CN"/>
        </w:rPr>
        <w:t>配电站10kV电容器回路的保护：电流速断及定时限过电流保护。</w:t>
      </w:r>
    </w:p>
    <w:p w14:paraId="5B6C29CE">
      <w:pPr>
        <w:bidi w:val="0"/>
        <w:rPr>
          <w:rFonts w:hint="eastAsia" w:ascii="Times New Roman" w:hAnsi="Times New Roman"/>
          <w:color w:val="auto"/>
          <w:lang w:val="en-US" w:eastAsia="zh-CN"/>
        </w:rPr>
      </w:pPr>
      <w:r>
        <w:rPr>
          <w:rFonts w:hint="eastAsia" w:ascii="Times New Roman" w:hAnsi="Times New Roman"/>
          <w:color w:val="auto"/>
          <w:lang w:val="en-US" w:eastAsia="zh-CN"/>
        </w:rPr>
        <w:t>10kV配电站各回路设多功能表。</w:t>
      </w:r>
    </w:p>
    <w:p w14:paraId="791D87D4">
      <w:pPr>
        <w:bidi w:val="0"/>
        <w:rPr>
          <w:rFonts w:hint="eastAsia" w:ascii="Times New Roman" w:hAnsi="Times New Roman"/>
          <w:color w:val="auto"/>
          <w:lang w:val="en-US" w:eastAsia="zh-CN"/>
        </w:rPr>
      </w:pPr>
      <w:r>
        <w:rPr>
          <w:rFonts w:hint="eastAsia" w:ascii="Times New Roman" w:hAnsi="Times New Roman"/>
          <w:color w:val="auto"/>
          <w:lang w:val="en-US" w:eastAsia="zh-CN"/>
        </w:rPr>
        <w:t>5、功率因数补偿</w:t>
      </w:r>
    </w:p>
    <w:p w14:paraId="605BEB3E">
      <w:pPr>
        <w:bidi w:val="0"/>
        <w:rPr>
          <w:rFonts w:hint="eastAsia" w:ascii="Times New Roman" w:hAnsi="Times New Roman"/>
          <w:color w:val="auto"/>
          <w:lang w:val="en-US" w:eastAsia="zh-CN"/>
        </w:rPr>
      </w:pPr>
      <w:r>
        <w:rPr>
          <w:rFonts w:hint="eastAsia" w:ascii="Times New Roman" w:hAnsi="Times New Roman"/>
          <w:color w:val="auto"/>
          <w:lang w:val="en-US" w:eastAsia="zh-CN"/>
        </w:rPr>
        <w:t>低压在配电室380V母线处设低压功率因数自动补偿装置进行补偿。补偿后各电气室380V母线处功率因数达0.90。</w:t>
      </w:r>
    </w:p>
    <w:p w14:paraId="50CA32E0">
      <w:pPr>
        <w:bidi w:val="0"/>
        <w:rPr>
          <w:rFonts w:hint="eastAsia" w:ascii="Times New Roman" w:hAnsi="Times New Roman"/>
          <w:color w:val="auto"/>
          <w:lang w:val="en-US" w:eastAsia="zh-CN"/>
        </w:rPr>
      </w:pPr>
      <w:r>
        <w:rPr>
          <w:rFonts w:hint="eastAsia" w:ascii="Times New Roman" w:hAnsi="Times New Roman"/>
          <w:color w:val="auto"/>
          <w:lang w:val="en-US" w:eastAsia="zh-CN"/>
        </w:rPr>
        <w:t>6、配电线路</w:t>
      </w:r>
    </w:p>
    <w:p w14:paraId="596BC4E6">
      <w:pPr>
        <w:bidi w:val="0"/>
        <w:rPr>
          <w:rFonts w:hint="eastAsia" w:ascii="Times New Roman" w:hAnsi="Times New Roman"/>
          <w:color w:val="auto"/>
          <w:lang w:val="en-US" w:eastAsia="zh-CN"/>
        </w:rPr>
      </w:pPr>
      <w:r>
        <w:rPr>
          <w:rFonts w:hint="eastAsia" w:ascii="Times New Roman" w:hAnsi="Times New Roman"/>
          <w:color w:val="auto"/>
          <w:lang w:val="en-US" w:eastAsia="zh-CN"/>
        </w:rPr>
        <w:t>所有动力电缆及控制电缆均采用铜芯电缆。</w:t>
      </w:r>
    </w:p>
    <w:p w14:paraId="118C67FB">
      <w:pPr>
        <w:bidi w:val="0"/>
        <w:rPr>
          <w:rFonts w:hint="eastAsia" w:ascii="Times New Roman" w:hAnsi="Times New Roman"/>
          <w:color w:val="auto"/>
          <w:lang w:val="en-US" w:eastAsia="zh-CN"/>
        </w:rPr>
      </w:pPr>
      <w:r>
        <w:rPr>
          <w:rFonts w:hint="eastAsia" w:ascii="Times New Roman" w:hAnsi="Times New Roman"/>
          <w:color w:val="auto"/>
          <w:lang w:val="en-US" w:eastAsia="zh-CN"/>
        </w:rPr>
        <w:t>7、防雷保护及接地系统</w:t>
      </w:r>
    </w:p>
    <w:p w14:paraId="7B868598">
      <w:pPr>
        <w:bidi w:val="0"/>
        <w:rPr>
          <w:rFonts w:hint="eastAsia" w:ascii="Times New Roman" w:hAnsi="Times New Roman"/>
          <w:color w:val="auto"/>
          <w:lang w:val="en-US" w:eastAsia="zh-CN"/>
        </w:rPr>
      </w:pPr>
      <w:r>
        <w:rPr>
          <w:rFonts w:hint="eastAsia" w:ascii="Times New Roman" w:hAnsi="Times New Roman"/>
          <w:color w:val="auto"/>
          <w:lang w:val="en-US" w:eastAsia="zh-CN"/>
        </w:rPr>
        <w:t>（1）按国家防雷规范设置防雷保护。</w:t>
      </w:r>
    </w:p>
    <w:p w14:paraId="1E860520">
      <w:pPr>
        <w:bidi w:val="0"/>
        <w:rPr>
          <w:rFonts w:hint="eastAsia" w:ascii="Times New Roman" w:hAnsi="Times New Roman"/>
          <w:color w:val="auto"/>
          <w:lang w:val="en-US" w:eastAsia="zh-CN"/>
        </w:rPr>
      </w:pPr>
      <w:r>
        <w:rPr>
          <w:rFonts w:hint="eastAsia" w:ascii="Times New Roman" w:hAnsi="Times New Roman"/>
          <w:color w:val="auto"/>
          <w:lang w:val="en-US" w:eastAsia="zh-CN"/>
        </w:rPr>
        <w:t>10kV配电变压器及电动机应用避雷器保护，采用与旋转电机配套的氧化锌避雷器。</w:t>
      </w:r>
    </w:p>
    <w:p w14:paraId="644D732F">
      <w:pPr>
        <w:bidi w:val="0"/>
        <w:rPr>
          <w:rFonts w:hint="eastAsia" w:ascii="Times New Roman" w:hAnsi="Times New Roman"/>
          <w:color w:val="auto"/>
          <w:lang w:val="en-US" w:eastAsia="zh-CN"/>
        </w:rPr>
      </w:pPr>
      <w:r>
        <w:rPr>
          <w:rFonts w:hint="eastAsia" w:ascii="Times New Roman" w:hAnsi="Times New Roman"/>
          <w:color w:val="auto"/>
          <w:lang w:val="en-US" w:eastAsia="zh-CN"/>
        </w:rPr>
        <w:t>（2）接地系统：</w:t>
      </w:r>
    </w:p>
    <w:p w14:paraId="2F814203">
      <w:pPr>
        <w:bidi w:val="0"/>
        <w:rPr>
          <w:rFonts w:hint="eastAsia" w:ascii="Times New Roman" w:hAnsi="Times New Roman"/>
          <w:color w:val="auto"/>
          <w:lang w:val="en-US" w:eastAsia="zh-CN"/>
        </w:rPr>
      </w:pPr>
      <w:r>
        <w:rPr>
          <w:rFonts w:hint="eastAsia" w:ascii="Times New Roman" w:hAnsi="Times New Roman"/>
          <w:color w:val="auto"/>
          <w:lang w:val="en-US" w:eastAsia="zh-CN"/>
        </w:rPr>
        <w:t>10kV系统为小电流接地系统。</w:t>
      </w:r>
    </w:p>
    <w:p w14:paraId="4CD97ECB">
      <w:pPr>
        <w:bidi w:val="0"/>
        <w:rPr>
          <w:rFonts w:hint="eastAsia" w:ascii="Times New Roman" w:hAnsi="Times New Roman"/>
          <w:color w:val="auto"/>
          <w:lang w:val="en-US" w:eastAsia="zh-CN"/>
        </w:rPr>
      </w:pPr>
      <w:r>
        <w:rPr>
          <w:rFonts w:hint="eastAsia" w:ascii="Times New Roman" w:hAnsi="Times New Roman"/>
          <w:color w:val="auto"/>
          <w:lang w:val="en-US" w:eastAsia="zh-CN"/>
        </w:rPr>
        <w:t>380/220V低压配电系统：破碎站、工业场地、办公区等均采用TN-C-S接地系统。</w:t>
      </w:r>
    </w:p>
    <w:p w14:paraId="4E1C9EEF">
      <w:pPr>
        <w:bidi w:val="0"/>
        <w:rPr>
          <w:rFonts w:hint="eastAsia" w:ascii="Times New Roman" w:hAnsi="Times New Roman"/>
          <w:color w:val="auto"/>
          <w:lang w:val="en-US" w:eastAsia="zh-CN"/>
        </w:rPr>
      </w:pPr>
      <w:r>
        <w:rPr>
          <w:rFonts w:hint="eastAsia" w:ascii="Times New Roman" w:hAnsi="Times New Roman"/>
          <w:color w:val="auto"/>
          <w:lang w:val="en-US" w:eastAsia="zh-CN"/>
        </w:rPr>
        <w:t>8、低压设备选型</w:t>
      </w:r>
    </w:p>
    <w:p w14:paraId="1577096D">
      <w:pPr>
        <w:bidi w:val="0"/>
        <w:rPr>
          <w:rFonts w:hint="eastAsia" w:ascii="Times New Roman" w:hAnsi="Times New Roman"/>
          <w:color w:val="auto"/>
          <w:lang w:val="en-US" w:eastAsia="zh-CN"/>
        </w:rPr>
      </w:pPr>
      <w:r>
        <w:rPr>
          <w:rFonts w:hint="eastAsia" w:ascii="Times New Roman" w:hAnsi="Times New Roman"/>
          <w:color w:val="auto"/>
          <w:lang w:val="en-US" w:eastAsia="zh-CN"/>
        </w:rPr>
        <w:t>低压配电室采用户内型式，低压开关柜采用抽屉柜，配电柜柜内主要元器件：低压断路器、接触器、热继电器选用施耐德低压电器产品。</w:t>
      </w:r>
    </w:p>
    <w:p w14:paraId="5D32FD22">
      <w:pPr>
        <w:bidi w:val="0"/>
        <w:rPr>
          <w:rFonts w:hint="eastAsia" w:ascii="Times New Roman" w:hAnsi="Times New Roman"/>
          <w:color w:val="auto"/>
          <w:lang w:val="en-US" w:eastAsia="zh-CN"/>
        </w:rPr>
      </w:pPr>
      <w:r>
        <w:rPr>
          <w:rFonts w:hint="eastAsia" w:ascii="Times New Roman" w:hAnsi="Times New Roman"/>
          <w:color w:val="auto"/>
          <w:lang w:val="en-US" w:eastAsia="zh-CN"/>
        </w:rPr>
        <w:t>9、电气照明</w:t>
      </w:r>
    </w:p>
    <w:p w14:paraId="00F6D963">
      <w:pPr>
        <w:bidi w:val="0"/>
        <w:rPr>
          <w:rFonts w:hint="eastAsia" w:ascii="Times New Roman" w:hAnsi="Times New Roman"/>
          <w:color w:val="auto"/>
          <w:lang w:val="en-US" w:eastAsia="zh-CN"/>
        </w:rPr>
      </w:pPr>
      <w:r>
        <w:rPr>
          <w:rFonts w:hint="eastAsia" w:ascii="Times New Roman" w:hAnsi="Times New Roman"/>
          <w:color w:val="auto"/>
          <w:lang w:val="en-US" w:eastAsia="zh-CN"/>
        </w:rPr>
        <w:t>（1）主要照度标准（荧光灯）</w:t>
      </w:r>
    </w:p>
    <w:p w14:paraId="169285A7">
      <w:pPr>
        <w:bidi w:val="0"/>
        <w:rPr>
          <w:rFonts w:hint="eastAsia" w:ascii="Times New Roman" w:hAnsi="Times New Roman"/>
          <w:color w:val="auto"/>
          <w:lang w:val="en-US" w:eastAsia="zh-CN"/>
        </w:rPr>
      </w:pPr>
      <w:r>
        <w:rPr>
          <w:rFonts w:hint="eastAsia" w:ascii="Times New Roman" w:hAnsi="Times New Roman"/>
          <w:color w:val="auto"/>
          <w:lang w:val="en-US" w:eastAsia="zh-CN"/>
        </w:rPr>
        <w:t>一般生产厂房：100w；</w:t>
      </w:r>
    </w:p>
    <w:p w14:paraId="3E1F1B12">
      <w:pPr>
        <w:bidi w:val="0"/>
        <w:rPr>
          <w:rFonts w:hint="eastAsia" w:ascii="Times New Roman" w:hAnsi="Times New Roman"/>
          <w:color w:val="auto"/>
          <w:lang w:val="en-US" w:eastAsia="zh-CN"/>
        </w:rPr>
      </w:pPr>
      <w:r>
        <w:rPr>
          <w:rFonts w:hint="eastAsia" w:ascii="Times New Roman" w:hAnsi="Times New Roman"/>
          <w:color w:val="auto"/>
          <w:lang w:val="en-US" w:eastAsia="zh-CN"/>
        </w:rPr>
        <w:t>配电室：200w；</w:t>
      </w:r>
    </w:p>
    <w:p w14:paraId="08D54B94">
      <w:pPr>
        <w:bidi w:val="0"/>
        <w:rPr>
          <w:rFonts w:hint="eastAsia" w:ascii="Times New Roman" w:hAnsi="Times New Roman"/>
          <w:color w:val="auto"/>
          <w:lang w:val="en-US" w:eastAsia="zh-CN"/>
        </w:rPr>
      </w:pPr>
      <w:r>
        <w:rPr>
          <w:rFonts w:hint="eastAsia" w:ascii="Times New Roman" w:hAnsi="Times New Roman"/>
          <w:color w:val="auto"/>
          <w:lang w:val="en-US" w:eastAsia="zh-CN"/>
        </w:rPr>
        <w:t>办公室：300w；</w:t>
      </w:r>
    </w:p>
    <w:p w14:paraId="36BD6C6E">
      <w:pPr>
        <w:bidi w:val="0"/>
        <w:rPr>
          <w:rFonts w:hint="eastAsia" w:ascii="Times New Roman" w:hAnsi="Times New Roman"/>
          <w:color w:val="auto"/>
          <w:lang w:val="en-US" w:eastAsia="zh-CN"/>
        </w:rPr>
      </w:pPr>
      <w:r>
        <w:rPr>
          <w:rFonts w:hint="eastAsia" w:ascii="Times New Roman" w:hAnsi="Times New Roman"/>
          <w:color w:val="auto"/>
          <w:lang w:val="en-US" w:eastAsia="zh-CN"/>
        </w:rPr>
        <w:t>库房：30w。</w:t>
      </w:r>
    </w:p>
    <w:p w14:paraId="71F45BBB">
      <w:pPr>
        <w:bidi w:val="0"/>
        <w:rPr>
          <w:rFonts w:hint="eastAsia" w:ascii="Times New Roman" w:hAnsi="Times New Roman"/>
          <w:color w:val="auto"/>
          <w:lang w:val="en-US" w:eastAsia="zh-CN"/>
        </w:rPr>
      </w:pPr>
      <w:r>
        <w:rPr>
          <w:rFonts w:hint="eastAsia" w:ascii="Times New Roman" w:hAnsi="Times New Roman"/>
          <w:color w:val="auto"/>
          <w:lang w:val="en-US" w:eastAsia="zh-CN"/>
        </w:rPr>
        <w:t>（2）主要照明措施</w:t>
      </w:r>
    </w:p>
    <w:p w14:paraId="5F4133E7">
      <w:pPr>
        <w:bidi w:val="0"/>
        <w:rPr>
          <w:rFonts w:hint="eastAsia" w:ascii="Times New Roman" w:hAnsi="Times New Roman"/>
          <w:color w:val="auto"/>
          <w:lang w:val="en-US" w:eastAsia="zh-CN"/>
        </w:rPr>
      </w:pPr>
      <w:r>
        <w:rPr>
          <w:rFonts w:hint="eastAsia" w:ascii="Times New Roman" w:hAnsi="Times New Roman"/>
          <w:color w:val="auto"/>
          <w:lang w:val="en-US" w:eastAsia="zh-CN"/>
        </w:rPr>
        <w:t>照明电源引自配电室的照明用低压配电屏，照明电压采用220V，照明线路分区敷设，以便分区控制照明电源。</w:t>
      </w:r>
    </w:p>
    <w:p w14:paraId="23A77AD6">
      <w:pPr>
        <w:bidi w:val="0"/>
        <w:rPr>
          <w:rFonts w:hint="eastAsia" w:ascii="Times New Roman" w:hAnsi="Times New Roman"/>
          <w:color w:val="auto"/>
          <w:lang w:val="en-US" w:eastAsia="zh-CN"/>
        </w:rPr>
      </w:pPr>
      <w:r>
        <w:rPr>
          <w:rFonts w:hint="eastAsia" w:ascii="Times New Roman" w:hAnsi="Times New Roman"/>
          <w:color w:val="auto"/>
          <w:lang w:val="en-US" w:eastAsia="zh-CN"/>
        </w:rPr>
        <w:t>工业场地一般采用混合照明方式，均匀照明为主，局部照明为辅，采用新型大容量节能照明灯，并应便于检修。</w:t>
      </w:r>
    </w:p>
    <w:p w14:paraId="7B0E88F8">
      <w:pPr>
        <w:bidi w:val="0"/>
        <w:rPr>
          <w:rFonts w:hint="eastAsia" w:ascii="Times New Roman" w:hAnsi="Times New Roman"/>
          <w:color w:val="auto"/>
          <w:lang w:val="en-US" w:eastAsia="zh-CN"/>
        </w:rPr>
      </w:pPr>
      <w:r>
        <w:rPr>
          <w:rFonts w:hint="eastAsia" w:ascii="Times New Roman" w:hAnsi="Times New Roman"/>
          <w:color w:val="auto"/>
          <w:lang w:val="en-US" w:eastAsia="zh-CN"/>
        </w:rPr>
        <w:t>控制室、办公室等采用荧光灯或新型节能灯。</w:t>
      </w:r>
    </w:p>
    <w:p w14:paraId="3356C3DA">
      <w:pPr>
        <w:bidi w:val="0"/>
        <w:rPr>
          <w:rFonts w:hint="eastAsia" w:ascii="Times New Roman" w:hAnsi="Times New Roman"/>
          <w:color w:val="auto"/>
          <w:lang w:val="en-US" w:eastAsia="zh-CN"/>
        </w:rPr>
      </w:pPr>
      <w:r>
        <w:rPr>
          <w:rFonts w:hint="eastAsia" w:ascii="Times New Roman" w:hAnsi="Times New Roman"/>
          <w:color w:val="auto"/>
          <w:lang w:val="en-US" w:eastAsia="zh-CN"/>
        </w:rPr>
        <w:t>露天采场为1班工作制，不设置照明。</w:t>
      </w:r>
    </w:p>
    <w:p w14:paraId="546143F4">
      <w:pPr>
        <w:bidi w:val="0"/>
        <w:rPr>
          <w:rFonts w:hint="eastAsia" w:ascii="Times New Roman" w:hAnsi="Times New Roman"/>
          <w:color w:val="auto"/>
          <w:lang w:val="en-US" w:eastAsia="zh-CN"/>
        </w:rPr>
      </w:pPr>
      <w:r>
        <w:rPr>
          <w:rFonts w:hint="eastAsia" w:ascii="Times New Roman" w:hAnsi="Times New Roman"/>
          <w:color w:val="auto"/>
          <w:lang w:val="en-US" w:eastAsia="zh-CN"/>
        </w:rPr>
        <w:t>10、通信系统</w:t>
      </w:r>
    </w:p>
    <w:p w14:paraId="6D0366E2">
      <w:pPr>
        <w:bidi w:val="0"/>
        <w:rPr>
          <w:rFonts w:hint="eastAsia" w:ascii="Times New Roman" w:hAnsi="Times New Roman"/>
          <w:color w:val="auto"/>
          <w:lang w:val="en-US" w:eastAsia="zh-CN"/>
        </w:rPr>
      </w:pPr>
      <w:r>
        <w:rPr>
          <w:rFonts w:hint="eastAsia" w:ascii="Times New Roman" w:hAnsi="Times New Roman"/>
          <w:color w:val="auto"/>
          <w:lang w:val="en-US" w:eastAsia="zh-CN"/>
        </w:rPr>
        <w:t>矿区地面范围内通讯考虑使用对讲机系统及移动手机，主要设采场3部、矿部办公室2部，生产技术科1部，材料室2部、安全员2部。矿山与外部联系采用商业移动通讯网络及电信通信网络。</w:t>
      </w:r>
    </w:p>
    <w:p w14:paraId="4090894D">
      <w:pPr>
        <w:pStyle w:val="4"/>
        <w:bidi w:val="0"/>
        <w:rPr>
          <w:rFonts w:hint="eastAsia" w:ascii="Times New Roman" w:hAnsi="Times New Roman"/>
          <w:color w:val="auto"/>
          <w:lang w:val="en-US" w:eastAsia="zh-CN"/>
        </w:rPr>
      </w:pPr>
      <w:bookmarkStart w:id="90" w:name="_Toc6222"/>
      <w:r>
        <w:rPr>
          <w:rFonts w:hint="eastAsia" w:ascii="Times New Roman" w:hAnsi="Times New Roman"/>
          <w:color w:val="auto"/>
          <w:lang w:val="en-US" w:eastAsia="zh-CN"/>
        </w:rPr>
        <w:t>2.4.9 防排水系统</w:t>
      </w:r>
      <w:bookmarkEnd w:id="90"/>
    </w:p>
    <w:p w14:paraId="79B64510">
      <w:pPr>
        <w:bidi w:val="0"/>
        <w:rPr>
          <w:rFonts w:hint="eastAsia" w:ascii="Times New Roman" w:hAnsi="Times New Roman"/>
          <w:color w:val="auto"/>
        </w:rPr>
      </w:pPr>
      <w:r>
        <w:rPr>
          <w:rFonts w:hint="eastAsia"/>
          <w:color w:val="auto"/>
          <w:lang w:val="en-US" w:eastAsia="zh-CN"/>
        </w:rPr>
        <w:t>1、</w:t>
      </w:r>
      <w:r>
        <w:rPr>
          <w:rFonts w:hint="eastAsia" w:ascii="Times New Roman" w:hAnsi="Times New Roman"/>
          <w:color w:val="auto"/>
        </w:rPr>
        <w:t>截洪沟</w:t>
      </w:r>
    </w:p>
    <w:p w14:paraId="3D472408">
      <w:pPr>
        <w:bidi w:val="0"/>
        <w:rPr>
          <w:rFonts w:hint="eastAsia" w:ascii="Times New Roman" w:hAnsi="Times New Roman"/>
          <w:color w:val="auto"/>
        </w:rPr>
      </w:pPr>
      <w:r>
        <w:rPr>
          <w:rFonts w:hint="eastAsia" w:ascii="Times New Roman" w:hAnsi="Times New Roman"/>
          <w:color w:val="auto"/>
        </w:rPr>
        <w:t>设计不设置截洪沟。</w:t>
      </w:r>
    </w:p>
    <w:p w14:paraId="1B23F113">
      <w:pPr>
        <w:bidi w:val="0"/>
        <w:rPr>
          <w:rFonts w:hint="eastAsia" w:ascii="Times New Roman" w:hAnsi="Times New Roman"/>
          <w:color w:val="auto"/>
        </w:rPr>
      </w:pPr>
      <w:r>
        <w:rPr>
          <w:rFonts w:hint="eastAsia"/>
          <w:color w:val="auto"/>
          <w:lang w:val="en-US" w:eastAsia="zh-CN"/>
        </w:rPr>
        <w:t>3、</w:t>
      </w:r>
      <w:r>
        <w:rPr>
          <w:rFonts w:hint="eastAsia" w:ascii="Times New Roman" w:hAnsi="Times New Roman"/>
          <w:color w:val="auto"/>
        </w:rPr>
        <w:t>平台排水沟</w:t>
      </w:r>
    </w:p>
    <w:p w14:paraId="2D72FD1E">
      <w:pPr>
        <w:bidi w:val="0"/>
        <w:rPr>
          <w:rFonts w:hint="eastAsia" w:ascii="Times New Roman" w:hAnsi="Times New Roman"/>
          <w:color w:val="auto"/>
        </w:rPr>
      </w:pPr>
      <w:r>
        <w:rPr>
          <w:rFonts w:hint="eastAsia" w:ascii="Times New Roman" w:hAnsi="Times New Roman"/>
          <w:color w:val="auto"/>
        </w:rPr>
        <w:t>设计在采场2020m、1975m、1960m平台设置台阶排水沟。</w:t>
      </w:r>
    </w:p>
    <w:p w14:paraId="1A0188E9">
      <w:pPr>
        <w:bidi w:val="0"/>
        <w:rPr>
          <w:rFonts w:hint="eastAsia" w:ascii="Times New Roman" w:hAnsi="Times New Roman" w:eastAsia="宋体"/>
          <w:color w:val="auto"/>
          <w:lang w:eastAsia="zh-CN"/>
        </w:rPr>
      </w:pPr>
      <w:r>
        <w:rPr>
          <w:rFonts w:hint="eastAsia" w:ascii="Times New Roman" w:hAnsi="Times New Roman"/>
          <w:color w:val="auto"/>
        </w:rPr>
        <w:t>设计采场清扫平台排水沟采用矩形断面，水力坡降i=3‰，水沟粗糙系数n=0.015。台阶排水沟基岩地段直接开挖毛沟，土层地段开挖后采用M7.5浆砌石砌筑</w:t>
      </w:r>
      <w:r>
        <w:rPr>
          <w:rFonts w:hint="eastAsia" w:ascii="Times New Roman" w:hAnsi="Times New Roman"/>
          <w:color w:val="auto"/>
          <w:lang w:eastAsia="zh-CN"/>
        </w:rPr>
        <w:t>。</w:t>
      </w:r>
    </w:p>
    <w:p w14:paraId="401D9F66">
      <w:pPr>
        <w:pStyle w:val="16"/>
        <w:bidi w:val="0"/>
        <w:rPr>
          <w:rFonts w:hint="eastAsia"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 xml:space="preserve">2.4-10  </w:t>
      </w:r>
      <w:r>
        <w:rPr>
          <w:rFonts w:hint="eastAsia" w:ascii="Times New Roman" w:hAnsi="Times New Roman"/>
          <w:color w:val="auto"/>
        </w:rPr>
        <w:t>设计排水沟断面尺寸汇总表</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2"/>
        <w:gridCol w:w="1012"/>
        <w:gridCol w:w="835"/>
        <w:gridCol w:w="799"/>
        <w:gridCol w:w="871"/>
        <w:gridCol w:w="1509"/>
        <w:gridCol w:w="1971"/>
      </w:tblGrid>
      <w:tr w14:paraId="03D7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277" w:type="pct"/>
            <w:vMerge w:val="restart"/>
            <w:vAlign w:val="center"/>
          </w:tcPr>
          <w:p w14:paraId="35870E87">
            <w:pPr>
              <w:pStyle w:val="17"/>
              <w:bidi w:val="0"/>
              <w:rPr>
                <w:rFonts w:ascii="Times New Roman" w:hAnsi="Times New Roman"/>
                <w:b/>
                <w:bCs/>
                <w:color w:val="auto"/>
              </w:rPr>
            </w:pPr>
            <w:r>
              <w:rPr>
                <w:rFonts w:ascii="Times New Roman" w:hAnsi="Times New Roman"/>
                <w:b/>
                <w:bCs/>
                <w:color w:val="auto"/>
              </w:rPr>
              <w:t>名称</w:t>
            </w:r>
          </w:p>
        </w:tc>
        <w:tc>
          <w:tcPr>
            <w:tcW w:w="538" w:type="pct"/>
            <w:vAlign w:val="center"/>
          </w:tcPr>
          <w:p w14:paraId="19451501">
            <w:pPr>
              <w:pStyle w:val="17"/>
              <w:bidi w:val="0"/>
              <w:rPr>
                <w:rFonts w:ascii="Times New Roman" w:hAnsi="Times New Roman"/>
                <w:b/>
                <w:bCs/>
                <w:color w:val="auto"/>
              </w:rPr>
            </w:pPr>
            <w:r>
              <w:rPr>
                <w:rFonts w:ascii="Times New Roman" w:hAnsi="Times New Roman"/>
                <w:b/>
                <w:bCs/>
                <w:color w:val="auto"/>
              </w:rPr>
              <w:t>长度</w:t>
            </w:r>
          </w:p>
        </w:tc>
        <w:tc>
          <w:tcPr>
            <w:tcW w:w="1332" w:type="pct"/>
            <w:gridSpan w:val="3"/>
            <w:vAlign w:val="center"/>
          </w:tcPr>
          <w:p w14:paraId="0A43978A">
            <w:pPr>
              <w:pStyle w:val="17"/>
              <w:bidi w:val="0"/>
              <w:rPr>
                <w:rFonts w:ascii="Times New Roman" w:hAnsi="Times New Roman"/>
                <w:b/>
                <w:bCs/>
                <w:color w:val="auto"/>
              </w:rPr>
            </w:pPr>
            <w:r>
              <w:rPr>
                <w:rFonts w:ascii="Times New Roman" w:hAnsi="Times New Roman"/>
                <w:b/>
                <w:bCs/>
                <w:color w:val="auto"/>
              </w:rPr>
              <w:t>排水沟尺寸（m）</w:t>
            </w:r>
          </w:p>
        </w:tc>
        <w:tc>
          <w:tcPr>
            <w:tcW w:w="802" w:type="pct"/>
            <w:vAlign w:val="center"/>
          </w:tcPr>
          <w:p w14:paraId="5E194A3E">
            <w:pPr>
              <w:pStyle w:val="17"/>
              <w:bidi w:val="0"/>
              <w:rPr>
                <w:rFonts w:ascii="Times New Roman" w:hAnsi="Times New Roman"/>
                <w:b/>
                <w:bCs/>
                <w:color w:val="auto"/>
              </w:rPr>
            </w:pPr>
            <w:r>
              <w:rPr>
                <w:rFonts w:ascii="Times New Roman" w:hAnsi="Times New Roman"/>
                <w:b/>
                <w:bCs/>
                <w:color w:val="auto"/>
              </w:rPr>
              <w:t>净断面积</w:t>
            </w:r>
          </w:p>
        </w:tc>
        <w:tc>
          <w:tcPr>
            <w:tcW w:w="1048" w:type="pct"/>
            <w:vMerge w:val="restart"/>
            <w:vAlign w:val="center"/>
          </w:tcPr>
          <w:p w14:paraId="0B4226CF">
            <w:pPr>
              <w:pStyle w:val="17"/>
              <w:bidi w:val="0"/>
              <w:rPr>
                <w:rFonts w:ascii="Times New Roman" w:hAnsi="Times New Roman"/>
                <w:b/>
                <w:bCs/>
                <w:color w:val="auto"/>
              </w:rPr>
            </w:pPr>
            <w:r>
              <w:rPr>
                <w:rFonts w:ascii="Times New Roman" w:hAnsi="Times New Roman"/>
                <w:b/>
                <w:bCs/>
                <w:color w:val="auto"/>
              </w:rPr>
              <w:t>备注</w:t>
            </w:r>
          </w:p>
        </w:tc>
      </w:tr>
      <w:tr w14:paraId="3EC7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277" w:type="pct"/>
            <w:vMerge w:val="continue"/>
            <w:vAlign w:val="center"/>
          </w:tcPr>
          <w:p w14:paraId="00DA4F8E">
            <w:pPr>
              <w:pStyle w:val="17"/>
              <w:bidi w:val="0"/>
              <w:rPr>
                <w:rFonts w:ascii="Times New Roman" w:hAnsi="Times New Roman"/>
                <w:color w:val="auto"/>
              </w:rPr>
            </w:pPr>
          </w:p>
        </w:tc>
        <w:tc>
          <w:tcPr>
            <w:tcW w:w="538" w:type="pct"/>
            <w:vAlign w:val="center"/>
          </w:tcPr>
          <w:p w14:paraId="522AAB37">
            <w:pPr>
              <w:pStyle w:val="17"/>
              <w:bidi w:val="0"/>
              <w:rPr>
                <w:rFonts w:ascii="Times New Roman" w:hAnsi="Times New Roman"/>
                <w:b/>
                <w:bCs/>
                <w:color w:val="auto"/>
              </w:rPr>
            </w:pPr>
            <w:r>
              <w:rPr>
                <w:rFonts w:ascii="Times New Roman" w:hAnsi="Times New Roman"/>
                <w:b/>
                <w:bCs/>
                <w:color w:val="auto"/>
              </w:rPr>
              <w:t>（m）</w:t>
            </w:r>
          </w:p>
        </w:tc>
        <w:tc>
          <w:tcPr>
            <w:tcW w:w="444" w:type="pct"/>
            <w:vAlign w:val="center"/>
          </w:tcPr>
          <w:p w14:paraId="49F73266">
            <w:pPr>
              <w:pStyle w:val="17"/>
              <w:bidi w:val="0"/>
              <w:rPr>
                <w:rFonts w:ascii="Times New Roman" w:hAnsi="Times New Roman"/>
                <w:b/>
                <w:bCs/>
                <w:color w:val="auto"/>
              </w:rPr>
            </w:pPr>
            <w:r>
              <w:rPr>
                <w:rFonts w:ascii="Times New Roman" w:hAnsi="Times New Roman"/>
                <w:b/>
                <w:bCs/>
                <w:color w:val="auto"/>
              </w:rPr>
              <w:t>沟深</w:t>
            </w:r>
          </w:p>
        </w:tc>
        <w:tc>
          <w:tcPr>
            <w:tcW w:w="425" w:type="pct"/>
            <w:vAlign w:val="center"/>
          </w:tcPr>
          <w:p w14:paraId="2B555B0F">
            <w:pPr>
              <w:pStyle w:val="17"/>
              <w:bidi w:val="0"/>
              <w:rPr>
                <w:rFonts w:ascii="Times New Roman" w:hAnsi="Times New Roman"/>
                <w:b/>
                <w:bCs/>
                <w:color w:val="auto"/>
              </w:rPr>
            </w:pPr>
            <w:r>
              <w:rPr>
                <w:rFonts w:ascii="Times New Roman" w:hAnsi="Times New Roman"/>
                <w:b/>
                <w:bCs/>
                <w:color w:val="auto"/>
              </w:rPr>
              <w:t>顶宽</w:t>
            </w:r>
          </w:p>
        </w:tc>
        <w:tc>
          <w:tcPr>
            <w:tcW w:w="463" w:type="pct"/>
            <w:vAlign w:val="center"/>
          </w:tcPr>
          <w:p w14:paraId="0493066D">
            <w:pPr>
              <w:pStyle w:val="17"/>
              <w:bidi w:val="0"/>
              <w:rPr>
                <w:rFonts w:ascii="Times New Roman" w:hAnsi="Times New Roman"/>
                <w:b/>
                <w:bCs/>
                <w:color w:val="auto"/>
              </w:rPr>
            </w:pPr>
            <w:r>
              <w:rPr>
                <w:rFonts w:ascii="Times New Roman" w:hAnsi="Times New Roman"/>
                <w:b/>
                <w:bCs/>
                <w:color w:val="auto"/>
              </w:rPr>
              <w:t>底宽</w:t>
            </w:r>
          </w:p>
        </w:tc>
        <w:tc>
          <w:tcPr>
            <w:tcW w:w="802" w:type="pct"/>
            <w:vAlign w:val="center"/>
          </w:tcPr>
          <w:p w14:paraId="176A2B03">
            <w:pPr>
              <w:pStyle w:val="17"/>
              <w:bidi w:val="0"/>
              <w:rPr>
                <w:rFonts w:ascii="Times New Roman" w:hAnsi="Times New Roman"/>
                <w:b/>
                <w:bCs/>
                <w:color w:val="auto"/>
              </w:rPr>
            </w:pPr>
            <w:r>
              <w:rPr>
                <w:rFonts w:ascii="Times New Roman" w:hAnsi="Times New Roman"/>
                <w:b/>
                <w:bCs/>
                <w:color w:val="auto"/>
              </w:rPr>
              <w:t>（m</w:t>
            </w:r>
            <w:r>
              <w:rPr>
                <w:rFonts w:ascii="Times New Roman" w:hAnsi="Times New Roman"/>
                <w:b/>
                <w:bCs/>
                <w:color w:val="auto"/>
                <w:vertAlign w:val="superscript"/>
              </w:rPr>
              <w:t>3</w:t>
            </w:r>
            <w:r>
              <w:rPr>
                <w:rFonts w:ascii="Times New Roman" w:hAnsi="Times New Roman"/>
                <w:b/>
                <w:bCs/>
                <w:color w:val="auto"/>
              </w:rPr>
              <w:t>）</w:t>
            </w:r>
          </w:p>
        </w:tc>
        <w:tc>
          <w:tcPr>
            <w:tcW w:w="1048" w:type="pct"/>
            <w:vMerge w:val="continue"/>
            <w:vAlign w:val="center"/>
          </w:tcPr>
          <w:p w14:paraId="5F00DA65">
            <w:pPr>
              <w:pStyle w:val="17"/>
              <w:bidi w:val="0"/>
              <w:rPr>
                <w:rFonts w:ascii="Times New Roman" w:hAnsi="Times New Roman"/>
                <w:color w:val="auto"/>
              </w:rPr>
            </w:pPr>
          </w:p>
        </w:tc>
      </w:tr>
      <w:tr w14:paraId="7F69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Align w:val="center"/>
          </w:tcPr>
          <w:p w14:paraId="7BF1B653">
            <w:pPr>
              <w:pStyle w:val="17"/>
              <w:bidi w:val="0"/>
              <w:rPr>
                <w:rFonts w:ascii="Times New Roman" w:hAnsi="Times New Roman"/>
                <w:color w:val="auto"/>
              </w:rPr>
            </w:pPr>
            <w:r>
              <w:rPr>
                <w:rFonts w:ascii="Times New Roman" w:hAnsi="Times New Roman"/>
                <w:color w:val="auto"/>
              </w:rPr>
              <w:t>2</w:t>
            </w:r>
            <w:r>
              <w:rPr>
                <w:rFonts w:hint="eastAsia" w:ascii="Times New Roman" w:hAnsi="Times New Roman"/>
                <w:color w:val="auto"/>
              </w:rPr>
              <w:t>020</w:t>
            </w:r>
            <w:r>
              <w:rPr>
                <w:rFonts w:ascii="Times New Roman" w:hAnsi="Times New Roman"/>
                <w:color w:val="auto"/>
              </w:rPr>
              <w:t>m平台排水沟</w:t>
            </w:r>
          </w:p>
        </w:tc>
        <w:tc>
          <w:tcPr>
            <w:tcW w:w="538" w:type="pct"/>
            <w:vAlign w:val="center"/>
          </w:tcPr>
          <w:p w14:paraId="02EC77CE">
            <w:pPr>
              <w:pStyle w:val="17"/>
              <w:bidi w:val="0"/>
              <w:rPr>
                <w:rFonts w:hint="default" w:ascii="Times New Roman" w:hAnsi="Times New Roman" w:eastAsia="宋体"/>
                <w:color w:val="auto"/>
                <w:lang w:val="en-US" w:eastAsia="zh-CN"/>
              </w:rPr>
            </w:pPr>
            <w:r>
              <w:rPr>
                <w:rFonts w:hint="eastAsia"/>
                <w:color w:val="auto"/>
                <w:lang w:val="en-US" w:eastAsia="zh-CN"/>
              </w:rPr>
              <w:t>414</w:t>
            </w:r>
          </w:p>
        </w:tc>
        <w:tc>
          <w:tcPr>
            <w:tcW w:w="444" w:type="pct"/>
            <w:vAlign w:val="center"/>
          </w:tcPr>
          <w:p w14:paraId="44BCD1CF">
            <w:pPr>
              <w:pStyle w:val="17"/>
              <w:bidi w:val="0"/>
              <w:rPr>
                <w:rFonts w:ascii="Times New Roman" w:hAnsi="Times New Roman"/>
                <w:color w:val="auto"/>
              </w:rPr>
            </w:pPr>
            <w:r>
              <w:rPr>
                <w:rFonts w:ascii="Times New Roman" w:hAnsi="Times New Roman"/>
                <w:color w:val="auto"/>
              </w:rPr>
              <w:t>0.50</w:t>
            </w:r>
          </w:p>
        </w:tc>
        <w:tc>
          <w:tcPr>
            <w:tcW w:w="425" w:type="pct"/>
            <w:vAlign w:val="center"/>
          </w:tcPr>
          <w:p w14:paraId="1AC9BFFB">
            <w:pPr>
              <w:pStyle w:val="17"/>
              <w:bidi w:val="0"/>
              <w:rPr>
                <w:rFonts w:ascii="Times New Roman" w:hAnsi="Times New Roman"/>
                <w:color w:val="auto"/>
              </w:rPr>
            </w:pPr>
            <w:r>
              <w:rPr>
                <w:rFonts w:ascii="Times New Roman" w:hAnsi="Times New Roman"/>
                <w:color w:val="auto"/>
              </w:rPr>
              <w:t>0.</w:t>
            </w:r>
            <w:r>
              <w:rPr>
                <w:rFonts w:hint="eastAsia" w:ascii="Times New Roman" w:hAnsi="Times New Roman"/>
                <w:color w:val="auto"/>
              </w:rPr>
              <w:t>6</w:t>
            </w:r>
            <w:r>
              <w:rPr>
                <w:rFonts w:ascii="Times New Roman" w:hAnsi="Times New Roman"/>
                <w:color w:val="auto"/>
              </w:rPr>
              <w:t>0</w:t>
            </w:r>
          </w:p>
        </w:tc>
        <w:tc>
          <w:tcPr>
            <w:tcW w:w="463" w:type="pct"/>
            <w:vAlign w:val="center"/>
          </w:tcPr>
          <w:p w14:paraId="48D6B921">
            <w:pPr>
              <w:pStyle w:val="17"/>
              <w:bidi w:val="0"/>
              <w:rPr>
                <w:rFonts w:ascii="Times New Roman" w:hAnsi="Times New Roman"/>
                <w:color w:val="auto"/>
              </w:rPr>
            </w:pPr>
            <w:r>
              <w:rPr>
                <w:rFonts w:ascii="Times New Roman" w:hAnsi="Times New Roman"/>
                <w:color w:val="auto"/>
              </w:rPr>
              <w:t>0.</w:t>
            </w:r>
            <w:r>
              <w:rPr>
                <w:rFonts w:hint="eastAsia" w:ascii="Times New Roman" w:hAnsi="Times New Roman"/>
                <w:color w:val="auto"/>
              </w:rPr>
              <w:t>6</w:t>
            </w:r>
            <w:r>
              <w:rPr>
                <w:rFonts w:ascii="Times New Roman" w:hAnsi="Times New Roman"/>
                <w:color w:val="auto"/>
              </w:rPr>
              <w:t>0</w:t>
            </w:r>
          </w:p>
        </w:tc>
        <w:tc>
          <w:tcPr>
            <w:tcW w:w="802" w:type="pct"/>
            <w:vAlign w:val="center"/>
          </w:tcPr>
          <w:p w14:paraId="7089029F">
            <w:pPr>
              <w:pStyle w:val="17"/>
              <w:bidi w:val="0"/>
              <w:rPr>
                <w:rFonts w:ascii="Times New Roman" w:hAnsi="Times New Roman"/>
                <w:color w:val="auto"/>
              </w:rPr>
            </w:pPr>
            <w:r>
              <w:rPr>
                <w:rFonts w:hint="eastAsia" w:ascii="Times New Roman" w:hAnsi="Times New Roman"/>
                <w:color w:val="auto"/>
              </w:rPr>
              <w:t>0.30</w:t>
            </w:r>
          </w:p>
        </w:tc>
        <w:tc>
          <w:tcPr>
            <w:tcW w:w="1048" w:type="pct"/>
            <w:vMerge w:val="restart"/>
            <w:vAlign w:val="center"/>
          </w:tcPr>
          <w:p w14:paraId="6FC8A4DA">
            <w:pPr>
              <w:pStyle w:val="17"/>
              <w:bidi w:val="0"/>
              <w:rPr>
                <w:rFonts w:ascii="Times New Roman" w:hAnsi="Times New Roman"/>
                <w:color w:val="auto"/>
              </w:rPr>
            </w:pPr>
            <w:r>
              <w:rPr>
                <w:rFonts w:ascii="Times New Roman" w:hAnsi="Times New Roman"/>
                <w:color w:val="auto"/>
              </w:rPr>
              <w:t>排水沟为矩形断面</w:t>
            </w:r>
          </w:p>
        </w:tc>
      </w:tr>
      <w:tr w14:paraId="3FCA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Align w:val="center"/>
          </w:tcPr>
          <w:p w14:paraId="7FA44C8F">
            <w:pPr>
              <w:pStyle w:val="17"/>
              <w:bidi w:val="0"/>
              <w:rPr>
                <w:rFonts w:ascii="Times New Roman" w:hAnsi="Times New Roman"/>
                <w:color w:val="auto"/>
              </w:rPr>
            </w:pPr>
            <w:r>
              <w:rPr>
                <w:rFonts w:hint="eastAsia" w:ascii="Times New Roman" w:hAnsi="Times New Roman"/>
                <w:color w:val="auto"/>
              </w:rPr>
              <w:t>1975</w:t>
            </w:r>
            <w:r>
              <w:rPr>
                <w:rFonts w:ascii="Times New Roman" w:hAnsi="Times New Roman"/>
                <w:color w:val="auto"/>
              </w:rPr>
              <w:t>m平台排水沟</w:t>
            </w:r>
          </w:p>
        </w:tc>
        <w:tc>
          <w:tcPr>
            <w:tcW w:w="538" w:type="pct"/>
            <w:vAlign w:val="center"/>
          </w:tcPr>
          <w:p w14:paraId="5D1A0F3F">
            <w:pPr>
              <w:pStyle w:val="17"/>
              <w:bidi w:val="0"/>
              <w:rPr>
                <w:rFonts w:hint="default" w:ascii="Times New Roman" w:hAnsi="Times New Roman" w:eastAsia="宋体"/>
                <w:color w:val="auto"/>
                <w:lang w:val="en-US" w:eastAsia="zh-CN"/>
              </w:rPr>
            </w:pPr>
            <w:r>
              <w:rPr>
                <w:rFonts w:hint="eastAsia"/>
                <w:color w:val="auto"/>
                <w:lang w:val="en-US" w:eastAsia="zh-CN"/>
              </w:rPr>
              <w:t>998</w:t>
            </w:r>
          </w:p>
        </w:tc>
        <w:tc>
          <w:tcPr>
            <w:tcW w:w="444" w:type="pct"/>
            <w:vAlign w:val="center"/>
          </w:tcPr>
          <w:p w14:paraId="4BC7C31F">
            <w:pPr>
              <w:pStyle w:val="17"/>
              <w:bidi w:val="0"/>
              <w:rPr>
                <w:rFonts w:ascii="Times New Roman" w:hAnsi="Times New Roman"/>
                <w:color w:val="auto"/>
              </w:rPr>
            </w:pPr>
            <w:r>
              <w:rPr>
                <w:rFonts w:ascii="Times New Roman" w:hAnsi="Times New Roman"/>
                <w:color w:val="auto"/>
              </w:rPr>
              <w:t>0.</w:t>
            </w:r>
            <w:r>
              <w:rPr>
                <w:rFonts w:hint="eastAsia" w:ascii="Times New Roman" w:hAnsi="Times New Roman"/>
                <w:color w:val="auto"/>
              </w:rPr>
              <w:t>7</w:t>
            </w:r>
            <w:r>
              <w:rPr>
                <w:rFonts w:ascii="Times New Roman" w:hAnsi="Times New Roman"/>
                <w:color w:val="auto"/>
              </w:rPr>
              <w:t>0</w:t>
            </w:r>
          </w:p>
        </w:tc>
        <w:tc>
          <w:tcPr>
            <w:tcW w:w="425" w:type="pct"/>
            <w:vAlign w:val="center"/>
          </w:tcPr>
          <w:p w14:paraId="499550EE">
            <w:pPr>
              <w:pStyle w:val="17"/>
              <w:bidi w:val="0"/>
              <w:rPr>
                <w:rFonts w:ascii="Times New Roman" w:hAnsi="Times New Roman"/>
                <w:color w:val="auto"/>
              </w:rPr>
            </w:pPr>
            <w:r>
              <w:rPr>
                <w:rFonts w:ascii="Times New Roman" w:hAnsi="Times New Roman"/>
                <w:color w:val="auto"/>
              </w:rPr>
              <w:t>0.70</w:t>
            </w:r>
          </w:p>
        </w:tc>
        <w:tc>
          <w:tcPr>
            <w:tcW w:w="463" w:type="pct"/>
            <w:vAlign w:val="center"/>
          </w:tcPr>
          <w:p w14:paraId="004E9E0B">
            <w:pPr>
              <w:pStyle w:val="17"/>
              <w:bidi w:val="0"/>
              <w:rPr>
                <w:rFonts w:ascii="Times New Roman" w:hAnsi="Times New Roman"/>
                <w:color w:val="auto"/>
              </w:rPr>
            </w:pPr>
            <w:r>
              <w:rPr>
                <w:rFonts w:ascii="Times New Roman" w:hAnsi="Times New Roman"/>
                <w:color w:val="auto"/>
              </w:rPr>
              <w:t>0.70</w:t>
            </w:r>
          </w:p>
        </w:tc>
        <w:tc>
          <w:tcPr>
            <w:tcW w:w="802" w:type="pct"/>
            <w:vAlign w:val="center"/>
          </w:tcPr>
          <w:p w14:paraId="6311CED5">
            <w:pPr>
              <w:pStyle w:val="17"/>
              <w:bidi w:val="0"/>
              <w:rPr>
                <w:rFonts w:ascii="Times New Roman" w:hAnsi="Times New Roman"/>
                <w:color w:val="auto"/>
              </w:rPr>
            </w:pPr>
            <w:r>
              <w:rPr>
                <w:rFonts w:ascii="Times New Roman" w:hAnsi="Times New Roman"/>
                <w:color w:val="auto"/>
              </w:rPr>
              <w:t>0.</w:t>
            </w:r>
            <w:r>
              <w:rPr>
                <w:rFonts w:hint="eastAsia" w:ascii="Times New Roman" w:hAnsi="Times New Roman"/>
                <w:color w:val="auto"/>
              </w:rPr>
              <w:t>49</w:t>
            </w:r>
          </w:p>
        </w:tc>
        <w:tc>
          <w:tcPr>
            <w:tcW w:w="1048" w:type="pct"/>
            <w:vMerge w:val="continue"/>
            <w:vAlign w:val="center"/>
          </w:tcPr>
          <w:p w14:paraId="3D389C1E">
            <w:pPr>
              <w:pStyle w:val="17"/>
              <w:bidi w:val="0"/>
              <w:rPr>
                <w:rFonts w:ascii="Times New Roman" w:hAnsi="Times New Roman"/>
                <w:color w:val="auto"/>
              </w:rPr>
            </w:pPr>
          </w:p>
        </w:tc>
      </w:tr>
      <w:tr w14:paraId="36EB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Align w:val="center"/>
          </w:tcPr>
          <w:p w14:paraId="461BA1B3">
            <w:pPr>
              <w:pStyle w:val="17"/>
              <w:bidi w:val="0"/>
              <w:rPr>
                <w:rFonts w:ascii="Times New Roman" w:hAnsi="Times New Roman"/>
                <w:color w:val="auto"/>
              </w:rPr>
            </w:pPr>
            <w:r>
              <w:rPr>
                <w:rFonts w:hint="eastAsia" w:ascii="Times New Roman" w:hAnsi="Times New Roman"/>
                <w:color w:val="auto"/>
              </w:rPr>
              <w:t>1960</w:t>
            </w:r>
            <w:r>
              <w:rPr>
                <w:rFonts w:ascii="Times New Roman" w:hAnsi="Times New Roman"/>
                <w:color w:val="auto"/>
              </w:rPr>
              <w:t>m平台排水沟</w:t>
            </w:r>
          </w:p>
        </w:tc>
        <w:tc>
          <w:tcPr>
            <w:tcW w:w="538" w:type="pct"/>
            <w:vAlign w:val="center"/>
          </w:tcPr>
          <w:p w14:paraId="2D173123">
            <w:pPr>
              <w:pStyle w:val="17"/>
              <w:bidi w:val="0"/>
              <w:rPr>
                <w:rFonts w:hint="default" w:ascii="Times New Roman" w:hAnsi="Times New Roman" w:eastAsia="宋体"/>
                <w:color w:val="auto"/>
                <w:lang w:val="en-US" w:eastAsia="zh-CN"/>
              </w:rPr>
            </w:pPr>
            <w:r>
              <w:rPr>
                <w:rFonts w:hint="eastAsia"/>
                <w:color w:val="auto"/>
                <w:lang w:val="en-US" w:eastAsia="zh-CN"/>
              </w:rPr>
              <w:t>1142</w:t>
            </w:r>
          </w:p>
        </w:tc>
        <w:tc>
          <w:tcPr>
            <w:tcW w:w="444" w:type="pct"/>
            <w:vAlign w:val="center"/>
          </w:tcPr>
          <w:p w14:paraId="6DC4CEC6">
            <w:pPr>
              <w:pStyle w:val="17"/>
              <w:bidi w:val="0"/>
              <w:rPr>
                <w:rFonts w:ascii="Times New Roman" w:hAnsi="Times New Roman"/>
                <w:color w:val="auto"/>
              </w:rPr>
            </w:pPr>
            <w:r>
              <w:rPr>
                <w:rFonts w:ascii="Times New Roman" w:hAnsi="Times New Roman"/>
                <w:color w:val="auto"/>
              </w:rPr>
              <w:t>0.</w:t>
            </w:r>
            <w:r>
              <w:rPr>
                <w:rFonts w:hint="eastAsia" w:ascii="Times New Roman" w:hAnsi="Times New Roman"/>
                <w:color w:val="auto"/>
              </w:rPr>
              <w:t>8</w:t>
            </w:r>
            <w:r>
              <w:rPr>
                <w:rFonts w:ascii="Times New Roman" w:hAnsi="Times New Roman"/>
                <w:color w:val="auto"/>
              </w:rPr>
              <w:t>0</w:t>
            </w:r>
          </w:p>
        </w:tc>
        <w:tc>
          <w:tcPr>
            <w:tcW w:w="425" w:type="pct"/>
            <w:vAlign w:val="center"/>
          </w:tcPr>
          <w:p w14:paraId="323D7193">
            <w:pPr>
              <w:pStyle w:val="17"/>
              <w:bidi w:val="0"/>
              <w:rPr>
                <w:rFonts w:ascii="Times New Roman" w:hAnsi="Times New Roman"/>
                <w:color w:val="auto"/>
              </w:rPr>
            </w:pPr>
            <w:r>
              <w:rPr>
                <w:rFonts w:ascii="Times New Roman" w:hAnsi="Times New Roman"/>
                <w:color w:val="auto"/>
              </w:rPr>
              <w:t>0.70</w:t>
            </w:r>
          </w:p>
        </w:tc>
        <w:tc>
          <w:tcPr>
            <w:tcW w:w="463" w:type="pct"/>
            <w:vAlign w:val="center"/>
          </w:tcPr>
          <w:p w14:paraId="7A3AE0C0">
            <w:pPr>
              <w:pStyle w:val="17"/>
              <w:bidi w:val="0"/>
              <w:rPr>
                <w:rFonts w:ascii="Times New Roman" w:hAnsi="Times New Roman"/>
                <w:color w:val="auto"/>
              </w:rPr>
            </w:pPr>
            <w:r>
              <w:rPr>
                <w:rFonts w:ascii="Times New Roman" w:hAnsi="Times New Roman"/>
                <w:color w:val="auto"/>
              </w:rPr>
              <w:t>0.70</w:t>
            </w:r>
          </w:p>
        </w:tc>
        <w:tc>
          <w:tcPr>
            <w:tcW w:w="802" w:type="pct"/>
            <w:vAlign w:val="center"/>
          </w:tcPr>
          <w:p w14:paraId="3FCD2979">
            <w:pPr>
              <w:pStyle w:val="17"/>
              <w:bidi w:val="0"/>
              <w:rPr>
                <w:rFonts w:ascii="Times New Roman" w:hAnsi="Times New Roman"/>
                <w:color w:val="auto"/>
              </w:rPr>
            </w:pPr>
            <w:r>
              <w:rPr>
                <w:rFonts w:ascii="Times New Roman" w:hAnsi="Times New Roman"/>
                <w:color w:val="auto"/>
              </w:rPr>
              <w:t>0.</w:t>
            </w:r>
            <w:r>
              <w:rPr>
                <w:rFonts w:hint="eastAsia" w:ascii="Times New Roman" w:hAnsi="Times New Roman"/>
                <w:color w:val="auto"/>
              </w:rPr>
              <w:t>56</w:t>
            </w:r>
          </w:p>
        </w:tc>
        <w:tc>
          <w:tcPr>
            <w:tcW w:w="1048" w:type="pct"/>
            <w:vMerge w:val="continue"/>
            <w:vAlign w:val="center"/>
          </w:tcPr>
          <w:p w14:paraId="3CBCED62">
            <w:pPr>
              <w:pStyle w:val="17"/>
              <w:bidi w:val="0"/>
              <w:rPr>
                <w:rFonts w:ascii="Times New Roman" w:hAnsi="Times New Roman"/>
                <w:color w:val="auto"/>
              </w:rPr>
            </w:pPr>
          </w:p>
        </w:tc>
      </w:tr>
    </w:tbl>
    <w:p w14:paraId="0298569B">
      <w:pPr>
        <w:bidi w:val="0"/>
        <w:rPr>
          <w:rFonts w:hint="eastAsia" w:ascii="Times New Roman" w:hAnsi="Times New Roman"/>
          <w:color w:val="auto"/>
        </w:rPr>
      </w:pPr>
      <w:r>
        <w:rPr>
          <w:rFonts w:hint="eastAsia"/>
          <w:color w:val="auto"/>
          <w:lang w:val="en-US" w:eastAsia="zh-CN"/>
        </w:rPr>
        <w:t>3</w:t>
      </w:r>
      <w:r>
        <w:rPr>
          <w:rFonts w:hint="eastAsia" w:ascii="Times New Roman" w:hAnsi="Times New Roman"/>
          <w:color w:val="auto"/>
          <w:lang w:val="en-US" w:eastAsia="zh-CN"/>
        </w:rPr>
        <w:t>、</w:t>
      </w:r>
      <w:r>
        <w:rPr>
          <w:rFonts w:hint="eastAsia" w:ascii="Times New Roman" w:hAnsi="Times New Roman"/>
          <w:color w:val="auto"/>
        </w:rPr>
        <w:t>道路排水沟</w:t>
      </w:r>
    </w:p>
    <w:p w14:paraId="7AE7AFA0">
      <w:pPr>
        <w:bidi w:val="0"/>
        <w:rPr>
          <w:rFonts w:hint="eastAsia" w:ascii="Times New Roman" w:hAnsi="Times New Roman"/>
          <w:color w:val="auto"/>
        </w:rPr>
      </w:pPr>
      <w:r>
        <w:rPr>
          <w:rFonts w:hint="eastAsia" w:ascii="Times New Roman" w:hAnsi="Times New Roman"/>
          <w:color w:val="auto"/>
        </w:rPr>
        <w:t>设计在运输道路旁修筑排水沟，基岩地段直接开挖毛沟，土层地段开挖后采用M7.5浆砌石砌筑；排水沟为梯形断面，净断面尺寸：上口宽0.6m、下口宽0.4m、沟深0.4m。在1960m底部平台与1940m平台之间安装DN300的排水管导流，将1960m底部平台的水排至1940m</w:t>
      </w:r>
      <w:r>
        <w:rPr>
          <w:rFonts w:hint="eastAsia"/>
          <w:color w:val="auto"/>
          <w:lang w:val="en-US" w:eastAsia="zh-CN"/>
        </w:rPr>
        <w:t>道路</w:t>
      </w:r>
      <w:r>
        <w:rPr>
          <w:rFonts w:hint="eastAsia" w:ascii="Times New Roman" w:hAnsi="Times New Roman"/>
          <w:color w:val="auto"/>
        </w:rPr>
        <w:t>水沟。</w:t>
      </w:r>
    </w:p>
    <w:p w14:paraId="280CF7B8">
      <w:pPr>
        <w:bidi w:val="0"/>
        <w:rPr>
          <w:rFonts w:hint="eastAsia"/>
          <w:color w:val="auto"/>
          <w:lang w:val="en-US" w:eastAsia="zh-CN"/>
        </w:rPr>
      </w:pPr>
      <w:r>
        <w:rPr>
          <w:rFonts w:hint="eastAsia"/>
          <w:color w:val="auto"/>
          <w:lang w:val="en-US" w:eastAsia="zh-CN"/>
        </w:rPr>
        <w:t>4、沉淀池</w:t>
      </w:r>
    </w:p>
    <w:p w14:paraId="0C4EA031">
      <w:pPr>
        <w:bidi w:val="0"/>
        <w:rPr>
          <w:rFonts w:hint="eastAsia"/>
          <w:color w:val="auto"/>
          <w:lang w:val="en-US" w:eastAsia="zh-CN"/>
        </w:rPr>
      </w:pPr>
      <w:r>
        <w:rPr>
          <w:rFonts w:hint="eastAsia"/>
          <w:color w:val="auto"/>
          <w:lang w:val="en-US" w:eastAsia="zh-CN"/>
        </w:rPr>
        <w:t>设计于办公区旁设设置沉淀池，采用长×宽×高6m×4m×2m，采场汇水经排水沟自流排至沉淀池，露天采场台阶汇水经排水沟收集汇入沉淀池，经沉淀处理后，悬浮物浓度满足生产用水要求，全部回用于矿山开采工作面洒水降尘、运输道路抑尘、破碎系统喷雾等生产环节，实现水资源循环利用，减少新鲜水取用量及废水外排量。雨季水量大时，多余水量通过沉淀池旁的道路排水沟外排即可。</w:t>
      </w:r>
    </w:p>
    <w:p w14:paraId="0163668B">
      <w:pPr>
        <w:pStyle w:val="4"/>
        <w:bidi w:val="0"/>
        <w:rPr>
          <w:rFonts w:hint="eastAsia" w:ascii="Times New Roman" w:hAnsi="Times New Roman"/>
          <w:color w:val="auto"/>
          <w:lang w:val="en-US" w:eastAsia="zh-CN"/>
        </w:rPr>
      </w:pPr>
      <w:bookmarkStart w:id="91" w:name="_Toc16105"/>
      <w:r>
        <w:rPr>
          <w:rFonts w:hint="eastAsia" w:ascii="Times New Roman" w:hAnsi="Times New Roman"/>
          <w:color w:val="auto"/>
          <w:lang w:val="en-US" w:eastAsia="zh-CN"/>
        </w:rPr>
        <w:t>2.4.10 破碎站</w:t>
      </w:r>
      <w:bookmarkEnd w:id="91"/>
    </w:p>
    <w:p w14:paraId="02C72FA5">
      <w:pPr>
        <w:bidi w:val="0"/>
        <w:rPr>
          <w:rFonts w:hint="eastAsia" w:ascii="Times New Roman" w:hAnsi="Times New Roman"/>
          <w:color w:val="auto"/>
          <w:lang w:val="en-US" w:eastAsia="zh-CN"/>
        </w:rPr>
      </w:pPr>
      <w:r>
        <w:rPr>
          <w:rFonts w:hint="eastAsia" w:ascii="Times New Roman" w:hAnsi="Times New Roman"/>
          <w:color w:val="auto"/>
          <w:lang w:val="en-US" w:eastAsia="zh-CN"/>
        </w:rPr>
        <w:t>矿山为改扩建矿山，矿山配套破碎站位于矿区界内西北侧。矿山正常生产时，矿石由各工作点运输至1932m卸矿口进行卸矿，后由破碎系统进行破碎。</w:t>
      </w:r>
    </w:p>
    <w:p w14:paraId="701EFE90">
      <w:pPr>
        <w:bidi w:val="0"/>
        <w:rPr>
          <w:rFonts w:hint="eastAsia" w:ascii="Times New Roman" w:hAnsi="Times New Roman"/>
          <w:color w:val="auto"/>
          <w:lang w:val="en-US" w:eastAsia="zh-CN"/>
        </w:rPr>
      </w:pPr>
      <w:r>
        <w:rPr>
          <w:rFonts w:hint="eastAsia" w:ascii="Times New Roman" w:hAnsi="Times New Roman"/>
          <w:color w:val="auto"/>
          <w:lang w:val="en-US" w:eastAsia="zh-CN"/>
        </w:rPr>
        <w:t>该破碎站已建成投产多年，能够满足矿山实际生产需求。</w:t>
      </w:r>
    </w:p>
    <w:p w14:paraId="189AF113">
      <w:pPr>
        <w:pStyle w:val="4"/>
        <w:bidi w:val="0"/>
        <w:rPr>
          <w:rFonts w:hint="eastAsia" w:ascii="Times New Roman" w:hAnsi="Times New Roman"/>
          <w:color w:val="auto"/>
          <w:lang w:val="en-US" w:eastAsia="zh-CN"/>
        </w:rPr>
      </w:pPr>
      <w:bookmarkStart w:id="92" w:name="_Toc29742"/>
      <w:r>
        <w:rPr>
          <w:rFonts w:hint="eastAsia" w:ascii="Times New Roman" w:hAnsi="Times New Roman"/>
          <w:color w:val="auto"/>
          <w:lang w:val="en-US" w:eastAsia="zh-CN"/>
        </w:rPr>
        <w:t>2.4.11 排土场</w:t>
      </w:r>
      <w:bookmarkEnd w:id="92"/>
    </w:p>
    <w:p w14:paraId="67A92200">
      <w:pPr>
        <w:bidi w:val="0"/>
        <w:rPr>
          <w:rFonts w:hint="eastAsia" w:ascii="Times New Roman" w:hAnsi="Times New Roman"/>
          <w:color w:val="auto"/>
          <w:lang w:val="en-US" w:eastAsia="zh-CN"/>
        </w:rPr>
      </w:pPr>
      <w:r>
        <w:rPr>
          <w:rFonts w:hint="eastAsia" w:ascii="Times New Roman" w:hAnsi="Times New Roman"/>
          <w:color w:val="auto"/>
          <w:lang w:val="en-US" w:eastAsia="zh-CN"/>
        </w:rPr>
        <w:t>矿山剥离的废土量约为5.19万m³，废土松散系数取1.3，即废土松散方量约为6.75万m³。</w:t>
      </w:r>
    </w:p>
    <w:p w14:paraId="06C94549">
      <w:pPr>
        <w:bidi w:val="0"/>
        <w:rPr>
          <w:rFonts w:hint="eastAsia" w:ascii="Times New Roman" w:hAnsi="Times New Roman"/>
          <w:color w:val="auto"/>
          <w:lang w:val="en-US" w:eastAsia="zh-CN"/>
        </w:rPr>
      </w:pPr>
      <w:r>
        <w:rPr>
          <w:rFonts w:hint="eastAsia" w:ascii="Times New Roman" w:hAnsi="Times New Roman"/>
          <w:color w:val="auto"/>
          <w:lang w:val="en-US" w:eastAsia="zh-CN"/>
        </w:rPr>
        <w:t>该矿山采空区面积较大，设计在矿区内西北侧采空区设置回填式临时表土堆场，回填面积为8356m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堆高12m，自然安息角为34°，表土容积约为8万m³。本排土场为采空区回填式堆置场，回填坑局部存在缺口，为防止废土从缺口处溢出及边坡滑移，后期废料堆满时，应在缺口位置设置连续式拦渣挡墙。拦渣挡墙底宽3m，顶宽1m，高度1m。因排土场周围已存在台阶排水沟及道路排水沟，排土场周围不另设排水沟。为防止车辆卸料时坠入坑内，在回填坑边缘卸料平台外侧设置梯形安全车挡，车挡高度为1.0m，顶宽0.6m，底宽1.2m。综上，该排土场能满足矿山生产要求。</w:t>
      </w:r>
    </w:p>
    <w:p w14:paraId="476AECDC">
      <w:pPr>
        <w:pStyle w:val="4"/>
        <w:bidi w:val="0"/>
        <w:rPr>
          <w:rFonts w:hint="eastAsia" w:ascii="Times New Roman" w:hAnsi="Times New Roman"/>
          <w:color w:val="auto"/>
          <w:lang w:val="en-US" w:eastAsia="zh-CN"/>
        </w:rPr>
      </w:pPr>
      <w:bookmarkStart w:id="93" w:name="_Toc17009"/>
      <w:r>
        <w:rPr>
          <w:rFonts w:hint="eastAsia" w:ascii="Times New Roman" w:hAnsi="Times New Roman"/>
          <w:color w:val="auto"/>
          <w:lang w:val="en-US" w:eastAsia="zh-CN"/>
        </w:rPr>
        <w:t>2.4.12 边坡监测</w:t>
      </w:r>
      <w:bookmarkEnd w:id="93"/>
    </w:p>
    <w:p w14:paraId="5AE5FB4C">
      <w:pPr>
        <w:bidi w:val="0"/>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监测等级</w:t>
      </w:r>
    </w:p>
    <w:p w14:paraId="0B128CDA">
      <w:pPr>
        <w:bidi w:val="0"/>
        <w:rPr>
          <w:rFonts w:hint="default" w:ascii="Times New Roman" w:hAnsi="Times New Roman"/>
          <w:color w:val="auto"/>
          <w:lang w:val="en-US" w:eastAsia="zh-CN"/>
        </w:rPr>
      </w:pPr>
      <w:r>
        <w:rPr>
          <w:rFonts w:hint="default" w:ascii="Times New Roman" w:hAnsi="Times New Roman"/>
          <w:color w:val="auto"/>
          <w:lang w:val="en-US" w:eastAsia="zh-CN"/>
        </w:rPr>
        <w:t>根据采场边坡高度、坡度、地质条件、稳定性等指标确定不同监测等级。</w:t>
      </w:r>
    </w:p>
    <w:p w14:paraId="0D9EC016">
      <w:pPr>
        <w:bidi w:val="0"/>
        <w:rPr>
          <w:rFonts w:hint="default" w:ascii="Times New Roman" w:hAnsi="Times New Roman"/>
          <w:color w:val="auto"/>
          <w:lang w:val="en-US" w:eastAsia="zh-CN"/>
        </w:rPr>
      </w:pPr>
      <w:r>
        <w:rPr>
          <w:rFonts w:hint="default" w:ascii="Times New Roman" w:hAnsi="Times New Roman"/>
          <w:color w:val="auto"/>
          <w:lang w:val="en-US" w:eastAsia="zh-CN"/>
        </w:rPr>
        <w:t>（1）边坡高度等级</w:t>
      </w:r>
    </w:p>
    <w:p w14:paraId="4ADAFEB9">
      <w:pPr>
        <w:pStyle w:val="16"/>
        <w:bidi w:val="0"/>
        <w:rPr>
          <w:rFonts w:hint="default" w:ascii="Times New Roman" w:hAnsi="Times New Roman"/>
          <w:color w:val="auto"/>
          <w:lang w:val="en-US" w:eastAsia="zh-CN"/>
        </w:rPr>
      </w:pPr>
      <w:r>
        <w:rPr>
          <w:rFonts w:hint="default" w:ascii="Times New Roman" w:hAnsi="Times New Roman"/>
          <w:color w:val="auto"/>
          <w:lang w:val="en-US" w:eastAsia="zh-CN"/>
        </w:rPr>
        <w:t>表</w:t>
      </w:r>
      <w:r>
        <w:rPr>
          <w:rFonts w:hint="eastAsia" w:ascii="Times New Roman" w:hAnsi="Times New Roman"/>
          <w:color w:val="auto"/>
          <w:lang w:val="en-US" w:eastAsia="zh-CN"/>
        </w:rPr>
        <w:t xml:space="preserve">2.4-11  </w:t>
      </w:r>
      <w:r>
        <w:rPr>
          <w:rFonts w:hint="default" w:ascii="Times New Roman" w:hAnsi="Times New Roman"/>
          <w:color w:val="auto"/>
          <w:lang w:val="en-US" w:eastAsia="zh-CN"/>
        </w:rPr>
        <w:t>边坡高度等级</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8"/>
        <w:gridCol w:w="2504"/>
        <w:gridCol w:w="3339"/>
      </w:tblGrid>
      <w:tr w14:paraId="3FA5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892" w:type="pct"/>
            <w:vAlign w:val="center"/>
          </w:tcPr>
          <w:p w14:paraId="337AEAAE">
            <w:pPr>
              <w:pStyle w:val="17"/>
              <w:bidi w:val="0"/>
              <w:rPr>
                <w:rFonts w:ascii="Times New Roman" w:hAnsi="Times New Roman"/>
                <w:b/>
                <w:bCs/>
                <w:color w:val="auto"/>
              </w:rPr>
            </w:pPr>
            <w:r>
              <w:rPr>
                <w:rFonts w:ascii="Times New Roman" w:hAnsi="Times New Roman"/>
                <w:b/>
                <w:bCs/>
                <w:color w:val="auto"/>
              </w:rPr>
              <w:t>高度等级指数（H）</w:t>
            </w:r>
          </w:p>
        </w:tc>
        <w:tc>
          <w:tcPr>
            <w:tcW w:w="1331" w:type="pct"/>
            <w:vAlign w:val="center"/>
          </w:tcPr>
          <w:p w14:paraId="0D89D3A1">
            <w:pPr>
              <w:pStyle w:val="17"/>
              <w:bidi w:val="0"/>
              <w:rPr>
                <w:rFonts w:ascii="Times New Roman" w:hAnsi="Times New Roman"/>
                <w:b/>
                <w:bCs/>
                <w:color w:val="auto"/>
              </w:rPr>
            </w:pPr>
            <w:r>
              <w:rPr>
                <w:rFonts w:ascii="Times New Roman" w:hAnsi="Times New Roman"/>
                <w:b/>
                <w:bCs/>
                <w:color w:val="auto"/>
              </w:rPr>
              <w:t>分类名称</w:t>
            </w:r>
          </w:p>
        </w:tc>
        <w:tc>
          <w:tcPr>
            <w:tcW w:w="1775" w:type="pct"/>
            <w:vAlign w:val="center"/>
          </w:tcPr>
          <w:p w14:paraId="7B8886B9">
            <w:pPr>
              <w:pStyle w:val="17"/>
              <w:bidi w:val="0"/>
              <w:rPr>
                <w:rFonts w:ascii="Times New Roman" w:hAnsi="Times New Roman"/>
                <w:b/>
                <w:bCs/>
                <w:color w:val="auto"/>
              </w:rPr>
            </w:pPr>
            <w:r>
              <w:rPr>
                <w:rFonts w:ascii="Times New Roman" w:hAnsi="Times New Roman"/>
                <w:b/>
                <w:bCs/>
                <w:color w:val="auto"/>
              </w:rPr>
              <w:t>高度</w:t>
            </w:r>
          </w:p>
        </w:tc>
      </w:tr>
      <w:tr w14:paraId="29E8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2" w:type="pct"/>
            <w:vAlign w:val="center"/>
          </w:tcPr>
          <w:p w14:paraId="493D64B7">
            <w:pPr>
              <w:pStyle w:val="17"/>
              <w:bidi w:val="0"/>
              <w:rPr>
                <w:rFonts w:ascii="Times New Roman" w:hAnsi="Times New Roman"/>
                <w:color w:val="auto"/>
              </w:rPr>
            </w:pPr>
            <w:r>
              <w:rPr>
                <w:rFonts w:ascii="Times New Roman" w:hAnsi="Times New Roman"/>
                <w:color w:val="auto"/>
              </w:rPr>
              <w:t>1</w:t>
            </w:r>
          </w:p>
        </w:tc>
        <w:tc>
          <w:tcPr>
            <w:tcW w:w="1331" w:type="pct"/>
            <w:vAlign w:val="center"/>
          </w:tcPr>
          <w:p w14:paraId="534DAA21">
            <w:pPr>
              <w:pStyle w:val="17"/>
              <w:bidi w:val="0"/>
              <w:rPr>
                <w:rFonts w:ascii="Times New Roman" w:hAnsi="Times New Roman"/>
                <w:color w:val="auto"/>
              </w:rPr>
            </w:pPr>
            <w:r>
              <w:rPr>
                <w:rFonts w:ascii="Times New Roman" w:hAnsi="Times New Roman"/>
                <w:color w:val="auto"/>
              </w:rPr>
              <w:t>超高边坡</w:t>
            </w:r>
          </w:p>
        </w:tc>
        <w:tc>
          <w:tcPr>
            <w:tcW w:w="1775" w:type="pct"/>
            <w:vAlign w:val="center"/>
          </w:tcPr>
          <w:p w14:paraId="6584922C">
            <w:pPr>
              <w:pStyle w:val="17"/>
              <w:bidi w:val="0"/>
              <w:rPr>
                <w:rFonts w:ascii="Times New Roman" w:hAnsi="Times New Roman"/>
                <w:color w:val="auto"/>
              </w:rPr>
            </w:pPr>
            <w:r>
              <w:rPr>
                <w:rFonts w:ascii="Times New Roman" w:hAnsi="Times New Roman"/>
                <w:color w:val="auto"/>
              </w:rPr>
              <w:t>大于500</w:t>
            </w:r>
          </w:p>
        </w:tc>
      </w:tr>
      <w:tr w14:paraId="527E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2" w:type="pct"/>
            <w:vAlign w:val="center"/>
          </w:tcPr>
          <w:p w14:paraId="58BD69FC">
            <w:pPr>
              <w:pStyle w:val="17"/>
              <w:bidi w:val="0"/>
              <w:rPr>
                <w:rFonts w:ascii="Times New Roman" w:hAnsi="Times New Roman"/>
                <w:color w:val="auto"/>
              </w:rPr>
            </w:pPr>
            <w:r>
              <w:rPr>
                <w:rFonts w:ascii="Times New Roman" w:hAnsi="Times New Roman"/>
                <w:color w:val="auto"/>
              </w:rPr>
              <w:t>2</w:t>
            </w:r>
          </w:p>
        </w:tc>
        <w:tc>
          <w:tcPr>
            <w:tcW w:w="1331" w:type="pct"/>
            <w:vAlign w:val="center"/>
          </w:tcPr>
          <w:p w14:paraId="7597CC80">
            <w:pPr>
              <w:pStyle w:val="17"/>
              <w:bidi w:val="0"/>
              <w:rPr>
                <w:rFonts w:ascii="Times New Roman" w:hAnsi="Times New Roman"/>
                <w:color w:val="auto"/>
              </w:rPr>
            </w:pPr>
            <w:r>
              <w:rPr>
                <w:rFonts w:ascii="Times New Roman" w:hAnsi="Times New Roman"/>
                <w:color w:val="auto"/>
              </w:rPr>
              <w:t>高边坡</w:t>
            </w:r>
          </w:p>
        </w:tc>
        <w:tc>
          <w:tcPr>
            <w:tcW w:w="1775" w:type="pct"/>
            <w:vAlign w:val="center"/>
          </w:tcPr>
          <w:p w14:paraId="5B8D302D">
            <w:pPr>
              <w:pStyle w:val="17"/>
              <w:bidi w:val="0"/>
              <w:rPr>
                <w:rFonts w:ascii="Times New Roman" w:hAnsi="Times New Roman"/>
                <w:color w:val="auto"/>
              </w:rPr>
            </w:pPr>
            <w:r>
              <w:rPr>
                <w:rFonts w:ascii="Times New Roman" w:hAnsi="Times New Roman"/>
                <w:color w:val="auto"/>
              </w:rPr>
              <w:t>200~500</w:t>
            </w:r>
          </w:p>
        </w:tc>
      </w:tr>
      <w:tr w14:paraId="4596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2" w:type="pct"/>
            <w:vAlign w:val="center"/>
          </w:tcPr>
          <w:p w14:paraId="4ADB8AC7">
            <w:pPr>
              <w:pStyle w:val="17"/>
              <w:bidi w:val="0"/>
              <w:rPr>
                <w:rFonts w:ascii="Times New Roman" w:hAnsi="Times New Roman"/>
                <w:color w:val="auto"/>
              </w:rPr>
            </w:pPr>
            <w:r>
              <w:rPr>
                <w:rFonts w:ascii="Times New Roman" w:hAnsi="Times New Roman"/>
                <w:color w:val="auto"/>
              </w:rPr>
              <w:t>3</w:t>
            </w:r>
          </w:p>
        </w:tc>
        <w:tc>
          <w:tcPr>
            <w:tcW w:w="1331" w:type="pct"/>
            <w:vAlign w:val="center"/>
          </w:tcPr>
          <w:p w14:paraId="6367D33A">
            <w:pPr>
              <w:pStyle w:val="17"/>
              <w:bidi w:val="0"/>
              <w:rPr>
                <w:rFonts w:ascii="Times New Roman" w:hAnsi="Times New Roman"/>
                <w:color w:val="auto"/>
              </w:rPr>
            </w:pPr>
            <w:r>
              <w:rPr>
                <w:rFonts w:ascii="Times New Roman" w:hAnsi="Times New Roman"/>
                <w:color w:val="auto"/>
              </w:rPr>
              <w:t>中高边坡</w:t>
            </w:r>
          </w:p>
        </w:tc>
        <w:tc>
          <w:tcPr>
            <w:tcW w:w="1775" w:type="pct"/>
            <w:vAlign w:val="center"/>
          </w:tcPr>
          <w:p w14:paraId="211F373B">
            <w:pPr>
              <w:pStyle w:val="17"/>
              <w:bidi w:val="0"/>
              <w:rPr>
                <w:rFonts w:ascii="Times New Roman" w:hAnsi="Times New Roman"/>
                <w:color w:val="auto"/>
              </w:rPr>
            </w:pPr>
            <w:r>
              <w:rPr>
                <w:rFonts w:ascii="Times New Roman" w:hAnsi="Times New Roman"/>
                <w:color w:val="auto"/>
              </w:rPr>
              <w:t>100~200</w:t>
            </w:r>
          </w:p>
        </w:tc>
      </w:tr>
      <w:tr w14:paraId="199E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2" w:type="pct"/>
            <w:vAlign w:val="center"/>
          </w:tcPr>
          <w:p w14:paraId="3E8A200D">
            <w:pPr>
              <w:pStyle w:val="17"/>
              <w:bidi w:val="0"/>
              <w:rPr>
                <w:rFonts w:ascii="Times New Roman" w:hAnsi="Times New Roman"/>
                <w:color w:val="auto"/>
              </w:rPr>
            </w:pPr>
            <w:r>
              <w:rPr>
                <w:rFonts w:ascii="Times New Roman" w:hAnsi="Times New Roman"/>
                <w:color w:val="auto"/>
              </w:rPr>
              <w:t>4</w:t>
            </w:r>
          </w:p>
        </w:tc>
        <w:tc>
          <w:tcPr>
            <w:tcW w:w="1331" w:type="pct"/>
            <w:vAlign w:val="center"/>
          </w:tcPr>
          <w:p w14:paraId="53FC7B8C">
            <w:pPr>
              <w:pStyle w:val="17"/>
              <w:bidi w:val="0"/>
              <w:rPr>
                <w:rFonts w:ascii="Times New Roman" w:hAnsi="Times New Roman"/>
                <w:color w:val="auto"/>
              </w:rPr>
            </w:pPr>
            <w:r>
              <w:rPr>
                <w:rFonts w:ascii="Times New Roman" w:hAnsi="Times New Roman"/>
                <w:color w:val="auto"/>
              </w:rPr>
              <w:t>低边坡</w:t>
            </w:r>
          </w:p>
        </w:tc>
        <w:tc>
          <w:tcPr>
            <w:tcW w:w="1775" w:type="pct"/>
            <w:vAlign w:val="center"/>
          </w:tcPr>
          <w:p w14:paraId="181C881F">
            <w:pPr>
              <w:pStyle w:val="17"/>
              <w:bidi w:val="0"/>
              <w:rPr>
                <w:rFonts w:ascii="Times New Roman" w:hAnsi="Times New Roman"/>
                <w:color w:val="auto"/>
              </w:rPr>
            </w:pPr>
            <w:r>
              <w:rPr>
                <w:rFonts w:ascii="Times New Roman" w:hAnsi="Times New Roman"/>
                <w:color w:val="auto"/>
              </w:rPr>
              <w:t>小于100</w:t>
            </w:r>
          </w:p>
        </w:tc>
      </w:tr>
    </w:tbl>
    <w:p w14:paraId="590AF230">
      <w:pPr>
        <w:bidi w:val="0"/>
        <w:rPr>
          <w:rFonts w:hint="default" w:ascii="Times New Roman" w:hAnsi="Times New Roman"/>
          <w:color w:val="auto"/>
          <w:lang w:val="en-US" w:eastAsia="zh-CN"/>
        </w:rPr>
      </w:pPr>
      <w:r>
        <w:rPr>
          <w:rFonts w:hint="default" w:ascii="Times New Roman" w:hAnsi="Times New Roman"/>
          <w:color w:val="auto"/>
          <w:lang w:val="en-US" w:eastAsia="zh-CN"/>
        </w:rPr>
        <w:t>设计采场最大边坡高度95m，高度等级指数H取4。</w:t>
      </w:r>
    </w:p>
    <w:p w14:paraId="447941D2">
      <w:pPr>
        <w:bidi w:val="0"/>
        <w:rPr>
          <w:rFonts w:hint="default" w:ascii="Times New Roman" w:hAnsi="Times New Roman"/>
          <w:color w:val="auto"/>
          <w:lang w:val="en-US" w:eastAsia="zh-CN"/>
        </w:rPr>
      </w:pPr>
      <w:r>
        <w:rPr>
          <w:rFonts w:hint="default" w:ascii="Times New Roman" w:hAnsi="Times New Roman"/>
          <w:color w:val="auto"/>
          <w:lang w:val="en-US" w:eastAsia="zh-CN"/>
        </w:rPr>
        <w:t>（2）总体边坡角等级</w:t>
      </w:r>
    </w:p>
    <w:p w14:paraId="310760B8">
      <w:pPr>
        <w:pStyle w:val="16"/>
        <w:bidi w:val="0"/>
        <w:rPr>
          <w:rFonts w:hint="default" w:ascii="Times New Roman" w:hAnsi="Times New Roman"/>
          <w:color w:val="auto"/>
          <w:lang w:val="en-US" w:eastAsia="zh-CN"/>
        </w:rPr>
      </w:pPr>
      <w:r>
        <w:rPr>
          <w:rFonts w:hint="default" w:ascii="Times New Roman" w:hAnsi="Times New Roman"/>
          <w:color w:val="auto"/>
          <w:lang w:val="en-US" w:eastAsia="zh-CN"/>
        </w:rPr>
        <w:t>表</w:t>
      </w:r>
      <w:r>
        <w:rPr>
          <w:rFonts w:hint="eastAsia" w:ascii="Times New Roman" w:hAnsi="Times New Roman"/>
          <w:color w:val="auto"/>
          <w:lang w:val="en-US" w:eastAsia="zh-CN"/>
        </w:rPr>
        <w:t xml:space="preserve">2.4-12  </w:t>
      </w:r>
      <w:r>
        <w:rPr>
          <w:rFonts w:hint="default" w:ascii="Times New Roman" w:hAnsi="Times New Roman"/>
          <w:color w:val="auto"/>
          <w:lang w:val="en-US" w:eastAsia="zh-CN"/>
        </w:rPr>
        <w:t>总体边坡角等级</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122"/>
        <w:gridCol w:w="2619"/>
        <w:gridCol w:w="3452"/>
      </w:tblGrid>
      <w:tr w14:paraId="415D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698" w:type="pct"/>
            <w:vAlign w:val="center"/>
          </w:tcPr>
          <w:p w14:paraId="46B7A112">
            <w:pPr>
              <w:pStyle w:val="17"/>
              <w:bidi w:val="0"/>
              <w:rPr>
                <w:rFonts w:ascii="Times New Roman" w:hAnsi="Times New Roman"/>
                <w:b/>
                <w:bCs/>
                <w:color w:val="auto"/>
              </w:rPr>
            </w:pPr>
            <w:r>
              <w:rPr>
                <w:rFonts w:ascii="Times New Roman" w:hAnsi="Times New Roman"/>
                <w:b/>
                <w:bCs/>
                <w:color w:val="auto"/>
              </w:rPr>
              <w:t>计算</w:t>
            </w:r>
          </w:p>
        </w:tc>
        <w:tc>
          <w:tcPr>
            <w:tcW w:w="1424" w:type="pct"/>
            <w:vAlign w:val="center"/>
          </w:tcPr>
          <w:p w14:paraId="0DAB07BC">
            <w:pPr>
              <w:pStyle w:val="17"/>
              <w:bidi w:val="0"/>
              <w:rPr>
                <w:rFonts w:ascii="Times New Roman" w:hAnsi="Times New Roman"/>
                <w:b/>
                <w:bCs/>
                <w:color w:val="auto"/>
              </w:rPr>
            </w:pPr>
            <w:r>
              <w:rPr>
                <w:rFonts w:ascii="Times New Roman" w:hAnsi="Times New Roman"/>
                <w:b/>
                <w:bCs/>
                <w:color w:val="auto"/>
              </w:rPr>
              <w:t>分类名称</w:t>
            </w:r>
          </w:p>
        </w:tc>
        <w:tc>
          <w:tcPr>
            <w:tcW w:w="1877" w:type="pct"/>
            <w:vAlign w:val="center"/>
          </w:tcPr>
          <w:p w14:paraId="755462C1">
            <w:pPr>
              <w:pStyle w:val="17"/>
              <w:bidi w:val="0"/>
              <w:rPr>
                <w:rFonts w:ascii="Times New Roman" w:hAnsi="Times New Roman"/>
                <w:b/>
                <w:bCs/>
                <w:color w:val="auto"/>
              </w:rPr>
            </w:pPr>
            <w:r>
              <w:rPr>
                <w:rFonts w:ascii="Times New Roman" w:hAnsi="Times New Roman"/>
                <w:b/>
                <w:bCs/>
                <w:color w:val="auto"/>
              </w:rPr>
              <w:t>总边坡角度</w:t>
            </w:r>
          </w:p>
        </w:tc>
      </w:tr>
      <w:tr w14:paraId="140E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698" w:type="pct"/>
            <w:vAlign w:val="center"/>
          </w:tcPr>
          <w:p w14:paraId="383C4E1C">
            <w:pPr>
              <w:pStyle w:val="17"/>
              <w:bidi w:val="0"/>
              <w:rPr>
                <w:rFonts w:ascii="Times New Roman" w:hAnsi="Times New Roman"/>
                <w:color w:val="auto"/>
              </w:rPr>
            </w:pPr>
            <w:r>
              <w:rPr>
                <w:rFonts w:ascii="Times New Roman" w:hAnsi="Times New Roman"/>
                <w:color w:val="auto"/>
              </w:rPr>
              <w:t>1</w:t>
            </w:r>
          </w:p>
        </w:tc>
        <w:tc>
          <w:tcPr>
            <w:tcW w:w="1424" w:type="pct"/>
            <w:vAlign w:val="center"/>
          </w:tcPr>
          <w:p w14:paraId="7C8D5BA3">
            <w:pPr>
              <w:pStyle w:val="17"/>
              <w:bidi w:val="0"/>
              <w:rPr>
                <w:rFonts w:ascii="Times New Roman" w:hAnsi="Times New Roman"/>
                <w:color w:val="auto"/>
              </w:rPr>
            </w:pPr>
            <w:r>
              <w:rPr>
                <w:rFonts w:ascii="Times New Roman" w:hAnsi="Times New Roman"/>
                <w:color w:val="auto"/>
              </w:rPr>
              <w:t>陡坡</w:t>
            </w:r>
          </w:p>
        </w:tc>
        <w:tc>
          <w:tcPr>
            <w:tcW w:w="1877" w:type="pct"/>
            <w:vAlign w:val="center"/>
          </w:tcPr>
          <w:p w14:paraId="560189C1">
            <w:pPr>
              <w:pStyle w:val="17"/>
              <w:bidi w:val="0"/>
              <w:rPr>
                <w:rFonts w:ascii="Times New Roman" w:hAnsi="Times New Roman"/>
                <w:color w:val="auto"/>
              </w:rPr>
            </w:pPr>
            <w:r>
              <w:rPr>
                <w:rFonts w:ascii="Times New Roman" w:hAnsi="Times New Roman"/>
                <w:color w:val="auto"/>
              </w:rPr>
              <w:t>大于42°</w:t>
            </w:r>
          </w:p>
        </w:tc>
      </w:tr>
      <w:tr w14:paraId="2D90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698" w:type="pct"/>
            <w:vAlign w:val="center"/>
          </w:tcPr>
          <w:p w14:paraId="0DA7BC4C">
            <w:pPr>
              <w:pStyle w:val="17"/>
              <w:bidi w:val="0"/>
              <w:rPr>
                <w:rFonts w:ascii="Times New Roman" w:hAnsi="Times New Roman"/>
                <w:color w:val="auto"/>
              </w:rPr>
            </w:pPr>
            <w:r>
              <w:rPr>
                <w:rFonts w:ascii="Times New Roman" w:hAnsi="Times New Roman"/>
                <w:color w:val="auto"/>
              </w:rPr>
              <w:t>2</w:t>
            </w:r>
          </w:p>
        </w:tc>
        <w:tc>
          <w:tcPr>
            <w:tcW w:w="1424" w:type="pct"/>
            <w:vAlign w:val="center"/>
          </w:tcPr>
          <w:p w14:paraId="76EF6FAC">
            <w:pPr>
              <w:pStyle w:val="17"/>
              <w:bidi w:val="0"/>
              <w:rPr>
                <w:rFonts w:ascii="Times New Roman" w:hAnsi="Times New Roman"/>
                <w:color w:val="auto"/>
              </w:rPr>
            </w:pPr>
            <w:r>
              <w:rPr>
                <w:rFonts w:ascii="Times New Roman" w:hAnsi="Times New Roman"/>
                <w:color w:val="auto"/>
              </w:rPr>
              <w:t>斜坡</w:t>
            </w:r>
          </w:p>
        </w:tc>
        <w:tc>
          <w:tcPr>
            <w:tcW w:w="1877" w:type="pct"/>
            <w:vAlign w:val="center"/>
          </w:tcPr>
          <w:p w14:paraId="5A9BFEF0">
            <w:pPr>
              <w:pStyle w:val="17"/>
              <w:bidi w:val="0"/>
              <w:rPr>
                <w:rFonts w:ascii="Times New Roman" w:hAnsi="Times New Roman"/>
                <w:color w:val="auto"/>
              </w:rPr>
            </w:pPr>
            <w:r>
              <w:rPr>
                <w:rFonts w:ascii="Times New Roman" w:hAnsi="Times New Roman"/>
                <w:color w:val="auto"/>
              </w:rPr>
              <w:t>30°~42°</w:t>
            </w:r>
          </w:p>
        </w:tc>
      </w:tr>
      <w:tr w14:paraId="1F03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698" w:type="pct"/>
            <w:vAlign w:val="center"/>
          </w:tcPr>
          <w:p w14:paraId="0B7FBCD7">
            <w:pPr>
              <w:pStyle w:val="17"/>
              <w:bidi w:val="0"/>
              <w:rPr>
                <w:rFonts w:ascii="Times New Roman" w:hAnsi="Times New Roman"/>
                <w:color w:val="auto"/>
              </w:rPr>
            </w:pPr>
            <w:r>
              <w:rPr>
                <w:rFonts w:ascii="Times New Roman" w:hAnsi="Times New Roman"/>
                <w:color w:val="auto"/>
              </w:rPr>
              <w:t>3</w:t>
            </w:r>
          </w:p>
        </w:tc>
        <w:tc>
          <w:tcPr>
            <w:tcW w:w="1424" w:type="pct"/>
            <w:vAlign w:val="center"/>
          </w:tcPr>
          <w:p w14:paraId="3E7C376F">
            <w:pPr>
              <w:pStyle w:val="17"/>
              <w:bidi w:val="0"/>
              <w:rPr>
                <w:rFonts w:ascii="Times New Roman" w:hAnsi="Times New Roman"/>
                <w:color w:val="auto"/>
              </w:rPr>
            </w:pPr>
            <w:r>
              <w:rPr>
                <w:rFonts w:ascii="Times New Roman" w:hAnsi="Times New Roman"/>
                <w:color w:val="auto"/>
              </w:rPr>
              <w:t>缓坡</w:t>
            </w:r>
          </w:p>
        </w:tc>
        <w:tc>
          <w:tcPr>
            <w:tcW w:w="1877" w:type="pct"/>
            <w:vAlign w:val="center"/>
          </w:tcPr>
          <w:p w14:paraId="3E67610F">
            <w:pPr>
              <w:pStyle w:val="17"/>
              <w:bidi w:val="0"/>
              <w:rPr>
                <w:rFonts w:ascii="Times New Roman" w:hAnsi="Times New Roman"/>
                <w:color w:val="auto"/>
              </w:rPr>
            </w:pPr>
            <w:r>
              <w:rPr>
                <w:rFonts w:ascii="Times New Roman" w:hAnsi="Times New Roman"/>
                <w:color w:val="auto"/>
              </w:rPr>
              <w:t>小于30°</w:t>
            </w:r>
          </w:p>
        </w:tc>
      </w:tr>
    </w:tbl>
    <w:p w14:paraId="0A724D06">
      <w:pPr>
        <w:bidi w:val="0"/>
        <w:rPr>
          <w:rFonts w:hint="default" w:ascii="Times New Roman" w:hAnsi="Times New Roman"/>
          <w:color w:val="auto"/>
          <w:lang w:val="en-US" w:eastAsia="zh-CN"/>
        </w:rPr>
      </w:pPr>
      <w:r>
        <w:rPr>
          <w:rFonts w:hint="default" w:ascii="Times New Roman" w:hAnsi="Times New Roman"/>
          <w:color w:val="auto"/>
          <w:lang w:val="en-US" w:eastAsia="zh-CN"/>
        </w:rPr>
        <w:t>设计采场最终边坡角46°，坡度等级指数A取1。</w:t>
      </w:r>
    </w:p>
    <w:p w14:paraId="16DB6613">
      <w:pPr>
        <w:bidi w:val="0"/>
        <w:rPr>
          <w:rFonts w:hint="default" w:ascii="Times New Roman" w:hAnsi="Times New Roman"/>
          <w:color w:val="auto"/>
          <w:lang w:val="en-US" w:eastAsia="zh-CN"/>
        </w:rPr>
      </w:pPr>
      <w:r>
        <w:rPr>
          <w:rFonts w:hint="default" w:ascii="Times New Roman" w:hAnsi="Times New Roman"/>
          <w:color w:val="auto"/>
          <w:lang w:val="en-US" w:eastAsia="zh-CN"/>
        </w:rPr>
        <w:t>（3）地质条件等级</w:t>
      </w:r>
    </w:p>
    <w:p w14:paraId="158C64F2">
      <w:pPr>
        <w:bidi w:val="0"/>
        <w:rPr>
          <w:rFonts w:hint="default" w:ascii="Times New Roman" w:hAnsi="Times New Roman"/>
          <w:color w:val="auto"/>
          <w:lang w:val="en-US" w:eastAsia="zh-CN"/>
        </w:rPr>
      </w:pPr>
      <w:r>
        <w:rPr>
          <w:rFonts w:hint="default" w:ascii="Times New Roman" w:hAnsi="Times New Roman"/>
          <w:color w:val="auto"/>
          <w:lang w:val="en-US" w:eastAsia="zh-CN"/>
        </w:rPr>
        <w:t>地质条件等级指数G为2。</w:t>
      </w:r>
    </w:p>
    <w:p w14:paraId="551093DC">
      <w:pPr>
        <w:bidi w:val="0"/>
        <w:rPr>
          <w:rFonts w:hint="default" w:ascii="Times New Roman" w:hAnsi="Times New Roman"/>
          <w:color w:val="auto"/>
          <w:lang w:val="en-US" w:eastAsia="zh-CN"/>
        </w:rPr>
      </w:pPr>
      <w:r>
        <w:rPr>
          <w:rFonts w:hint="default" w:ascii="Times New Roman" w:hAnsi="Times New Roman"/>
          <w:color w:val="auto"/>
          <w:lang w:val="en-US" w:eastAsia="zh-CN"/>
        </w:rPr>
        <w:t>（4）采场边坡滑坡风险等级</w:t>
      </w:r>
    </w:p>
    <w:p w14:paraId="1C08922C">
      <w:pPr>
        <w:bidi w:val="0"/>
        <w:rPr>
          <w:rFonts w:hint="default" w:ascii="Times New Roman" w:hAnsi="Times New Roman"/>
          <w:color w:val="auto"/>
          <w:lang w:val="en-US" w:eastAsia="zh-CN"/>
        </w:rPr>
      </w:pPr>
      <w:r>
        <w:rPr>
          <w:rFonts w:hint="default" w:ascii="Times New Roman" w:hAnsi="Times New Roman"/>
          <w:color w:val="auto"/>
          <w:lang w:val="en-US" w:eastAsia="zh-CN"/>
        </w:rPr>
        <w:t>按正常和非正常工况条件下边坡滑坡风险等级为4。</w:t>
      </w:r>
    </w:p>
    <w:p w14:paraId="722AD5BE">
      <w:pPr>
        <w:bidi w:val="0"/>
        <w:rPr>
          <w:rFonts w:hint="default" w:ascii="Times New Roman" w:hAnsi="Times New Roman"/>
          <w:color w:val="auto"/>
          <w:lang w:val="en-US" w:eastAsia="zh-CN"/>
        </w:rPr>
      </w:pPr>
      <w:r>
        <w:rPr>
          <w:rFonts w:hint="default" w:ascii="Times New Roman" w:hAnsi="Times New Roman"/>
          <w:color w:val="auto"/>
          <w:lang w:val="en-US" w:eastAsia="zh-CN"/>
        </w:rPr>
        <w:t>（5）采场边坡安全监测等级</w:t>
      </w:r>
    </w:p>
    <w:p w14:paraId="681EA044">
      <w:pPr>
        <w:bidi w:val="0"/>
        <w:rPr>
          <w:rFonts w:hint="default" w:ascii="Times New Roman" w:hAnsi="Times New Roman"/>
          <w:color w:val="auto"/>
          <w:lang w:val="en-US" w:eastAsia="zh-CN"/>
        </w:rPr>
      </w:pPr>
      <w:r>
        <w:rPr>
          <w:rFonts w:hint="default" w:ascii="Times New Roman" w:hAnsi="Times New Roman"/>
          <w:color w:val="auto"/>
          <w:lang w:val="en-US" w:eastAsia="zh-CN"/>
        </w:rPr>
        <w:t>该矿山边坡安全监测等级为三级。</w:t>
      </w:r>
    </w:p>
    <w:p w14:paraId="23DA49E6">
      <w:pPr>
        <w:bidi w:val="0"/>
        <w:rPr>
          <w:rFonts w:hint="default" w:ascii="Times New Roman" w:hAnsi="Times New Roman"/>
          <w:color w:val="auto"/>
          <w:lang w:val="en-US" w:eastAsia="zh-CN"/>
        </w:rPr>
      </w:pPr>
      <w:r>
        <w:rPr>
          <w:rFonts w:hint="eastAsia" w:ascii="Times New Roman" w:hAnsi="Times New Roman"/>
          <w:color w:val="auto"/>
          <w:lang w:val="en-US" w:eastAsia="zh-CN"/>
        </w:rPr>
        <w:t>2、</w:t>
      </w:r>
      <w:r>
        <w:rPr>
          <w:rFonts w:hint="default" w:ascii="Times New Roman" w:hAnsi="Times New Roman"/>
          <w:color w:val="auto"/>
          <w:lang w:val="en-US" w:eastAsia="zh-CN"/>
        </w:rPr>
        <w:t>监测内容</w:t>
      </w:r>
    </w:p>
    <w:p w14:paraId="6D27927C">
      <w:pPr>
        <w:bidi w:val="0"/>
        <w:rPr>
          <w:rFonts w:hint="default" w:ascii="Times New Roman" w:hAnsi="Times New Roman"/>
          <w:color w:val="auto"/>
          <w:lang w:val="en-US" w:eastAsia="zh-CN"/>
        </w:rPr>
      </w:pPr>
      <w:r>
        <w:rPr>
          <w:rFonts w:hint="default" w:ascii="Times New Roman" w:hAnsi="Times New Roman"/>
          <w:color w:val="auto"/>
          <w:lang w:val="en-US" w:eastAsia="zh-CN"/>
        </w:rPr>
        <w:t>边坡安全监测等级为三级，应监测对象为表面位移、降雨量及视频监控。</w:t>
      </w:r>
    </w:p>
    <w:p w14:paraId="6DEF52E5">
      <w:pPr>
        <w:pStyle w:val="16"/>
        <w:bidi w:val="0"/>
        <w:rPr>
          <w:rFonts w:hint="default" w:ascii="Times New Roman" w:hAnsi="Times New Roman"/>
          <w:color w:val="auto"/>
          <w:lang w:val="en-US" w:eastAsia="zh-CN"/>
        </w:rPr>
      </w:pPr>
      <w:r>
        <w:rPr>
          <w:rFonts w:hint="default" w:ascii="Times New Roman" w:hAnsi="Times New Roman"/>
          <w:color w:val="auto"/>
          <w:lang w:val="en-US" w:eastAsia="zh-CN"/>
        </w:rPr>
        <w:t>表</w:t>
      </w:r>
      <w:r>
        <w:rPr>
          <w:rFonts w:hint="eastAsia" w:ascii="Times New Roman" w:hAnsi="Times New Roman"/>
          <w:color w:val="auto"/>
          <w:lang w:val="en-US" w:eastAsia="zh-CN"/>
        </w:rPr>
        <w:t xml:space="preserve">2.4-13  </w:t>
      </w:r>
      <w:r>
        <w:rPr>
          <w:rFonts w:hint="default" w:ascii="Times New Roman" w:hAnsi="Times New Roman"/>
          <w:color w:val="auto"/>
          <w:lang w:val="en-US" w:eastAsia="zh-CN"/>
        </w:rPr>
        <w:t>边坡安全监测基本指标表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838"/>
        <w:gridCol w:w="800"/>
        <w:gridCol w:w="800"/>
        <w:gridCol w:w="1012"/>
        <w:gridCol w:w="1150"/>
        <w:gridCol w:w="950"/>
        <w:gridCol w:w="884"/>
        <w:gridCol w:w="820"/>
        <w:gridCol w:w="1023"/>
      </w:tblGrid>
      <w:tr w14:paraId="0690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97" w:type="pct"/>
            <w:vMerge w:val="restart"/>
            <w:vAlign w:val="center"/>
          </w:tcPr>
          <w:p w14:paraId="1D23AD66">
            <w:pPr>
              <w:pStyle w:val="17"/>
              <w:bidi w:val="0"/>
              <w:rPr>
                <w:rFonts w:ascii="Times New Roman" w:hAnsi="Times New Roman"/>
                <w:b/>
                <w:bCs/>
                <w:color w:val="auto"/>
              </w:rPr>
            </w:pPr>
            <w:r>
              <w:rPr>
                <w:rFonts w:ascii="Times New Roman" w:hAnsi="Times New Roman"/>
                <w:b/>
                <w:bCs/>
                <w:color w:val="auto"/>
              </w:rPr>
              <w:t>基本指标监测等级</w:t>
            </w:r>
          </w:p>
        </w:tc>
        <w:tc>
          <w:tcPr>
            <w:tcW w:w="1296" w:type="pct"/>
            <w:gridSpan w:val="3"/>
            <w:noWrap/>
            <w:vAlign w:val="center"/>
          </w:tcPr>
          <w:p w14:paraId="7CBFEA0F">
            <w:pPr>
              <w:pStyle w:val="17"/>
              <w:bidi w:val="0"/>
              <w:rPr>
                <w:rFonts w:ascii="Times New Roman" w:hAnsi="Times New Roman"/>
                <w:b/>
                <w:bCs/>
                <w:color w:val="auto"/>
              </w:rPr>
            </w:pPr>
            <w:r>
              <w:rPr>
                <w:rFonts w:ascii="Times New Roman" w:hAnsi="Times New Roman"/>
                <w:b/>
                <w:bCs/>
                <w:color w:val="auto"/>
              </w:rPr>
              <w:t>变形监测</w:t>
            </w:r>
          </w:p>
        </w:tc>
        <w:tc>
          <w:tcPr>
            <w:tcW w:w="538" w:type="pct"/>
            <w:vMerge w:val="restart"/>
            <w:vAlign w:val="center"/>
          </w:tcPr>
          <w:p w14:paraId="68EDF2B2">
            <w:pPr>
              <w:pStyle w:val="17"/>
              <w:bidi w:val="0"/>
              <w:rPr>
                <w:rFonts w:ascii="Times New Roman" w:hAnsi="Times New Roman"/>
                <w:b/>
                <w:bCs/>
                <w:color w:val="auto"/>
              </w:rPr>
            </w:pPr>
            <w:r>
              <w:rPr>
                <w:rFonts w:ascii="Times New Roman" w:hAnsi="Times New Roman"/>
                <w:b/>
                <w:bCs/>
                <w:color w:val="auto"/>
              </w:rPr>
              <w:t>采动应力监测b</w:t>
            </w:r>
          </w:p>
        </w:tc>
        <w:tc>
          <w:tcPr>
            <w:tcW w:w="611" w:type="pct"/>
            <w:noWrap/>
            <w:vAlign w:val="center"/>
          </w:tcPr>
          <w:p w14:paraId="7501DDD5">
            <w:pPr>
              <w:pStyle w:val="17"/>
              <w:bidi w:val="0"/>
              <w:rPr>
                <w:rFonts w:ascii="Times New Roman" w:hAnsi="Times New Roman"/>
                <w:b/>
                <w:bCs/>
                <w:color w:val="auto"/>
              </w:rPr>
            </w:pPr>
            <w:r>
              <w:rPr>
                <w:rFonts w:ascii="Times New Roman" w:hAnsi="Times New Roman"/>
                <w:b/>
                <w:bCs/>
                <w:color w:val="auto"/>
              </w:rPr>
              <w:t>爆破振动</w:t>
            </w:r>
          </w:p>
        </w:tc>
        <w:tc>
          <w:tcPr>
            <w:tcW w:w="1411" w:type="pct"/>
            <w:gridSpan w:val="3"/>
            <w:noWrap/>
            <w:vAlign w:val="center"/>
          </w:tcPr>
          <w:p w14:paraId="63A82046">
            <w:pPr>
              <w:pStyle w:val="17"/>
              <w:bidi w:val="0"/>
              <w:rPr>
                <w:rFonts w:ascii="Times New Roman" w:hAnsi="Times New Roman"/>
                <w:b/>
                <w:bCs/>
                <w:color w:val="auto"/>
              </w:rPr>
            </w:pPr>
            <w:r>
              <w:rPr>
                <w:rFonts w:ascii="Times New Roman" w:hAnsi="Times New Roman"/>
                <w:b/>
                <w:bCs/>
                <w:color w:val="auto"/>
              </w:rPr>
              <w:t>水文气象监测</w:t>
            </w:r>
          </w:p>
        </w:tc>
        <w:tc>
          <w:tcPr>
            <w:tcW w:w="544" w:type="pct"/>
            <w:vMerge w:val="restart"/>
            <w:noWrap/>
            <w:vAlign w:val="center"/>
          </w:tcPr>
          <w:p w14:paraId="2B58BE7E">
            <w:pPr>
              <w:pStyle w:val="17"/>
              <w:bidi w:val="0"/>
              <w:rPr>
                <w:rFonts w:ascii="Times New Roman" w:hAnsi="Times New Roman"/>
                <w:color w:val="auto"/>
              </w:rPr>
            </w:pPr>
            <w:r>
              <w:rPr>
                <w:rFonts w:ascii="Times New Roman" w:hAnsi="Times New Roman"/>
                <w:b/>
                <w:bCs/>
                <w:color w:val="auto"/>
              </w:rPr>
              <w:t>视频监控</w:t>
            </w:r>
          </w:p>
        </w:tc>
      </w:tr>
      <w:tr w14:paraId="3356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97" w:type="pct"/>
            <w:vMerge w:val="continue"/>
            <w:vAlign w:val="center"/>
          </w:tcPr>
          <w:p w14:paraId="7AAB3257">
            <w:pPr>
              <w:pStyle w:val="17"/>
              <w:bidi w:val="0"/>
              <w:rPr>
                <w:rFonts w:ascii="Times New Roman" w:hAnsi="Times New Roman"/>
                <w:b/>
                <w:bCs/>
                <w:color w:val="auto"/>
              </w:rPr>
            </w:pPr>
          </w:p>
        </w:tc>
        <w:tc>
          <w:tcPr>
            <w:tcW w:w="445" w:type="pct"/>
            <w:noWrap/>
            <w:vAlign w:val="center"/>
          </w:tcPr>
          <w:p w14:paraId="546AD103">
            <w:pPr>
              <w:pStyle w:val="17"/>
              <w:bidi w:val="0"/>
              <w:rPr>
                <w:rFonts w:ascii="Times New Roman" w:hAnsi="Times New Roman"/>
                <w:b/>
                <w:bCs/>
                <w:color w:val="auto"/>
              </w:rPr>
            </w:pPr>
            <w:r>
              <w:rPr>
                <w:rFonts w:ascii="Times New Roman" w:hAnsi="Times New Roman"/>
                <w:b/>
                <w:bCs/>
                <w:color w:val="auto"/>
              </w:rPr>
              <w:t>表面位移</w:t>
            </w:r>
          </w:p>
        </w:tc>
        <w:tc>
          <w:tcPr>
            <w:tcW w:w="425" w:type="pct"/>
            <w:noWrap/>
            <w:vAlign w:val="center"/>
          </w:tcPr>
          <w:p w14:paraId="7DEDB4CF">
            <w:pPr>
              <w:pStyle w:val="17"/>
              <w:bidi w:val="0"/>
              <w:rPr>
                <w:rFonts w:ascii="Times New Roman" w:hAnsi="Times New Roman"/>
                <w:b/>
                <w:bCs/>
                <w:color w:val="auto"/>
              </w:rPr>
            </w:pPr>
            <w:r>
              <w:rPr>
                <w:rFonts w:ascii="Times New Roman" w:hAnsi="Times New Roman"/>
                <w:b/>
                <w:bCs/>
                <w:color w:val="auto"/>
              </w:rPr>
              <w:t>内部位移</w:t>
            </w:r>
          </w:p>
        </w:tc>
        <w:tc>
          <w:tcPr>
            <w:tcW w:w="425" w:type="pct"/>
            <w:noWrap/>
            <w:vAlign w:val="center"/>
          </w:tcPr>
          <w:p w14:paraId="2947E9A8">
            <w:pPr>
              <w:pStyle w:val="17"/>
              <w:bidi w:val="0"/>
              <w:rPr>
                <w:rFonts w:ascii="Times New Roman" w:hAnsi="Times New Roman"/>
                <w:b/>
                <w:bCs/>
                <w:color w:val="auto"/>
              </w:rPr>
            </w:pPr>
            <w:r>
              <w:rPr>
                <w:rFonts w:ascii="Times New Roman" w:hAnsi="Times New Roman"/>
                <w:b/>
                <w:bCs/>
                <w:color w:val="auto"/>
              </w:rPr>
              <w:t>边坡裂缝a</w:t>
            </w:r>
          </w:p>
        </w:tc>
        <w:tc>
          <w:tcPr>
            <w:tcW w:w="538" w:type="pct"/>
            <w:vMerge w:val="continue"/>
            <w:vAlign w:val="center"/>
          </w:tcPr>
          <w:p w14:paraId="46DB99D0">
            <w:pPr>
              <w:pStyle w:val="17"/>
              <w:bidi w:val="0"/>
              <w:rPr>
                <w:rFonts w:ascii="Times New Roman" w:hAnsi="Times New Roman"/>
                <w:b/>
                <w:bCs/>
                <w:color w:val="auto"/>
              </w:rPr>
            </w:pPr>
          </w:p>
        </w:tc>
        <w:tc>
          <w:tcPr>
            <w:tcW w:w="611" w:type="pct"/>
            <w:noWrap/>
            <w:vAlign w:val="center"/>
          </w:tcPr>
          <w:p w14:paraId="6C497250">
            <w:pPr>
              <w:pStyle w:val="17"/>
              <w:bidi w:val="0"/>
              <w:rPr>
                <w:rFonts w:ascii="Times New Roman" w:hAnsi="Times New Roman"/>
                <w:b/>
                <w:bCs/>
                <w:color w:val="auto"/>
              </w:rPr>
            </w:pPr>
            <w:r>
              <w:rPr>
                <w:rFonts w:ascii="Times New Roman" w:hAnsi="Times New Roman"/>
                <w:b/>
                <w:bCs/>
                <w:color w:val="auto"/>
              </w:rPr>
              <w:t>质点速度</w:t>
            </w:r>
          </w:p>
        </w:tc>
        <w:tc>
          <w:tcPr>
            <w:tcW w:w="505" w:type="pct"/>
            <w:noWrap/>
            <w:vAlign w:val="center"/>
          </w:tcPr>
          <w:p w14:paraId="71C798E7">
            <w:pPr>
              <w:pStyle w:val="17"/>
              <w:bidi w:val="0"/>
              <w:rPr>
                <w:rFonts w:ascii="Times New Roman" w:hAnsi="Times New Roman"/>
                <w:b/>
                <w:bCs/>
                <w:color w:val="auto"/>
              </w:rPr>
            </w:pPr>
            <w:r>
              <w:rPr>
                <w:rFonts w:ascii="Times New Roman" w:hAnsi="Times New Roman"/>
                <w:b/>
                <w:bCs/>
                <w:color w:val="auto"/>
              </w:rPr>
              <w:t>渗透压力c</w:t>
            </w:r>
          </w:p>
        </w:tc>
        <w:tc>
          <w:tcPr>
            <w:tcW w:w="470" w:type="pct"/>
            <w:noWrap/>
            <w:vAlign w:val="center"/>
          </w:tcPr>
          <w:p w14:paraId="218485D7">
            <w:pPr>
              <w:pStyle w:val="17"/>
              <w:bidi w:val="0"/>
              <w:rPr>
                <w:rFonts w:ascii="Times New Roman" w:hAnsi="Times New Roman"/>
                <w:b/>
                <w:bCs/>
                <w:color w:val="auto"/>
              </w:rPr>
            </w:pPr>
            <w:r>
              <w:rPr>
                <w:rFonts w:ascii="Times New Roman" w:hAnsi="Times New Roman"/>
                <w:b/>
                <w:bCs/>
                <w:color w:val="auto"/>
              </w:rPr>
              <w:t>地下水位c</w:t>
            </w:r>
          </w:p>
        </w:tc>
        <w:tc>
          <w:tcPr>
            <w:tcW w:w="436" w:type="pct"/>
            <w:noWrap/>
            <w:vAlign w:val="center"/>
          </w:tcPr>
          <w:p w14:paraId="740F5D2C">
            <w:pPr>
              <w:pStyle w:val="17"/>
              <w:bidi w:val="0"/>
              <w:rPr>
                <w:rFonts w:ascii="Times New Roman" w:hAnsi="Times New Roman"/>
                <w:b/>
                <w:bCs/>
                <w:color w:val="auto"/>
              </w:rPr>
            </w:pPr>
            <w:r>
              <w:rPr>
                <w:rFonts w:ascii="Times New Roman" w:hAnsi="Times New Roman"/>
                <w:b/>
                <w:bCs/>
                <w:color w:val="auto"/>
              </w:rPr>
              <w:t>降雨量</w:t>
            </w:r>
          </w:p>
        </w:tc>
        <w:tc>
          <w:tcPr>
            <w:tcW w:w="544" w:type="pct"/>
            <w:vMerge w:val="continue"/>
            <w:vAlign w:val="center"/>
          </w:tcPr>
          <w:p w14:paraId="0C76598C">
            <w:pPr>
              <w:pStyle w:val="17"/>
              <w:bidi w:val="0"/>
              <w:rPr>
                <w:rFonts w:ascii="Times New Roman" w:hAnsi="Times New Roman"/>
                <w:color w:val="auto"/>
              </w:rPr>
            </w:pPr>
          </w:p>
        </w:tc>
      </w:tr>
      <w:tr w14:paraId="1EB9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97" w:type="pct"/>
            <w:noWrap/>
            <w:vAlign w:val="center"/>
          </w:tcPr>
          <w:p w14:paraId="074BFA97">
            <w:pPr>
              <w:pStyle w:val="17"/>
              <w:bidi w:val="0"/>
              <w:rPr>
                <w:rFonts w:ascii="Times New Roman" w:hAnsi="Times New Roman"/>
                <w:color w:val="auto"/>
              </w:rPr>
            </w:pPr>
            <w:r>
              <w:rPr>
                <w:rFonts w:ascii="Times New Roman" w:hAnsi="Times New Roman"/>
                <w:color w:val="auto"/>
              </w:rPr>
              <w:t>一级</w:t>
            </w:r>
          </w:p>
        </w:tc>
        <w:tc>
          <w:tcPr>
            <w:tcW w:w="445" w:type="pct"/>
            <w:noWrap/>
            <w:vAlign w:val="center"/>
          </w:tcPr>
          <w:p w14:paraId="08D916C0">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0B4A7774">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42D55D5B">
            <w:pPr>
              <w:pStyle w:val="17"/>
              <w:bidi w:val="0"/>
              <w:rPr>
                <w:rFonts w:ascii="Times New Roman" w:hAnsi="Times New Roman"/>
                <w:color w:val="auto"/>
              </w:rPr>
            </w:pPr>
            <w:r>
              <w:rPr>
                <w:rFonts w:ascii="Times New Roman" w:hAnsi="Times New Roman"/>
                <w:color w:val="auto"/>
              </w:rPr>
              <w:t>○</w:t>
            </w:r>
          </w:p>
        </w:tc>
        <w:tc>
          <w:tcPr>
            <w:tcW w:w="538" w:type="pct"/>
            <w:noWrap/>
            <w:vAlign w:val="center"/>
          </w:tcPr>
          <w:p w14:paraId="0E6B3917">
            <w:pPr>
              <w:pStyle w:val="17"/>
              <w:bidi w:val="0"/>
              <w:rPr>
                <w:rFonts w:ascii="Times New Roman" w:hAnsi="Times New Roman"/>
                <w:color w:val="auto"/>
              </w:rPr>
            </w:pPr>
            <w:r>
              <w:rPr>
                <w:rFonts w:ascii="Times New Roman" w:hAnsi="Times New Roman"/>
                <w:color w:val="auto"/>
              </w:rPr>
              <w:t>●</w:t>
            </w:r>
          </w:p>
        </w:tc>
        <w:tc>
          <w:tcPr>
            <w:tcW w:w="611" w:type="pct"/>
            <w:noWrap/>
            <w:vAlign w:val="center"/>
          </w:tcPr>
          <w:p w14:paraId="4279D057">
            <w:pPr>
              <w:pStyle w:val="17"/>
              <w:bidi w:val="0"/>
              <w:rPr>
                <w:rFonts w:ascii="Times New Roman" w:hAnsi="Times New Roman"/>
                <w:color w:val="auto"/>
              </w:rPr>
            </w:pPr>
            <w:r>
              <w:rPr>
                <w:rFonts w:ascii="Times New Roman" w:hAnsi="Times New Roman"/>
                <w:color w:val="auto"/>
              </w:rPr>
              <w:t>●</w:t>
            </w:r>
          </w:p>
        </w:tc>
        <w:tc>
          <w:tcPr>
            <w:tcW w:w="505" w:type="pct"/>
            <w:noWrap/>
            <w:vAlign w:val="center"/>
          </w:tcPr>
          <w:p w14:paraId="563A8128">
            <w:pPr>
              <w:pStyle w:val="17"/>
              <w:bidi w:val="0"/>
              <w:rPr>
                <w:rFonts w:ascii="Times New Roman" w:hAnsi="Times New Roman"/>
                <w:color w:val="auto"/>
              </w:rPr>
            </w:pPr>
            <w:r>
              <w:rPr>
                <w:rFonts w:ascii="Times New Roman" w:hAnsi="Times New Roman"/>
                <w:color w:val="auto"/>
              </w:rPr>
              <w:t>●</w:t>
            </w:r>
          </w:p>
        </w:tc>
        <w:tc>
          <w:tcPr>
            <w:tcW w:w="470" w:type="pct"/>
            <w:noWrap/>
            <w:vAlign w:val="center"/>
          </w:tcPr>
          <w:p w14:paraId="1D79B66C">
            <w:pPr>
              <w:pStyle w:val="17"/>
              <w:bidi w:val="0"/>
              <w:rPr>
                <w:rFonts w:ascii="Times New Roman" w:hAnsi="Times New Roman"/>
                <w:color w:val="auto"/>
              </w:rPr>
            </w:pPr>
            <w:r>
              <w:rPr>
                <w:rFonts w:ascii="Times New Roman" w:hAnsi="Times New Roman"/>
                <w:color w:val="auto"/>
              </w:rPr>
              <w:t>●</w:t>
            </w:r>
          </w:p>
        </w:tc>
        <w:tc>
          <w:tcPr>
            <w:tcW w:w="436" w:type="pct"/>
            <w:noWrap/>
            <w:vAlign w:val="center"/>
          </w:tcPr>
          <w:p w14:paraId="61580D5F">
            <w:pPr>
              <w:pStyle w:val="17"/>
              <w:bidi w:val="0"/>
              <w:rPr>
                <w:rFonts w:ascii="Times New Roman" w:hAnsi="Times New Roman"/>
                <w:color w:val="auto"/>
              </w:rPr>
            </w:pPr>
            <w:r>
              <w:rPr>
                <w:rFonts w:ascii="Times New Roman" w:hAnsi="Times New Roman"/>
                <w:color w:val="auto"/>
              </w:rPr>
              <w:t>●</w:t>
            </w:r>
          </w:p>
        </w:tc>
        <w:tc>
          <w:tcPr>
            <w:tcW w:w="544" w:type="pct"/>
            <w:noWrap/>
            <w:vAlign w:val="center"/>
          </w:tcPr>
          <w:p w14:paraId="0A05E1F0">
            <w:pPr>
              <w:pStyle w:val="17"/>
              <w:bidi w:val="0"/>
              <w:rPr>
                <w:rFonts w:ascii="Times New Roman" w:hAnsi="Times New Roman"/>
                <w:color w:val="auto"/>
              </w:rPr>
            </w:pPr>
            <w:r>
              <w:rPr>
                <w:rFonts w:ascii="Times New Roman" w:hAnsi="Times New Roman"/>
                <w:color w:val="auto"/>
              </w:rPr>
              <w:t>●</w:t>
            </w:r>
          </w:p>
        </w:tc>
      </w:tr>
      <w:tr w14:paraId="1720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97" w:type="pct"/>
            <w:noWrap/>
            <w:vAlign w:val="center"/>
          </w:tcPr>
          <w:p w14:paraId="48D6616C">
            <w:pPr>
              <w:pStyle w:val="17"/>
              <w:bidi w:val="0"/>
              <w:rPr>
                <w:rFonts w:ascii="Times New Roman" w:hAnsi="Times New Roman"/>
                <w:color w:val="auto"/>
              </w:rPr>
            </w:pPr>
            <w:r>
              <w:rPr>
                <w:rFonts w:ascii="Times New Roman" w:hAnsi="Times New Roman"/>
                <w:color w:val="auto"/>
              </w:rPr>
              <w:t>二级</w:t>
            </w:r>
          </w:p>
        </w:tc>
        <w:tc>
          <w:tcPr>
            <w:tcW w:w="445" w:type="pct"/>
            <w:noWrap/>
            <w:vAlign w:val="center"/>
          </w:tcPr>
          <w:p w14:paraId="63644AA4">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199070B0">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553FD41F">
            <w:pPr>
              <w:pStyle w:val="17"/>
              <w:bidi w:val="0"/>
              <w:rPr>
                <w:rFonts w:ascii="Times New Roman" w:hAnsi="Times New Roman"/>
                <w:color w:val="auto"/>
              </w:rPr>
            </w:pPr>
            <w:r>
              <w:rPr>
                <w:rFonts w:ascii="Times New Roman" w:hAnsi="Times New Roman"/>
                <w:color w:val="auto"/>
              </w:rPr>
              <w:t>○</w:t>
            </w:r>
          </w:p>
        </w:tc>
        <w:tc>
          <w:tcPr>
            <w:tcW w:w="538" w:type="pct"/>
            <w:noWrap/>
            <w:vAlign w:val="center"/>
          </w:tcPr>
          <w:p w14:paraId="0CB98E58">
            <w:pPr>
              <w:pStyle w:val="17"/>
              <w:bidi w:val="0"/>
              <w:rPr>
                <w:rFonts w:ascii="Times New Roman" w:hAnsi="Times New Roman"/>
                <w:color w:val="auto"/>
              </w:rPr>
            </w:pPr>
            <w:r>
              <w:rPr>
                <w:rFonts w:ascii="Times New Roman" w:hAnsi="Times New Roman"/>
                <w:color w:val="auto"/>
              </w:rPr>
              <w:t>○</w:t>
            </w:r>
          </w:p>
        </w:tc>
        <w:tc>
          <w:tcPr>
            <w:tcW w:w="611" w:type="pct"/>
            <w:noWrap/>
            <w:vAlign w:val="center"/>
          </w:tcPr>
          <w:p w14:paraId="45967AB8">
            <w:pPr>
              <w:pStyle w:val="17"/>
              <w:bidi w:val="0"/>
              <w:rPr>
                <w:rFonts w:ascii="Times New Roman" w:hAnsi="Times New Roman"/>
                <w:color w:val="auto"/>
              </w:rPr>
            </w:pPr>
            <w:r>
              <w:rPr>
                <w:rFonts w:ascii="Times New Roman" w:hAnsi="Times New Roman"/>
                <w:color w:val="auto"/>
              </w:rPr>
              <w:t>●</w:t>
            </w:r>
          </w:p>
        </w:tc>
        <w:tc>
          <w:tcPr>
            <w:tcW w:w="505" w:type="pct"/>
            <w:noWrap/>
            <w:vAlign w:val="center"/>
          </w:tcPr>
          <w:p w14:paraId="38EEB9E3">
            <w:pPr>
              <w:pStyle w:val="17"/>
              <w:bidi w:val="0"/>
              <w:rPr>
                <w:rFonts w:ascii="Times New Roman" w:hAnsi="Times New Roman"/>
                <w:color w:val="auto"/>
              </w:rPr>
            </w:pPr>
            <w:r>
              <w:rPr>
                <w:rFonts w:ascii="Times New Roman" w:hAnsi="Times New Roman"/>
                <w:color w:val="auto"/>
              </w:rPr>
              <w:t>○</w:t>
            </w:r>
          </w:p>
        </w:tc>
        <w:tc>
          <w:tcPr>
            <w:tcW w:w="470" w:type="pct"/>
            <w:noWrap/>
            <w:vAlign w:val="center"/>
          </w:tcPr>
          <w:p w14:paraId="395E1986">
            <w:pPr>
              <w:pStyle w:val="17"/>
              <w:bidi w:val="0"/>
              <w:rPr>
                <w:rFonts w:ascii="Times New Roman" w:hAnsi="Times New Roman"/>
                <w:color w:val="auto"/>
              </w:rPr>
            </w:pPr>
            <w:r>
              <w:rPr>
                <w:rFonts w:ascii="Times New Roman" w:hAnsi="Times New Roman"/>
                <w:color w:val="auto"/>
              </w:rPr>
              <w:t>●</w:t>
            </w:r>
          </w:p>
        </w:tc>
        <w:tc>
          <w:tcPr>
            <w:tcW w:w="436" w:type="pct"/>
            <w:noWrap/>
            <w:vAlign w:val="center"/>
          </w:tcPr>
          <w:p w14:paraId="6A05FE46">
            <w:pPr>
              <w:pStyle w:val="17"/>
              <w:bidi w:val="0"/>
              <w:rPr>
                <w:rFonts w:ascii="Times New Roman" w:hAnsi="Times New Roman"/>
                <w:color w:val="auto"/>
              </w:rPr>
            </w:pPr>
            <w:r>
              <w:rPr>
                <w:rFonts w:ascii="Times New Roman" w:hAnsi="Times New Roman"/>
                <w:color w:val="auto"/>
              </w:rPr>
              <w:t>●</w:t>
            </w:r>
          </w:p>
        </w:tc>
        <w:tc>
          <w:tcPr>
            <w:tcW w:w="544" w:type="pct"/>
            <w:noWrap/>
            <w:vAlign w:val="center"/>
          </w:tcPr>
          <w:p w14:paraId="02F8A00C">
            <w:pPr>
              <w:pStyle w:val="17"/>
              <w:bidi w:val="0"/>
              <w:rPr>
                <w:rFonts w:ascii="Times New Roman" w:hAnsi="Times New Roman"/>
                <w:color w:val="auto"/>
              </w:rPr>
            </w:pPr>
            <w:r>
              <w:rPr>
                <w:rFonts w:ascii="Times New Roman" w:hAnsi="Times New Roman"/>
                <w:color w:val="auto"/>
              </w:rPr>
              <w:t>●</w:t>
            </w:r>
          </w:p>
        </w:tc>
      </w:tr>
      <w:tr w14:paraId="6FAE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97" w:type="pct"/>
            <w:noWrap/>
            <w:vAlign w:val="center"/>
          </w:tcPr>
          <w:p w14:paraId="56CC4701">
            <w:pPr>
              <w:pStyle w:val="17"/>
              <w:bidi w:val="0"/>
              <w:rPr>
                <w:rFonts w:ascii="Times New Roman" w:hAnsi="Times New Roman"/>
                <w:color w:val="auto"/>
              </w:rPr>
            </w:pPr>
            <w:r>
              <w:rPr>
                <w:rFonts w:ascii="Times New Roman" w:hAnsi="Times New Roman"/>
                <w:color w:val="auto"/>
              </w:rPr>
              <w:t>三级</w:t>
            </w:r>
          </w:p>
        </w:tc>
        <w:tc>
          <w:tcPr>
            <w:tcW w:w="445" w:type="pct"/>
            <w:noWrap/>
            <w:vAlign w:val="center"/>
          </w:tcPr>
          <w:p w14:paraId="75CCE473">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50650FFB">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5022E1EE">
            <w:pPr>
              <w:pStyle w:val="17"/>
              <w:bidi w:val="0"/>
              <w:rPr>
                <w:rFonts w:ascii="Times New Roman" w:hAnsi="Times New Roman"/>
                <w:color w:val="auto"/>
              </w:rPr>
            </w:pPr>
            <w:r>
              <w:rPr>
                <w:rFonts w:ascii="Times New Roman" w:hAnsi="Times New Roman"/>
                <w:color w:val="auto"/>
              </w:rPr>
              <w:t>○</w:t>
            </w:r>
          </w:p>
        </w:tc>
        <w:tc>
          <w:tcPr>
            <w:tcW w:w="538" w:type="pct"/>
            <w:noWrap/>
            <w:vAlign w:val="center"/>
          </w:tcPr>
          <w:p w14:paraId="654247D1">
            <w:pPr>
              <w:pStyle w:val="17"/>
              <w:bidi w:val="0"/>
              <w:rPr>
                <w:rFonts w:ascii="Times New Roman" w:hAnsi="Times New Roman"/>
                <w:color w:val="auto"/>
              </w:rPr>
            </w:pPr>
            <w:r>
              <w:rPr>
                <w:rFonts w:ascii="Times New Roman" w:hAnsi="Times New Roman"/>
                <w:color w:val="auto"/>
              </w:rPr>
              <w:t>○</w:t>
            </w:r>
          </w:p>
        </w:tc>
        <w:tc>
          <w:tcPr>
            <w:tcW w:w="611" w:type="pct"/>
            <w:noWrap/>
            <w:vAlign w:val="center"/>
          </w:tcPr>
          <w:p w14:paraId="3ACA0D65">
            <w:pPr>
              <w:pStyle w:val="17"/>
              <w:bidi w:val="0"/>
              <w:rPr>
                <w:rFonts w:ascii="Times New Roman" w:hAnsi="Times New Roman"/>
                <w:color w:val="auto"/>
              </w:rPr>
            </w:pPr>
            <w:r>
              <w:rPr>
                <w:rFonts w:ascii="Times New Roman" w:hAnsi="Times New Roman"/>
                <w:color w:val="auto"/>
              </w:rPr>
              <w:t>○</w:t>
            </w:r>
          </w:p>
        </w:tc>
        <w:tc>
          <w:tcPr>
            <w:tcW w:w="505" w:type="pct"/>
            <w:noWrap/>
            <w:vAlign w:val="center"/>
          </w:tcPr>
          <w:p w14:paraId="7470A7D1">
            <w:pPr>
              <w:pStyle w:val="17"/>
              <w:bidi w:val="0"/>
              <w:rPr>
                <w:rFonts w:ascii="Times New Roman" w:hAnsi="Times New Roman"/>
                <w:color w:val="auto"/>
              </w:rPr>
            </w:pPr>
            <w:r>
              <w:rPr>
                <w:rFonts w:ascii="Times New Roman" w:hAnsi="Times New Roman"/>
                <w:color w:val="auto"/>
              </w:rPr>
              <w:t>○</w:t>
            </w:r>
          </w:p>
        </w:tc>
        <w:tc>
          <w:tcPr>
            <w:tcW w:w="470" w:type="pct"/>
            <w:noWrap/>
            <w:vAlign w:val="center"/>
          </w:tcPr>
          <w:p w14:paraId="20E2EBBF">
            <w:pPr>
              <w:pStyle w:val="17"/>
              <w:bidi w:val="0"/>
              <w:rPr>
                <w:rFonts w:ascii="Times New Roman" w:hAnsi="Times New Roman"/>
                <w:color w:val="auto"/>
              </w:rPr>
            </w:pPr>
            <w:r>
              <w:rPr>
                <w:rFonts w:ascii="Times New Roman" w:hAnsi="Times New Roman"/>
                <w:color w:val="auto"/>
              </w:rPr>
              <w:t>○</w:t>
            </w:r>
          </w:p>
        </w:tc>
        <w:tc>
          <w:tcPr>
            <w:tcW w:w="436" w:type="pct"/>
            <w:noWrap/>
            <w:vAlign w:val="center"/>
          </w:tcPr>
          <w:p w14:paraId="3C7ACABD">
            <w:pPr>
              <w:pStyle w:val="17"/>
              <w:bidi w:val="0"/>
              <w:rPr>
                <w:rFonts w:ascii="Times New Roman" w:hAnsi="Times New Roman"/>
                <w:color w:val="auto"/>
              </w:rPr>
            </w:pPr>
            <w:r>
              <w:rPr>
                <w:rFonts w:ascii="Times New Roman" w:hAnsi="Times New Roman"/>
                <w:color w:val="auto"/>
              </w:rPr>
              <w:t>●</w:t>
            </w:r>
          </w:p>
        </w:tc>
        <w:tc>
          <w:tcPr>
            <w:tcW w:w="544" w:type="pct"/>
            <w:noWrap/>
            <w:vAlign w:val="center"/>
          </w:tcPr>
          <w:p w14:paraId="4DC09205">
            <w:pPr>
              <w:pStyle w:val="17"/>
              <w:bidi w:val="0"/>
              <w:rPr>
                <w:rFonts w:ascii="Times New Roman" w:hAnsi="Times New Roman"/>
                <w:color w:val="auto"/>
              </w:rPr>
            </w:pPr>
            <w:r>
              <w:rPr>
                <w:rFonts w:ascii="Times New Roman" w:hAnsi="Times New Roman"/>
                <w:color w:val="auto"/>
              </w:rPr>
              <w:t>●</w:t>
            </w:r>
          </w:p>
        </w:tc>
      </w:tr>
      <w:tr w14:paraId="221F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97" w:type="pct"/>
            <w:noWrap/>
            <w:vAlign w:val="center"/>
          </w:tcPr>
          <w:p w14:paraId="1BA6603D">
            <w:pPr>
              <w:pStyle w:val="17"/>
              <w:bidi w:val="0"/>
              <w:rPr>
                <w:rFonts w:ascii="Times New Roman" w:hAnsi="Times New Roman"/>
                <w:color w:val="auto"/>
              </w:rPr>
            </w:pPr>
            <w:r>
              <w:rPr>
                <w:rFonts w:ascii="Times New Roman" w:hAnsi="Times New Roman"/>
                <w:color w:val="auto"/>
              </w:rPr>
              <w:t>四级</w:t>
            </w:r>
          </w:p>
        </w:tc>
        <w:tc>
          <w:tcPr>
            <w:tcW w:w="445" w:type="pct"/>
            <w:noWrap/>
            <w:vAlign w:val="center"/>
          </w:tcPr>
          <w:p w14:paraId="58C6BDA1">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5B65AF8A">
            <w:pPr>
              <w:pStyle w:val="17"/>
              <w:bidi w:val="0"/>
              <w:rPr>
                <w:rFonts w:ascii="Times New Roman" w:hAnsi="Times New Roman"/>
                <w:color w:val="auto"/>
              </w:rPr>
            </w:pPr>
            <w:r>
              <w:rPr>
                <w:rFonts w:ascii="Times New Roman" w:hAnsi="Times New Roman"/>
                <w:color w:val="auto"/>
              </w:rPr>
              <w:t>×</w:t>
            </w:r>
          </w:p>
        </w:tc>
        <w:tc>
          <w:tcPr>
            <w:tcW w:w="425" w:type="pct"/>
            <w:noWrap/>
            <w:vAlign w:val="center"/>
          </w:tcPr>
          <w:p w14:paraId="670C2A1B">
            <w:pPr>
              <w:pStyle w:val="17"/>
              <w:bidi w:val="0"/>
              <w:rPr>
                <w:rFonts w:ascii="Times New Roman" w:hAnsi="Times New Roman"/>
                <w:color w:val="auto"/>
              </w:rPr>
            </w:pPr>
            <w:r>
              <w:rPr>
                <w:rFonts w:ascii="Times New Roman" w:hAnsi="Times New Roman"/>
                <w:color w:val="auto"/>
              </w:rPr>
              <w:t>○</w:t>
            </w:r>
          </w:p>
        </w:tc>
        <w:tc>
          <w:tcPr>
            <w:tcW w:w="538" w:type="pct"/>
            <w:noWrap/>
            <w:vAlign w:val="center"/>
          </w:tcPr>
          <w:p w14:paraId="58B83A01">
            <w:pPr>
              <w:pStyle w:val="17"/>
              <w:bidi w:val="0"/>
              <w:rPr>
                <w:rFonts w:ascii="Times New Roman" w:hAnsi="Times New Roman"/>
                <w:color w:val="auto"/>
              </w:rPr>
            </w:pPr>
            <w:r>
              <w:rPr>
                <w:rFonts w:ascii="Times New Roman" w:hAnsi="Times New Roman"/>
                <w:color w:val="auto"/>
              </w:rPr>
              <w:t>×</w:t>
            </w:r>
          </w:p>
        </w:tc>
        <w:tc>
          <w:tcPr>
            <w:tcW w:w="611" w:type="pct"/>
            <w:noWrap/>
            <w:vAlign w:val="center"/>
          </w:tcPr>
          <w:p w14:paraId="2E961D4B">
            <w:pPr>
              <w:pStyle w:val="17"/>
              <w:bidi w:val="0"/>
              <w:rPr>
                <w:rFonts w:ascii="Times New Roman" w:hAnsi="Times New Roman"/>
                <w:color w:val="auto"/>
              </w:rPr>
            </w:pPr>
            <w:r>
              <w:rPr>
                <w:rFonts w:ascii="Times New Roman" w:hAnsi="Times New Roman"/>
                <w:color w:val="auto"/>
              </w:rPr>
              <w:t>○</w:t>
            </w:r>
          </w:p>
        </w:tc>
        <w:tc>
          <w:tcPr>
            <w:tcW w:w="505" w:type="pct"/>
            <w:noWrap/>
            <w:vAlign w:val="center"/>
          </w:tcPr>
          <w:p w14:paraId="4FEE936C">
            <w:pPr>
              <w:pStyle w:val="17"/>
              <w:bidi w:val="0"/>
              <w:rPr>
                <w:rFonts w:ascii="Times New Roman" w:hAnsi="Times New Roman"/>
                <w:color w:val="auto"/>
              </w:rPr>
            </w:pPr>
            <w:r>
              <w:rPr>
                <w:rFonts w:ascii="Times New Roman" w:hAnsi="Times New Roman"/>
                <w:color w:val="auto"/>
              </w:rPr>
              <w:t>×</w:t>
            </w:r>
          </w:p>
        </w:tc>
        <w:tc>
          <w:tcPr>
            <w:tcW w:w="470" w:type="pct"/>
            <w:noWrap/>
            <w:vAlign w:val="center"/>
          </w:tcPr>
          <w:p w14:paraId="0E9A7386">
            <w:pPr>
              <w:pStyle w:val="17"/>
              <w:bidi w:val="0"/>
              <w:rPr>
                <w:rFonts w:ascii="Times New Roman" w:hAnsi="Times New Roman"/>
                <w:color w:val="auto"/>
              </w:rPr>
            </w:pPr>
            <w:r>
              <w:rPr>
                <w:rFonts w:ascii="Times New Roman" w:hAnsi="Times New Roman"/>
                <w:color w:val="auto"/>
              </w:rPr>
              <w:t>×</w:t>
            </w:r>
          </w:p>
        </w:tc>
        <w:tc>
          <w:tcPr>
            <w:tcW w:w="436" w:type="pct"/>
            <w:noWrap/>
            <w:vAlign w:val="center"/>
          </w:tcPr>
          <w:p w14:paraId="564E94A0">
            <w:pPr>
              <w:pStyle w:val="17"/>
              <w:bidi w:val="0"/>
              <w:rPr>
                <w:rFonts w:ascii="Times New Roman" w:hAnsi="Times New Roman"/>
                <w:color w:val="auto"/>
              </w:rPr>
            </w:pPr>
            <w:r>
              <w:rPr>
                <w:rFonts w:ascii="Times New Roman" w:hAnsi="Times New Roman"/>
                <w:color w:val="auto"/>
              </w:rPr>
              <w:t>○</w:t>
            </w:r>
          </w:p>
        </w:tc>
        <w:tc>
          <w:tcPr>
            <w:tcW w:w="544" w:type="pct"/>
            <w:noWrap/>
            <w:vAlign w:val="center"/>
          </w:tcPr>
          <w:p w14:paraId="1FA899C4">
            <w:pPr>
              <w:pStyle w:val="17"/>
              <w:bidi w:val="0"/>
              <w:rPr>
                <w:rFonts w:ascii="Times New Roman" w:hAnsi="Times New Roman"/>
                <w:color w:val="auto"/>
              </w:rPr>
            </w:pPr>
            <w:r>
              <w:rPr>
                <w:rFonts w:ascii="Times New Roman" w:hAnsi="Times New Roman"/>
                <w:color w:val="auto"/>
              </w:rPr>
              <w:t>○</w:t>
            </w:r>
          </w:p>
        </w:tc>
      </w:tr>
      <w:tr w14:paraId="4EED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5000" w:type="pct"/>
            <w:gridSpan w:val="10"/>
            <w:noWrap/>
            <w:vAlign w:val="center"/>
          </w:tcPr>
          <w:p w14:paraId="3448262F">
            <w:pPr>
              <w:pStyle w:val="17"/>
              <w:bidi w:val="0"/>
              <w:rPr>
                <w:rFonts w:ascii="Times New Roman" w:hAnsi="Times New Roman"/>
                <w:color w:val="auto"/>
              </w:rPr>
            </w:pPr>
            <w:r>
              <w:rPr>
                <w:rFonts w:ascii="Times New Roman" w:hAnsi="Times New Roman"/>
                <w:color w:val="auto"/>
              </w:rPr>
              <w:t>注：●应测项，○可测项，×不测项。</w:t>
            </w:r>
          </w:p>
        </w:tc>
      </w:tr>
    </w:tbl>
    <w:p w14:paraId="3E7B5BCE">
      <w:pPr>
        <w:bidi w:val="0"/>
        <w:ind w:left="0" w:leftChars="0" w:firstLine="0" w:firstLineChars="0"/>
        <w:jc w:val="center"/>
        <w:rPr>
          <w:rFonts w:hint="default" w:ascii="Times New Roman" w:hAnsi="Times New Roman"/>
          <w:color w:val="auto"/>
          <w:lang w:val="en-US" w:eastAsia="zh-CN"/>
        </w:rPr>
      </w:pPr>
      <w:r>
        <w:rPr>
          <w:rFonts w:hint="eastAsia"/>
          <w:color w:val="auto"/>
          <w:lang w:val="en-US" w:eastAsia="zh-CN"/>
        </w:rPr>
        <w:t>************</w:t>
      </w:r>
    </w:p>
    <w:p w14:paraId="50565CF3">
      <w:pPr>
        <w:pStyle w:val="16"/>
        <w:bidi w:val="0"/>
        <w:rPr>
          <w:rFonts w:hint="default" w:ascii="Times New Roman" w:hAnsi="Times New Roman"/>
          <w:color w:val="auto"/>
          <w:lang w:val="en-US" w:eastAsia="zh-CN"/>
        </w:rPr>
      </w:pPr>
      <w:r>
        <w:rPr>
          <w:rFonts w:hint="default" w:ascii="Times New Roman" w:hAnsi="Times New Roman"/>
          <w:color w:val="auto"/>
          <w:lang w:val="en-US" w:eastAsia="zh-CN"/>
        </w:rPr>
        <w:t>图</w:t>
      </w:r>
      <w:r>
        <w:rPr>
          <w:rFonts w:hint="eastAsia" w:ascii="Times New Roman" w:hAnsi="Times New Roman"/>
          <w:color w:val="auto"/>
          <w:lang w:val="en-US" w:eastAsia="zh-CN"/>
        </w:rPr>
        <w:t>2.4-</w:t>
      </w:r>
      <w:r>
        <w:rPr>
          <w:rFonts w:hint="eastAsia"/>
          <w:color w:val="auto"/>
          <w:lang w:val="en-US" w:eastAsia="zh-CN"/>
        </w:rPr>
        <w:t>12</w:t>
      </w:r>
      <w:r>
        <w:rPr>
          <w:rFonts w:hint="eastAsia" w:ascii="Times New Roman" w:hAnsi="Times New Roman"/>
          <w:color w:val="auto"/>
          <w:lang w:val="en-US" w:eastAsia="zh-CN"/>
        </w:rPr>
        <w:t xml:space="preserve">  </w:t>
      </w:r>
      <w:r>
        <w:rPr>
          <w:rFonts w:hint="default" w:ascii="Times New Roman" w:hAnsi="Times New Roman"/>
          <w:color w:val="auto"/>
          <w:lang w:val="en-US" w:eastAsia="zh-CN"/>
        </w:rPr>
        <w:t>监测系统平面布置图</w:t>
      </w:r>
    </w:p>
    <w:p w14:paraId="3613CB5B">
      <w:pPr>
        <w:bidi w:val="0"/>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终了边坡监测点布置</w:t>
      </w:r>
    </w:p>
    <w:p w14:paraId="05A2476C">
      <w:pPr>
        <w:pStyle w:val="16"/>
        <w:bidi w:val="0"/>
        <w:rPr>
          <w:rFonts w:hint="default" w:ascii="Times New Roman" w:hAnsi="Times New Roman"/>
          <w:color w:val="auto"/>
          <w:lang w:val="en-US" w:eastAsia="zh-CN"/>
        </w:rPr>
      </w:pPr>
      <w:r>
        <w:rPr>
          <w:rFonts w:hint="default" w:ascii="Times New Roman" w:hAnsi="Times New Roman"/>
          <w:color w:val="auto"/>
          <w:lang w:val="en-US" w:eastAsia="zh-CN"/>
        </w:rPr>
        <w:t>表</w:t>
      </w:r>
      <w:r>
        <w:rPr>
          <w:rFonts w:hint="eastAsia" w:ascii="Times New Roman" w:hAnsi="Times New Roman"/>
          <w:color w:val="auto"/>
          <w:lang w:val="en-US" w:eastAsia="zh-CN"/>
        </w:rPr>
        <w:t xml:space="preserve">2.4-14  </w:t>
      </w:r>
      <w:r>
        <w:rPr>
          <w:rFonts w:hint="default" w:ascii="Times New Roman" w:hAnsi="Times New Roman"/>
          <w:color w:val="auto"/>
          <w:lang w:val="en-US" w:eastAsia="zh-CN"/>
        </w:rPr>
        <w:t>终了边坡监测内容及数量统计表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2426"/>
        <w:gridCol w:w="2426"/>
        <w:gridCol w:w="1106"/>
        <w:gridCol w:w="2427"/>
      </w:tblGrid>
      <w:tr w14:paraId="2157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pct"/>
            <w:vAlign w:val="center"/>
          </w:tcPr>
          <w:p w14:paraId="1A235BB2">
            <w:pPr>
              <w:pStyle w:val="17"/>
              <w:bidi w:val="0"/>
              <w:rPr>
                <w:rFonts w:ascii="Times New Roman" w:hAnsi="Times New Roman"/>
                <w:b/>
                <w:bCs/>
                <w:color w:val="auto"/>
              </w:rPr>
            </w:pPr>
            <w:r>
              <w:rPr>
                <w:rFonts w:ascii="Times New Roman" w:hAnsi="Times New Roman"/>
                <w:b/>
                <w:bCs/>
                <w:color w:val="auto"/>
              </w:rPr>
              <w:t>序号</w:t>
            </w:r>
          </w:p>
        </w:tc>
        <w:tc>
          <w:tcPr>
            <w:tcW w:w="1290" w:type="pct"/>
            <w:vAlign w:val="center"/>
          </w:tcPr>
          <w:p w14:paraId="59816C4B">
            <w:pPr>
              <w:pStyle w:val="17"/>
              <w:bidi w:val="0"/>
              <w:rPr>
                <w:rFonts w:ascii="Times New Roman" w:hAnsi="Times New Roman"/>
                <w:b/>
                <w:bCs/>
                <w:color w:val="auto"/>
              </w:rPr>
            </w:pPr>
            <w:r>
              <w:rPr>
                <w:rFonts w:ascii="Times New Roman" w:hAnsi="Times New Roman"/>
                <w:b/>
                <w:bCs/>
                <w:color w:val="auto"/>
              </w:rPr>
              <w:t>监测内容</w:t>
            </w:r>
          </w:p>
        </w:tc>
        <w:tc>
          <w:tcPr>
            <w:tcW w:w="1290" w:type="pct"/>
            <w:vAlign w:val="center"/>
          </w:tcPr>
          <w:p w14:paraId="55244EAA">
            <w:pPr>
              <w:pStyle w:val="17"/>
              <w:bidi w:val="0"/>
              <w:rPr>
                <w:rFonts w:ascii="Times New Roman" w:hAnsi="Times New Roman"/>
                <w:b/>
                <w:bCs/>
                <w:color w:val="auto"/>
              </w:rPr>
            </w:pPr>
            <w:r>
              <w:rPr>
                <w:rFonts w:ascii="Times New Roman" w:hAnsi="Times New Roman"/>
                <w:b/>
                <w:bCs/>
                <w:color w:val="auto"/>
              </w:rPr>
              <w:t>编号</w:t>
            </w:r>
          </w:p>
        </w:tc>
        <w:tc>
          <w:tcPr>
            <w:tcW w:w="588" w:type="pct"/>
            <w:vAlign w:val="center"/>
          </w:tcPr>
          <w:p w14:paraId="6CEAAC4B">
            <w:pPr>
              <w:pStyle w:val="17"/>
              <w:bidi w:val="0"/>
              <w:rPr>
                <w:rFonts w:ascii="Times New Roman" w:hAnsi="Times New Roman"/>
                <w:b/>
                <w:bCs/>
                <w:color w:val="auto"/>
              </w:rPr>
            </w:pPr>
            <w:r>
              <w:rPr>
                <w:rFonts w:ascii="Times New Roman" w:hAnsi="Times New Roman"/>
                <w:b/>
                <w:bCs/>
                <w:color w:val="auto"/>
              </w:rPr>
              <w:t>数量</w:t>
            </w:r>
          </w:p>
        </w:tc>
        <w:tc>
          <w:tcPr>
            <w:tcW w:w="1290" w:type="pct"/>
            <w:vAlign w:val="center"/>
          </w:tcPr>
          <w:p w14:paraId="01E09F9A">
            <w:pPr>
              <w:pStyle w:val="17"/>
              <w:bidi w:val="0"/>
              <w:rPr>
                <w:rFonts w:ascii="Times New Roman" w:hAnsi="Times New Roman"/>
                <w:b/>
                <w:bCs/>
                <w:color w:val="auto"/>
              </w:rPr>
            </w:pPr>
            <w:r>
              <w:rPr>
                <w:rFonts w:ascii="Times New Roman" w:hAnsi="Times New Roman"/>
                <w:b/>
                <w:bCs/>
                <w:color w:val="auto"/>
              </w:rPr>
              <w:t>备注</w:t>
            </w:r>
          </w:p>
        </w:tc>
      </w:tr>
      <w:tr w14:paraId="4005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pct"/>
            <w:vAlign w:val="center"/>
          </w:tcPr>
          <w:p w14:paraId="371E1AA2">
            <w:pPr>
              <w:pStyle w:val="17"/>
              <w:bidi w:val="0"/>
              <w:rPr>
                <w:rFonts w:ascii="Times New Roman" w:hAnsi="Times New Roman"/>
                <w:color w:val="auto"/>
              </w:rPr>
            </w:pPr>
            <w:r>
              <w:rPr>
                <w:rFonts w:ascii="Times New Roman" w:hAnsi="Times New Roman"/>
                <w:color w:val="auto"/>
              </w:rPr>
              <w:t>1</w:t>
            </w:r>
          </w:p>
        </w:tc>
        <w:tc>
          <w:tcPr>
            <w:tcW w:w="1290" w:type="pct"/>
            <w:vAlign w:val="center"/>
          </w:tcPr>
          <w:p w14:paraId="18F087AE">
            <w:pPr>
              <w:pStyle w:val="17"/>
              <w:bidi w:val="0"/>
              <w:rPr>
                <w:rFonts w:ascii="Times New Roman" w:hAnsi="Times New Roman"/>
                <w:color w:val="auto"/>
              </w:rPr>
            </w:pPr>
            <w:r>
              <w:rPr>
                <w:rFonts w:ascii="Times New Roman" w:hAnsi="Times New Roman"/>
                <w:color w:val="auto"/>
              </w:rPr>
              <w:t>基准点</w:t>
            </w:r>
          </w:p>
        </w:tc>
        <w:tc>
          <w:tcPr>
            <w:tcW w:w="1290" w:type="pct"/>
            <w:vAlign w:val="center"/>
          </w:tcPr>
          <w:p w14:paraId="5E91D4FB">
            <w:pPr>
              <w:pStyle w:val="17"/>
              <w:bidi w:val="0"/>
              <w:rPr>
                <w:rFonts w:ascii="Times New Roman" w:hAnsi="Times New Roman"/>
                <w:color w:val="auto"/>
              </w:rPr>
            </w:pPr>
            <w:r>
              <w:rPr>
                <w:rFonts w:ascii="Times New Roman" w:hAnsi="Times New Roman"/>
                <w:color w:val="auto"/>
              </w:rPr>
              <w:t>JZD-1~ JZD-3</w:t>
            </w:r>
          </w:p>
        </w:tc>
        <w:tc>
          <w:tcPr>
            <w:tcW w:w="588" w:type="pct"/>
            <w:vAlign w:val="center"/>
          </w:tcPr>
          <w:p w14:paraId="1BA498EC">
            <w:pPr>
              <w:pStyle w:val="17"/>
              <w:bidi w:val="0"/>
              <w:rPr>
                <w:rFonts w:ascii="Times New Roman" w:hAnsi="Times New Roman"/>
                <w:color w:val="auto"/>
              </w:rPr>
            </w:pPr>
            <w:r>
              <w:rPr>
                <w:rFonts w:ascii="Times New Roman" w:hAnsi="Times New Roman"/>
                <w:color w:val="auto"/>
              </w:rPr>
              <w:t>3个</w:t>
            </w:r>
          </w:p>
        </w:tc>
        <w:tc>
          <w:tcPr>
            <w:tcW w:w="1290" w:type="pct"/>
            <w:vAlign w:val="center"/>
          </w:tcPr>
          <w:p w14:paraId="148B5341">
            <w:pPr>
              <w:pStyle w:val="17"/>
              <w:bidi w:val="0"/>
              <w:rPr>
                <w:rFonts w:ascii="Times New Roman" w:hAnsi="Times New Roman"/>
                <w:color w:val="auto"/>
              </w:rPr>
            </w:pPr>
          </w:p>
        </w:tc>
      </w:tr>
      <w:tr w14:paraId="1029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pct"/>
            <w:vAlign w:val="center"/>
          </w:tcPr>
          <w:p w14:paraId="3263539F">
            <w:pPr>
              <w:pStyle w:val="17"/>
              <w:bidi w:val="0"/>
              <w:rPr>
                <w:rFonts w:ascii="Times New Roman" w:hAnsi="Times New Roman"/>
                <w:color w:val="auto"/>
              </w:rPr>
            </w:pPr>
            <w:r>
              <w:rPr>
                <w:rFonts w:ascii="Times New Roman" w:hAnsi="Times New Roman"/>
                <w:color w:val="auto"/>
              </w:rPr>
              <w:t>2</w:t>
            </w:r>
          </w:p>
        </w:tc>
        <w:tc>
          <w:tcPr>
            <w:tcW w:w="1290" w:type="pct"/>
            <w:vAlign w:val="center"/>
          </w:tcPr>
          <w:p w14:paraId="278BD4D4">
            <w:pPr>
              <w:pStyle w:val="17"/>
              <w:bidi w:val="0"/>
              <w:rPr>
                <w:rFonts w:ascii="Times New Roman" w:hAnsi="Times New Roman"/>
                <w:color w:val="auto"/>
              </w:rPr>
            </w:pPr>
            <w:r>
              <w:rPr>
                <w:rFonts w:ascii="Times New Roman" w:hAnsi="Times New Roman"/>
                <w:color w:val="auto"/>
              </w:rPr>
              <w:t>表面位移监测</w:t>
            </w:r>
          </w:p>
        </w:tc>
        <w:tc>
          <w:tcPr>
            <w:tcW w:w="1290" w:type="pct"/>
            <w:vAlign w:val="center"/>
          </w:tcPr>
          <w:p w14:paraId="3A70893B">
            <w:pPr>
              <w:pStyle w:val="17"/>
              <w:bidi w:val="0"/>
              <w:rPr>
                <w:rFonts w:ascii="Times New Roman" w:hAnsi="Times New Roman"/>
                <w:color w:val="auto"/>
              </w:rPr>
            </w:pPr>
            <w:r>
              <w:rPr>
                <w:rFonts w:ascii="Times New Roman" w:hAnsi="Times New Roman"/>
                <w:color w:val="auto"/>
              </w:rPr>
              <w:t>JCD-1~JCD-</w:t>
            </w:r>
            <w:r>
              <w:rPr>
                <w:rFonts w:hint="eastAsia" w:ascii="Times New Roman" w:hAnsi="Times New Roman"/>
                <w:color w:val="auto"/>
              </w:rPr>
              <w:t>7</w:t>
            </w:r>
          </w:p>
        </w:tc>
        <w:tc>
          <w:tcPr>
            <w:tcW w:w="588" w:type="pct"/>
            <w:vAlign w:val="center"/>
          </w:tcPr>
          <w:p w14:paraId="0A4D6977">
            <w:pPr>
              <w:pStyle w:val="17"/>
              <w:bidi w:val="0"/>
              <w:rPr>
                <w:rFonts w:ascii="Times New Roman" w:hAnsi="Times New Roman"/>
                <w:color w:val="auto"/>
              </w:rPr>
            </w:pPr>
            <w:r>
              <w:rPr>
                <w:rFonts w:hint="eastAsia" w:ascii="Times New Roman" w:hAnsi="Times New Roman"/>
                <w:color w:val="auto"/>
              </w:rPr>
              <w:t>7</w:t>
            </w:r>
            <w:r>
              <w:rPr>
                <w:rFonts w:ascii="Times New Roman" w:hAnsi="Times New Roman"/>
                <w:color w:val="auto"/>
              </w:rPr>
              <w:t>个</w:t>
            </w:r>
          </w:p>
        </w:tc>
        <w:tc>
          <w:tcPr>
            <w:tcW w:w="1290" w:type="pct"/>
            <w:vAlign w:val="center"/>
          </w:tcPr>
          <w:p w14:paraId="56D3A337">
            <w:pPr>
              <w:pStyle w:val="17"/>
              <w:bidi w:val="0"/>
              <w:rPr>
                <w:rFonts w:ascii="Times New Roman" w:hAnsi="Times New Roman"/>
                <w:color w:val="auto"/>
              </w:rPr>
            </w:pPr>
            <w:r>
              <w:rPr>
                <w:rFonts w:ascii="Times New Roman" w:hAnsi="Times New Roman"/>
                <w:color w:val="auto"/>
              </w:rPr>
              <w:t>人工监测</w:t>
            </w:r>
          </w:p>
        </w:tc>
      </w:tr>
      <w:tr w14:paraId="16D5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pct"/>
            <w:vAlign w:val="center"/>
          </w:tcPr>
          <w:p w14:paraId="1DCFA84C">
            <w:pPr>
              <w:pStyle w:val="17"/>
              <w:bidi w:val="0"/>
              <w:rPr>
                <w:rFonts w:ascii="Times New Roman" w:hAnsi="Times New Roman"/>
                <w:color w:val="auto"/>
              </w:rPr>
            </w:pPr>
            <w:r>
              <w:rPr>
                <w:rFonts w:ascii="Times New Roman" w:hAnsi="Times New Roman"/>
                <w:color w:val="auto"/>
              </w:rPr>
              <w:t>3</w:t>
            </w:r>
          </w:p>
        </w:tc>
        <w:tc>
          <w:tcPr>
            <w:tcW w:w="1290" w:type="pct"/>
            <w:vAlign w:val="center"/>
          </w:tcPr>
          <w:p w14:paraId="42782BC0">
            <w:pPr>
              <w:pStyle w:val="17"/>
              <w:bidi w:val="0"/>
              <w:rPr>
                <w:rFonts w:ascii="Times New Roman" w:hAnsi="Times New Roman"/>
                <w:color w:val="auto"/>
              </w:rPr>
            </w:pPr>
            <w:r>
              <w:rPr>
                <w:rFonts w:ascii="Times New Roman" w:hAnsi="Times New Roman"/>
                <w:color w:val="auto"/>
              </w:rPr>
              <w:t>视频监控</w:t>
            </w:r>
          </w:p>
        </w:tc>
        <w:tc>
          <w:tcPr>
            <w:tcW w:w="1290" w:type="pct"/>
            <w:vAlign w:val="center"/>
          </w:tcPr>
          <w:p w14:paraId="17332AD0">
            <w:pPr>
              <w:pStyle w:val="17"/>
              <w:bidi w:val="0"/>
              <w:rPr>
                <w:rFonts w:ascii="Times New Roman" w:hAnsi="Times New Roman"/>
                <w:color w:val="auto"/>
              </w:rPr>
            </w:pPr>
            <w:r>
              <w:rPr>
                <w:rFonts w:ascii="Times New Roman" w:hAnsi="Times New Roman"/>
                <w:color w:val="auto"/>
              </w:rPr>
              <w:t>SP-01~ SP-02</w:t>
            </w:r>
          </w:p>
        </w:tc>
        <w:tc>
          <w:tcPr>
            <w:tcW w:w="588" w:type="pct"/>
            <w:vAlign w:val="center"/>
          </w:tcPr>
          <w:p w14:paraId="20FE1AAC">
            <w:pPr>
              <w:pStyle w:val="17"/>
              <w:bidi w:val="0"/>
              <w:rPr>
                <w:rFonts w:ascii="Times New Roman" w:hAnsi="Times New Roman"/>
                <w:color w:val="auto"/>
              </w:rPr>
            </w:pPr>
            <w:r>
              <w:rPr>
                <w:rFonts w:ascii="Times New Roman" w:hAnsi="Times New Roman"/>
                <w:color w:val="auto"/>
              </w:rPr>
              <w:t>2个</w:t>
            </w:r>
          </w:p>
        </w:tc>
        <w:tc>
          <w:tcPr>
            <w:tcW w:w="1290" w:type="pct"/>
            <w:vAlign w:val="center"/>
          </w:tcPr>
          <w:p w14:paraId="4F51F94C">
            <w:pPr>
              <w:pStyle w:val="17"/>
              <w:bidi w:val="0"/>
              <w:rPr>
                <w:rFonts w:ascii="Times New Roman" w:hAnsi="Times New Roman"/>
                <w:color w:val="auto"/>
              </w:rPr>
            </w:pPr>
          </w:p>
        </w:tc>
      </w:tr>
      <w:tr w14:paraId="355F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pct"/>
            <w:vAlign w:val="center"/>
          </w:tcPr>
          <w:p w14:paraId="1FDB0F90">
            <w:pPr>
              <w:pStyle w:val="17"/>
              <w:bidi w:val="0"/>
              <w:rPr>
                <w:rFonts w:ascii="Times New Roman" w:hAnsi="Times New Roman"/>
                <w:color w:val="auto"/>
              </w:rPr>
            </w:pPr>
            <w:r>
              <w:rPr>
                <w:rFonts w:ascii="Times New Roman" w:hAnsi="Times New Roman"/>
                <w:color w:val="auto"/>
              </w:rPr>
              <w:t>4</w:t>
            </w:r>
          </w:p>
        </w:tc>
        <w:tc>
          <w:tcPr>
            <w:tcW w:w="1290" w:type="pct"/>
            <w:vAlign w:val="center"/>
          </w:tcPr>
          <w:p w14:paraId="31F0CB80">
            <w:pPr>
              <w:pStyle w:val="17"/>
              <w:bidi w:val="0"/>
              <w:rPr>
                <w:rFonts w:ascii="Times New Roman" w:hAnsi="Times New Roman"/>
                <w:color w:val="auto"/>
              </w:rPr>
            </w:pPr>
            <w:r>
              <w:rPr>
                <w:rFonts w:ascii="Times New Roman" w:hAnsi="Times New Roman"/>
                <w:color w:val="auto"/>
              </w:rPr>
              <w:t>降雨量监测</w:t>
            </w:r>
          </w:p>
        </w:tc>
        <w:tc>
          <w:tcPr>
            <w:tcW w:w="1290" w:type="pct"/>
            <w:vAlign w:val="center"/>
          </w:tcPr>
          <w:p w14:paraId="7DBBAC36">
            <w:pPr>
              <w:pStyle w:val="17"/>
              <w:bidi w:val="0"/>
              <w:rPr>
                <w:rFonts w:ascii="Times New Roman" w:hAnsi="Times New Roman"/>
                <w:color w:val="auto"/>
              </w:rPr>
            </w:pPr>
          </w:p>
        </w:tc>
        <w:tc>
          <w:tcPr>
            <w:tcW w:w="588" w:type="pct"/>
            <w:vAlign w:val="center"/>
          </w:tcPr>
          <w:p w14:paraId="23CA9518">
            <w:pPr>
              <w:pStyle w:val="17"/>
              <w:bidi w:val="0"/>
              <w:rPr>
                <w:rFonts w:ascii="Times New Roman" w:hAnsi="Times New Roman"/>
                <w:color w:val="auto"/>
              </w:rPr>
            </w:pPr>
            <w:r>
              <w:rPr>
                <w:rFonts w:ascii="Times New Roman" w:hAnsi="Times New Roman"/>
                <w:color w:val="auto"/>
              </w:rPr>
              <w:t>1个</w:t>
            </w:r>
          </w:p>
        </w:tc>
        <w:tc>
          <w:tcPr>
            <w:tcW w:w="1290" w:type="pct"/>
            <w:vAlign w:val="center"/>
          </w:tcPr>
          <w:p w14:paraId="2DC68EC4">
            <w:pPr>
              <w:pStyle w:val="17"/>
              <w:bidi w:val="0"/>
              <w:rPr>
                <w:rFonts w:ascii="Times New Roman" w:hAnsi="Times New Roman"/>
                <w:color w:val="auto"/>
              </w:rPr>
            </w:pPr>
          </w:p>
        </w:tc>
      </w:tr>
    </w:tbl>
    <w:p w14:paraId="47734CE9">
      <w:pPr>
        <w:bidi w:val="0"/>
        <w:rPr>
          <w:rFonts w:hint="default" w:ascii="Times New Roman" w:hAnsi="Times New Roman"/>
          <w:color w:val="auto"/>
          <w:lang w:val="en-US" w:eastAsia="zh-CN"/>
        </w:rPr>
      </w:pPr>
      <w:r>
        <w:rPr>
          <w:rFonts w:hint="eastAsia" w:ascii="Times New Roman" w:hAnsi="Times New Roman"/>
          <w:color w:val="auto"/>
          <w:lang w:val="en-US" w:eastAsia="zh-CN"/>
        </w:rPr>
        <w:t>（2）</w:t>
      </w:r>
      <w:r>
        <w:rPr>
          <w:rFonts w:hint="default" w:ascii="Times New Roman" w:hAnsi="Times New Roman"/>
          <w:color w:val="auto"/>
          <w:lang w:val="en-US" w:eastAsia="zh-CN"/>
        </w:rPr>
        <w:t>各生产年份边坡监测点布置</w:t>
      </w:r>
    </w:p>
    <w:p w14:paraId="325EB6D7">
      <w:pPr>
        <w:bidi w:val="0"/>
        <w:rPr>
          <w:rFonts w:hint="default" w:ascii="Times New Roman" w:hAnsi="Times New Roman"/>
          <w:color w:val="auto"/>
          <w:lang w:val="en-US" w:eastAsia="zh-CN"/>
        </w:rPr>
      </w:pPr>
      <w:r>
        <w:rPr>
          <w:rFonts w:hint="default" w:ascii="Times New Roman" w:hAnsi="Times New Roman"/>
          <w:color w:val="auto"/>
          <w:lang w:val="en-US" w:eastAsia="zh-CN"/>
        </w:rPr>
        <w:t>随着开采深度的下降，露天采场将逐步形成靠帮边坡，适时应增设边坡监测点，各分区新增边坡监测点的位置应与终了边坡监测点布置位置保持一致。</w:t>
      </w:r>
    </w:p>
    <w:p w14:paraId="76662001">
      <w:pPr>
        <w:bidi w:val="0"/>
        <w:rPr>
          <w:rFonts w:hint="default" w:ascii="Times New Roman" w:hAnsi="Times New Roman"/>
          <w:color w:val="auto"/>
          <w:lang w:val="en-US" w:eastAsia="zh-CN"/>
        </w:rPr>
      </w:pPr>
      <w:r>
        <w:rPr>
          <w:rFonts w:hint="eastAsia" w:ascii="Times New Roman" w:hAnsi="Times New Roman"/>
          <w:color w:val="auto"/>
          <w:lang w:val="en-US" w:eastAsia="zh-CN"/>
        </w:rPr>
        <w:t>3、</w:t>
      </w:r>
      <w:r>
        <w:rPr>
          <w:rFonts w:hint="default" w:ascii="Times New Roman" w:hAnsi="Times New Roman"/>
          <w:color w:val="auto"/>
          <w:lang w:val="en-US" w:eastAsia="zh-CN"/>
        </w:rPr>
        <w:t>监测方法</w:t>
      </w:r>
    </w:p>
    <w:p w14:paraId="429EA229">
      <w:pPr>
        <w:bidi w:val="0"/>
        <w:rPr>
          <w:rFonts w:hint="default" w:ascii="Times New Roman" w:hAnsi="Times New Roman"/>
          <w:color w:val="auto"/>
          <w:lang w:val="en-US" w:eastAsia="zh-CN"/>
        </w:rPr>
      </w:pPr>
      <w:r>
        <w:rPr>
          <w:rFonts w:hint="default" w:ascii="Times New Roman" w:hAnsi="Times New Roman"/>
          <w:color w:val="auto"/>
          <w:lang w:val="en-US" w:eastAsia="zh-CN"/>
        </w:rPr>
        <w:t>（1）表面位移：采用RTK测量仪人工监测。</w:t>
      </w:r>
    </w:p>
    <w:p w14:paraId="1019C748">
      <w:pPr>
        <w:bidi w:val="0"/>
        <w:rPr>
          <w:rFonts w:hint="default" w:ascii="Times New Roman" w:hAnsi="Times New Roman"/>
          <w:color w:val="auto"/>
          <w:lang w:val="en-US" w:eastAsia="zh-CN"/>
        </w:rPr>
      </w:pPr>
      <w:r>
        <w:rPr>
          <w:rFonts w:hint="default" w:ascii="Times New Roman" w:hAnsi="Times New Roman"/>
          <w:color w:val="auto"/>
          <w:lang w:val="en-US" w:eastAsia="zh-CN"/>
        </w:rPr>
        <w:t>（2）降雨量：采用降雨量监测仪。</w:t>
      </w:r>
    </w:p>
    <w:p w14:paraId="353D164B">
      <w:pPr>
        <w:bidi w:val="0"/>
        <w:rPr>
          <w:rFonts w:hint="default" w:ascii="Times New Roman" w:hAnsi="Times New Roman"/>
          <w:color w:val="auto"/>
          <w:lang w:val="en-US" w:eastAsia="zh-CN"/>
        </w:rPr>
      </w:pPr>
      <w:r>
        <w:rPr>
          <w:rFonts w:hint="default" w:ascii="Times New Roman" w:hAnsi="Times New Roman"/>
          <w:color w:val="auto"/>
          <w:lang w:val="en-US" w:eastAsia="zh-CN"/>
        </w:rPr>
        <w:t>（3）视频监控：由前端摄像头、视频监控平台组成。</w:t>
      </w:r>
    </w:p>
    <w:p w14:paraId="19DECAD8">
      <w:pPr>
        <w:bidi w:val="0"/>
        <w:rPr>
          <w:rFonts w:hint="default" w:ascii="Times New Roman" w:hAnsi="Times New Roman"/>
          <w:color w:val="auto"/>
          <w:lang w:val="en-US" w:eastAsia="zh-CN"/>
        </w:rPr>
      </w:pPr>
      <w:r>
        <w:rPr>
          <w:rFonts w:hint="eastAsia" w:ascii="Times New Roman" w:hAnsi="Times New Roman"/>
          <w:color w:val="auto"/>
          <w:lang w:val="en-US" w:eastAsia="zh-CN"/>
        </w:rPr>
        <w:t>4、</w:t>
      </w:r>
      <w:r>
        <w:rPr>
          <w:rFonts w:hint="default" w:ascii="Times New Roman" w:hAnsi="Times New Roman"/>
          <w:color w:val="auto"/>
          <w:lang w:val="en-US" w:eastAsia="zh-CN"/>
        </w:rPr>
        <w:t>表面位移监测系统设计</w:t>
      </w:r>
    </w:p>
    <w:p w14:paraId="5281A1AB">
      <w:pPr>
        <w:bidi w:val="0"/>
        <w:rPr>
          <w:rFonts w:hint="default" w:ascii="Times New Roman" w:hAnsi="Times New Roman"/>
          <w:color w:val="auto"/>
          <w:lang w:val="en-US" w:eastAsia="zh-CN"/>
        </w:rPr>
      </w:pPr>
      <w:r>
        <w:rPr>
          <w:rFonts w:hint="default" w:ascii="Times New Roman" w:hAnsi="Times New Roman"/>
          <w:color w:val="auto"/>
          <w:lang w:val="en-US" w:eastAsia="zh-CN"/>
        </w:rPr>
        <w:t>边坡高度小于150m，设计采用人工监测。</w:t>
      </w:r>
    </w:p>
    <w:p w14:paraId="0380C72B">
      <w:pPr>
        <w:bidi w:val="0"/>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监测点设置</w:t>
      </w:r>
    </w:p>
    <w:p w14:paraId="4C42F262">
      <w:pPr>
        <w:bidi w:val="0"/>
        <w:rPr>
          <w:rFonts w:hint="default" w:ascii="Times New Roman" w:hAnsi="Times New Roman"/>
          <w:color w:val="auto"/>
          <w:lang w:val="en-US" w:eastAsia="zh-CN"/>
        </w:rPr>
      </w:pPr>
      <w:r>
        <w:rPr>
          <w:rFonts w:hint="default" w:ascii="Times New Roman" w:hAnsi="Times New Roman"/>
          <w:color w:val="auto"/>
          <w:lang w:val="en-US" w:eastAsia="zh-CN"/>
        </w:rPr>
        <w:t>位移监测点采用混凝土桩固定在边坡岩体上。混凝土桩桩径为30cm，桩深150cm，桩上部长30cm，用直径15mm的钢筋埋于混凝土中，在钢筋顶面锯成</w:t>
      </w:r>
      <w:r>
        <w:rPr>
          <w:rFonts w:hint="eastAsia" w:ascii="Times New Roman" w:hAnsi="Times New Roman"/>
          <w:color w:val="auto"/>
          <w:lang w:val="en-US" w:eastAsia="zh-CN"/>
        </w:rPr>
        <w:t>“</w:t>
      </w:r>
      <w:r>
        <w:rPr>
          <w:rFonts w:hint="default" w:ascii="Times New Roman" w:hAnsi="Times New Roman"/>
          <w:color w:val="auto"/>
          <w:lang w:val="en-US" w:eastAsia="zh-CN"/>
        </w:rPr>
        <w:t>┿</w:t>
      </w:r>
      <w:r>
        <w:rPr>
          <w:rFonts w:hint="eastAsia" w:ascii="Times New Roman" w:hAnsi="Times New Roman"/>
          <w:color w:val="auto"/>
          <w:lang w:val="en-US" w:eastAsia="zh-CN"/>
        </w:rPr>
        <w:t>”</w:t>
      </w:r>
      <w:r>
        <w:rPr>
          <w:rFonts w:hint="default" w:ascii="Times New Roman" w:hAnsi="Times New Roman"/>
          <w:color w:val="auto"/>
          <w:lang w:val="en-US" w:eastAsia="zh-CN"/>
        </w:rPr>
        <w:t>形，红油漆上色，量测时以</w:t>
      </w:r>
      <w:r>
        <w:rPr>
          <w:rFonts w:hint="eastAsia" w:ascii="Times New Roman" w:hAnsi="Times New Roman"/>
          <w:color w:val="auto"/>
          <w:lang w:val="en-US" w:eastAsia="zh-CN"/>
        </w:rPr>
        <w:t>“</w:t>
      </w:r>
      <w:r>
        <w:rPr>
          <w:rFonts w:hint="default" w:ascii="Times New Roman" w:hAnsi="Times New Roman"/>
          <w:color w:val="auto"/>
          <w:lang w:val="en-US" w:eastAsia="zh-CN"/>
        </w:rPr>
        <w:t>┿</w:t>
      </w:r>
      <w:r>
        <w:rPr>
          <w:rFonts w:hint="eastAsia" w:ascii="Times New Roman" w:hAnsi="Times New Roman"/>
          <w:color w:val="auto"/>
          <w:lang w:val="en-US" w:eastAsia="zh-CN"/>
        </w:rPr>
        <w:t>”</w:t>
      </w:r>
      <w:r>
        <w:rPr>
          <w:rFonts w:hint="default" w:ascii="Times New Roman" w:hAnsi="Times New Roman"/>
          <w:color w:val="auto"/>
          <w:lang w:val="en-US" w:eastAsia="zh-CN"/>
        </w:rPr>
        <w:t>形的交点为准。</w:t>
      </w:r>
    </w:p>
    <w:p w14:paraId="66901444">
      <w:pPr>
        <w:bidi w:val="0"/>
        <w:rPr>
          <w:rFonts w:hint="default" w:ascii="Times New Roman" w:hAnsi="Times New Roman"/>
          <w:color w:val="auto"/>
          <w:lang w:val="en-US" w:eastAsia="zh-CN"/>
        </w:rPr>
      </w:pPr>
      <w:r>
        <w:rPr>
          <w:rFonts w:hint="eastAsia" w:ascii="Times New Roman" w:hAnsi="Times New Roman"/>
          <w:color w:val="auto"/>
          <w:lang w:val="en-US" w:eastAsia="zh-CN"/>
        </w:rPr>
        <w:t>（2）</w:t>
      </w:r>
      <w:r>
        <w:rPr>
          <w:rFonts w:hint="default" w:ascii="Times New Roman" w:hAnsi="Times New Roman"/>
          <w:color w:val="auto"/>
          <w:lang w:val="en-US" w:eastAsia="zh-CN"/>
        </w:rPr>
        <w:t>监测频次</w:t>
      </w:r>
    </w:p>
    <w:p w14:paraId="09F63944">
      <w:pPr>
        <w:bidi w:val="0"/>
        <w:rPr>
          <w:rFonts w:hint="default" w:ascii="Times New Roman" w:hAnsi="Times New Roman"/>
          <w:color w:val="auto"/>
          <w:lang w:val="en-US" w:eastAsia="zh-CN"/>
        </w:rPr>
      </w:pPr>
      <w:r>
        <w:rPr>
          <w:rFonts w:hint="default" w:ascii="Times New Roman" w:hAnsi="Times New Roman"/>
          <w:color w:val="auto"/>
          <w:lang w:val="en-US" w:eastAsia="zh-CN"/>
        </w:rPr>
        <w:t>用RTK观测各位移监测点的位移变化，位移变化不明显的监测点每月测1次，位移变化明显的监测点每周测1次，有显著位移变化的监测点每三天测量1次，位移变化剧烈的监测点每天测量，必要时进行昼夜连续观测，大暴雨或大爆破后立即测量且缩短测量周期。</w:t>
      </w:r>
    </w:p>
    <w:p w14:paraId="266B5ABD">
      <w:pPr>
        <w:bidi w:val="0"/>
        <w:rPr>
          <w:rFonts w:hint="default" w:ascii="Times New Roman" w:hAnsi="Times New Roman"/>
          <w:color w:val="auto"/>
          <w:lang w:val="en-US" w:eastAsia="zh-CN"/>
        </w:rPr>
      </w:pPr>
      <w:r>
        <w:rPr>
          <w:rFonts w:hint="eastAsia" w:ascii="Times New Roman" w:hAnsi="Times New Roman"/>
          <w:color w:val="auto"/>
          <w:lang w:val="en-US" w:eastAsia="zh-CN"/>
        </w:rPr>
        <w:t>5、</w:t>
      </w:r>
      <w:r>
        <w:rPr>
          <w:rFonts w:hint="default" w:ascii="Times New Roman" w:hAnsi="Times New Roman"/>
          <w:color w:val="auto"/>
          <w:lang w:val="en-US" w:eastAsia="zh-CN"/>
        </w:rPr>
        <w:t>降雨量监测设计</w:t>
      </w:r>
    </w:p>
    <w:p w14:paraId="0182CE3C">
      <w:pPr>
        <w:bidi w:val="0"/>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监测原理</w:t>
      </w:r>
    </w:p>
    <w:p w14:paraId="6A0243AF">
      <w:pPr>
        <w:bidi w:val="0"/>
        <w:rPr>
          <w:rFonts w:hint="default" w:ascii="Times New Roman" w:hAnsi="Times New Roman"/>
          <w:color w:val="auto"/>
          <w:lang w:val="en-US" w:eastAsia="zh-CN"/>
        </w:rPr>
      </w:pPr>
      <w:r>
        <w:rPr>
          <w:rFonts w:hint="default" w:ascii="Times New Roman" w:hAnsi="Times New Roman"/>
          <w:color w:val="auto"/>
          <w:lang w:val="en-US" w:eastAsia="zh-CN"/>
        </w:rPr>
        <w:t>降雨量通过标准承雨器进入小漏斗，将雨水导入翻斗，翻斗每翻转一次，翻斗两边的磁性开关同时吸合一次，产生的通断信号被雨量数据终端采集器采集，采集器通过判断、分析、计算后得出降雨量数据并进行现场存储、显示。通过无线发射装置，数据采集器将存储数据和实时数据定时或定量无线发送到互联网上专用服务器，以供互联网上授权用户调用、查看，随时掌握降雨情况。</w:t>
      </w:r>
    </w:p>
    <w:p w14:paraId="254ACDB6">
      <w:pPr>
        <w:bidi w:val="0"/>
        <w:rPr>
          <w:rFonts w:hint="default" w:ascii="Times New Roman" w:hAnsi="Times New Roman"/>
          <w:color w:val="auto"/>
          <w:lang w:val="en-US" w:eastAsia="zh-CN"/>
        </w:rPr>
      </w:pPr>
      <w:r>
        <w:rPr>
          <w:rFonts w:hint="eastAsia" w:ascii="Times New Roman" w:hAnsi="Times New Roman"/>
          <w:color w:val="auto"/>
          <w:lang w:val="en-US" w:eastAsia="zh-CN"/>
        </w:rPr>
        <w:t>（2）</w:t>
      </w:r>
      <w:r>
        <w:rPr>
          <w:rFonts w:hint="default" w:ascii="Times New Roman" w:hAnsi="Times New Roman"/>
          <w:color w:val="auto"/>
          <w:lang w:val="en-US" w:eastAsia="zh-CN"/>
        </w:rPr>
        <w:t>监测设备</w:t>
      </w:r>
    </w:p>
    <w:p w14:paraId="68D72942">
      <w:pPr>
        <w:bidi w:val="0"/>
        <w:rPr>
          <w:rFonts w:hint="default" w:ascii="Times New Roman" w:hAnsi="Times New Roman"/>
          <w:color w:val="auto"/>
          <w:lang w:val="en-US" w:eastAsia="zh-CN"/>
        </w:rPr>
      </w:pPr>
      <w:r>
        <w:rPr>
          <w:rFonts w:hint="default" w:ascii="Times New Roman" w:hAnsi="Times New Roman"/>
          <w:color w:val="auto"/>
          <w:lang w:val="en-US" w:eastAsia="zh-CN"/>
        </w:rPr>
        <w:t>翻斗式雨量传感器是一种水文、气象观测仪器，用以感知自然界降雨量，同时将其转换为开关信息量输出，以满足信息传输、处理、记录和显示的需要。它是由不锈钢带有刃口角度的承水口的外护筒、过滤网、漏斗、三角形工作平台、永久磁钢、干式舌簧管、轴承螺钉、六角锁紧螺母、翻斗部件、限位螺钉、园锁紧螺母、支架、底座、底脚、水准泡、调平螺钉、电缆护套、接线端子、备份干式舌簧管等主要部分组成。用来测量液体降水量、降水强度、降水起止时间。</w:t>
      </w:r>
    </w:p>
    <w:p w14:paraId="4A958315">
      <w:pPr>
        <w:bidi w:val="0"/>
        <w:rPr>
          <w:rFonts w:hint="default" w:ascii="Times New Roman" w:hAnsi="Times New Roman"/>
          <w:color w:val="auto"/>
          <w:lang w:val="en-US" w:eastAsia="zh-CN"/>
        </w:rPr>
      </w:pPr>
      <w:r>
        <w:rPr>
          <w:rFonts w:hint="eastAsia" w:ascii="Times New Roman" w:hAnsi="Times New Roman"/>
          <w:color w:val="auto"/>
          <w:lang w:val="en-US" w:eastAsia="zh-CN"/>
        </w:rPr>
        <w:t>（3）</w:t>
      </w:r>
      <w:r>
        <w:rPr>
          <w:rFonts w:hint="default" w:ascii="Times New Roman" w:hAnsi="Times New Roman"/>
          <w:color w:val="auto"/>
          <w:lang w:val="en-US" w:eastAsia="zh-CN"/>
        </w:rPr>
        <w:t>技术要求</w:t>
      </w:r>
    </w:p>
    <w:p w14:paraId="2817E926">
      <w:pPr>
        <w:bidi w:val="0"/>
        <w:rPr>
          <w:rFonts w:hint="default" w:ascii="Times New Roman" w:hAnsi="Times New Roman"/>
          <w:color w:val="auto"/>
          <w:lang w:val="en-US" w:eastAsia="zh-CN"/>
        </w:rPr>
      </w:pPr>
      <w:r>
        <w:rPr>
          <w:rFonts w:hint="default" w:ascii="Times New Roman" w:hAnsi="Times New Roman"/>
          <w:color w:val="auto"/>
          <w:lang w:val="en-US" w:eastAsia="zh-CN"/>
        </w:rPr>
        <w:t>设计在材料室旁布置1个雨量监测，安装具有自动读数和时钟电路的雨量计，记录24小时内降雨量，统计日降雨量。</w:t>
      </w:r>
    </w:p>
    <w:p w14:paraId="2AE7BA89">
      <w:pPr>
        <w:bidi w:val="0"/>
        <w:rPr>
          <w:rFonts w:hint="default" w:ascii="Times New Roman" w:hAnsi="Times New Roman"/>
          <w:color w:val="auto"/>
          <w:lang w:val="en-US" w:eastAsia="zh-CN"/>
        </w:rPr>
      </w:pPr>
      <w:r>
        <w:rPr>
          <w:rFonts w:hint="eastAsia" w:ascii="Times New Roman" w:hAnsi="Times New Roman"/>
          <w:color w:val="auto"/>
          <w:lang w:val="en-US" w:eastAsia="zh-CN"/>
        </w:rPr>
        <w:t>6、</w:t>
      </w:r>
      <w:r>
        <w:rPr>
          <w:rFonts w:hint="default" w:ascii="Times New Roman" w:hAnsi="Times New Roman"/>
          <w:color w:val="auto"/>
          <w:lang w:val="en-US" w:eastAsia="zh-CN"/>
        </w:rPr>
        <w:t>视频监控设计</w:t>
      </w:r>
    </w:p>
    <w:p w14:paraId="60ACDD3E">
      <w:pPr>
        <w:bidi w:val="0"/>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视频监控点位布设</w:t>
      </w:r>
    </w:p>
    <w:p w14:paraId="3E0A1D4C">
      <w:pPr>
        <w:bidi w:val="0"/>
        <w:rPr>
          <w:rFonts w:hint="default" w:ascii="Times New Roman" w:hAnsi="Times New Roman"/>
          <w:color w:val="auto"/>
          <w:lang w:val="en-US" w:eastAsia="zh-CN"/>
        </w:rPr>
      </w:pPr>
      <w:r>
        <w:rPr>
          <w:rFonts w:hint="default" w:ascii="Times New Roman" w:hAnsi="Times New Roman"/>
          <w:color w:val="auto"/>
          <w:lang w:val="en-US" w:eastAsia="zh-CN"/>
        </w:rPr>
        <w:t>设计在采场布置2个视频监测点，用无线网桥技术进行无线视频传输24小时不间断监控。</w:t>
      </w:r>
    </w:p>
    <w:p w14:paraId="4F412FD7">
      <w:pPr>
        <w:bidi w:val="0"/>
        <w:rPr>
          <w:rFonts w:hint="default" w:ascii="Times New Roman" w:hAnsi="Times New Roman"/>
          <w:color w:val="auto"/>
          <w:lang w:val="en-US" w:eastAsia="zh-CN"/>
        </w:rPr>
      </w:pPr>
      <w:r>
        <w:rPr>
          <w:rFonts w:hint="default" w:ascii="Times New Roman" w:hAnsi="Times New Roman"/>
          <w:color w:val="auto"/>
          <w:lang w:val="en-US" w:eastAsia="zh-CN"/>
        </w:rPr>
        <w:t>根据所需监控的范围、角度、场景以及现场条件来选择摄像机的安装方法，摄像机的安装固定以立杆为主。杆底端焊接固定法兰盘，预留拉线孔，地基采用钢筋混凝土浇筑。立杆必须安装牢固不得歪斜，制作要美观。立杆必须有较高强度，抗大风、防摄像机抖动、防攀爬、防腐。</w:t>
      </w:r>
    </w:p>
    <w:p w14:paraId="68F06374">
      <w:pPr>
        <w:bidi w:val="0"/>
        <w:rPr>
          <w:rFonts w:hint="default" w:ascii="Times New Roman" w:hAnsi="Times New Roman"/>
          <w:color w:val="auto"/>
          <w:lang w:val="en-US" w:eastAsia="zh-CN"/>
        </w:rPr>
      </w:pPr>
      <w:r>
        <w:rPr>
          <w:rFonts w:hint="eastAsia" w:ascii="Times New Roman" w:hAnsi="Times New Roman"/>
          <w:color w:val="auto"/>
          <w:lang w:val="en-US" w:eastAsia="zh-CN"/>
        </w:rPr>
        <w:t>（2）</w:t>
      </w:r>
      <w:r>
        <w:rPr>
          <w:rFonts w:hint="default" w:ascii="Times New Roman" w:hAnsi="Times New Roman"/>
          <w:color w:val="auto"/>
          <w:lang w:val="en-US" w:eastAsia="zh-CN"/>
        </w:rPr>
        <w:t>视频后端采集存储设备</w:t>
      </w:r>
    </w:p>
    <w:p w14:paraId="5238A668">
      <w:pPr>
        <w:bidi w:val="0"/>
        <w:rPr>
          <w:rFonts w:hint="default" w:ascii="Times New Roman" w:hAnsi="Times New Roman"/>
          <w:color w:val="auto"/>
          <w:lang w:val="en-US" w:eastAsia="zh-CN"/>
        </w:rPr>
      </w:pPr>
      <w:r>
        <w:rPr>
          <w:rFonts w:hint="default" w:ascii="Times New Roman" w:hAnsi="Times New Roman"/>
          <w:color w:val="auto"/>
          <w:lang w:val="en-US" w:eastAsia="zh-CN"/>
        </w:rPr>
        <w:t>针对监测要求数据存储时间不得少于30天。</w:t>
      </w:r>
    </w:p>
    <w:p w14:paraId="45383D33">
      <w:pPr>
        <w:bidi w:val="0"/>
        <w:rPr>
          <w:rFonts w:hint="default" w:ascii="Times New Roman" w:hAnsi="Times New Roman"/>
          <w:color w:val="auto"/>
          <w:lang w:val="en-US" w:eastAsia="zh-CN"/>
        </w:rPr>
      </w:pPr>
      <w:r>
        <w:rPr>
          <w:rFonts w:hint="eastAsia" w:ascii="Times New Roman" w:hAnsi="Times New Roman"/>
          <w:color w:val="auto"/>
          <w:lang w:val="en-US" w:eastAsia="zh-CN"/>
        </w:rPr>
        <w:t>7、</w:t>
      </w:r>
      <w:r>
        <w:rPr>
          <w:rFonts w:hint="default" w:ascii="Times New Roman" w:hAnsi="Times New Roman"/>
          <w:color w:val="auto"/>
          <w:lang w:val="en-US" w:eastAsia="zh-CN"/>
        </w:rPr>
        <w:t>预警及响应</w:t>
      </w:r>
    </w:p>
    <w:p w14:paraId="3DE9FBAF">
      <w:pPr>
        <w:bidi w:val="0"/>
        <w:rPr>
          <w:rFonts w:hint="default" w:ascii="Times New Roman" w:hAnsi="Times New Roman"/>
          <w:color w:val="auto"/>
          <w:lang w:val="en-US" w:eastAsia="zh-CN"/>
        </w:rPr>
      </w:pPr>
      <w:r>
        <w:rPr>
          <w:rFonts w:hint="default" w:ascii="Times New Roman" w:hAnsi="Times New Roman"/>
          <w:color w:val="auto"/>
          <w:lang w:val="en-US" w:eastAsia="zh-CN"/>
        </w:rPr>
        <w:t>根据《国家矿山安全监察局关于开展露天矿山边坡监测系统建设及联网工作的通知》（矿安〔2023〕119号），露天矿山安全监测预警应由低级到高级分为蓝色预警、黄色预警、橙色预警、红色预警四个等级。短时间内滑坡可能性非常大，极易造成人员伤亡的应定为一级红色预警；短时间内滑坡可能性大，容易造成人员伤亡的应定为二级橙色预警；滑坡可能性较大，可能造成人员伤亡的应定为三级黄色预警；有滑坡可能性且影响正常生产的应定为四级蓝色预警。</w:t>
      </w:r>
    </w:p>
    <w:p w14:paraId="3A64F150">
      <w:pPr>
        <w:bidi w:val="0"/>
        <w:rPr>
          <w:rFonts w:hint="default" w:ascii="Times New Roman" w:hAnsi="Times New Roman"/>
          <w:color w:val="auto"/>
          <w:lang w:val="en-US" w:eastAsia="zh-CN"/>
        </w:rPr>
      </w:pPr>
      <w:r>
        <w:rPr>
          <w:rFonts w:hint="default" w:ascii="Times New Roman" w:hAnsi="Times New Roman"/>
          <w:color w:val="auto"/>
          <w:lang w:val="en-US" w:eastAsia="zh-CN"/>
        </w:rPr>
        <w:t>本项目的安全预警项目包括高清摄像头、表面位移及降雨量。安全监测项目的蓝色预警、黄色预警、橙色预警和红色预警采用监测预警阈值进行判定。</w:t>
      </w:r>
    </w:p>
    <w:p w14:paraId="782EB160">
      <w:pPr>
        <w:pStyle w:val="4"/>
        <w:bidi w:val="0"/>
        <w:rPr>
          <w:rFonts w:hint="default" w:ascii="Times New Roman" w:hAnsi="Times New Roman"/>
          <w:color w:val="auto"/>
          <w:lang w:val="en-US" w:eastAsia="zh-CN"/>
        </w:rPr>
      </w:pPr>
      <w:bookmarkStart w:id="94" w:name="_Toc27877"/>
      <w:r>
        <w:rPr>
          <w:rFonts w:hint="eastAsia" w:ascii="Times New Roman" w:hAnsi="Times New Roman"/>
          <w:color w:val="auto"/>
          <w:lang w:eastAsia="zh-CN"/>
        </w:rPr>
        <w:t>2.4.</w:t>
      </w:r>
      <w:r>
        <w:rPr>
          <w:rFonts w:hint="eastAsia" w:ascii="Times New Roman" w:hAnsi="Times New Roman"/>
          <w:color w:val="auto"/>
          <w:lang w:val="en-US" w:eastAsia="zh-CN"/>
        </w:rPr>
        <w:t>13</w:t>
      </w:r>
      <w:r>
        <w:rPr>
          <w:rFonts w:hint="eastAsia" w:ascii="Times New Roman" w:hAnsi="Times New Roman"/>
          <w:color w:val="auto"/>
        </w:rPr>
        <w:t xml:space="preserve"> 安全管理</w:t>
      </w:r>
      <w:r>
        <w:rPr>
          <w:rFonts w:hint="eastAsia" w:ascii="Times New Roman" w:hAnsi="Times New Roman"/>
          <w:color w:val="auto"/>
          <w:lang w:val="en-US" w:eastAsia="zh-CN"/>
        </w:rPr>
        <w:t>及其他</w:t>
      </w:r>
      <w:bookmarkEnd w:id="94"/>
    </w:p>
    <w:p w14:paraId="6DFEB78A">
      <w:pPr>
        <w:pStyle w:val="5"/>
        <w:bidi w:val="0"/>
        <w:rPr>
          <w:rFonts w:hint="eastAsia" w:ascii="Times New Roman" w:hAnsi="Times New Roman"/>
          <w:color w:val="auto"/>
        </w:rPr>
      </w:pPr>
      <w:r>
        <w:rPr>
          <w:rFonts w:hint="eastAsia" w:ascii="Times New Roman" w:hAnsi="Times New Roman"/>
          <w:color w:val="auto"/>
          <w:lang w:val="en-US" w:eastAsia="zh-CN"/>
        </w:rPr>
        <w:t>2.4.13</w:t>
      </w:r>
      <w:r>
        <w:rPr>
          <w:rFonts w:hint="eastAsia" w:ascii="Times New Roman" w:hAnsi="Times New Roman"/>
          <w:color w:val="auto"/>
        </w:rPr>
        <w:t>.1</w:t>
      </w:r>
      <w:r>
        <w:rPr>
          <w:rFonts w:hint="eastAsia" w:ascii="Times New Roman" w:hAnsi="Times New Roman"/>
          <w:color w:val="auto"/>
          <w:lang w:val="en-US" w:eastAsia="zh-CN"/>
        </w:rPr>
        <w:t xml:space="preserve"> </w:t>
      </w:r>
      <w:r>
        <w:rPr>
          <w:rFonts w:hint="eastAsia" w:ascii="Times New Roman" w:hAnsi="Times New Roman"/>
          <w:color w:val="auto"/>
        </w:rPr>
        <w:t>组织结构和劳动定员</w:t>
      </w:r>
    </w:p>
    <w:p w14:paraId="37C9882D">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组织结构</w:t>
      </w:r>
    </w:p>
    <w:p w14:paraId="3BA9E77F">
      <w:pPr>
        <w:bidi w:val="0"/>
        <w:rPr>
          <w:rFonts w:hint="eastAsia" w:ascii="Times New Roman" w:hAnsi="Times New Roman"/>
          <w:color w:val="auto"/>
        </w:rPr>
      </w:pPr>
      <w:r>
        <w:rPr>
          <w:rFonts w:hint="eastAsia" w:ascii="Times New Roman" w:hAnsi="Times New Roman"/>
          <w:color w:val="auto"/>
        </w:rPr>
        <w:t>本项目生产规模为</w:t>
      </w:r>
      <w:r>
        <w:rPr>
          <w:rFonts w:hint="eastAsia" w:ascii="Times New Roman" w:hAnsi="Times New Roman"/>
          <w:color w:val="auto"/>
          <w:lang w:val="en-US" w:eastAsia="zh-CN"/>
        </w:rPr>
        <w:t>70</w:t>
      </w:r>
      <w:r>
        <w:rPr>
          <w:rFonts w:hint="eastAsia" w:ascii="Times New Roman" w:hAnsi="Times New Roman"/>
          <w:color w:val="auto"/>
        </w:rPr>
        <w:t>万t/年。</w:t>
      </w:r>
    </w:p>
    <w:p w14:paraId="17479AA6">
      <w:pPr>
        <w:bidi w:val="0"/>
        <w:rPr>
          <w:rFonts w:hint="eastAsia" w:ascii="Times New Roman" w:hAnsi="Times New Roman"/>
          <w:color w:val="auto"/>
        </w:rPr>
      </w:pPr>
      <w:r>
        <w:rPr>
          <w:rFonts w:hint="eastAsia" w:ascii="Times New Roman" w:hAnsi="Times New Roman"/>
          <w:color w:val="auto"/>
        </w:rPr>
        <w:t>本矿山由企业统一管理，只需设置一个矿山车间。</w:t>
      </w:r>
    </w:p>
    <w:p w14:paraId="22D5C489">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rPr>
        <w:t>劳动定员</w:t>
      </w:r>
    </w:p>
    <w:p w14:paraId="7F56B2A0">
      <w:pPr>
        <w:bidi w:val="0"/>
        <w:rPr>
          <w:rFonts w:hint="eastAsia" w:ascii="Times New Roman" w:hAnsi="Times New Roman"/>
          <w:color w:val="auto"/>
        </w:rPr>
      </w:pPr>
      <w:r>
        <w:rPr>
          <w:rFonts w:hint="eastAsia" w:ascii="Times New Roman" w:hAnsi="Times New Roman"/>
          <w:color w:val="auto"/>
        </w:rPr>
        <w:t>矿区采剥及破碎作业采用间断工作制，年工作300天，每天工作1班，每班工作8小时。本着精简的原则，本项目设置定员</w:t>
      </w:r>
      <w:r>
        <w:rPr>
          <w:rFonts w:hint="eastAsia" w:ascii="Times New Roman" w:hAnsi="Times New Roman"/>
          <w:color w:val="auto"/>
          <w:lang w:val="en-US" w:eastAsia="zh-CN"/>
        </w:rPr>
        <w:t>31</w:t>
      </w:r>
      <w:r>
        <w:rPr>
          <w:rFonts w:hint="eastAsia" w:ascii="Times New Roman" w:hAnsi="Times New Roman"/>
          <w:color w:val="auto"/>
        </w:rPr>
        <w:t>人，岗位定员见下表。</w:t>
      </w:r>
    </w:p>
    <w:p w14:paraId="661CA9E0">
      <w:pPr>
        <w:pStyle w:val="16"/>
        <w:bidi w:val="0"/>
        <w:rPr>
          <w:rFonts w:hint="eastAsia"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 xml:space="preserve">2.4-15  </w:t>
      </w:r>
      <w:r>
        <w:rPr>
          <w:rFonts w:hint="eastAsia" w:ascii="Times New Roman" w:hAnsi="Times New Roman"/>
          <w:color w:val="auto"/>
        </w:rPr>
        <w:t>劳动定员表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5028"/>
        <w:gridCol w:w="813"/>
        <w:gridCol w:w="814"/>
        <w:gridCol w:w="1936"/>
      </w:tblGrid>
      <w:tr w14:paraId="4295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31" w:type="pct"/>
            <w:vMerge w:val="restart"/>
            <w:vAlign w:val="center"/>
          </w:tcPr>
          <w:p w14:paraId="792FC9FE">
            <w:pPr>
              <w:pStyle w:val="17"/>
              <w:bidi w:val="0"/>
              <w:rPr>
                <w:rFonts w:ascii="Times New Roman" w:hAnsi="Times New Roman"/>
                <w:b/>
                <w:bCs/>
                <w:color w:val="auto"/>
              </w:rPr>
            </w:pPr>
            <w:bookmarkStart w:id="95" w:name="_Hlk167717950"/>
            <w:r>
              <w:rPr>
                <w:rFonts w:ascii="Times New Roman" w:hAnsi="Times New Roman"/>
                <w:b/>
                <w:bCs/>
                <w:color w:val="auto"/>
              </w:rPr>
              <w:t>序号</w:t>
            </w:r>
          </w:p>
        </w:tc>
        <w:tc>
          <w:tcPr>
            <w:tcW w:w="2673" w:type="pct"/>
            <w:vMerge w:val="restart"/>
            <w:vAlign w:val="center"/>
          </w:tcPr>
          <w:p w14:paraId="39650CA3">
            <w:pPr>
              <w:pStyle w:val="17"/>
              <w:bidi w:val="0"/>
              <w:rPr>
                <w:rFonts w:ascii="Times New Roman" w:hAnsi="Times New Roman"/>
                <w:b/>
                <w:bCs/>
                <w:color w:val="auto"/>
              </w:rPr>
            </w:pPr>
            <w:r>
              <w:rPr>
                <w:rFonts w:ascii="Times New Roman" w:hAnsi="Times New Roman"/>
                <w:b/>
                <w:bCs/>
                <w:color w:val="auto"/>
              </w:rPr>
              <w:t>名称</w:t>
            </w:r>
          </w:p>
        </w:tc>
        <w:tc>
          <w:tcPr>
            <w:tcW w:w="865" w:type="pct"/>
            <w:gridSpan w:val="2"/>
            <w:vAlign w:val="center"/>
          </w:tcPr>
          <w:p w14:paraId="74A28A53">
            <w:pPr>
              <w:pStyle w:val="17"/>
              <w:bidi w:val="0"/>
              <w:rPr>
                <w:rFonts w:ascii="Times New Roman" w:hAnsi="Times New Roman"/>
                <w:b/>
                <w:bCs/>
                <w:color w:val="auto"/>
              </w:rPr>
            </w:pPr>
            <w:r>
              <w:rPr>
                <w:rFonts w:ascii="Times New Roman" w:hAnsi="Times New Roman"/>
                <w:b/>
                <w:bCs/>
                <w:color w:val="auto"/>
              </w:rPr>
              <w:t>出勤人数</w:t>
            </w:r>
          </w:p>
        </w:tc>
        <w:tc>
          <w:tcPr>
            <w:tcW w:w="1029" w:type="pct"/>
            <w:vMerge w:val="restart"/>
            <w:noWrap/>
            <w:vAlign w:val="center"/>
          </w:tcPr>
          <w:p w14:paraId="1AA18C70">
            <w:pPr>
              <w:pStyle w:val="17"/>
              <w:bidi w:val="0"/>
              <w:rPr>
                <w:rFonts w:ascii="Times New Roman" w:hAnsi="Times New Roman"/>
                <w:b/>
                <w:bCs/>
                <w:color w:val="auto"/>
              </w:rPr>
            </w:pPr>
            <w:r>
              <w:rPr>
                <w:rFonts w:ascii="Times New Roman" w:hAnsi="Times New Roman"/>
                <w:b/>
                <w:bCs/>
                <w:color w:val="auto"/>
              </w:rPr>
              <w:t>备注</w:t>
            </w:r>
          </w:p>
        </w:tc>
      </w:tr>
      <w:tr w14:paraId="6D97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31" w:type="pct"/>
            <w:vMerge w:val="continue"/>
            <w:vAlign w:val="center"/>
          </w:tcPr>
          <w:p w14:paraId="78E7F7F5">
            <w:pPr>
              <w:pStyle w:val="17"/>
              <w:bidi w:val="0"/>
              <w:rPr>
                <w:rFonts w:ascii="Times New Roman" w:hAnsi="Times New Roman"/>
                <w:color w:val="auto"/>
              </w:rPr>
            </w:pPr>
          </w:p>
        </w:tc>
        <w:tc>
          <w:tcPr>
            <w:tcW w:w="2673" w:type="pct"/>
            <w:vMerge w:val="continue"/>
            <w:vAlign w:val="center"/>
          </w:tcPr>
          <w:p w14:paraId="76206F5B">
            <w:pPr>
              <w:pStyle w:val="17"/>
              <w:bidi w:val="0"/>
              <w:rPr>
                <w:rFonts w:ascii="Times New Roman" w:hAnsi="Times New Roman"/>
                <w:color w:val="auto"/>
              </w:rPr>
            </w:pPr>
          </w:p>
        </w:tc>
        <w:tc>
          <w:tcPr>
            <w:tcW w:w="432" w:type="pct"/>
            <w:vAlign w:val="center"/>
          </w:tcPr>
          <w:p w14:paraId="555CF1EA">
            <w:pPr>
              <w:pStyle w:val="17"/>
              <w:bidi w:val="0"/>
              <w:rPr>
                <w:rFonts w:ascii="Times New Roman" w:hAnsi="Times New Roman"/>
                <w:b/>
                <w:bCs/>
                <w:color w:val="auto"/>
              </w:rPr>
            </w:pPr>
            <w:r>
              <w:rPr>
                <w:rFonts w:ascii="Times New Roman" w:hAnsi="Times New Roman"/>
                <w:b/>
                <w:bCs/>
                <w:color w:val="auto"/>
              </w:rPr>
              <w:t>一班</w:t>
            </w:r>
          </w:p>
        </w:tc>
        <w:tc>
          <w:tcPr>
            <w:tcW w:w="432" w:type="pct"/>
            <w:vAlign w:val="center"/>
          </w:tcPr>
          <w:p w14:paraId="69B98196">
            <w:pPr>
              <w:pStyle w:val="17"/>
              <w:bidi w:val="0"/>
              <w:rPr>
                <w:rFonts w:ascii="Times New Roman" w:hAnsi="Times New Roman"/>
                <w:b/>
                <w:bCs/>
                <w:color w:val="auto"/>
              </w:rPr>
            </w:pPr>
            <w:r>
              <w:rPr>
                <w:rFonts w:ascii="Times New Roman" w:hAnsi="Times New Roman"/>
                <w:b/>
                <w:bCs/>
                <w:color w:val="auto"/>
              </w:rPr>
              <w:t>合计</w:t>
            </w:r>
          </w:p>
        </w:tc>
        <w:tc>
          <w:tcPr>
            <w:tcW w:w="1029" w:type="pct"/>
            <w:vMerge w:val="continue"/>
            <w:vAlign w:val="center"/>
          </w:tcPr>
          <w:p w14:paraId="0CAD40B2">
            <w:pPr>
              <w:pStyle w:val="17"/>
              <w:bidi w:val="0"/>
              <w:rPr>
                <w:rFonts w:ascii="Times New Roman" w:hAnsi="Times New Roman"/>
                <w:color w:val="auto"/>
              </w:rPr>
            </w:pPr>
          </w:p>
        </w:tc>
      </w:tr>
      <w:tr w14:paraId="49F9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6D09D532">
            <w:pPr>
              <w:pStyle w:val="17"/>
              <w:bidi w:val="0"/>
              <w:rPr>
                <w:rFonts w:ascii="Times New Roman" w:hAnsi="Times New Roman"/>
                <w:color w:val="auto"/>
              </w:rPr>
            </w:pPr>
            <w:r>
              <w:rPr>
                <w:rFonts w:ascii="Times New Roman" w:hAnsi="Times New Roman"/>
                <w:color w:val="auto"/>
              </w:rPr>
              <w:t>一</w:t>
            </w:r>
          </w:p>
        </w:tc>
        <w:tc>
          <w:tcPr>
            <w:tcW w:w="2673" w:type="pct"/>
            <w:vAlign w:val="center"/>
          </w:tcPr>
          <w:p w14:paraId="2D44D3FB">
            <w:pPr>
              <w:pStyle w:val="17"/>
              <w:bidi w:val="0"/>
              <w:rPr>
                <w:rFonts w:ascii="Times New Roman" w:hAnsi="Times New Roman"/>
                <w:color w:val="auto"/>
              </w:rPr>
            </w:pPr>
            <w:r>
              <w:rPr>
                <w:rFonts w:ascii="Times New Roman" w:hAnsi="Times New Roman"/>
                <w:color w:val="auto"/>
              </w:rPr>
              <w:t>采矿生产人员</w:t>
            </w:r>
          </w:p>
        </w:tc>
        <w:tc>
          <w:tcPr>
            <w:tcW w:w="432" w:type="pct"/>
            <w:vAlign w:val="center"/>
          </w:tcPr>
          <w:p w14:paraId="4484FE8E">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3D26542B">
            <w:pPr>
              <w:pStyle w:val="17"/>
              <w:bidi w:val="0"/>
              <w:rPr>
                <w:rFonts w:ascii="Times New Roman" w:hAnsi="Times New Roman"/>
                <w:color w:val="auto"/>
              </w:rPr>
            </w:pPr>
            <w:r>
              <w:rPr>
                <w:rFonts w:ascii="Times New Roman" w:hAnsi="Times New Roman"/>
                <w:color w:val="auto"/>
              </w:rPr>
              <w:t>　</w:t>
            </w:r>
          </w:p>
        </w:tc>
        <w:tc>
          <w:tcPr>
            <w:tcW w:w="1029" w:type="pct"/>
            <w:noWrap/>
            <w:vAlign w:val="center"/>
          </w:tcPr>
          <w:p w14:paraId="0277D383">
            <w:pPr>
              <w:pStyle w:val="17"/>
              <w:bidi w:val="0"/>
              <w:rPr>
                <w:rFonts w:ascii="Times New Roman" w:hAnsi="Times New Roman"/>
                <w:color w:val="auto"/>
              </w:rPr>
            </w:pPr>
            <w:r>
              <w:rPr>
                <w:rFonts w:ascii="Times New Roman" w:hAnsi="Times New Roman"/>
                <w:color w:val="auto"/>
              </w:rPr>
              <w:t>　</w:t>
            </w:r>
          </w:p>
        </w:tc>
      </w:tr>
      <w:tr w14:paraId="6FFD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13F4E4A0">
            <w:pPr>
              <w:pStyle w:val="17"/>
              <w:bidi w:val="0"/>
              <w:rPr>
                <w:rFonts w:ascii="Times New Roman" w:hAnsi="Times New Roman"/>
                <w:color w:val="auto"/>
              </w:rPr>
            </w:pPr>
            <w:r>
              <w:rPr>
                <w:rFonts w:ascii="Times New Roman" w:hAnsi="Times New Roman"/>
                <w:color w:val="auto"/>
              </w:rPr>
              <w:t>1</w:t>
            </w:r>
          </w:p>
        </w:tc>
        <w:tc>
          <w:tcPr>
            <w:tcW w:w="2673" w:type="pct"/>
            <w:vAlign w:val="center"/>
          </w:tcPr>
          <w:p w14:paraId="34F37ADC">
            <w:pPr>
              <w:pStyle w:val="17"/>
              <w:bidi w:val="0"/>
              <w:rPr>
                <w:rFonts w:ascii="Times New Roman" w:hAnsi="Times New Roman"/>
                <w:color w:val="auto"/>
              </w:rPr>
            </w:pPr>
            <w:r>
              <w:rPr>
                <w:rFonts w:ascii="Times New Roman" w:hAnsi="Times New Roman"/>
                <w:color w:val="auto"/>
              </w:rPr>
              <w:t>钻机工</w:t>
            </w:r>
          </w:p>
        </w:tc>
        <w:tc>
          <w:tcPr>
            <w:tcW w:w="432" w:type="pct"/>
            <w:vAlign w:val="center"/>
          </w:tcPr>
          <w:p w14:paraId="7BBD0E41">
            <w:pPr>
              <w:pStyle w:val="17"/>
              <w:bidi w:val="0"/>
              <w:rPr>
                <w:rFonts w:ascii="Times New Roman" w:hAnsi="Times New Roman"/>
                <w:color w:val="auto"/>
              </w:rPr>
            </w:pPr>
            <w:r>
              <w:rPr>
                <w:rFonts w:ascii="Times New Roman" w:hAnsi="Times New Roman"/>
                <w:color w:val="auto"/>
              </w:rPr>
              <w:t>2</w:t>
            </w:r>
          </w:p>
        </w:tc>
        <w:tc>
          <w:tcPr>
            <w:tcW w:w="432" w:type="pct"/>
            <w:vAlign w:val="center"/>
          </w:tcPr>
          <w:p w14:paraId="1ED8C6A1">
            <w:pPr>
              <w:pStyle w:val="17"/>
              <w:bidi w:val="0"/>
              <w:rPr>
                <w:rFonts w:ascii="Times New Roman" w:hAnsi="Times New Roman"/>
                <w:color w:val="auto"/>
              </w:rPr>
            </w:pPr>
            <w:r>
              <w:rPr>
                <w:rFonts w:ascii="Times New Roman" w:hAnsi="Times New Roman"/>
                <w:color w:val="auto"/>
              </w:rPr>
              <w:t>2</w:t>
            </w:r>
          </w:p>
        </w:tc>
        <w:tc>
          <w:tcPr>
            <w:tcW w:w="1029" w:type="pct"/>
            <w:noWrap/>
            <w:vAlign w:val="center"/>
          </w:tcPr>
          <w:p w14:paraId="7D48E16E">
            <w:pPr>
              <w:pStyle w:val="17"/>
              <w:bidi w:val="0"/>
              <w:rPr>
                <w:rFonts w:ascii="Times New Roman" w:hAnsi="Times New Roman"/>
                <w:color w:val="auto"/>
              </w:rPr>
            </w:pPr>
            <w:r>
              <w:rPr>
                <w:rFonts w:ascii="Times New Roman" w:hAnsi="Times New Roman"/>
                <w:color w:val="auto"/>
              </w:rPr>
              <w:t>　</w:t>
            </w:r>
          </w:p>
        </w:tc>
      </w:tr>
      <w:tr w14:paraId="38F5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60F6ED09">
            <w:pPr>
              <w:pStyle w:val="17"/>
              <w:bidi w:val="0"/>
              <w:rPr>
                <w:rFonts w:ascii="Times New Roman" w:hAnsi="Times New Roman"/>
                <w:color w:val="auto"/>
              </w:rPr>
            </w:pPr>
            <w:r>
              <w:rPr>
                <w:rFonts w:ascii="Times New Roman" w:hAnsi="Times New Roman"/>
                <w:color w:val="auto"/>
              </w:rPr>
              <w:t>2</w:t>
            </w:r>
          </w:p>
        </w:tc>
        <w:tc>
          <w:tcPr>
            <w:tcW w:w="2673" w:type="pct"/>
            <w:vAlign w:val="center"/>
          </w:tcPr>
          <w:p w14:paraId="7BF05266">
            <w:pPr>
              <w:pStyle w:val="17"/>
              <w:bidi w:val="0"/>
              <w:rPr>
                <w:rFonts w:ascii="Times New Roman" w:hAnsi="Times New Roman"/>
                <w:color w:val="auto"/>
              </w:rPr>
            </w:pPr>
            <w:r>
              <w:rPr>
                <w:rFonts w:ascii="Times New Roman" w:hAnsi="Times New Roman"/>
                <w:color w:val="auto"/>
              </w:rPr>
              <w:t>挖掘机司机</w:t>
            </w:r>
          </w:p>
        </w:tc>
        <w:tc>
          <w:tcPr>
            <w:tcW w:w="432" w:type="pct"/>
            <w:vAlign w:val="center"/>
          </w:tcPr>
          <w:p w14:paraId="4D9614FB">
            <w:pPr>
              <w:pStyle w:val="17"/>
              <w:bidi w:val="0"/>
              <w:rPr>
                <w:rFonts w:ascii="Times New Roman" w:hAnsi="Times New Roman"/>
                <w:color w:val="auto"/>
              </w:rPr>
            </w:pPr>
            <w:r>
              <w:rPr>
                <w:rFonts w:ascii="Times New Roman" w:hAnsi="Times New Roman"/>
                <w:color w:val="auto"/>
              </w:rPr>
              <w:t>3</w:t>
            </w:r>
          </w:p>
        </w:tc>
        <w:tc>
          <w:tcPr>
            <w:tcW w:w="432" w:type="pct"/>
            <w:vAlign w:val="center"/>
          </w:tcPr>
          <w:p w14:paraId="11AFB9D4">
            <w:pPr>
              <w:pStyle w:val="17"/>
              <w:bidi w:val="0"/>
              <w:rPr>
                <w:rFonts w:ascii="Times New Roman" w:hAnsi="Times New Roman"/>
                <w:color w:val="auto"/>
              </w:rPr>
            </w:pPr>
            <w:r>
              <w:rPr>
                <w:rFonts w:ascii="Times New Roman" w:hAnsi="Times New Roman"/>
                <w:color w:val="auto"/>
              </w:rPr>
              <w:t>3</w:t>
            </w:r>
          </w:p>
        </w:tc>
        <w:tc>
          <w:tcPr>
            <w:tcW w:w="1029" w:type="pct"/>
            <w:noWrap/>
            <w:vAlign w:val="center"/>
          </w:tcPr>
          <w:p w14:paraId="1D78A8EC">
            <w:pPr>
              <w:pStyle w:val="17"/>
              <w:bidi w:val="0"/>
              <w:rPr>
                <w:rFonts w:ascii="Times New Roman" w:hAnsi="Times New Roman"/>
                <w:color w:val="auto"/>
              </w:rPr>
            </w:pPr>
            <w:r>
              <w:rPr>
                <w:rFonts w:ascii="Times New Roman" w:hAnsi="Times New Roman"/>
                <w:color w:val="auto"/>
              </w:rPr>
              <w:t>　</w:t>
            </w:r>
          </w:p>
        </w:tc>
      </w:tr>
      <w:tr w14:paraId="0CA4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31E58F79">
            <w:pPr>
              <w:pStyle w:val="17"/>
              <w:bidi w:val="0"/>
              <w:rPr>
                <w:rFonts w:ascii="Times New Roman" w:hAnsi="Times New Roman"/>
                <w:color w:val="auto"/>
              </w:rPr>
            </w:pPr>
            <w:r>
              <w:rPr>
                <w:rFonts w:ascii="Times New Roman" w:hAnsi="Times New Roman"/>
                <w:color w:val="auto"/>
              </w:rPr>
              <w:t>3</w:t>
            </w:r>
          </w:p>
        </w:tc>
        <w:tc>
          <w:tcPr>
            <w:tcW w:w="2673" w:type="pct"/>
            <w:vAlign w:val="center"/>
          </w:tcPr>
          <w:p w14:paraId="4EBDF2B1">
            <w:pPr>
              <w:pStyle w:val="17"/>
              <w:bidi w:val="0"/>
              <w:rPr>
                <w:rFonts w:ascii="Times New Roman" w:hAnsi="Times New Roman"/>
                <w:color w:val="auto"/>
              </w:rPr>
            </w:pPr>
            <w:r>
              <w:rPr>
                <w:rFonts w:ascii="Times New Roman" w:hAnsi="Times New Roman"/>
                <w:color w:val="auto"/>
              </w:rPr>
              <w:t>运输汽车司机</w:t>
            </w:r>
          </w:p>
        </w:tc>
        <w:tc>
          <w:tcPr>
            <w:tcW w:w="432" w:type="pct"/>
            <w:vAlign w:val="center"/>
          </w:tcPr>
          <w:p w14:paraId="6814530E">
            <w:pPr>
              <w:pStyle w:val="17"/>
              <w:bidi w:val="0"/>
              <w:rPr>
                <w:rFonts w:ascii="Times New Roman" w:hAnsi="Times New Roman"/>
                <w:color w:val="auto"/>
              </w:rPr>
            </w:pPr>
            <w:r>
              <w:rPr>
                <w:rFonts w:ascii="Times New Roman" w:hAnsi="Times New Roman"/>
                <w:color w:val="auto"/>
              </w:rPr>
              <w:t>9</w:t>
            </w:r>
          </w:p>
        </w:tc>
        <w:tc>
          <w:tcPr>
            <w:tcW w:w="432" w:type="pct"/>
            <w:vAlign w:val="center"/>
          </w:tcPr>
          <w:p w14:paraId="6EC3295C">
            <w:pPr>
              <w:pStyle w:val="17"/>
              <w:bidi w:val="0"/>
              <w:rPr>
                <w:rFonts w:ascii="Times New Roman" w:hAnsi="Times New Roman"/>
                <w:color w:val="auto"/>
              </w:rPr>
            </w:pPr>
            <w:r>
              <w:rPr>
                <w:rFonts w:ascii="Times New Roman" w:hAnsi="Times New Roman"/>
                <w:color w:val="auto"/>
              </w:rPr>
              <w:t>9</w:t>
            </w:r>
          </w:p>
        </w:tc>
        <w:tc>
          <w:tcPr>
            <w:tcW w:w="1029" w:type="pct"/>
            <w:noWrap/>
            <w:vAlign w:val="center"/>
          </w:tcPr>
          <w:p w14:paraId="50169021">
            <w:pPr>
              <w:pStyle w:val="17"/>
              <w:bidi w:val="0"/>
              <w:rPr>
                <w:rFonts w:ascii="Times New Roman" w:hAnsi="Times New Roman"/>
                <w:color w:val="auto"/>
              </w:rPr>
            </w:pPr>
          </w:p>
        </w:tc>
      </w:tr>
      <w:tr w14:paraId="05C3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0DFD6F01">
            <w:pPr>
              <w:pStyle w:val="17"/>
              <w:bidi w:val="0"/>
              <w:rPr>
                <w:rFonts w:ascii="Times New Roman" w:hAnsi="Times New Roman"/>
                <w:color w:val="auto"/>
              </w:rPr>
            </w:pPr>
            <w:r>
              <w:rPr>
                <w:rFonts w:ascii="Times New Roman" w:hAnsi="Times New Roman"/>
                <w:color w:val="auto"/>
              </w:rPr>
              <w:t>4</w:t>
            </w:r>
          </w:p>
        </w:tc>
        <w:tc>
          <w:tcPr>
            <w:tcW w:w="2673" w:type="pct"/>
            <w:vAlign w:val="center"/>
          </w:tcPr>
          <w:p w14:paraId="4E982233">
            <w:pPr>
              <w:pStyle w:val="17"/>
              <w:bidi w:val="0"/>
              <w:rPr>
                <w:rFonts w:ascii="Times New Roman" w:hAnsi="Times New Roman"/>
                <w:color w:val="auto"/>
              </w:rPr>
            </w:pPr>
            <w:r>
              <w:rPr>
                <w:rFonts w:ascii="Times New Roman" w:hAnsi="Times New Roman"/>
                <w:color w:val="auto"/>
              </w:rPr>
              <w:t>爆破人员</w:t>
            </w:r>
          </w:p>
        </w:tc>
        <w:tc>
          <w:tcPr>
            <w:tcW w:w="432" w:type="pct"/>
            <w:vAlign w:val="center"/>
          </w:tcPr>
          <w:p w14:paraId="3D64D824">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60C4C035">
            <w:pPr>
              <w:pStyle w:val="17"/>
              <w:bidi w:val="0"/>
              <w:rPr>
                <w:rFonts w:ascii="Times New Roman" w:hAnsi="Times New Roman"/>
                <w:color w:val="auto"/>
              </w:rPr>
            </w:pPr>
            <w:r>
              <w:rPr>
                <w:rFonts w:ascii="Times New Roman" w:hAnsi="Times New Roman"/>
                <w:color w:val="auto"/>
              </w:rPr>
              <w:t>　</w:t>
            </w:r>
          </w:p>
        </w:tc>
        <w:tc>
          <w:tcPr>
            <w:tcW w:w="1029" w:type="pct"/>
            <w:noWrap/>
            <w:vAlign w:val="center"/>
          </w:tcPr>
          <w:p w14:paraId="770E9701">
            <w:pPr>
              <w:pStyle w:val="17"/>
              <w:bidi w:val="0"/>
              <w:rPr>
                <w:rFonts w:ascii="Times New Roman" w:hAnsi="Times New Roman"/>
                <w:color w:val="auto"/>
              </w:rPr>
            </w:pPr>
            <w:r>
              <w:rPr>
                <w:rFonts w:ascii="Times New Roman" w:hAnsi="Times New Roman"/>
                <w:color w:val="auto"/>
              </w:rPr>
              <w:t>外委爆破公司</w:t>
            </w:r>
          </w:p>
        </w:tc>
      </w:tr>
      <w:tr w14:paraId="6630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49943F68">
            <w:pPr>
              <w:pStyle w:val="17"/>
              <w:bidi w:val="0"/>
              <w:rPr>
                <w:rFonts w:ascii="Times New Roman" w:hAnsi="Times New Roman"/>
                <w:color w:val="auto"/>
              </w:rPr>
            </w:pPr>
            <w:r>
              <w:rPr>
                <w:rFonts w:ascii="Times New Roman" w:hAnsi="Times New Roman"/>
                <w:color w:val="auto"/>
              </w:rPr>
              <w:t>5</w:t>
            </w:r>
          </w:p>
        </w:tc>
        <w:tc>
          <w:tcPr>
            <w:tcW w:w="2673" w:type="pct"/>
            <w:vAlign w:val="center"/>
          </w:tcPr>
          <w:p w14:paraId="5751632E">
            <w:pPr>
              <w:pStyle w:val="17"/>
              <w:bidi w:val="0"/>
              <w:rPr>
                <w:rFonts w:ascii="Times New Roman" w:hAnsi="Times New Roman"/>
                <w:color w:val="auto"/>
              </w:rPr>
            </w:pPr>
            <w:r>
              <w:rPr>
                <w:rFonts w:ascii="Times New Roman" w:hAnsi="Times New Roman"/>
                <w:color w:val="auto"/>
              </w:rPr>
              <w:t>铲车司机</w:t>
            </w:r>
          </w:p>
        </w:tc>
        <w:tc>
          <w:tcPr>
            <w:tcW w:w="432" w:type="pct"/>
            <w:vAlign w:val="center"/>
          </w:tcPr>
          <w:p w14:paraId="6856B2DA">
            <w:pPr>
              <w:pStyle w:val="17"/>
              <w:bidi w:val="0"/>
              <w:rPr>
                <w:rFonts w:ascii="Times New Roman" w:hAnsi="Times New Roman"/>
                <w:color w:val="auto"/>
              </w:rPr>
            </w:pPr>
            <w:r>
              <w:rPr>
                <w:rFonts w:ascii="Times New Roman" w:hAnsi="Times New Roman"/>
                <w:color w:val="auto"/>
              </w:rPr>
              <w:t>2</w:t>
            </w:r>
          </w:p>
        </w:tc>
        <w:tc>
          <w:tcPr>
            <w:tcW w:w="432" w:type="pct"/>
            <w:vAlign w:val="center"/>
          </w:tcPr>
          <w:p w14:paraId="6118388C">
            <w:pPr>
              <w:pStyle w:val="17"/>
              <w:bidi w:val="0"/>
              <w:rPr>
                <w:rFonts w:ascii="Times New Roman" w:hAnsi="Times New Roman"/>
                <w:color w:val="auto"/>
              </w:rPr>
            </w:pPr>
            <w:r>
              <w:rPr>
                <w:rFonts w:ascii="Times New Roman" w:hAnsi="Times New Roman"/>
                <w:color w:val="auto"/>
              </w:rPr>
              <w:t>2</w:t>
            </w:r>
          </w:p>
        </w:tc>
        <w:tc>
          <w:tcPr>
            <w:tcW w:w="1029" w:type="pct"/>
            <w:vAlign w:val="center"/>
          </w:tcPr>
          <w:p w14:paraId="793E4D84">
            <w:pPr>
              <w:pStyle w:val="17"/>
              <w:bidi w:val="0"/>
              <w:rPr>
                <w:rFonts w:ascii="Times New Roman" w:hAnsi="Times New Roman"/>
                <w:color w:val="auto"/>
              </w:rPr>
            </w:pPr>
            <w:r>
              <w:rPr>
                <w:rFonts w:ascii="Times New Roman" w:hAnsi="Times New Roman"/>
                <w:color w:val="auto"/>
              </w:rPr>
              <w:t>　</w:t>
            </w:r>
          </w:p>
        </w:tc>
      </w:tr>
      <w:tr w14:paraId="73BF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73ABF886">
            <w:pPr>
              <w:pStyle w:val="17"/>
              <w:bidi w:val="0"/>
              <w:rPr>
                <w:rFonts w:ascii="Times New Roman" w:hAnsi="Times New Roman"/>
                <w:color w:val="auto"/>
              </w:rPr>
            </w:pPr>
            <w:r>
              <w:rPr>
                <w:rFonts w:ascii="Times New Roman" w:hAnsi="Times New Roman"/>
                <w:color w:val="auto"/>
              </w:rPr>
              <w:t>6</w:t>
            </w:r>
          </w:p>
        </w:tc>
        <w:tc>
          <w:tcPr>
            <w:tcW w:w="2673" w:type="pct"/>
            <w:vAlign w:val="center"/>
          </w:tcPr>
          <w:p w14:paraId="276A2BE9">
            <w:pPr>
              <w:pStyle w:val="17"/>
              <w:bidi w:val="0"/>
              <w:rPr>
                <w:rFonts w:ascii="Times New Roman" w:hAnsi="Times New Roman"/>
                <w:color w:val="auto"/>
              </w:rPr>
            </w:pPr>
            <w:r>
              <w:rPr>
                <w:rFonts w:ascii="Times New Roman" w:hAnsi="Times New Roman"/>
                <w:color w:val="auto"/>
              </w:rPr>
              <w:t>洒水车司机</w:t>
            </w:r>
          </w:p>
        </w:tc>
        <w:tc>
          <w:tcPr>
            <w:tcW w:w="432" w:type="pct"/>
            <w:vAlign w:val="center"/>
          </w:tcPr>
          <w:p w14:paraId="2F234D9B">
            <w:pPr>
              <w:pStyle w:val="17"/>
              <w:bidi w:val="0"/>
              <w:rPr>
                <w:rFonts w:ascii="Times New Roman" w:hAnsi="Times New Roman"/>
                <w:color w:val="auto"/>
              </w:rPr>
            </w:pPr>
            <w:r>
              <w:rPr>
                <w:rFonts w:ascii="Times New Roman" w:hAnsi="Times New Roman"/>
                <w:color w:val="auto"/>
              </w:rPr>
              <w:t>1</w:t>
            </w:r>
          </w:p>
        </w:tc>
        <w:tc>
          <w:tcPr>
            <w:tcW w:w="432" w:type="pct"/>
            <w:vAlign w:val="center"/>
          </w:tcPr>
          <w:p w14:paraId="7865037B">
            <w:pPr>
              <w:pStyle w:val="17"/>
              <w:bidi w:val="0"/>
              <w:rPr>
                <w:rFonts w:ascii="Times New Roman" w:hAnsi="Times New Roman"/>
                <w:color w:val="auto"/>
              </w:rPr>
            </w:pPr>
            <w:r>
              <w:rPr>
                <w:rFonts w:ascii="Times New Roman" w:hAnsi="Times New Roman"/>
                <w:color w:val="auto"/>
              </w:rPr>
              <w:t>1</w:t>
            </w:r>
          </w:p>
        </w:tc>
        <w:tc>
          <w:tcPr>
            <w:tcW w:w="1029" w:type="pct"/>
            <w:vAlign w:val="center"/>
          </w:tcPr>
          <w:p w14:paraId="56436D29">
            <w:pPr>
              <w:pStyle w:val="17"/>
              <w:bidi w:val="0"/>
              <w:rPr>
                <w:rFonts w:ascii="Times New Roman" w:hAnsi="Times New Roman"/>
                <w:color w:val="auto"/>
              </w:rPr>
            </w:pPr>
            <w:r>
              <w:rPr>
                <w:rFonts w:ascii="Times New Roman" w:hAnsi="Times New Roman"/>
                <w:color w:val="auto"/>
              </w:rPr>
              <w:t>　</w:t>
            </w:r>
          </w:p>
        </w:tc>
      </w:tr>
      <w:tr w14:paraId="25B7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174CA30F">
            <w:pPr>
              <w:pStyle w:val="17"/>
              <w:bidi w:val="0"/>
              <w:rPr>
                <w:rFonts w:ascii="Times New Roman" w:hAnsi="Times New Roman"/>
                <w:color w:val="auto"/>
              </w:rPr>
            </w:pPr>
            <w:r>
              <w:rPr>
                <w:rFonts w:ascii="Times New Roman" w:hAnsi="Times New Roman"/>
                <w:color w:val="auto"/>
              </w:rPr>
              <w:t>8</w:t>
            </w:r>
          </w:p>
        </w:tc>
        <w:tc>
          <w:tcPr>
            <w:tcW w:w="2673" w:type="pct"/>
            <w:vAlign w:val="center"/>
          </w:tcPr>
          <w:p w14:paraId="72183802">
            <w:pPr>
              <w:pStyle w:val="17"/>
              <w:bidi w:val="0"/>
              <w:rPr>
                <w:rFonts w:ascii="Times New Roman" w:hAnsi="Times New Roman"/>
                <w:color w:val="auto"/>
              </w:rPr>
            </w:pPr>
            <w:r>
              <w:rPr>
                <w:rFonts w:ascii="Times New Roman" w:hAnsi="Times New Roman"/>
                <w:color w:val="auto"/>
              </w:rPr>
              <w:t>辅助生产人员</w:t>
            </w:r>
          </w:p>
        </w:tc>
        <w:tc>
          <w:tcPr>
            <w:tcW w:w="432" w:type="pct"/>
            <w:vAlign w:val="center"/>
          </w:tcPr>
          <w:p w14:paraId="2629A275">
            <w:pPr>
              <w:pStyle w:val="17"/>
              <w:bidi w:val="0"/>
              <w:rPr>
                <w:rFonts w:ascii="Times New Roman" w:hAnsi="Times New Roman"/>
                <w:color w:val="auto"/>
              </w:rPr>
            </w:pPr>
            <w:r>
              <w:rPr>
                <w:rFonts w:ascii="Times New Roman" w:hAnsi="Times New Roman"/>
                <w:color w:val="auto"/>
              </w:rPr>
              <w:t>6</w:t>
            </w:r>
          </w:p>
        </w:tc>
        <w:tc>
          <w:tcPr>
            <w:tcW w:w="432" w:type="pct"/>
            <w:vAlign w:val="center"/>
          </w:tcPr>
          <w:p w14:paraId="264A348D">
            <w:pPr>
              <w:pStyle w:val="17"/>
              <w:bidi w:val="0"/>
              <w:rPr>
                <w:rFonts w:ascii="Times New Roman" w:hAnsi="Times New Roman"/>
                <w:color w:val="auto"/>
              </w:rPr>
            </w:pPr>
            <w:r>
              <w:rPr>
                <w:rFonts w:ascii="Times New Roman" w:hAnsi="Times New Roman"/>
                <w:color w:val="auto"/>
              </w:rPr>
              <w:t>6</w:t>
            </w:r>
          </w:p>
        </w:tc>
        <w:tc>
          <w:tcPr>
            <w:tcW w:w="1029" w:type="pct"/>
            <w:vAlign w:val="center"/>
          </w:tcPr>
          <w:p w14:paraId="07CEDB18">
            <w:pPr>
              <w:pStyle w:val="17"/>
              <w:bidi w:val="0"/>
              <w:rPr>
                <w:rFonts w:ascii="Times New Roman" w:hAnsi="Times New Roman"/>
                <w:color w:val="auto"/>
              </w:rPr>
            </w:pPr>
            <w:r>
              <w:rPr>
                <w:rFonts w:ascii="Times New Roman" w:hAnsi="Times New Roman"/>
                <w:color w:val="auto"/>
              </w:rPr>
              <w:t>　</w:t>
            </w:r>
          </w:p>
        </w:tc>
      </w:tr>
      <w:tr w14:paraId="627F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1A4C943C">
            <w:pPr>
              <w:pStyle w:val="17"/>
              <w:bidi w:val="0"/>
              <w:rPr>
                <w:rFonts w:ascii="Times New Roman" w:hAnsi="Times New Roman"/>
                <w:color w:val="auto"/>
              </w:rPr>
            </w:pPr>
            <w:r>
              <w:rPr>
                <w:rFonts w:ascii="Times New Roman" w:hAnsi="Times New Roman"/>
                <w:color w:val="auto"/>
              </w:rPr>
              <w:t>　</w:t>
            </w:r>
          </w:p>
        </w:tc>
        <w:tc>
          <w:tcPr>
            <w:tcW w:w="2673" w:type="pct"/>
            <w:vAlign w:val="center"/>
          </w:tcPr>
          <w:p w14:paraId="06DF7C2B">
            <w:pPr>
              <w:pStyle w:val="17"/>
              <w:bidi w:val="0"/>
              <w:rPr>
                <w:rFonts w:ascii="Times New Roman" w:hAnsi="Times New Roman"/>
                <w:color w:val="auto"/>
              </w:rPr>
            </w:pPr>
            <w:r>
              <w:rPr>
                <w:rFonts w:ascii="Times New Roman" w:hAnsi="Times New Roman"/>
                <w:color w:val="auto"/>
              </w:rPr>
              <w:t>小计</w:t>
            </w:r>
          </w:p>
        </w:tc>
        <w:tc>
          <w:tcPr>
            <w:tcW w:w="432" w:type="pct"/>
            <w:vAlign w:val="center"/>
          </w:tcPr>
          <w:p w14:paraId="46AB4434">
            <w:pPr>
              <w:pStyle w:val="17"/>
              <w:bidi w:val="0"/>
              <w:rPr>
                <w:rFonts w:ascii="Times New Roman" w:hAnsi="Times New Roman"/>
                <w:color w:val="auto"/>
              </w:rPr>
            </w:pPr>
            <w:r>
              <w:rPr>
                <w:rFonts w:ascii="Times New Roman" w:hAnsi="Times New Roman"/>
                <w:color w:val="auto"/>
              </w:rPr>
              <w:t>23</w:t>
            </w:r>
          </w:p>
        </w:tc>
        <w:tc>
          <w:tcPr>
            <w:tcW w:w="432" w:type="pct"/>
            <w:vAlign w:val="center"/>
          </w:tcPr>
          <w:p w14:paraId="33645CC7">
            <w:pPr>
              <w:pStyle w:val="17"/>
              <w:bidi w:val="0"/>
              <w:rPr>
                <w:rFonts w:ascii="Times New Roman" w:hAnsi="Times New Roman"/>
                <w:color w:val="auto"/>
              </w:rPr>
            </w:pPr>
            <w:r>
              <w:rPr>
                <w:rFonts w:ascii="Times New Roman" w:hAnsi="Times New Roman"/>
                <w:color w:val="auto"/>
              </w:rPr>
              <w:t>23</w:t>
            </w:r>
          </w:p>
        </w:tc>
        <w:tc>
          <w:tcPr>
            <w:tcW w:w="1029" w:type="pct"/>
            <w:vAlign w:val="center"/>
          </w:tcPr>
          <w:p w14:paraId="2C4808A0">
            <w:pPr>
              <w:pStyle w:val="17"/>
              <w:bidi w:val="0"/>
              <w:rPr>
                <w:rFonts w:ascii="Times New Roman" w:hAnsi="Times New Roman"/>
                <w:color w:val="auto"/>
              </w:rPr>
            </w:pPr>
            <w:r>
              <w:rPr>
                <w:rFonts w:ascii="Times New Roman" w:hAnsi="Times New Roman"/>
                <w:color w:val="auto"/>
              </w:rPr>
              <w:t>　</w:t>
            </w:r>
          </w:p>
        </w:tc>
      </w:tr>
      <w:tr w14:paraId="0C9F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54AEFA33">
            <w:pPr>
              <w:pStyle w:val="17"/>
              <w:bidi w:val="0"/>
              <w:rPr>
                <w:rFonts w:ascii="Times New Roman" w:hAnsi="Times New Roman"/>
                <w:color w:val="auto"/>
              </w:rPr>
            </w:pPr>
            <w:r>
              <w:rPr>
                <w:rFonts w:ascii="Times New Roman" w:hAnsi="Times New Roman"/>
                <w:color w:val="auto"/>
              </w:rPr>
              <w:t>二</w:t>
            </w:r>
          </w:p>
        </w:tc>
        <w:tc>
          <w:tcPr>
            <w:tcW w:w="2673" w:type="pct"/>
            <w:vAlign w:val="center"/>
          </w:tcPr>
          <w:p w14:paraId="57C16A4A">
            <w:pPr>
              <w:pStyle w:val="17"/>
              <w:bidi w:val="0"/>
              <w:rPr>
                <w:rFonts w:ascii="Times New Roman" w:hAnsi="Times New Roman"/>
                <w:color w:val="auto"/>
              </w:rPr>
            </w:pPr>
            <w:r>
              <w:rPr>
                <w:rFonts w:ascii="Times New Roman" w:hAnsi="Times New Roman"/>
                <w:color w:val="auto"/>
              </w:rPr>
              <w:t>管理人员</w:t>
            </w:r>
          </w:p>
        </w:tc>
        <w:tc>
          <w:tcPr>
            <w:tcW w:w="432" w:type="pct"/>
            <w:vAlign w:val="center"/>
          </w:tcPr>
          <w:p w14:paraId="32178B13">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4C3F2AD9">
            <w:pPr>
              <w:pStyle w:val="17"/>
              <w:bidi w:val="0"/>
              <w:rPr>
                <w:rFonts w:ascii="Times New Roman" w:hAnsi="Times New Roman"/>
                <w:color w:val="auto"/>
              </w:rPr>
            </w:pPr>
            <w:r>
              <w:rPr>
                <w:rFonts w:ascii="Times New Roman" w:hAnsi="Times New Roman"/>
                <w:color w:val="auto"/>
              </w:rPr>
              <w:t>　</w:t>
            </w:r>
          </w:p>
        </w:tc>
        <w:tc>
          <w:tcPr>
            <w:tcW w:w="1029" w:type="pct"/>
            <w:vAlign w:val="center"/>
          </w:tcPr>
          <w:p w14:paraId="2E5BA398">
            <w:pPr>
              <w:pStyle w:val="17"/>
              <w:bidi w:val="0"/>
              <w:rPr>
                <w:rFonts w:ascii="Times New Roman" w:hAnsi="Times New Roman"/>
                <w:color w:val="auto"/>
              </w:rPr>
            </w:pPr>
            <w:r>
              <w:rPr>
                <w:rFonts w:ascii="Times New Roman" w:hAnsi="Times New Roman"/>
                <w:color w:val="auto"/>
              </w:rPr>
              <w:t>　</w:t>
            </w:r>
          </w:p>
        </w:tc>
      </w:tr>
      <w:tr w14:paraId="3F6C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6A72D1A8">
            <w:pPr>
              <w:pStyle w:val="17"/>
              <w:bidi w:val="0"/>
              <w:rPr>
                <w:rFonts w:ascii="Times New Roman" w:hAnsi="Times New Roman"/>
                <w:color w:val="auto"/>
              </w:rPr>
            </w:pPr>
            <w:r>
              <w:rPr>
                <w:rFonts w:ascii="Times New Roman" w:hAnsi="Times New Roman"/>
                <w:color w:val="auto"/>
              </w:rPr>
              <w:t>1</w:t>
            </w:r>
          </w:p>
        </w:tc>
        <w:tc>
          <w:tcPr>
            <w:tcW w:w="2673" w:type="pct"/>
            <w:vAlign w:val="center"/>
          </w:tcPr>
          <w:p w14:paraId="51E1F6DE">
            <w:pPr>
              <w:pStyle w:val="17"/>
              <w:bidi w:val="0"/>
              <w:rPr>
                <w:rFonts w:ascii="Times New Roman" w:hAnsi="Times New Roman"/>
                <w:color w:val="auto"/>
              </w:rPr>
            </w:pPr>
            <w:r>
              <w:rPr>
                <w:rFonts w:ascii="Times New Roman" w:hAnsi="Times New Roman"/>
                <w:color w:val="auto"/>
              </w:rPr>
              <w:t>矿长</w:t>
            </w:r>
          </w:p>
        </w:tc>
        <w:tc>
          <w:tcPr>
            <w:tcW w:w="432" w:type="pct"/>
            <w:vAlign w:val="center"/>
          </w:tcPr>
          <w:p w14:paraId="64C87E82">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7AAA3596">
            <w:pPr>
              <w:pStyle w:val="17"/>
              <w:bidi w:val="0"/>
              <w:rPr>
                <w:rFonts w:ascii="Times New Roman" w:hAnsi="Times New Roman"/>
                <w:color w:val="auto"/>
              </w:rPr>
            </w:pPr>
            <w:r>
              <w:rPr>
                <w:rFonts w:ascii="Times New Roman" w:hAnsi="Times New Roman"/>
                <w:color w:val="auto"/>
              </w:rPr>
              <w:t>1</w:t>
            </w:r>
          </w:p>
        </w:tc>
        <w:tc>
          <w:tcPr>
            <w:tcW w:w="1029" w:type="pct"/>
            <w:vAlign w:val="center"/>
          </w:tcPr>
          <w:p w14:paraId="6ED6BF10">
            <w:pPr>
              <w:pStyle w:val="17"/>
              <w:bidi w:val="0"/>
              <w:rPr>
                <w:rFonts w:ascii="Times New Roman" w:hAnsi="Times New Roman"/>
                <w:color w:val="auto"/>
              </w:rPr>
            </w:pPr>
            <w:r>
              <w:rPr>
                <w:rFonts w:ascii="Times New Roman" w:hAnsi="Times New Roman"/>
                <w:color w:val="auto"/>
              </w:rPr>
              <w:t>　</w:t>
            </w:r>
          </w:p>
        </w:tc>
      </w:tr>
      <w:tr w14:paraId="0AA1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4B2EF2C9">
            <w:pPr>
              <w:pStyle w:val="17"/>
              <w:bidi w:val="0"/>
              <w:rPr>
                <w:rFonts w:ascii="Times New Roman" w:hAnsi="Times New Roman"/>
                <w:color w:val="auto"/>
              </w:rPr>
            </w:pPr>
            <w:r>
              <w:rPr>
                <w:rFonts w:ascii="Times New Roman" w:hAnsi="Times New Roman"/>
                <w:color w:val="auto"/>
              </w:rPr>
              <w:t>2</w:t>
            </w:r>
          </w:p>
        </w:tc>
        <w:tc>
          <w:tcPr>
            <w:tcW w:w="2673" w:type="pct"/>
            <w:vAlign w:val="center"/>
          </w:tcPr>
          <w:p w14:paraId="6324EF12">
            <w:pPr>
              <w:pStyle w:val="17"/>
              <w:bidi w:val="0"/>
              <w:rPr>
                <w:rFonts w:ascii="Times New Roman" w:hAnsi="Times New Roman"/>
                <w:color w:val="auto"/>
              </w:rPr>
            </w:pPr>
            <w:r>
              <w:rPr>
                <w:rFonts w:ascii="Times New Roman" w:hAnsi="Times New Roman"/>
                <w:color w:val="auto"/>
              </w:rPr>
              <w:t>生产副矿长</w:t>
            </w:r>
          </w:p>
        </w:tc>
        <w:tc>
          <w:tcPr>
            <w:tcW w:w="432" w:type="pct"/>
            <w:vAlign w:val="center"/>
          </w:tcPr>
          <w:p w14:paraId="1AF46E84">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2E4083CA">
            <w:pPr>
              <w:pStyle w:val="17"/>
              <w:bidi w:val="0"/>
              <w:rPr>
                <w:rFonts w:ascii="Times New Roman" w:hAnsi="Times New Roman"/>
                <w:color w:val="auto"/>
              </w:rPr>
            </w:pPr>
            <w:r>
              <w:rPr>
                <w:rFonts w:ascii="Times New Roman" w:hAnsi="Times New Roman"/>
                <w:color w:val="auto"/>
              </w:rPr>
              <w:t>1</w:t>
            </w:r>
          </w:p>
        </w:tc>
        <w:tc>
          <w:tcPr>
            <w:tcW w:w="1029" w:type="pct"/>
            <w:vAlign w:val="center"/>
          </w:tcPr>
          <w:p w14:paraId="7C0C9AF2">
            <w:pPr>
              <w:pStyle w:val="17"/>
              <w:bidi w:val="0"/>
              <w:rPr>
                <w:rFonts w:ascii="Times New Roman" w:hAnsi="Times New Roman"/>
                <w:color w:val="auto"/>
              </w:rPr>
            </w:pPr>
            <w:r>
              <w:rPr>
                <w:rFonts w:ascii="Times New Roman" w:hAnsi="Times New Roman"/>
                <w:color w:val="auto"/>
              </w:rPr>
              <w:t>　</w:t>
            </w:r>
          </w:p>
        </w:tc>
      </w:tr>
      <w:tr w14:paraId="0739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63C02493">
            <w:pPr>
              <w:pStyle w:val="17"/>
              <w:bidi w:val="0"/>
              <w:rPr>
                <w:rFonts w:ascii="Times New Roman" w:hAnsi="Times New Roman"/>
                <w:color w:val="auto"/>
              </w:rPr>
            </w:pPr>
            <w:r>
              <w:rPr>
                <w:rFonts w:ascii="Times New Roman" w:hAnsi="Times New Roman"/>
                <w:color w:val="auto"/>
              </w:rPr>
              <w:t>3</w:t>
            </w:r>
          </w:p>
        </w:tc>
        <w:tc>
          <w:tcPr>
            <w:tcW w:w="2673" w:type="pct"/>
            <w:vAlign w:val="center"/>
          </w:tcPr>
          <w:p w14:paraId="5D4808A5">
            <w:pPr>
              <w:pStyle w:val="17"/>
              <w:bidi w:val="0"/>
              <w:rPr>
                <w:rFonts w:ascii="Times New Roman" w:hAnsi="Times New Roman"/>
                <w:color w:val="auto"/>
              </w:rPr>
            </w:pPr>
            <w:r>
              <w:rPr>
                <w:rFonts w:ascii="Times New Roman" w:hAnsi="Times New Roman"/>
                <w:color w:val="auto"/>
              </w:rPr>
              <w:t>安全副矿长</w:t>
            </w:r>
          </w:p>
        </w:tc>
        <w:tc>
          <w:tcPr>
            <w:tcW w:w="432" w:type="pct"/>
            <w:vAlign w:val="center"/>
          </w:tcPr>
          <w:p w14:paraId="2F809BB4">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73E2023C">
            <w:pPr>
              <w:pStyle w:val="17"/>
              <w:bidi w:val="0"/>
              <w:rPr>
                <w:rFonts w:ascii="Times New Roman" w:hAnsi="Times New Roman"/>
                <w:color w:val="auto"/>
              </w:rPr>
            </w:pPr>
            <w:r>
              <w:rPr>
                <w:rFonts w:ascii="Times New Roman" w:hAnsi="Times New Roman"/>
                <w:color w:val="auto"/>
              </w:rPr>
              <w:t>1</w:t>
            </w:r>
          </w:p>
        </w:tc>
        <w:tc>
          <w:tcPr>
            <w:tcW w:w="1029" w:type="pct"/>
            <w:vAlign w:val="center"/>
          </w:tcPr>
          <w:p w14:paraId="407C9A54">
            <w:pPr>
              <w:pStyle w:val="17"/>
              <w:bidi w:val="0"/>
              <w:rPr>
                <w:rFonts w:ascii="Times New Roman" w:hAnsi="Times New Roman"/>
                <w:color w:val="auto"/>
              </w:rPr>
            </w:pPr>
            <w:r>
              <w:rPr>
                <w:rFonts w:ascii="Times New Roman" w:hAnsi="Times New Roman"/>
                <w:color w:val="auto"/>
              </w:rPr>
              <w:t>　</w:t>
            </w:r>
          </w:p>
        </w:tc>
      </w:tr>
      <w:tr w14:paraId="7FC8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3EB0180B">
            <w:pPr>
              <w:pStyle w:val="17"/>
              <w:bidi w:val="0"/>
              <w:rPr>
                <w:rFonts w:ascii="Times New Roman" w:hAnsi="Times New Roman"/>
                <w:color w:val="auto"/>
              </w:rPr>
            </w:pPr>
            <w:r>
              <w:rPr>
                <w:rFonts w:ascii="Times New Roman" w:hAnsi="Times New Roman"/>
                <w:color w:val="auto"/>
              </w:rPr>
              <w:t>4</w:t>
            </w:r>
          </w:p>
        </w:tc>
        <w:tc>
          <w:tcPr>
            <w:tcW w:w="2673" w:type="pct"/>
            <w:vAlign w:val="center"/>
          </w:tcPr>
          <w:p w14:paraId="04972D33">
            <w:pPr>
              <w:pStyle w:val="17"/>
              <w:bidi w:val="0"/>
              <w:rPr>
                <w:rFonts w:ascii="Times New Roman" w:hAnsi="Times New Roman"/>
                <w:color w:val="auto"/>
              </w:rPr>
            </w:pPr>
            <w:r>
              <w:rPr>
                <w:rFonts w:ascii="Times New Roman" w:hAnsi="Times New Roman"/>
                <w:color w:val="auto"/>
              </w:rPr>
              <w:t>安全管理人员</w:t>
            </w:r>
          </w:p>
        </w:tc>
        <w:tc>
          <w:tcPr>
            <w:tcW w:w="432" w:type="pct"/>
            <w:vAlign w:val="center"/>
          </w:tcPr>
          <w:p w14:paraId="36ADB0C7">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4063A56C">
            <w:pPr>
              <w:pStyle w:val="17"/>
              <w:bidi w:val="0"/>
              <w:rPr>
                <w:rFonts w:ascii="Times New Roman" w:hAnsi="Times New Roman"/>
                <w:color w:val="auto"/>
              </w:rPr>
            </w:pPr>
            <w:r>
              <w:rPr>
                <w:rFonts w:ascii="Times New Roman" w:hAnsi="Times New Roman"/>
                <w:color w:val="auto"/>
              </w:rPr>
              <w:t>2</w:t>
            </w:r>
          </w:p>
        </w:tc>
        <w:tc>
          <w:tcPr>
            <w:tcW w:w="1029" w:type="pct"/>
            <w:vAlign w:val="center"/>
          </w:tcPr>
          <w:p w14:paraId="49CE05FD">
            <w:pPr>
              <w:pStyle w:val="17"/>
              <w:bidi w:val="0"/>
              <w:rPr>
                <w:rFonts w:ascii="Times New Roman" w:hAnsi="Times New Roman"/>
                <w:color w:val="auto"/>
              </w:rPr>
            </w:pPr>
            <w:r>
              <w:rPr>
                <w:rFonts w:ascii="Times New Roman" w:hAnsi="Times New Roman"/>
                <w:color w:val="auto"/>
              </w:rPr>
              <w:t>　</w:t>
            </w:r>
          </w:p>
        </w:tc>
      </w:tr>
      <w:tr w14:paraId="2B40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4B16B168">
            <w:pPr>
              <w:pStyle w:val="17"/>
              <w:bidi w:val="0"/>
              <w:rPr>
                <w:rFonts w:ascii="Times New Roman" w:hAnsi="Times New Roman"/>
                <w:color w:val="auto"/>
              </w:rPr>
            </w:pPr>
            <w:r>
              <w:rPr>
                <w:rFonts w:ascii="Times New Roman" w:hAnsi="Times New Roman"/>
                <w:color w:val="auto"/>
              </w:rPr>
              <w:t>5</w:t>
            </w:r>
          </w:p>
        </w:tc>
        <w:tc>
          <w:tcPr>
            <w:tcW w:w="2673" w:type="pct"/>
            <w:vAlign w:val="center"/>
          </w:tcPr>
          <w:p w14:paraId="40A0C636">
            <w:pPr>
              <w:pStyle w:val="17"/>
              <w:bidi w:val="0"/>
              <w:rPr>
                <w:rFonts w:ascii="Times New Roman" w:hAnsi="Times New Roman"/>
                <w:color w:val="auto"/>
              </w:rPr>
            </w:pPr>
            <w:r>
              <w:rPr>
                <w:rFonts w:ascii="Times New Roman" w:hAnsi="Times New Roman"/>
                <w:color w:val="auto"/>
              </w:rPr>
              <w:t>专业技术人员（地质、采矿及机电等）</w:t>
            </w:r>
          </w:p>
        </w:tc>
        <w:tc>
          <w:tcPr>
            <w:tcW w:w="432" w:type="pct"/>
            <w:vAlign w:val="center"/>
          </w:tcPr>
          <w:p w14:paraId="72E0E0E1">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381FFAB8">
            <w:pPr>
              <w:pStyle w:val="17"/>
              <w:bidi w:val="0"/>
              <w:rPr>
                <w:rFonts w:ascii="Times New Roman" w:hAnsi="Times New Roman"/>
                <w:color w:val="auto"/>
              </w:rPr>
            </w:pPr>
            <w:r>
              <w:rPr>
                <w:rFonts w:ascii="Times New Roman" w:hAnsi="Times New Roman"/>
                <w:color w:val="auto"/>
              </w:rPr>
              <w:t>3</w:t>
            </w:r>
          </w:p>
        </w:tc>
        <w:tc>
          <w:tcPr>
            <w:tcW w:w="1029" w:type="pct"/>
            <w:vAlign w:val="center"/>
          </w:tcPr>
          <w:p w14:paraId="3DE23CBC">
            <w:pPr>
              <w:pStyle w:val="17"/>
              <w:bidi w:val="0"/>
              <w:rPr>
                <w:rFonts w:ascii="Times New Roman" w:hAnsi="Times New Roman"/>
                <w:color w:val="auto"/>
              </w:rPr>
            </w:pPr>
            <w:r>
              <w:rPr>
                <w:rFonts w:ascii="Times New Roman" w:hAnsi="Times New Roman"/>
                <w:color w:val="auto"/>
              </w:rPr>
              <w:t>　</w:t>
            </w:r>
          </w:p>
        </w:tc>
      </w:tr>
      <w:tr w14:paraId="0458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1" w:type="pct"/>
            <w:vAlign w:val="center"/>
          </w:tcPr>
          <w:p w14:paraId="7129361E">
            <w:pPr>
              <w:pStyle w:val="17"/>
              <w:bidi w:val="0"/>
              <w:rPr>
                <w:rFonts w:ascii="Times New Roman" w:hAnsi="Times New Roman"/>
                <w:color w:val="auto"/>
              </w:rPr>
            </w:pPr>
            <w:r>
              <w:rPr>
                <w:rFonts w:ascii="Times New Roman" w:hAnsi="Times New Roman"/>
                <w:color w:val="auto"/>
              </w:rPr>
              <w:t>　</w:t>
            </w:r>
          </w:p>
        </w:tc>
        <w:tc>
          <w:tcPr>
            <w:tcW w:w="2673" w:type="pct"/>
            <w:vAlign w:val="center"/>
          </w:tcPr>
          <w:p w14:paraId="550E07BF">
            <w:pPr>
              <w:pStyle w:val="17"/>
              <w:bidi w:val="0"/>
              <w:rPr>
                <w:rFonts w:ascii="Times New Roman" w:hAnsi="Times New Roman"/>
                <w:color w:val="auto"/>
              </w:rPr>
            </w:pPr>
            <w:r>
              <w:rPr>
                <w:rFonts w:ascii="Times New Roman" w:hAnsi="Times New Roman"/>
                <w:color w:val="auto"/>
              </w:rPr>
              <w:t>小计</w:t>
            </w:r>
          </w:p>
        </w:tc>
        <w:tc>
          <w:tcPr>
            <w:tcW w:w="432" w:type="pct"/>
            <w:vAlign w:val="center"/>
          </w:tcPr>
          <w:p w14:paraId="164C0521">
            <w:pPr>
              <w:pStyle w:val="17"/>
              <w:bidi w:val="0"/>
              <w:rPr>
                <w:rFonts w:ascii="Times New Roman" w:hAnsi="Times New Roman"/>
                <w:color w:val="auto"/>
              </w:rPr>
            </w:pPr>
            <w:r>
              <w:rPr>
                <w:rFonts w:ascii="Times New Roman" w:hAnsi="Times New Roman"/>
                <w:color w:val="auto"/>
              </w:rPr>
              <w:t>　</w:t>
            </w:r>
          </w:p>
        </w:tc>
        <w:tc>
          <w:tcPr>
            <w:tcW w:w="432" w:type="pct"/>
            <w:vAlign w:val="center"/>
          </w:tcPr>
          <w:p w14:paraId="7D6D7530">
            <w:pPr>
              <w:pStyle w:val="17"/>
              <w:bidi w:val="0"/>
              <w:rPr>
                <w:rFonts w:ascii="Times New Roman" w:hAnsi="Times New Roman"/>
                <w:color w:val="auto"/>
              </w:rPr>
            </w:pPr>
            <w:r>
              <w:rPr>
                <w:rFonts w:ascii="Times New Roman" w:hAnsi="Times New Roman"/>
                <w:color w:val="auto"/>
              </w:rPr>
              <w:t>8</w:t>
            </w:r>
          </w:p>
        </w:tc>
        <w:tc>
          <w:tcPr>
            <w:tcW w:w="1029" w:type="pct"/>
            <w:vAlign w:val="center"/>
          </w:tcPr>
          <w:p w14:paraId="6B35A719">
            <w:pPr>
              <w:pStyle w:val="17"/>
              <w:bidi w:val="0"/>
              <w:rPr>
                <w:rFonts w:ascii="Times New Roman" w:hAnsi="Times New Roman"/>
                <w:color w:val="auto"/>
              </w:rPr>
            </w:pPr>
            <w:r>
              <w:rPr>
                <w:rFonts w:ascii="Times New Roman" w:hAnsi="Times New Roman"/>
                <w:color w:val="auto"/>
              </w:rPr>
              <w:t>　</w:t>
            </w:r>
          </w:p>
        </w:tc>
      </w:tr>
      <w:tr w14:paraId="08F6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04" w:type="pct"/>
            <w:gridSpan w:val="2"/>
            <w:noWrap/>
            <w:vAlign w:val="center"/>
          </w:tcPr>
          <w:p w14:paraId="4DE4106C">
            <w:pPr>
              <w:pStyle w:val="17"/>
              <w:bidi w:val="0"/>
              <w:rPr>
                <w:rFonts w:ascii="Times New Roman" w:hAnsi="Times New Roman"/>
                <w:color w:val="auto"/>
              </w:rPr>
            </w:pPr>
            <w:r>
              <w:rPr>
                <w:rFonts w:ascii="Times New Roman" w:hAnsi="Times New Roman"/>
                <w:color w:val="auto"/>
              </w:rPr>
              <w:t>总计</w:t>
            </w:r>
          </w:p>
        </w:tc>
        <w:tc>
          <w:tcPr>
            <w:tcW w:w="432" w:type="pct"/>
            <w:noWrap/>
            <w:vAlign w:val="center"/>
          </w:tcPr>
          <w:p w14:paraId="4156E357">
            <w:pPr>
              <w:pStyle w:val="17"/>
              <w:bidi w:val="0"/>
              <w:rPr>
                <w:rFonts w:ascii="Times New Roman" w:hAnsi="Times New Roman"/>
                <w:color w:val="auto"/>
              </w:rPr>
            </w:pPr>
            <w:r>
              <w:rPr>
                <w:rFonts w:ascii="Times New Roman" w:hAnsi="Times New Roman"/>
                <w:color w:val="auto"/>
              </w:rPr>
              <w:t>　</w:t>
            </w:r>
          </w:p>
        </w:tc>
        <w:tc>
          <w:tcPr>
            <w:tcW w:w="432" w:type="pct"/>
            <w:noWrap/>
            <w:vAlign w:val="center"/>
          </w:tcPr>
          <w:p w14:paraId="3D5C4DDB">
            <w:pPr>
              <w:pStyle w:val="17"/>
              <w:bidi w:val="0"/>
              <w:rPr>
                <w:rFonts w:ascii="Times New Roman" w:hAnsi="Times New Roman"/>
                <w:color w:val="auto"/>
              </w:rPr>
            </w:pPr>
            <w:r>
              <w:rPr>
                <w:rFonts w:ascii="Times New Roman" w:hAnsi="Times New Roman"/>
                <w:color w:val="auto"/>
              </w:rPr>
              <w:t>31</w:t>
            </w:r>
          </w:p>
        </w:tc>
        <w:tc>
          <w:tcPr>
            <w:tcW w:w="1029" w:type="pct"/>
            <w:noWrap/>
            <w:vAlign w:val="center"/>
          </w:tcPr>
          <w:p w14:paraId="1923AED1">
            <w:pPr>
              <w:pStyle w:val="17"/>
              <w:bidi w:val="0"/>
              <w:rPr>
                <w:rFonts w:ascii="Times New Roman" w:hAnsi="Times New Roman"/>
                <w:color w:val="auto"/>
              </w:rPr>
            </w:pPr>
            <w:r>
              <w:rPr>
                <w:rFonts w:ascii="Times New Roman" w:hAnsi="Times New Roman"/>
                <w:color w:val="auto"/>
              </w:rPr>
              <w:t>　</w:t>
            </w:r>
          </w:p>
        </w:tc>
      </w:tr>
      <w:bookmarkEnd w:id="95"/>
    </w:tbl>
    <w:p w14:paraId="444D91DE">
      <w:pPr>
        <w:bidi w:val="0"/>
        <w:rPr>
          <w:rFonts w:hint="eastAsia" w:ascii="Times New Roman" w:hAnsi="Times New Roman"/>
          <w:color w:val="auto"/>
        </w:rPr>
      </w:pPr>
      <w:r>
        <w:rPr>
          <w:rFonts w:hint="eastAsia" w:ascii="Times New Roman" w:hAnsi="Times New Roman"/>
          <w:color w:val="auto"/>
          <w:lang w:val="en-US" w:eastAsia="zh-CN"/>
        </w:rPr>
        <w:t>3、</w:t>
      </w:r>
      <w:r>
        <w:rPr>
          <w:rFonts w:hint="eastAsia" w:ascii="Times New Roman" w:hAnsi="Times New Roman"/>
          <w:color w:val="auto"/>
        </w:rPr>
        <w:t>职工培训</w:t>
      </w:r>
    </w:p>
    <w:p w14:paraId="054FDAB3">
      <w:pPr>
        <w:bidi w:val="0"/>
        <w:rPr>
          <w:rFonts w:hint="eastAsia" w:ascii="Times New Roman" w:hAnsi="Times New Roman"/>
          <w:color w:val="auto"/>
        </w:rPr>
      </w:pPr>
      <w:r>
        <w:rPr>
          <w:rFonts w:hint="eastAsia" w:ascii="Times New Roman" w:hAnsi="Times New Roman"/>
          <w:color w:val="auto"/>
        </w:rPr>
        <w:t>本次项目设备的机械化、自动化程度较高，要求主要岗位生产人员对生产工艺有一定的专业知识和实际操作水平，为保证项目建成后顺利的达标、达产，在投产前需要组织主要岗位人员进行一定的专业知识学习，并到国内同类型岗位进行适当培训，对职工进行严格的技术管理、劳动安全职业卫生、环境保护等培训，考核上岗。</w:t>
      </w:r>
    </w:p>
    <w:p w14:paraId="66B5FF5F">
      <w:pPr>
        <w:pStyle w:val="5"/>
        <w:bidi w:val="0"/>
        <w:rPr>
          <w:rFonts w:hint="eastAsia" w:ascii="Times New Roman" w:hAnsi="Times New Roman"/>
          <w:color w:val="auto"/>
        </w:rPr>
      </w:pPr>
      <w:r>
        <w:rPr>
          <w:rFonts w:hint="eastAsia" w:ascii="Times New Roman" w:hAnsi="Times New Roman"/>
          <w:color w:val="auto"/>
          <w:lang w:val="en-US" w:eastAsia="zh-CN"/>
        </w:rPr>
        <w:t>2.4.13</w:t>
      </w:r>
      <w:r>
        <w:rPr>
          <w:rFonts w:hint="eastAsia" w:ascii="Times New Roman" w:hAnsi="Times New Roman"/>
          <w:color w:val="auto"/>
        </w:rPr>
        <w:t>.</w:t>
      </w:r>
      <w:r>
        <w:rPr>
          <w:rFonts w:hint="eastAsia" w:ascii="Times New Roman" w:hAnsi="Times New Roman"/>
          <w:color w:val="auto"/>
          <w:lang w:val="en-US" w:eastAsia="zh-CN"/>
        </w:rPr>
        <w:t xml:space="preserve">2 </w:t>
      </w:r>
      <w:r>
        <w:rPr>
          <w:rFonts w:hint="eastAsia" w:ascii="Times New Roman" w:hAnsi="Times New Roman"/>
          <w:color w:val="auto"/>
        </w:rPr>
        <w:t>基建工程内容</w:t>
      </w:r>
    </w:p>
    <w:p w14:paraId="4C8BED99">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基建范围</w:t>
      </w:r>
    </w:p>
    <w:p w14:paraId="6B301ADD">
      <w:pPr>
        <w:bidi w:val="0"/>
        <w:rPr>
          <w:rFonts w:hint="eastAsia" w:ascii="Times New Roman" w:hAnsi="Times New Roman"/>
          <w:color w:val="auto"/>
        </w:rPr>
      </w:pPr>
      <w:r>
        <w:rPr>
          <w:rFonts w:hint="eastAsia" w:ascii="Times New Roman" w:hAnsi="Times New Roman"/>
          <w:color w:val="auto"/>
        </w:rPr>
        <w:t>矿山采用自上而下分台阶开采，根据计算，1个采矿工作面即可满足生产能力需求，考虑满足备采矿量和开拓矿量的要求，设计基建平台为2020m平台。</w:t>
      </w:r>
    </w:p>
    <w:p w14:paraId="4BF8609F">
      <w:pPr>
        <w:bidi w:val="0"/>
        <w:rPr>
          <w:rFonts w:hint="eastAsia" w:ascii="Times New Roman" w:hAnsi="Times New Roman"/>
          <w:color w:val="auto"/>
          <w:lang w:val="en-US" w:eastAsia="zh-CN"/>
        </w:rPr>
      </w:pPr>
      <w:r>
        <w:rPr>
          <w:rFonts w:hint="eastAsia" w:ascii="Times New Roman" w:hAnsi="Times New Roman"/>
          <w:color w:val="auto"/>
          <w:lang w:val="en-US" w:eastAsia="zh-CN"/>
        </w:rPr>
        <w:t>2、基建工程量</w:t>
      </w:r>
    </w:p>
    <w:p w14:paraId="2F36B24E">
      <w:pPr>
        <w:pStyle w:val="16"/>
        <w:bidi w:val="0"/>
        <w:rPr>
          <w:rFonts w:hint="eastAsia"/>
          <w:color w:val="auto"/>
          <w:lang w:val="en-US" w:eastAsia="zh-CN"/>
        </w:rPr>
      </w:pPr>
      <w:r>
        <w:rPr>
          <w:rFonts w:hint="eastAsia"/>
          <w:color w:val="auto"/>
          <w:lang w:val="en-US" w:eastAsia="zh-CN"/>
        </w:rPr>
        <w:t>表2.4-16  基建工程量表</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5222"/>
        <w:gridCol w:w="1687"/>
        <w:gridCol w:w="1698"/>
      </w:tblGrid>
      <w:tr w14:paraId="0473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20" w:type="pct"/>
            <w:vAlign w:val="center"/>
          </w:tcPr>
          <w:p w14:paraId="05C738A0">
            <w:pPr>
              <w:pStyle w:val="17"/>
              <w:bidi w:val="0"/>
              <w:rPr>
                <w:color w:val="auto"/>
              </w:rPr>
            </w:pPr>
            <w:bookmarkStart w:id="96" w:name="_Hlk176788532"/>
            <w:r>
              <w:rPr>
                <w:color w:val="auto"/>
              </w:rPr>
              <w:t>序号</w:t>
            </w:r>
          </w:p>
        </w:tc>
        <w:tc>
          <w:tcPr>
            <w:tcW w:w="2777" w:type="pct"/>
            <w:vAlign w:val="center"/>
          </w:tcPr>
          <w:p w14:paraId="46D4048D">
            <w:pPr>
              <w:pStyle w:val="17"/>
              <w:bidi w:val="0"/>
              <w:rPr>
                <w:color w:val="auto"/>
              </w:rPr>
            </w:pPr>
            <w:r>
              <w:rPr>
                <w:color w:val="auto"/>
              </w:rPr>
              <w:t>工程名称</w:t>
            </w:r>
          </w:p>
        </w:tc>
        <w:tc>
          <w:tcPr>
            <w:tcW w:w="897" w:type="pct"/>
            <w:vAlign w:val="center"/>
          </w:tcPr>
          <w:p w14:paraId="4EBF786D">
            <w:pPr>
              <w:pStyle w:val="17"/>
              <w:bidi w:val="0"/>
              <w:rPr>
                <w:color w:val="auto"/>
              </w:rPr>
            </w:pPr>
            <w:r>
              <w:rPr>
                <w:color w:val="auto"/>
              </w:rPr>
              <w:t>数量</w:t>
            </w:r>
          </w:p>
        </w:tc>
        <w:tc>
          <w:tcPr>
            <w:tcW w:w="903" w:type="pct"/>
            <w:vAlign w:val="center"/>
          </w:tcPr>
          <w:p w14:paraId="227BDA52">
            <w:pPr>
              <w:pStyle w:val="17"/>
              <w:bidi w:val="0"/>
              <w:rPr>
                <w:color w:val="auto"/>
              </w:rPr>
            </w:pPr>
            <w:r>
              <w:rPr>
                <w:color w:val="auto"/>
              </w:rPr>
              <w:t>工程量</w:t>
            </w:r>
          </w:p>
        </w:tc>
      </w:tr>
      <w:tr w14:paraId="2191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0" w:type="pct"/>
            <w:vAlign w:val="center"/>
          </w:tcPr>
          <w:p w14:paraId="55221042">
            <w:pPr>
              <w:pStyle w:val="17"/>
              <w:bidi w:val="0"/>
              <w:rPr>
                <w:color w:val="auto"/>
              </w:rPr>
            </w:pPr>
            <w:r>
              <w:rPr>
                <w:color w:val="auto"/>
              </w:rPr>
              <w:t>1</w:t>
            </w:r>
          </w:p>
        </w:tc>
        <w:tc>
          <w:tcPr>
            <w:tcW w:w="2777" w:type="pct"/>
            <w:vAlign w:val="center"/>
          </w:tcPr>
          <w:p w14:paraId="16D693E3">
            <w:pPr>
              <w:pStyle w:val="17"/>
              <w:bidi w:val="0"/>
              <w:rPr>
                <w:color w:val="auto"/>
              </w:rPr>
            </w:pPr>
            <w:r>
              <w:rPr>
                <w:color w:val="auto"/>
              </w:rPr>
              <w:t>卸矿平台至</w:t>
            </w:r>
            <w:r>
              <w:rPr>
                <w:rFonts w:hint="eastAsia"/>
                <w:color w:val="auto"/>
              </w:rPr>
              <w:t>2020</w:t>
            </w:r>
            <w:r>
              <w:rPr>
                <w:color w:val="auto"/>
              </w:rPr>
              <w:t>m平台运输道路整改修建</w:t>
            </w:r>
          </w:p>
        </w:tc>
        <w:tc>
          <w:tcPr>
            <w:tcW w:w="897" w:type="pct"/>
            <w:vAlign w:val="center"/>
          </w:tcPr>
          <w:p w14:paraId="40F4321F">
            <w:pPr>
              <w:pStyle w:val="17"/>
              <w:bidi w:val="0"/>
              <w:rPr>
                <w:color w:val="auto"/>
              </w:rPr>
            </w:pPr>
            <w:r>
              <w:rPr>
                <w:rFonts w:hint="eastAsia"/>
                <w:color w:val="auto"/>
              </w:rPr>
              <w:t>11</w:t>
            </w:r>
            <w:r>
              <w:rPr>
                <w:rFonts w:hint="eastAsia"/>
                <w:color w:val="auto"/>
                <w:lang w:val="en-US" w:eastAsia="zh-CN"/>
              </w:rPr>
              <w:t>64</w:t>
            </w:r>
            <w:r>
              <w:rPr>
                <w:color w:val="auto"/>
              </w:rPr>
              <w:t>m</w:t>
            </w:r>
          </w:p>
        </w:tc>
        <w:tc>
          <w:tcPr>
            <w:tcW w:w="903" w:type="pct"/>
            <w:vAlign w:val="center"/>
          </w:tcPr>
          <w:p w14:paraId="7333B41D">
            <w:pPr>
              <w:pStyle w:val="17"/>
              <w:bidi w:val="0"/>
              <w:rPr>
                <w:color w:val="auto"/>
              </w:rPr>
            </w:pPr>
            <w:r>
              <w:rPr>
                <w:rFonts w:hint="eastAsia"/>
                <w:color w:val="auto"/>
              </w:rPr>
              <w:t>2.</w:t>
            </w:r>
            <w:r>
              <w:rPr>
                <w:rFonts w:hint="eastAsia"/>
                <w:color w:val="auto"/>
                <w:lang w:val="en-US" w:eastAsia="zh-CN"/>
              </w:rPr>
              <w:t>0</w:t>
            </w:r>
            <w:r>
              <w:rPr>
                <w:rFonts w:hint="eastAsia"/>
                <w:color w:val="auto"/>
              </w:rPr>
              <w:t>3</w:t>
            </w:r>
            <w:r>
              <w:rPr>
                <w:color w:val="auto"/>
              </w:rPr>
              <w:t>万m</w:t>
            </w:r>
            <w:r>
              <w:rPr>
                <w:color w:val="auto"/>
                <w:vertAlign w:val="superscript"/>
              </w:rPr>
              <w:t>3</w:t>
            </w:r>
          </w:p>
        </w:tc>
      </w:tr>
      <w:tr w14:paraId="2B53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0" w:type="pct"/>
            <w:vAlign w:val="center"/>
          </w:tcPr>
          <w:p w14:paraId="6C11524A">
            <w:pPr>
              <w:pStyle w:val="17"/>
              <w:bidi w:val="0"/>
              <w:rPr>
                <w:color w:val="auto"/>
              </w:rPr>
            </w:pPr>
            <w:r>
              <w:rPr>
                <w:color w:val="auto"/>
              </w:rPr>
              <w:t>2</w:t>
            </w:r>
          </w:p>
        </w:tc>
        <w:tc>
          <w:tcPr>
            <w:tcW w:w="2777" w:type="pct"/>
            <w:vAlign w:val="center"/>
          </w:tcPr>
          <w:p w14:paraId="6F8EC6C8">
            <w:pPr>
              <w:pStyle w:val="17"/>
              <w:bidi w:val="0"/>
              <w:rPr>
                <w:color w:val="auto"/>
              </w:rPr>
            </w:pPr>
            <w:r>
              <w:rPr>
                <w:color w:val="auto"/>
              </w:rPr>
              <w:t>矿界围栏</w:t>
            </w:r>
            <w:r>
              <w:rPr>
                <w:rFonts w:hint="eastAsia"/>
                <w:color w:val="auto"/>
              </w:rPr>
              <w:t>、主动防护网</w:t>
            </w:r>
          </w:p>
        </w:tc>
        <w:tc>
          <w:tcPr>
            <w:tcW w:w="897" w:type="pct"/>
            <w:vAlign w:val="center"/>
          </w:tcPr>
          <w:p w14:paraId="536CE80E">
            <w:pPr>
              <w:pStyle w:val="17"/>
              <w:bidi w:val="0"/>
              <w:rPr>
                <w:color w:val="auto"/>
              </w:rPr>
            </w:pPr>
            <w:r>
              <w:rPr>
                <w:color w:val="auto"/>
              </w:rPr>
              <w:t>1</w:t>
            </w:r>
            <w:r>
              <w:rPr>
                <w:rFonts w:hint="eastAsia"/>
                <w:color w:val="auto"/>
              </w:rPr>
              <w:t>141</w:t>
            </w:r>
            <w:r>
              <w:rPr>
                <w:color w:val="auto"/>
              </w:rPr>
              <w:t>m</w:t>
            </w:r>
          </w:p>
        </w:tc>
        <w:tc>
          <w:tcPr>
            <w:tcW w:w="903" w:type="pct"/>
            <w:vAlign w:val="center"/>
          </w:tcPr>
          <w:p w14:paraId="140F559A">
            <w:pPr>
              <w:pStyle w:val="17"/>
              <w:bidi w:val="0"/>
              <w:rPr>
                <w:color w:val="auto"/>
              </w:rPr>
            </w:pPr>
            <w:r>
              <w:rPr>
                <w:rFonts w:hint="eastAsia"/>
                <w:color w:val="auto"/>
              </w:rPr>
              <w:t>1141</w:t>
            </w:r>
            <w:r>
              <w:rPr>
                <w:color w:val="auto"/>
              </w:rPr>
              <w:t>m</w:t>
            </w:r>
          </w:p>
        </w:tc>
      </w:tr>
      <w:tr w14:paraId="232C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0" w:type="pct"/>
            <w:vAlign w:val="center"/>
          </w:tcPr>
          <w:p w14:paraId="46090B08">
            <w:pPr>
              <w:pStyle w:val="17"/>
              <w:bidi w:val="0"/>
              <w:rPr>
                <w:color w:val="auto"/>
              </w:rPr>
            </w:pPr>
            <w:r>
              <w:rPr>
                <w:rFonts w:hint="eastAsia"/>
                <w:color w:val="auto"/>
              </w:rPr>
              <w:t>3</w:t>
            </w:r>
          </w:p>
        </w:tc>
        <w:tc>
          <w:tcPr>
            <w:tcW w:w="2777" w:type="pct"/>
            <w:vAlign w:val="center"/>
          </w:tcPr>
          <w:p w14:paraId="63F91269">
            <w:pPr>
              <w:pStyle w:val="17"/>
              <w:bidi w:val="0"/>
              <w:rPr>
                <w:color w:val="auto"/>
              </w:rPr>
            </w:pPr>
            <w:r>
              <w:rPr>
                <w:rFonts w:hint="eastAsia"/>
                <w:color w:val="auto"/>
              </w:rPr>
              <w:t>2050m、2035m平台剥离</w:t>
            </w:r>
          </w:p>
        </w:tc>
        <w:tc>
          <w:tcPr>
            <w:tcW w:w="897" w:type="pct"/>
            <w:vAlign w:val="center"/>
          </w:tcPr>
          <w:p w14:paraId="6544448C">
            <w:pPr>
              <w:pStyle w:val="17"/>
              <w:bidi w:val="0"/>
              <w:rPr>
                <w:color w:val="auto"/>
              </w:rPr>
            </w:pPr>
            <w:r>
              <w:rPr>
                <w:rFonts w:hint="eastAsia"/>
                <w:color w:val="auto"/>
                <w:lang w:val="en-US" w:eastAsia="zh-CN"/>
              </w:rPr>
              <w:t>4.08</w:t>
            </w:r>
            <w:r>
              <w:rPr>
                <w:color w:val="auto"/>
              </w:rPr>
              <w:t>万t</w:t>
            </w:r>
          </w:p>
        </w:tc>
        <w:tc>
          <w:tcPr>
            <w:tcW w:w="903" w:type="pct"/>
            <w:vAlign w:val="center"/>
          </w:tcPr>
          <w:p w14:paraId="0706991D">
            <w:pPr>
              <w:pStyle w:val="17"/>
              <w:bidi w:val="0"/>
              <w:rPr>
                <w:color w:val="auto"/>
              </w:rPr>
            </w:pPr>
            <w:r>
              <w:rPr>
                <w:rFonts w:hint="eastAsia"/>
                <w:color w:val="auto"/>
                <w:lang w:val="en-US" w:eastAsia="zh-CN"/>
              </w:rPr>
              <w:t>1.59</w:t>
            </w:r>
            <w:r>
              <w:rPr>
                <w:color w:val="auto"/>
              </w:rPr>
              <w:t>m</w:t>
            </w:r>
            <w:r>
              <w:rPr>
                <w:color w:val="auto"/>
                <w:vertAlign w:val="superscript"/>
              </w:rPr>
              <w:t>3</w:t>
            </w:r>
          </w:p>
        </w:tc>
      </w:tr>
      <w:tr w14:paraId="0C90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0" w:type="pct"/>
            <w:vAlign w:val="center"/>
          </w:tcPr>
          <w:p w14:paraId="7FAB9E78">
            <w:pPr>
              <w:pStyle w:val="17"/>
              <w:bidi w:val="0"/>
              <w:rPr>
                <w:color w:val="auto"/>
              </w:rPr>
            </w:pPr>
            <w:r>
              <w:rPr>
                <w:rFonts w:hint="eastAsia"/>
                <w:color w:val="auto"/>
              </w:rPr>
              <w:t>4</w:t>
            </w:r>
          </w:p>
        </w:tc>
        <w:tc>
          <w:tcPr>
            <w:tcW w:w="2777" w:type="pct"/>
            <w:vAlign w:val="center"/>
          </w:tcPr>
          <w:p w14:paraId="75EB5B80">
            <w:pPr>
              <w:pStyle w:val="17"/>
              <w:bidi w:val="0"/>
              <w:rPr>
                <w:color w:val="auto"/>
              </w:rPr>
            </w:pPr>
            <w:r>
              <w:rPr>
                <w:color w:val="auto"/>
              </w:rPr>
              <w:t>2</w:t>
            </w:r>
            <w:r>
              <w:rPr>
                <w:rFonts w:hint="eastAsia"/>
                <w:color w:val="auto"/>
              </w:rPr>
              <w:t>020</w:t>
            </w:r>
            <w:r>
              <w:rPr>
                <w:color w:val="auto"/>
              </w:rPr>
              <w:t>m平台形成采矿工作面</w:t>
            </w:r>
          </w:p>
        </w:tc>
        <w:tc>
          <w:tcPr>
            <w:tcW w:w="897" w:type="pct"/>
            <w:vAlign w:val="center"/>
          </w:tcPr>
          <w:p w14:paraId="61222BB8">
            <w:pPr>
              <w:pStyle w:val="17"/>
              <w:bidi w:val="0"/>
              <w:rPr>
                <w:color w:val="auto"/>
              </w:rPr>
            </w:pPr>
            <w:r>
              <w:rPr>
                <w:rFonts w:hint="eastAsia"/>
                <w:color w:val="auto"/>
                <w:lang w:val="en-US" w:eastAsia="zh-CN"/>
              </w:rPr>
              <w:t>3.36</w:t>
            </w:r>
            <w:r>
              <w:rPr>
                <w:color w:val="auto"/>
              </w:rPr>
              <w:t>万t</w:t>
            </w:r>
          </w:p>
        </w:tc>
        <w:tc>
          <w:tcPr>
            <w:tcW w:w="903" w:type="pct"/>
            <w:vAlign w:val="center"/>
          </w:tcPr>
          <w:p w14:paraId="76F4132C">
            <w:pPr>
              <w:pStyle w:val="17"/>
              <w:bidi w:val="0"/>
              <w:rPr>
                <w:color w:val="auto"/>
              </w:rPr>
            </w:pPr>
            <w:r>
              <w:rPr>
                <w:rFonts w:hint="eastAsia"/>
                <w:color w:val="auto"/>
                <w:lang w:val="en-US" w:eastAsia="zh-CN"/>
              </w:rPr>
              <w:t>1.31</w:t>
            </w:r>
            <w:r>
              <w:rPr>
                <w:color w:val="auto"/>
              </w:rPr>
              <w:t>万m</w:t>
            </w:r>
            <w:r>
              <w:rPr>
                <w:color w:val="auto"/>
                <w:vertAlign w:val="superscript"/>
              </w:rPr>
              <w:t>3</w:t>
            </w:r>
          </w:p>
        </w:tc>
      </w:tr>
      <w:bookmarkEnd w:id="96"/>
    </w:tbl>
    <w:p w14:paraId="3C129A85">
      <w:pPr>
        <w:bidi w:val="0"/>
        <w:rPr>
          <w:rFonts w:hint="eastAsia" w:ascii="Times New Roman" w:hAnsi="Times New Roman"/>
          <w:color w:val="auto"/>
          <w:lang w:val="en-US" w:eastAsia="zh-CN"/>
        </w:rPr>
      </w:pPr>
      <w:r>
        <w:rPr>
          <w:rFonts w:hint="eastAsia" w:ascii="Times New Roman" w:hAnsi="Times New Roman"/>
          <w:color w:val="auto"/>
          <w:lang w:val="en-US" w:eastAsia="zh-CN"/>
        </w:rPr>
        <w:t>基建采剥工程量及开拓运输道路工程量共计4.93万m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，按0.36kg/m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的炸药单耗以及20%盈余计算，本次基建期需用炸药量为：4.93万m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×0.36kg/m</w:t>
      </w:r>
      <w:r>
        <w:rPr>
          <w:rFonts w:hint="eastAsia" w:ascii="Times New Roman" w:hAnsi="Times New Roman"/>
          <w:color w:val="auto"/>
          <w:vertAlign w:val="superscript"/>
          <w:lang w:val="en-US" w:eastAsia="zh-CN"/>
        </w:rPr>
        <w:t>3</w:t>
      </w:r>
      <w:r>
        <w:rPr>
          <w:rFonts w:hint="eastAsia" w:ascii="Times New Roman" w:hAnsi="Times New Roman"/>
          <w:color w:val="auto"/>
          <w:lang w:val="en-US" w:eastAsia="zh-CN"/>
        </w:rPr>
        <w:t>*1.2=21297.6kg（21.3吨）</w:t>
      </w:r>
      <w:r>
        <w:rPr>
          <w:rFonts w:hint="eastAsia"/>
          <w:color w:val="auto"/>
          <w:lang w:val="en-US" w:eastAsia="zh-CN"/>
        </w:rPr>
        <w:t>。</w:t>
      </w:r>
    </w:p>
    <w:p w14:paraId="5F6C6A05">
      <w:pPr>
        <w:bidi w:val="0"/>
        <w:rPr>
          <w:rFonts w:hint="eastAsia" w:ascii="Times New Roman" w:hAnsi="Times New Roman" w:eastAsia="宋体"/>
          <w:color w:val="auto"/>
          <w:lang w:eastAsia="zh-CN"/>
        </w:rPr>
      </w:pPr>
      <w:r>
        <w:rPr>
          <w:rFonts w:hint="eastAsia" w:ascii="Times New Roman" w:hAnsi="Times New Roman"/>
          <w:color w:val="auto"/>
          <w:lang w:val="en-US" w:eastAsia="zh-CN"/>
        </w:rPr>
        <w:t>3、</w:t>
      </w:r>
      <w:r>
        <w:rPr>
          <w:rFonts w:hint="eastAsia" w:ascii="Times New Roman" w:hAnsi="Times New Roman"/>
          <w:color w:val="auto"/>
        </w:rPr>
        <w:t>基建</w:t>
      </w:r>
      <w:r>
        <w:rPr>
          <w:rFonts w:hint="eastAsia" w:ascii="Times New Roman" w:hAnsi="Times New Roman"/>
          <w:color w:val="auto"/>
          <w:lang w:val="en-US" w:eastAsia="zh-CN"/>
        </w:rPr>
        <w:t>时间</w:t>
      </w:r>
    </w:p>
    <w:p w14:paraId="69E77096">
      <w:pPr>
        <w:bidi w:val="0"/>
        <w:rPr>
          <w:rFonts w:hint="eastAsia" w:ascii="Times New Roman" w:hAnsi="Times New Roman" w:eastAsia="宋体"/>
          <w:color w:val="auto"/>
          <w:lang w:eastAsia="zh-CN"/>
        </w:rPr>
      </w:pPr>
      <w:r>
        <w:rPr>
          <w:rFonts w:hint="eastAsia" w:ascii="Times New Roman" w:hAnsi="Times New Roman"/>
          <w:color w:val="auto"/>
        </w:rPr>
        <w:t>设计矿山基建时间为3个月</w:t>
      </w:r>
      <w:r>
        <w:rPr>
          <w:rFonts w:hint="eastAsia" w:ascii="Times New Roman" w:hAnsi="Times New Roman"/>
          <w:color w:val="auto"/>
          <w:lang w:eastAsia="zh-CN"/>
        </w:rPr>
        <w:t>。</w:t>
      </w:r>
    </w:p>
    <w:p w14:paraId="41659CD4">
      <w:pPr>
        <w:pStyle w:val="5"/>
        <w:bidi w:val="0"/>
        <w:rPr>
          <w:rFonts w:hint="default" w:ascii="Times New Roman" w:hAnsi="Times New Roman"/>
          <w:color w:val="auto"/>
          <w:lang w:val="en-US" w:eastAsia="zh-CN"/>
        </w:rPr>
      </w:pPr>
      <w:r>
        <w:rPr>
          <w:rFonts w:hint="eastAsia" w:ascii="Times New Roman" w:hAnsi="Times New Roman"/>
          <w:color w:val="auto"/>
          <w:lang w:val="en-US" w:eastAsia="zh-CN"/>
        </w:rPr>
        <w:t>2.4.</w:t>
      </w:r>
      <w:r>
        <w:rPr>
          <w:rFonts w:hint="default" w:ascii="Times New Roman" w:hAnsi="Times New Roman"/>
          <w:color w:val="auto"/>
          <w:lang w:val="en-US" w:eastAsia="zh-CN"/>
        </w:rPr>
        <w:t>13.3</w:t>
      </w:r>
      <w:r>
        <w:rPr>
          <w:rFonts w:hint="eastAsia" w:ascii="Times New Roman" w:hAnsi="Times New Roman"/>
          <w:color w:val="auto"/>
          <w:lang w:val="en-US" w:eastAsia="zh-CN"/>
        </w:rPr>
        <w:t xml:space="preserve"> </w:t>
      </w:r>
      <w:r>
        <w:rPr>
          <w:rFonts w:hint="default" w:ascii="Times New Roman" w:hAnsi="Times New Roman"/>
          <w:color w:val="auto"/>
          <w:lang w:val="en-US" w:eastAsia="zh-CN"/>
        </w:rPr>
        <w:t>投资及经济效益分析</w:t>
      </w:r>
    </w:p>
    <w:p w14:paraId="535F2495">
      <w:pPr>
        <w:bidi w:val="0"/>
        <w:rPr>
          <w:rFonts w:hint="eastAsia" w:ascii="Times New Roman" w:hAnsi="Times New Roman"/>
          <w:color w:val="auto"/>
        </w:rPr>
      </w:pPr>
      <w:r>
        <w:rPr>
          <w:rFonts w:hint="eastAsia" w:ascii="Times New Roman" w:hAnsi="Times New Roman"/>
          <w:color w:val="auto"/>
          <w:lang w:val="en-US" w:eastAsia="zh-CN"/>
        </w:rPr>
        <w:t>1、</w:t>
      </w:r>
      <w:r>
        <w:rPr>
          <w:rFonts w:hint="eastAsia" w:ascii="Times New Roman" w:hAnsi="Times New Roman"/>
          <w:color w:val="auto"/>
        </w:rPr>
        <w:t>投资及资金筹措</w:t>
      </w:r>
    </w:p>
    <w:p w14:paraId="3C1FD6F9">
      <w:pPr>
        <w:bidi w:val="0"/>
        <w:rPr>
          <w:rFonts w:hint="eastAsia" w:ascii="Times New Roman" w:hAnsi="Times New Roman"/>
          <w:color w:val="auto"/>
        </w:rPr>
      </w:pPr>
      <w:r>
        <w:rPr>
          <w:rFonts w:hint="eastAsia" w:ascii="Times New Roman" w:hAnsi="Times New Roman"/>
          <w:color w:val="auto"/>
        </w:rPr>
        <w:t>本项目总投资为1415.83万元，建设投资总额930.8万元，工程预备费9.47万元。项目流动资金为242.51万元。</w:t>
      </w:r>
    </w:p>
    <w:p w14:paraId="4E9C9EB0">
      <w:pPr>
        <w:pStyle w:val="16"/>
        <w:bidi w:val="0"/>
        <w:rPr>
          <w:rFonts w:hint="eastAsia"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 xml:space="preserve">2.4-17  </w:t>
      </w:r>
      <w:r>
        <w:rPr>
          <w:rFonts w:hint="eastAsia" w:ascii="Times New Roman" w:hAnsi="Times New Roman"/>
          <w:color w:val="auto"/>
        </w:rPr>
        <w:t>流动资金估算表（万元）</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2273"/>
        <w:gridCol w:w="2144"/>
        <w:gridCol w:w="1204"/>
        <w:gridCol w:w="1132"/>
        <w:gridCol w:w="765"/>
        <w:gridCol w:w="1194"/>
      </w:tblGrid>
      <w:tr w14:paraId="149F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366" w:type="pct"/>
            <w:vMerge w:val="restart"/>
            <w:noWrap/>
            <w:vAlign w:val="center"/>
          </w:tcPr>
          <w:p w14:paraId="09BE698E">
            <w:pPr>
              <w:pStyle w:val="17"/>
              <w:bidi w:val="0"/>
              <w:rPr>
                <w:rFonts w:ascii="Times New Roman" w:hAnsi="Times New Roman"/>
                <w:b/>
                <w:bCs/>
                <w:color w:val="auto"/>
              </w:rPr>
            </w:pPr>
            <w:r>
              <w:rPr>
                <w:rFonts w:ascii="Times New Roman" w:hAnsi="Times New Roman"/>
                <w:b/>
                <w:bCs/>
                <w:color w:val="auto"/>
              </w:rPr>
              <w:t>序号</w:t>
            </w:r>
          </w:p>
        </w:tc>
        <w:tc>
          <w:tcPr>
            <w:tcW w:w="1208" w:type="pct"/>
            <w:vMerge w:val="restart"/>
            <w:noWrap/>
            <w:vAlign w:val="center"/>
          </w:tcPr>
          <w:p w14:paraId="14C85F4E">
            <w:pPr>
              <w:pStyle w:val="17"/>
              <w:bidi w:val="0"/>
              <w:rPr>
                <w:rFonts w:hint="eastAsia" w:ascii="Times New Roman" w:hAnsi="Times New Roman"/>
                <w:b/>
                <w:bCs/>
                <w:color w:val="auto"/>
              </w:rPr>
            </w:pPr>
            <w:r>
              <w:rPr>
                <w:rFonts w:hint="eastAsia" w:ascii="Times New Roman" w:hAnsi="Times New Roman"/>
                <w:b/>
                <w:bCs/>
                <w:color w:val="auto"/>
              </w:rPr>
              <w:t>项目名称</w:t>
            </w:r>
          </w:p>
        </w:tc>
        <w:tc>
          <w:tcPr>
            <w:tcW w:w="1140" w:type="pct"/>
            <w:noWrap/>
            <w:vAlign w:val="center"/>
          </w:tcPr>
          <w:p w14:paraId="65FCE2FD">
            <w:pPr>
              <w:pStyle w:val="17"/>
              <w:bidi w:val="0"/>
              <w:rPr>
                <w:rFonts w:ascii="Times New Roman" w:hAnsi="Times New Roman"/>
                <w:b/>
                <w:bCs/>
                <w:color w:val="auto"/>
              </w:rPr>
            </w:pPr>
            <w:r>
              <w:rPr>
                <w:rFonts w:ascii="Times New Roman" w:hAnsi="Times New Roman"/>
                <w:b/>
                <w:bCs/>
                <w:color w:val="auto"/>
              </w:rPr>
              <w:t>周转天数</w:t>
            </w:r>
          </w:p>
        </w:tc>
        <w:tc>
          <w:tcPr>
            <w:tcW w:w="640" w:type="pct"/>
            <w:noWrap/>
            <w:vAlign w:val="center"/>
          </w:tcPr>
          <w:p w14:paraId="319CF1D5">
            <w:pPr>
              <w:pStyle w:val="17"/>
              <w:bidi w:val="0"/>
              <w:rPr>
                <w:rFonts w:ascii="Times New Roman" w:hAnsi="Times New Roman"/>
                <w:b/>
                <w:bCs/>
                <w:color w:val="auto"/>
              </w:rPr>
            </w:pPr>
            <w:r>
              <w:rPr>
                <w:rFonts w:ascii="Times New Roman" w:hAnsi="Times New Roman"/>
                <w:b/>
                <w:bCs/>
                <w:color w:val="auto"/>
              </w:rPr>
              <w:t>周转次数</w:t>
            </w:r>
          </w:p>
        </w:tc>
        <w:tc>
          <w:tcPr>
            <w:tcW w:w="602" w:type="pct"/>
            <w:noWrap/>
            <w:vAlign w:val="center"/>
          </w:tcPr>
          <w:p w14:paraId="6CF63DC3">
            <w:pPr>
              <w:pStyle w:val="17"/>
              <w:bidi w:val="0"/>
              <w:rPr>
                <w:rFonts w:ascii="Times New Roman" w:hAnsi="Times New Roman"/>
                <w:b/>
                <w:bCs/>
                <w:color w:val="auto"/>
              </w:rPr>
            </w:pPr>
            <w:r>
              <w:rPr>
                <w:rFonts w:ascii="Times New Roman" w:hAnsi="Times New Roman"/>
                <w:b/>
                <w:bCs/>
                <w:color w:val="auto"/>
              </w:rPr>
              <w:t>建设期</w:t>
            </w:r>
          </w:p>
        </w:tc>
        <w:tc>
          <w:tcPr>
            <w:tcW w:w="1041" w:type="pct"/>
            <w:gridSpan w:val="2"/>
            <w:noWrap/>
            <w:vAlign w:val="center"/>
          </w:tcPr>
          <w:p w14:paraId="3DAC4352">
            <w:pPr>
              <w:pStyle w:val="17"/>
              <w:bidi w:val="0"/>
              <w:rPr>
                <w:rFonts w:ascii="Times New Roman" w:hAnsi="Times New Roman"/>
                <w:b/>
                <w:bCs/>
                <w:color w:val="auto"/>
              </w:rPr>
            </w:pPr>
            <w:r>
              <w:rPr>
                <w:rFonts w:ascii="Times New Roman" w:hAnsi="Times New Roman"/>
                <w:b/>
                <w:bCs/>
                <w:color w:val="auto"/>
              </w:rPr>
              <w:t>生产期(a)</w:t>
            </w:r>
          </w:p>
        </w:tc>
      </w:tr>
      <w:tr w14:paraId="0191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366" w:type="pct"/>
            <w:vMerge w:val="continue"/>
            <w:noWrap/>
            <w:vAlign w:val="center"/>
          </w:tcPr>
          <w:p w14:paraId="4701EF36">
            <w:pPr>
              <w:pStyle w:val="17"/>
              <w:bidi w:val="0"/>
              <w:rPr>
                <w:rFonts w:ascii="Times New Roman" w:hAnsi="Times New Roman"/>
                <w:b/>
                <w:bCs/>
                <w:color w:val="auto"/>
              </w:rPr>
            </w:pPr>
          </w:p>
        </w:tc>
        <w:tc>
          <w:tcPr>
            <w:tcW w:w="1208" w:type="pct"/>
            <w:vMerge w:val="continue"/>
            <w:noWrap/>
            <w:vAlign w:val="center"/>
          </w:tcPr>
          <w:p w14:paraId="3042B493">
            <w:pPr>
              <w:pStyle w:val="17"/>
              <w:bidi w:val="0"/>
              <w:rPr>
                <w:rFonts w:ascii="Times New Roman" w:hAnsi="Times New Roman"/>
                <w:b/>
                <w:bCs/>
                <w:color w:val="auto"/>
              </w:rPr>
            </w:pPr>
          </w:p>
        </w:tc>
        <w:tc>
          <w:tcPr>
            <w:tcW w:w="1140" w:type="pct"/>
            <w:noWrap/>
            <w:vAlign w:val="center"/>
          </w:tcPr>
          <w:p w14:paraId="0A162999">
            <w:pPr>
              <w:pStyle w:val="17"/>
              <w:bidi w:val="0"/>
              <w:rPr>
                <w:rFonts w:ascii="Times New Roman" w:hAnsi="Times New Roman"/>
                <w:b/>
                <w:bCs/>
                <w:color w:val="auto"/>
              </w:rPr>
            </w:pPr>
            <w:r>
              <w:rPr>
                <w:rFonts w:ascii="Times New Roman" w:hAnsi="Times New Roman"/>
                <w:b/>
                <w:bCs/>
                <w:color w:val="auto"/>
              </w:rPr>
              <w:t>（d/a）</w:t>
            </w:r>
          </w:p>
        </w:tc>
        <w:tc>
          <w:tcPr>
            <w:tcW w:w="640" w:type="pct"/>
            <w:noWrap/>
            <w:vAlign w:val="center"/>
          </w:tcPr>
          <w:p w14:paraId="0F467CEB">
            <w:pPr>
              <w:pStyle w:val="17"/>
              <w:bidi w:val="0"/>
              <w:rPr>
                <w:rFonts w:ascii="Times New Roman" w:hAnsi="Times New Roman"/>
                <w:b/>
                <w:bCs/>
                <w:color w:val="auto"/>
              </w:rPr>
            </w:pPr>
            <w:r>
              <w:rPr>
                <w:rFonts w:ascii="Times New Roman" w:hAnsi="Times New Roman"/>
                <w:b/>
                <w:bCs/>
                <w:color w:val="auto"/>
              </w:rPr>
              <w:t>（次/a）</w:t>
            </w:r>
          </w:p>
        </w:tc>
        <w:tc>
          <w:tcPr>
            <w:tcW w:w="602" w:type="pct"/>
            <w:noWrap/>
            <w:vAlign w:val="center"/>
          </w:tcPr>
          <w:p w14:paraId="1E330EE7">
            <w:pPr>
              <w:pStyle w:val="17"/>
              <w:bidi w:val="0"/>
              <w:rPr>
                <w:rFonts w:ascii="Times New Roman" w:hAnsi="Times New Roman"/>
                <w:b/>
                <w:bCs/>
                <w:color w:val="auto"/>
              </w:rPr>
            </w:pPr>
            <w:r>
              <w:rPr>
                <w:rFonts w:hint="eastAsia" w:ascii="Times New Roman" w:hAnsi="Times New Roman"/>
                <w:b/>
                <w:bCs/>
                <w:color w:val="auto"/>
              </w:rPr>
              <w:t>3</w:t>
            </w:r>
            <w:r>
              <w:rPr>
                <w:rFonts w:ascii="Times New Roman" w:hAnsi="Times New Roman"/>
                <w:b/>
                <w:bCs/>
                <w:color w:val="auto"/>
              </w:rPr>
              <w:t>个月</w:t>
            </w:r>
          </w:p>
        </w:tc>
        <w:tc>
          <w:tcPr>
            <w:tcW w:w="406" w:type="pct"/>
            <w:noWrap/>
            <w:vAlign w:val="center"/>
          </w:tcPr>
          <w:p w14:paraId="27CF6AFE">
            <w:pPr>
              <w:pStyle w:val="17"/>
              <w:bidi w:val="0"/>
              <w:rPr>
                <w:rFonts w:ascii="Times New Roman" w:hAnsi="Times New Roman"/>
                <w:b/>
                <w:bCs/>
                <w:color w:val="auto"/>
              </w:rPr>
            </w:pPr>
            <w:r>
              <w:rPr>
                <w:rFonts w:ascii="Times New Roman" w:hAnsi="Times New Roman"/>
                <w:b/>
                <w:bCs/>
                <w:color w:val="auto"/>
              </w:rPr>
              <w:t>1.0</w:t>
            </w:r>
          </w:p>
        </w:tc>
        <w:tc>
          <w:tcPr>
            <w:tcW w:w="635" w:type="pct"/>
            <w:noWrap/>
            <w:vAlign w:val="center"/>
          </w:tcPr>
          <w:p w14:paraId="5B485927">
            <w:pPr>
              <w:pStyle w:val="17"/>
              <w:bidi w:val="0"/>
              <w:rPr>
                <w:rFonts w:ascii="Times New Roman" w:hAnsi="Times New Roman"/>
                <w:b/>
                <w:bCs/>
                <w:color w:val="auto"/>
              </w:rPr>
            </w:pPr>
            <w:r>
              <w:rPr>
                <w:rFonts w:ascii="Times New Roman" w:hAnsi="Times New Roman"/>
                <w:b/>
                <w:bCs/>
                <w:color w:val="auto"/>
              </w:rPr>
              <w:t xml:space="preserve">2.0 </w:t>
            </w:r>
          </w:p>
        </w:tc>
      </w:tr>
      <w:tr w14:paraId="4590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388F324E">
            <w:pPr>
              <w:pStyle w:val="17"/>
              <w:bidi w:val="0"/>
              <w:rPr>
                <w:rFonts w:ascii="Times New Roman" w:hAnsi="Times New Roman"/>
                <w:color w:val="auto"/>
              </w:rPr>
            </w:pPr>
            <w:r>
              <w:rPr>
                <w:rFonts w:ascii="Times New Roman" w:hAnsi="Times New Roman"/>
                <w:color w:val="auto"/>
              </w:rPr>
              <w:t>1</w:t>
            </w:r>
          </w:p>
        </w:tc>
        <w:tc>
          <w:tcPr>
            <w:tcW w:w="1208" w:type="pct"/>
            <w:noWrap/>
            <w:vAlign w:val="center"/>
          </w:tcPr>
          <w:p w14:paraId="6889BCDE">
            <w:pPr>
              <w:pStyle w:val="17"/>
              <w:bidi w:val="0"/>
              <w:rPr>
                <w:rFonts w:ascii="Times New Roman" w:hAnsi="Times New Roman"/>
                <w:color w:val="auto"/>
              </w:rPr>
            </w:pPr>
            <w:r>
              <w:rPr>
                <w:rFonts w:ascii="Times New Roman" w:hAnsi="Times New Roman"/>
                <w:color w:val="auto"/>
              </w:rPr>
              <w:t>流动资产</w:t>
            </w:r>
          </w:p>
        </w:tc>
        <w:tc>
          <w:tcPr>
            <w:tcW w:w="1140" w:type="pct"/>
            <w:noWrap/>
            <w:vAlign w:val="center"/>
          </w:tcPr>
          <w:p w14:paraId="071F707C">
            <w:pPr>
              <w:pStyle w:val="17"/>
              <w:bidi w:val="0"/>
              <w:rPr>
                <w:rFonts w:ascii="Times New Roman" w:hAnsi="Times New Roman"/>
                <w:color w:val="auto"/>
              </w:rPr>
            </w:pPr>
            <w:r>
              <w:rPr>
                <w:rFonts w:hint="eastAsia" w:ascii="Times New Roman" w:hAnsi="Times New Roman"/>
                <w:color w:val="auto"/>
              </w:rPr>
              <w:t>流动资产</w:t>
            </w:r>
          </w:p>
        </w:tc>
        <w:tc>
          <w:tcPr>
            <w:tcW w:w="640" w:type="pct"/>
            <w:noWrap/>
            <w:vAlign w:val="center"/>
          </w:tcPr>
          <w:p w14:paraId="5C2B04BC">
            <w:pPr>
              <w:pStyle w:val="17"/>
              <w:bidi w:val="0"/>
              <w:rPr>
                <w:rFonts w:ascii="Times New Roman" w:hAnsi="Times New Roman"/>
                <w:color w:val="auto"/>
              </w:rPr>
            </w:pPr>
          </w:p>
        </w:tc>
        <w:tc>
          <w:tcPr>
            <w:tcW w:w="602" w:type="pct"/>
            <w:noWrap/>
            <w:vAlign w:val="center"/>
          </w:tcPr>
          <w:p w14:paraId="79618945">
            <w:pPr>
              <w:pStyle w:val="17"/>
              <w:bidi w:val="0"/>
              <w:rPr>
                <w:rFonts w:ascii="Times New Roman" w:hAnsi="Times New Roman"/>
                <w:color w:val="auto"/>
              </w:rPr>
            </w:pPr>
          </w:p>
        </w:tc>
        <w:tc>
          <w:tcPr>
            <w:tcW w:w="406" w:type="pct"/>
            <w:noWrap/>
            <w:vAlign w:val="center"/>
          </w:tcPr>
          <w:p w14:paraId="2DDC0844">
            <w:pPr>
              <w:pStyle w:val="17"/>
              <w:bidi w:val="0"/>
              <w:rPr>
                <w:rFonts w:ascii="Times New Roman" w:hAnsi="Times New Roman"/>
                <w:color w:val="auto"/>
              </w:rPr>
            </w:pPr>
          </w:p>
        </w:tc>
        <w:tc>
          <w:tcPr>
            <w:tcW w:w="635" w:type="pct"/>
            <w:noWrap/>
            <w:vAlign w:val="center"/>
          </w:tcPr>
          <w:p w14:paraId="6D35D744">
            <w:pPr>
              <w:pStyle w:val="17"/>
              <w:bidi w:val="0"/>
              <w:rPr>
                <w:rFonts w:ascii="Times New Roman" w:hAnsi="Times New Roman"/>
                <w:color w:val="auto"/>
              </w:rPr>
            </w:pPr>
            <w:r>
              <w:rPr>
                <w:rFonts w:hint="eastAsia" w:ascii="Times New Roman" w:hAnsi="Times New Roman"/>
                <w:color w:val="auto"/>
              </w:rPr>
              <w:t>300.23</w:t>
            </w:r>
          </w:p>
        </w:tc>
      </w:tr>
      <w:tr w14:paraId="6A4F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49D70AF5">
            <w:pPr>
              <w:pStyle w:val="17"/>
              <w:bidi w:val="0"/>
              <w:rPr>
                <w:rFonts w:ascii="Times New Roman" w:hAnsi="Times New Roman"/>
                <w:color w:val="auto"/>
              </w:rPr>
            </w:pPr>
            <w:r>
              <w:rPr>
                <w:rFonts w:ascii="Times New Roman" w:hAnsi="Times New Roman"/>
                <w:color w:val="auto"/>
              </w:rPr>
              <w:t>1.1</w:t>
            </w:r>
          </w:p>
        </w:tc>
        <w:tc>
          <w:tcPr>
            <w:tcW w:w="1208" w:type="pct"/>
            <w:noWrap/>
            <w:vAlign w:val="center"/>
          </w:tcPr>
          <w:p w14:paraId="59CC4640">
            <w:pPr>
              <w:pStyle w:val="17"/>
              <w:bidi w:val="0"/>
              <w:rPr>
                <w:rFonts w:ascii="Times New Roman" w:hAnsi="Times New Roman"/>
                <w:color w:val="auto"/>
              </w:rPr>
            </w:pPr>
            <w:r>
              <w:rPr>
                <w:rFonts w:ascii="Times New Roman" w:hAnsi="Times New Roman"/>
                <w:color w:val="auto"/>
              </w:rPr>
              <w:t>应收帐款</w:t>
            </w:r>
          </w:p>
        </w:tc>
        <w:tc>
          <w:tcPr>
            <w:tcW w:w="1140" w:type="pct"/>
            <w:noWrap/>
            <w:vAlign w:val="center"/>
          </w:tcPr>
          <w:p w14:paraId="0CAFD8A6">
            <w:pPr>
              <w:pStyle w:val="17"/>
              <w:bidi w:val="0"/>
              <w:rPr>
                <w:rFonts w:ascii="Times New Roman" w:hAnsi="Times New Roman"/>
                <w:color w:val="auto"/>
              </w:rPr>
            </w:pPr>
            <w:r>
              <w:rPr>
                <w:rFonts w:hint="eastAsia" w:ascii="Times New Roman" w:hAnsi="Times New Roman"/>
                <w:color w:val="auto"/>
              </w:rPr>
              <w:t>应收帐款</w:t>
            </w:r>
          </w:p>
        </w:tc>
        <w:tc>
          <w:tcPr>
            <w:tcW w:w="640" w:type="pct"/>
            <w:noWrap/>
            <w:vAlign w:val="center"/>
          </w:tcPr>
          <w:p w14:paraId="51171226">
            <w:pPr>
              <w:pStyle w:val="17"/>
              <w:bidi w:val="0"/>
              <w:rPr>
                <w:rFonts w:ascii="Times New Roman" w:hAnsi="Times New Roman"/>
                <w:color w:val="auto"/>
              </w:rPr>
            </w:pPr>
            <w:r>
              <w:rPr>
                <w:rFonts w:hint="eastAsia" w:ascii="Times New Roman" w:hAnsi="Times New Roman"/>
                <w:color w:val="auto"/>
              </w:rPr>
              <w:t>30</w:t>
            </w:r>
          </w:p>
        </w:tc>
        <w:tc>
          <w:tcPr>
            <w:tcW w:w="602" w:type="pct"/>
            <w:noWrap/>
            <w:vAlign w:val="center"/>
          </w:tcPr>
          <w:p w14:paraId="7D201E55">
            <w:pPr>
              <w:pStyle w:val="17"/>
              <w:bidi w:val="0"/>
              <w:rPr>
                <w:rFonts w:ascii="Times New Roman" w:hAnsi="Times New Roman"/>
                <w:color w:val="auto"/>
              </w:rPr>
            </w:pPr>
            <w:r>
              <w:rPr>
                <w:rFonts w:hint="eastAsia" w:ascii="Times New Roman" w:hAnsi="Times New Roman"/>
                <w:color w:val="auto"/>
              </w:rPr>
              <w:t>12</w:t>
            </w:r>
          </w:p>
        </w:tc>
        <w:tc>
          <w:tcPr>
            <w:tcW w:w="406" w:type="pct"/>
            <w:noWrap/>
            <w:vAlign w:val="center"/>
          </w:tcPr>
          <w:p w14:paraId="54389D9C">
            <w:pPr>
              <w:pStyle w:val="17"/>
              <w:bidi w:val="0"/>
              <w:rPr>
                <w:rFonts w:ascii="Times New Roman" w:hAnsi="Times New Roman"/>
                <w:color w:val="auto"/>
              </w:rPr>
            </w:pPr>
          </w:p>
        </w:tc>
        <w:tc>
          <w:tcPr>
            <w:tcW w:w="635" w:type="pct"/>
            <w:noWrap/>
            <w:vAlign w:val="center"/>
          </w:tcPr>
          <w:p w14:paraId="1B0357E5">
            <w:pPr>
              <w:pStyle w:val="17"/>
              <w:bidi w:val="0"/>
              <w:rPr>
                <w:rFonts w:ascii="Times New Roman" w:hAnsi="Times New Roman"/>
                <w:color w:val="auto"/>
              </w:rPr>
            </w:pPr>
            <w:r>
              <w:rPr>
                <w:rFonts w:hint="eastAsia" w:ascii="Times New Roman" w:hAnsi="Times New Roman"/>
                <w:color w:val="auto"/>
              </w:rPr>
              <w:t>101.82</w:t>
            </w:r>
          </w:p>
        </w:tc>
      </w:tr>
      <w:tr w14:paraId="5AA7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0CC9C7FE">
            <w:pPr>
              <w:pStyle w:val="17"/>
              <w:bidi w:val="0"/>
              <w:rPr>
                <w:rFonts w:ascii="Times New Roman" w:hAnsi="Times New Roman"/>
                <w:color w:val="auto"/>
              </w:rPr>
            </w:pPr>
            <w:r>
              <w:rPr>
                <w:rFonts w:ascii="Times New Roman" w:hAnsi="Times New Roman"/>
                <w:color w:val="auto"/>
              </w:rPr>
              <w:t>1.2</w:t>
            </w:r>
          </w:p>
        </w:tc>
        <w:tc>
          <w:tcPr>
            <w:tcW w:w="1208" w:type="pct"/>
            <w:noWrap/>
            <w:vAlign w:val="center"/>
          </w:tcPr>
          <w:p w14:paraId="340A1C50">
            <w:pPr>
              <w:pStyle w:val="17"/>
              <w:bidi w:val="0"/>
              <w:rPr>
                <w:rFonts w:ascii="Times New Roman" w:hAnsi="Times New Roman"/>
                <w:color w:val="auto"/>
              </w:rPr>
            </w:pPr>
            <w:r>
              <w:rPr>
                <w:rFonts w:ascii="Times New Roman" w:hAnsi="Times New Roman"/>
                <w:color w:val="auto"/>
              </w:rPr>
              <w:t>存货</w:t>
            </w:r>
          </w:p>
        </w:tc>
        <w:tc>
          <w:tcPr>
            <w:tcW w:w="1140" w:type="pct"/>
            <w:noWrap/>
            <w:vAlign w:val="center"/>
          </w:tcPr>
          <w:p w14:paraId="02ECF605">
            <w:pPr>
              <w:pStyle w:val="17"/>
              <w:bidi w:val="0"/>
              <w:rPr>
                <w:rFonts w:ascii="Times New Roman" w:hAnsi="Times New Roman"/>
                <w:color w:val="auto"/>
              </w:rPr>
            </w:pPr>
            <w:r>
              <w:rPr>
                <w:rFonts w:hint="eastAsia" w:ascii="Times New Roman" w:hAnsi="Times New Roman"/>
                <w:color w:val="auto"/>
              </w:rPr>
              <w:t>存货</w:t>
            </w:r>
          </w:p>
        </w:tc>
        <w:tc>
          <w:tcPr>
            <w:tcW w:w="640" w:type="pct"/>
            <w:noWrap/>
            <w:vAlign w:val="center"/>
          </w:tcPr>
          <w:p w14:paraId="57A6BFD5">
            <w:pPr>
              <w:pStyle w:val="17"/>
              <w:bidi w:val="0"/>
              <w:rPr>
                <w:rFonts w:ascii="Times New Roman" w:hAnsi="Times New Roman"/>
                <w:color w:val="auto"/>
              </w:rPr>
            </w:pPr>
          </w:p>
        </w:tc>
        <w:tc>
          <w:tcPr>
            <w:tcW w:w="602" w:type="pct"/>
            <w:noWrap/>
            <w:vAlign w:val="center"/>
          </w:tcPr>
          <w:p w14:paraId="331A3A0E">
            <w:pPr>
              <w:pStyle w:val="17"/>
              <w:bidi w:val="0"/>
              <w:rPr>
                <w:rFonts w:ascii="Times New Roman" w:hAnsi="Times New Roman"/>
                <w:color w:val="auto"/>
              </w:rPr>
            </w:pPr>
          </w:p>
        </w:tc>
        <w:tc>
          <w:tcPr>
            <w:tcW w:w="406" w:type="pct"/>
            <w:noWrap/>
            <w:vAlign w:val="center"/>
          </w:tcPr>
          <w:p w14:paraId="1031F63E">
            <w:pPr>
              <w:pStyle w:val="17"/>
              <w:bidi w:val="0"/>
              <w:rPr>
                <w:rFonts w:ascii="Times New Roman" w:hAnsi="Times New Roman"/>
                <w:color w:val="auto"/>
              </w:rPr>
            </w:pPr>
          </w:p>
        </w:tc>
        <w:tc>
          <w:tcPr>
            <w:tcW w:w="635" w:type="pct"/>
            <w:noWrap/>
            <w:vAlign w:val="center"/>
          </w:tcPr>
          <w:p w14:paraId="67C0631E">
            <w:pPr>
              <w:pStyle w:val="17"/>
              <w:bidi w:val="0"/>
              <w:rPr>
                <w:rFonts w:ascii="Times New Roman" w:hAnsi="Times New Roman"/>
                <w:color w:val="auto"/>
              </w:rPr>
            </w:pPr>
            <w:r>
              <w:rPr>
                <w:rFonts w:hint="eastAsia" w:ascii="Times New Roman" w:hAnsi="Times New Roman"/>
                <w:color w:val="auto"/>
              </w:rPr>
              <w:t>143.06</w:t>
            </w:r>
          </w:p>
        </w:tc>
      </w:tr>
      <w:tr w14:paraId="503C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5FEA147C">
            <w:pPr>
              <w:pStyle w:val="17"/>
              <w:bidi w:val="0"/>
              <w:rPr>
                <w:rFonts w:ascii="Times New Roman" w:hAnsi="Times New Roman"/>
                <w:color w:val="auto"/>
              </w:rPr>
            </w:pPr>
            <w:r>
              <w:rPr>
                <w:rFonts w:ascii="Times New Roman" w:hAnsi="Times New Roman"/>
                <w:color w:val="auto"/>
              </w:rPr>
              <w:t>1.2.1</w:t>
            </w:r>
          </w:p>
        </w:tc>
        <w:tc>
          <w:tcPr>
            <w:tcW w:w="1208" w:type="pct"/>
            <w:noWrap/>
            <w:vAlign w:val="center"/>
          </w:tcPr>
          <w:p w14:paraId="3220CADD">
            <w:pPr>
              <w:pStyle w:val="17"/>
              <w:bidi w:val="0"/>
              <w:rPr>
                <w:rFonts w:ascii="Times New Roman" w:hAnsi="Times New Roman"/>
                <w:color w:val="auto"/>
              </w:rPr>
            </w:pPr>
            <w:r>
              <w:rPr>
                <w:rFonts w:ascii="Times New Roman" w:hAnsi="Times New Roman"/>
                <w:color w:val="auto"/>
              </w:rPr>
              <w:t>原材料</w:t>
            </w:r>
          </w:p>
        </w:tc>
        <w:tc>
          <w:tcPr>
            <w:tcW w:w="1140" w:type="pct"/>
            <w:noWrap/>
            <w:vAlign w:val="center"/>
          </w:tcPr>
          <w:p w14:paraId="2F1356C1">
            <w:pPr>
              <w:pStyle w:val="17"/>
              <w:bidi w:val="0"/>
              <w:rPr>
                <w:rFonts w:ascii="Times New Roman" w:hAnsi="Times New Roman"/>
                <w:color w:val="auto"/>
              </w:rPr>
            </w:pPr>
            <w:r>
              <w:rPr>
                <w:rFonts w:hint="eastAsia" w:ascii="Times New Roman" w:hAnsi="Times New Roman"/>
                <w:color w:val="auto"/>
              </w:rPr>
              <w:t>原材料</w:t>
            </w:r>
          </w:p>
        </w:tc>
        <w:tc>
          <w:tcPr>
            <w:tcW w:w="640" w:type="pct"/>
            <w:noWrap/>
            <w:vAlign w:val="center"/>
          </w:tcPr>
          <w:p w14:paraId="13F3F51F">
            <w:pPr>
              <w:pStyle w:val="17"/>
              <w:bidi w:val="0"/>
              <w:rPr>
                <w:rFonts w:ascii="Times New Roman" w:hAnsi="Times New Roman"/>
                <w:color w:val="auto"/>
              </w:rPr>
            </w:pPr>
            <w:r>
              <w:rPr>
                <w:rFonts w:hint="eastAsia" w:ascii="Times New Roman" w:hAnsi="Times New Roman"/>
                <w:color w:val="auto"/>
              </w:rPr>
              <w:t>30</w:t>
            </w:r>
          </w:p>
        </w:tc>
        <w:tc>
          <w:tcPr>
            <w:tcW w:w="602" w:type="pct"/>
            <w:noWrap/>
            <w:vAlign w:val="center"/>
          </w:tcPr>
          <w:p w14:paraId="110F52EC">
            <w:pPr>
              <w:pStyle w:val="17"/>
              <w:bidi w:val="0"/>
              <w:rPr>
                <w:rFonts w:ascii="Times New Roman" w:hAnsi="Times New Roman"/>
                <w:color w:val="auto"/>
              </w:rPr>
            </w:pPr>
            <w:r>
              <w:rPr>
                <w:rFonts w:hint="eastAsia" w:ascii="Times New Roman" w:hAnsi="Times New Roman"/>
                <w:color w:val="auto"/>
              </w:rPr>
              <w:t>12</w:t>
            </w:r>
          </w:p>
        </w:tc>
        <w:tc>
          <w:tcPr>
            <w:tcW w:w="406" w:type="pct"/>
            <w:noWrap/>
            <w:vAlign w:val="center"/>
          </w:tcPr>
          <w:p w14:paraId="13ECE51B">
            <w:pPr>
              <w:pStyle w:val="17"/>
              <w:bidi w:val="0"/>
              <w:rPr>
                <w:rFonts w:ascii="Times New Roman" w:hAnsi="Times New Roman"/>
                <w:color w:val="auto"/>
              </w:rPr>
            </w:pPr>
          </w:p>
        </w:tc>
        <w:tc>
          <w:tcPr>
            <w:tcW w:w="635" w:type="pct"/>
            <w:noWrap/>
            <w:vAlign w:val="center"/>
          </w:tcPr>
          <w:p w14:paraId="021DE739">
            <w:pPr>
              <w:pStyle w:val="17"/>
              <w:bidi w:val="0"/>
              <w:rPr>
                <w:rFonts w:ascii="Times New Roman" w:hAnsi="Times New Roman"/>
                <w:color w:val="auto"/>
              </w:rPr>
            </w:pPr>
            <w:r>
              <w:rPr>
                <w:rFonts w:hint="eastAsia" w:ascii="Times New Roman" w:hAnsi="Times New Roman"/>
                <w:color w:val="auto"/>
              </w:rPr>
              <w:t>57.72</w:t>
            </w:r>
          </w:p>
        </w:tc>
      </w:tr>
      <w:tr w14:paraId="6F4F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2DEB0E6C">
            <w:pPr>
              <w:pStyle w:val="17"/>
              <w:bidi w:val="0"/>
              <w:rPr>
                <w:rFonts w:ascii="Times New Roman" w:hAnsi="Times New Roman"/>
                <w:color w:val="auto"/>
              </w:rPr>
            </w:pPr>
            <w:r>
              <w:rPr>
                <w:rFonts w:ascii="Times New Roman" w:hAnsi="Times New Roman"/>
                <w:color w:val="auto"/>
              </w:rPr>
              <w:t>1.2.2</w:t>
            </w:r>
          </w:p>
        </w:tc>
        <w:tc>
          <w:tcPr>
            <w:tcW w:w="1208" w:type="pct"/>
            <w:noWrap/>
            <w:vAlign w:val="center"/>
          </w:tcPr>
          <w:p w14:paraId="2D95237F">
            <w:pPr>
              <w:pStyle w:val="17"/>
              <w:bidi w:val="0"/>
              <w:rPr>
                <w:rFonts w:ascii="Times New Roman" w:hAnsi="Times New Roman"/>
                <w:color w:val="auto"/>
              </w:rPr>
            </w:pPr>
            <w:r>
              <w:rPr>
                <w:rFonts w:ascii="Times New Roman" w:hAnsi="Times New Roman"/>
                <w:color w:val="auto"/>
              </w:rPr>
              <w:t>燃料</w:t>
            </w:r>
          </w:p>
        </w:tc>
        <w:tc>
          <w:tcPr>
            <w:tcW w:w="1140" w:type="pct"/>
            <w:noWrap/>
            <w:vAlign w:val="center"/>
          </w:tcPr>
          <w:p w14:paraId="4D7F85F2">
            <w:pPr>
              <w:pStyle w:val="17"/>
              <w:bidi w:val="0"/>
              <w:rPr>
                <w:rFonts w:ascii="Times New Roman" w:hAnsi="Times New Roman"/>
                <w:color w:val="auto"/>
              </w:rPr>
            </w:pPr>
            <w:r>
              <w:rPr>
                <w:rFonts w:hint="eastAsia" w:ascii="Times New Roman" w:hAnsi="Times New Roman"/>
                <w:color w:val="auto"/>
              </w:rPr>
              <w:t>燃料</w:t>
            </w:r>
          </w:p>
        </w:tc>
        <w:tc>
          <w:tcPr>
            <w:tcW w:w="640" w:type="pct"/>
            <w:noWrap/>
            <w:vAlign w:val="center"/>
          </w:tcPr>
          <w:p w14:paraId="30426158">
            <w:pPr>
              <w:pStyle w:val="17"/>
              <w:bidi w:val="0"/>
              <w:rPr>
                <w:rFonts w:ascii="Times New Roman" w:hAnsi="Times New Roman"/>
                <w:color w:val="auto"/>
              </w:rPr>
            </w:pPr>
            <w:r>
              <w:rPr>
                <w:rFonts w:hint="eastAsia" w:ascii="Times New Roman" w:hAnsi="Times New Roman"/>
                <w:color w:val="auto"/>
              </w:rPr>
              <w:t>15</w:t>
            </w:r>
          </w:p>
        </w:tc>
        <w:tc>
          <w:tcPr>
            <w:tcW w:w="602" w:type="pct"/>
            <w:noWrap/>
            <w:vAlign w:val="center"/>
          </w:tcPr>
          <w:p w14:paraId="7D9D2AEE">
            <w:pPr>
              <w:pStyle w:val="17"/>
              <w:bidi w:val="0"/>
              <w:rPr>
                <w:rFonts w:ascii="Times New Roman" w:hAnsi="Times New Roman"/>
                <w:color w:val="auto"/>
              </w:rPr>
            </w:pPr>
            <w:r>
              <w:rPr>
                <w:rFonts w:hint="eastAsia" w:ascii="Times New Roman" w:hAnsi="Times New Roman"/>
                <w:color w:val="auto"/>
              </w:rPr>
              <w:t>24</w:t>
            </w:r>
          </w:p>
        </w:tc>
        <w:tc>
          <w:tcPr>
            <w:tcW w:w="406" w:type="pct"/>
            <w:noWrap/>
            <w:vAlign w:val="center"/>
          </w:tcPr>
          <w:p w14:paraId="1184F4FC">
            <w:pPr>
              <w:pStyle w:val="17"/>
              <w:bidi w:val="0"/>
              <w:rPr>
                <w:rFonts w:ascii="Times New Roman" w:hAnsi="Times New Roman"/>
                <w:color w:val="auto"/>
              </w:rPr>
            </w:pPr>
          </w:p>
        </w:tc>
        <w:tc>
          <w:tcPr>
            <w:tcW w:w="635" w:type="pct"/>
            <w:noWrap/>
            <w:vAlign w:val="center"/>
          </w:tcPr>
          <w:p w14:paraId="34B7193A">
            <w:pPr>
              <w:pStyle w:val="17"/>
              <w:bidi w:val="0"/>
              <w:rPr>
                <w:rFonts w:ascii="Times New Roman" w:hAnsi="Times New Roman"/>
                <w:color w:val="auto"/>
              </w:rPr>
            </w:pPr>
            <w:r>
              <w:rPr>
                <w:rFonts w:hint="eastAsia" w:ascii="Times New Roman" w:hAnsi="Times New Roman"/>
                <w:color w:val="auto"/>
              </w:rPr>
              <w:t>0.00</w:t>
            </w:r>
          </w:p>
        </w:tc>
      </w:tr>
      <w:tr w14:paraId="05CD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596C4535">
            <w:pPr>
              <w:pStyle w:val="17"/>
              <w:bidi w:val="0"/>
              <w:rPr>
                <w:rFonts w:ascii="Times New Roman" w:hAnsi="Times New Roman"/>
                <w:color w:val="auto"/>
              </w:rPr>
            </w:pPr>
            <w:r>
              <w:rPr>
                <w:rFonts w:ascii="Times New Roman" w:hAnsi="Times New Roman"/>
                <w:color w:val="auto"/>
              </w:rPr>
              <w:t>1.2.3</w:t>
            </w:r>
          </w:p>
        </w:tc>
        <w:tc>
          <w:tcPr>
            <w:tcW w:w="1208" w:type="pct"/>
            <w:noWrap/>
            <w:vAlign w:val="center"/>
          </w:tcPr>
          <w:p w14:paraId="29A7EDED">
            <w:pPr>
              <w:pStyle w:val="17"/>
              <w:bidi w:val="0"/>
              <w:rPr>
                <w:rFonts w:ascii="Times New Roman" w:hAnsi="Times New Roman"/>
                <w:color w:val="auto"/>
              </w:rPr>
            </w:pPr>
            <w:r>
              <w:rPr>
                <w:rFonts w:ascii="Times New Roman" w:hAnsi="Times New Roman"/>
                <w:color w:val="auto"/>
              </w:rPr>
              <w:t>在产品</w:t>
            </w:r>
          </w:p>
        </w:tc>
        <w:tc>
          <w:tcPr>
            <w:tcW w:w="1140" w:type="pct"/>
            <w:noWrap/>
            <w:vAlign w:val="center"/>
          </w:tcPr>
          <w:p w14:paraId="2A5F779D">
            <w:pPr>
              <w:pStyle w:val="17"/>
              <w:bidi w:val="0"/>
              <w:rPr>
                <w:rFonts w:ascii="Times New Roman" w:hAnsi="Times New Roman"/>
                <w:color w:val="auto"/>
              </w:rPr>
            </w:pPr>
            <w:r>
              <w:rPr>
                <w:rFonts w:hint="eastAsia" w:ascii="Times New Roman" w:hAnsi="Times New Roman"/>
                <w:color w:val="auto"/>
              </w:rPr>
              <w:t>在产品</w:t>
            </w:r>
          </w:p>
        </w:tc>
        <w:tc>
          <w:tcPr>
            <w:tcW w:w="640" w:type="pct"/>
            <w:noWrap/>
            <w:vAlign w:val="center"/>
          </w:tcPr>
          <w:p w14:paraId="2B7C85B2">
            <w:pPr>
              <w:pStyle w:val="17"/>
              <w:bidi w:val="0"/>
              <w:rPr>
                <w:rFonts w:ascii="Times New Roman" w:hAnsi="Times New Roman"/>
                <w:color w:val="auto"/>
              </w:rPr>
            </w:pPr>
            <w:r>
              <w:rPr>
                <w:rFonts w:hint="eastAsia" w:ascii="Times New Roman" w:hAnsi="Times New Roman"/>
                <w:color w:val="auto"/>
              </w:rPr>
              <w:t>10</w:t>
            </w:r>
          </w:p>
        </w:tc>
        <w:tc>
          <w:tcPr>
            <w:tcW w:w="602" w:type="pct"/>
            <w:noWrap/>
            <w:vAlign w:val="center"/>
          </w:tcPr>
          <w:p w14:paraId="6321D853">
            <w:pPr>
              <w:pStyle w:val="17"/>
              <w:bidi w:val="0"/>
              <w:rPr>
                <w:rFonts w:ascii="Times New Roman" w:hAnsi="Times New Roman"/>
                <w:color w:val="auto"/>
              </w:rPr>
            </w:pPr>
            <w:r>
              <w:rPr>
                <w:rFonts w:hint="eastAsia" w:ascii="Times New Roman" w:hAnsi="Times New Roman"/>
                <w:color w:val="auto"/>
              </w:rPr>
              <w:t>36</w:t>
            </w:r>
          </w:p>
        </w:tc>
        <w:tc>
          <w:tcPr>
            <w:tcW w:w="406" w:type="pct"/>
            <w:noWrap/>
            <w:vAlign w:val="center"/>
          </w:tcPr>
          <w:p w14:paraId="2474E01D">
            <w:pPr>
              <w:pStyle w:val="17"/>
              <w:bidi w:val="0"/>
              <w:rPr>
                <w:rFonts w:ascii="Times New Roman" w:hAnsi="Times New Roman"/>
                <w:color w:val="auto"/>
              </w:rPr>
            </w:pPr>
          </w:p>
        </w:tc>
        <w:tc>
          <w:tcPr>
            <w:tcW w:w="635" w:type="pct"/>
            <w:noWrap/>
            <w:vAlign w:val="center"/>
          </w:tcPr>
          <w:p w14:paraId="32C68AF5">
            <w:pPr>
              <w:pStyle w:val="17"/>
              <w:bidi w:val="0"/>
              <w:rPr>
                <w:rFonts w:ascii="Times New Roman" w:hAnsi="Times New Roman"/>
                <w:color w:val="auto"/>
              </w:rPr>
            </w:pPr>
            <w:r>
              <w:rPr>
                <w:rFonts w:hint="eastAsia" w:ascii="Times New Roman" w:hAnsi="Times New Roman"/>
                <w:color w:val="auto"/>
              </w:rPr>
              <w:t>25.93</w:t>
            </w:r>
          </w:p>
        </w:tc>
      </w:tr>
      <w:tr w14:paraId="741F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3E336713">
            <w:pPr>
              <w:pStyle w:val="17"/>
              <w:bidi w:val="0"/>
              <w:rPr>
                <w:rFonts w:ascii="Times New Roman" w:hAnsi="Times New Roman"/>
                <w:color w:val="auto"/>
              </w:rPr>
            </w:pPr>
            <w:r>
              <w:rPr>
                <w:rFonts w:ascii="Times New Roman" w:hAnsi="Times New Roman"/>
                <w:color w:val="auto"/>
              </w:rPr>
              <w:t>1.2.4</w:t>
            </w:r>
          </w:p>
        </w:tc>
        <w:tc>
          <w:tcPr>
            <w:tcW w:w="1208" w:type="pct"/>
            <w:noWrap/>
            <w:vAlign w:val="center"/>
          </w:tcPr>
          <w:p w14:paraId="55061366">
            <w:pPr>
              <w:pStyle w:val="17"/>
              <w:bidi w:val="0"/>
              <w:rPr>
                <w:rFonts w:ascii="Times New Roman" w:hAnsi="Times New Roman"/>
                <w:color w:val="auto"/>
              </w:rPr>
            </w:pPr>
            <w:r>
              <w:rPr>
                <w:rFonts w:ascii="Times New Roman" w:hAnsi="Times New Roman"/>
                <w:color w:val="auto"/>
              </w:rPr>
              <w:t>产成品</w:t>
            </w:r>
          </w:p>
        </w:tc>
        <w:tc>
          <w:tcPr>
            <w:tcW w:w="1140" w:type="pct"/>
            <w:noWrap/>
            <w:vAlign w:val="center"/>
          </w:tcPr>
          <w:p w14:paraId="6523258A">
            <w:pPr>
              <w:pStyle w:val="17"/>
              <w:bidi w:val="0"/>
              <w:rPr>
                <w:rFonts w:ascii="Times New Roman" w:hAnsi="Times New Roman"/>
                <w:color w:val="auto"/>
              </w:rPr>
            </w:pPr>
            <w:r>
              <w:rPr>
                <w:rFonts w:hint="eastAsia" w:ascii="Times New Roman" w:hAnsi="Times New Roman"/>
                <w:color w:val="auto"/>
              </w:rPr>
              <w:t>产成品</w:t>
            </w:r>
          </w:p>
        </w:tc>
        <w:tc>
          <w:tcPr>
            <w:tcW w:w="640" w:type="pct"/>
            <w:noWrap/>
            <w:vAlign w:val="center"/>
          </w:tcPr>
          <w:p w14:paraId="10641825">
            <w:pPr>
              <w:pStyle w:val="17"/>
              <w:bidi w:val="0"/>
              <w:rPr>
                <w:rFonts w:ascii="Times New Roman" w:hAnsi="Times New Roman"/>
                <w:color w:val="auto"/>
              </w:rPr>
            </w:pPr>
            <w:r>
              <w:rPr>
                <w:rFonts w:hint="eastAsia" w:ascii="Times New Roman" w:hAnsi="Times New Roman"/>
                <w:color w:val="auto"/>
              </w:rPr>
              <w:t>15</w:t>
            </w:r>
          </w:p>
        </w:tc>
        <w:tc>
          <w:tcPr>
            <w:tcW w:w="602" w:type="pct"/>
            <w:noWrap/>
            <w:vAlign w:val="center"/>
          </w:tcPr>
          <w:p w14:paraId="6AFF0454">
            <w:pPr>
              <w:pStyle w:val="17"/>
              <w:bidi w:val="0"/>
              <w:rPr>
                <w:rFonts w:ascii="Times New Roman" w:hAnsi="Times New Roman"/>
                <w:color w:val="auto"/>
              </w:rPr>
            </w:pPr>
            <w:r>
              <w:rPr>
                <w:rFonts w:hint="eastAsia" w:ascii="Times New Roman" w:hAnsi="Times New Roman"/>
                <w:color w:val="auto"/>
              </w:rPr>
              <w:t>24</w:t>
            </w:r>
          </w:p>
        </w:tc>
        <w:tc>
          <w:tcPr>
            <w:tcW w:w="406" w:type="pct"/>
            <w:noWrap/>
            <w:vAlign w:val="center"/>
          </w:tcPr>
          <w:p w14:paraId="5455EFE5">
            <w:pPr>
              <w:pStyle w:val="17"/>
              <w:bidi w:val="0"/>
              <w:rPr>
                <w:rFonts w:ascii="Times New Roman" w:hAnsi="Times New Roman"/>
                <w:color w:val="auto"/>
              </w:rPr>
            </w:pPr>
          </w:p>
        </w:tc>
        <w:tc>
          <w:tcPr>
            <w:tcW w:w="635" w:type="pct"/>
            <w:noWrap/>
            <w:vAlign w:val="center"/>
          </w:tcPr>
          <w:p w14:paraId="7FE0F4E3">
            <w:pPr>
              <w:pStyle w:val="17"/>
              <w:bidi w:val="0"/>
              <w:rPr>
                <w:rFonts w:ascii="Times New Roman" w:hAnsi="Times New Roman"/>
                <w:color w:val="auto"/>
              </w:rPr>
            </w:pPr>
            <w:r>
              <w:rPr>
                <w:rFonts w:hint="eastAsia" w:ascii="Times New Roman" w:hAnsi="Times New Roman"/>
                <w:color w:val="auto"/>
              </w:rPr>
              <w:t>53.36</w:t>
            </w:r>
          </w:p>
        </w:tc>
      </w:tr>
      <w:tr w14:paraId="1AE2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7B71727E">
            <w:pPr>
              <w:pStyle w:val="17"/>
              <w:bidi w:val="0"/>
              <w:rPr>
                <w:rFonts w:ascii="Times New Roman" w:hAnsi="Times New Roman"/>
                <w:color w:val="auto"/>
              </w:rPr>
            </w:pPr>
            <w:r>
              <w:rPr>
                <w:rFonts w:ascii="Times New Roman" w:hAnsi="Times New Roman"/>
                <w:color w:val="auto"/>
              </w:rPr>
              <w:t>1.2.5</w:t>
            </w:r>
          </w:p>
        </w:tc>
        <w:tc>
          <w:tcPr>
            <w:tcW w:w="1208" w:type="pct"/>
            <w:noWrap/>
            <w:vAlign w:val="center"/>
          </w:tcPr>
          <w:p w14:paraId="4A423918">
            <w:pPr>
              <w:pStyle w:val="17"/>
              <w:bidi w:val="0"/>
              <w:rPr>
                <w:rFonts w:ascii="Times New Roman" w:hAnsi="Times New Roman"/>
                <w:color w:val="auto"/>
              </w:rPr>
            </w:pPr>
            <w:r>
              <w:rPr>
                <w:rFonts w:ascii="Times New Roman" w:hAnsi="Times New Roman"/>
                <w:color w:val="auto"/>
              </w:rPr>
              <w:t>备品备件</w:t>
            </w:r>
          </w:p>
        </w:tc>
        <w:tc>
          <w:tcPr>
            <w:tcW w:w="1140" w:type="pct"/>
            <w:noWrap/>
            <w:vAlign w:val="center"/>
          </w:tcPr>
          <w:p w14:paraId="69952828">
            <w:pPr>
              <w:pStyle w:val="17"/>
              <w:bidi w:val="0"/>
              <w:rPr>
                <w:rFonts w:ascii="Times New Roman" w:hAnsi="Times New Roman"/>
                <w:color w:val="auto"/>
              </w:rPr>
            </w:pPr>
            <w:r>
              <w:rPr>
                <w:rFonts w:hint="eastAsia" w:ascii="Times New Roman" w:hAnsi="Times New Roman"/>
                <w:color w:val="auto"/>
              </w:rPr>
              <w:t>备品备件</w:t>
            </w:r>
          </w:p>
        </w:tc>
        <w:tc>
          <w:tcPr>
            <w:tcW w:w="640" w:type="pct"/>
            <w:noWrap/>
            <w:vAlign w:val="center"/>
          </w:tcPr>
          <w:p w14:paraId="1A326997">
            <w:pPr>
              <w:pStyle w:val="17"/>
              <w:bidi w:val="0"/>
              <w:rPr>
                <w:rFonts w:ascii="Times New Roman" w:hAnsi="Times New Roman"/>
                <w:color w:val="auto"/>
              </w:rPr>
            </w:pPr>
            <w:r>
              <w:rPr>
                <w:rFonts w:hint="eastAsia" w:ascii="Times New Roman" w:hAnsi="Times New Roman"/>
                <w:color w:val="auto"/>
              </w:rPr>
              <w:t>30</w:t>
            </w:r>
          </w:p>
        </w:tc>
        <w:tc>
          <w:tcPr>
            <w:tcW w:w="602" w:type="pct"/>
            <w:noWrap/>
            <w:vAlign w:val="center"/>
          </w:tcPr>
          <w:p w14:paraId="1B097E47">
            <w:pPr>
              <w:pStyle w:val="17"/>
              <w:bidi w:val="0"/>
              <w:rPr>
                <w:rFonts w:ascii="Times New Roman" w:hAnsi="Times New Roman"/>
                <w:color w:val="auto"/>
              </w:rPr>
            </w:pPr>
            <w:r>
              <w:rPr>
                <w:rFonts w:hint="eastAsia" w:ascii="Times New Roman" w:hAnsi="Times New Roman"/>
                <w:color w:val="auto"/>
              </w:rPr>
              <w:t>12</w:t>
            </w:r>
          </w:p>
        </w:tc>
        <w:tc>
          <w:tcPr>
            <w:tcW w:w="406" w:type="pct"/>
            <w:noWrap/>
            <w:vAlign w:val="center"/>
          </w:tcPr>
          <w:p w14:paraId="563E3B04">
            <w:pPr>
              <w:pStyle w:val="17"/>
              <w:bidi w:val="0"/>
              <w:rPr>
                <w:rFonts w:ascii="Times New Roman" w:hAnsi="Times New Roman"/>
                <w:color w:val="auto"/>
              </w:rPr>
            </w:pPr>
          </w:p>
        </w:tc>
        <w:tc>
          <w:tcPr>
            <w:tcW w:w="635" w:type="pct"/>
            <w:noWrap/>
            <w:vAlign w:val="center"/>
          </w:tcPr>
          <w:p w14:paraId="2C6ADE66">
            <w:pPr>
              <w:pStyle w:val="17"/>
              <w:bidi w:val="0"/>
              <w:rPr>
                <w:rFonts w:ascii="Times New Roman" w:hAnsi="Times New Roman"/>
                <w:color w:val="auto"/>
              </w:rPr>
            </w:pPr>
            <w:r>
              <w:rPr>
                <w:rFonts w:hint="eastAsia" w:ascii="Times New Roman" w:hAnsi="Times New Roman"/>
                <w:color w:val="auto"/>
              </w:rPr>
              <w:t>6.06</w:t>
            </w:r>
          </w:p>
        </w:tc>
      </w:tr>
      <w:tr w14:paraId="6EEF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05791673">
            <w:pPr>
              <w:pStyle w:val="17"/>
              <w:bidi w:val="0"/>
              <w:rPr>
                <w:rFonts w:ascii="Times New Roman" w:hAnsi="Times New Roman"/>
                <w:color w:val="auto"/>
              </w:rPr>
            </w:pPr>
            <w:r>
              <w:rPr>
                <w:rFonts w:ascii="Times New Roman" w:hAnsi="Times New Roman"/>
                <w:color w:val="auto"/>
              </w:rPr>
              <w:t>1.3</w:t>
            </w:r>
          </w:p>
        </w:tc>
        <w:tc>
          <w:tcPr>
            <w:tcW w:w="1208" w:type="pct"/>
            <w:noWrap/>
            <w:vAlign w:val="center"/>
          </w:tcPr>
          <w:p w14:paraId="115EF486">
            <w:pPr>
              <w:pStyle w:val="17"/>
              <w:bidi w:val="0"/>
              <w:rPr>
                <w:rFonts w:ascii="Times New Roman" w:hAnsi="Times New Roman"/>
                <w:color w:val="auto"/>
              </w:rPr>
            </w:pPr>
            <w:r>
              <w:rPr>
                <w:rFonts w:ascii="Times New Roman" w:hAnsi="Times New Roman"/>
                <w:color w:val="auto"/>
              </w:rPr>
              <w:t>现金</w:t>
            </w:r>
          </w:p>
        </w:tc>
        <w:tc>
          <w:tcPr>
            <w:tcW w:w="1140" w:type="pct"/>
            <w:noWrap/>
            <w:vAlign w:val="center"/>
          </w:tcPr>
          <w:p w14:paraId="02D77BBF">
            <w:pPr>
              <w:pStyle w:val="17"/>
              <w:bidi w:val="0"/>
              <w:rPr>
                <w:rFonts w:ascii="Times New Roman" w:hAnsi="Times New Roman"/>
                <w:color w:val="auto"/>
              </w:rPr>
            </w:pPr>
            <w:r>
              <w:rPr>
                <w:rFonts w:hint="eastAsia" w:ascii="Times New Roman" w:hAnsi="Times New Roman"/>
                <w:color w:val="auto"/>
              </w:rPr>
              <w:t>现金</w:t>
            </w:r>
          </w:p>
        </w:tc>
        <w:tc>
          <w:tcPr>
            <w:tcW w:w="640" w:type="pct"/>
            <w:noWrap/>
            <w:vAlign w:val="center"/>
          </w:tcPr>
          <w:p w14:paraId="1FB2F14E">
            <w:pPr>
              <w:pStyle w:val="17"/>
              <w:bidi w:val="0"/>
              <w:rPr>
                <w:rFonts w:ascii="Times New Roman" w:hAnsi="Times New Roman"/>
                <w:color w:val="auto"/>
              </w:rPr>
            </w:pPr>
            <w:r>
              <w:rPr>
                <w:rFonts w:hint="eastAsia" w:ascii="Times New Roman" w:hAnsi="Times New Roman"/>
                <w:color w:val="auto"/>
              </w:rPr>
              <w:t>30</w:t>
            </w:r>
          </w:p>
        </w:tc>
        <w:tc>
          <w:tcPr>
            <w:tcW w:w="602" w:type="pct"/>
            <w:noWrap/>
            <w:vAlign w:val="center"/>
          </w:tcPr>
          <w:p w14:paraId="2EE0098B">
            <w:pPr>
              <w:pStyle w:val="17"/>
              <w:bidi w:val="0"/>
              <w:rPr>
                <w:rFonts w:ascii="Times New Roman" w:hAnsi="Times New Roman"/>
                <w:color w:val="auto"/>
              </w:rPr>
            </w:pPr>
            <w:r>
              <w:rPr>
                <w:rFonts w:hint="eastAsia" w:ascii="Times New Roman" w:hAnsi="Times New Roman"/>
                <w:color w:val="auto"/>
              </w:rPr>
              <w:t>12</w:t>
            </w:r>
          </w:p>
        </w:tc>
        <w:tc>
          <w:tcPr>
            <w:tcW w:w="406" w:type="pct"/>
            <w:noWrap/>
            <w:vAlign w:val="center"/>
          </w:tcPr>
          <w:p w14:paraId="63DAD98F">
            <w:pPr>
              <w:pStyle w:val="17"/>
              <w:bidi w:val="0"/>
              <w:rPr>
                <w:rFonts w:ascii="Times New Roman" w:hAnsi="Times New Roman"/>
                <w:color w:val="auto"/>
              </w:rPr>
            </w:pPr>
          </w:p>
        </w:tc>
        <w:tc>
          <w:tcPr>
            <w:tcW w:w="635" w:type="pct"/>
            <w:noWrap/>
            <w:vAlign w:val="center"/>
          </w:tcPr>
          <w:p w14:paraId="5DD92867">
            <w:pPr>
              <w:pStyle w:val="17"/>
              <w:bidi w:val="0"/>
              <w:rPr>
                <w:rFonts w:ascii="Times New Roman" w:hAnsi="Times New Roman"/>
                <w:color w:val="auto"/>
              </w:rPr>
            </w:pPr>
            <w:r>
              <w:rPr>
                <w:rFonts w:hint="eastAsia" w:ascii="Times New Roman" w:hAnsi="Times New Roman"/>
                <w:color w:val="auto"/>
              </w:rPr>
              <w:t>55.34</w:t>
            </w:r>
          </w:p>
        </w:tc>
      </w:tr>
      <w:tr w14:paraId="6B3D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00E56688">
            <w:pPr>
              <w:pStyle w:val="17"/>
              <w:bidi w:val="0"/>
              <w:rPr>
                <w:rFonts w:ascii="Times New Roman" w:hAnsi="Times New Roman"/>
                <w:color w:val="auto"/>
              </w:rPr>
            </w:pPr>
            <w:r>
              <w:rPr>
                <w:rFonts w:ascii="Times New Roman" w:hAnsi="Times New Roman"/>
                <w:color w:val="auto"/>
              </w:rPr>
              <w:t>2</w:t>
            </w:r>
          </w:p>
        </w:tc>
        <w:tc>
          <w:tcPr>
            <w:tcW w:w="1208" w:type="pct"/>
            <w:noWrap/>
            <w:vAlign w:val="center"/>
          </w:tcPr>
          <w:p w14:paraId="7B9B2AF9">
            <w:pPr>
              <w:pStyle w:val="17"/>
              <w:bidi w:val="0"/>
              <w:rPr>
                <w:rFonts w:ascii="Times New Roman" w:hAnsi="Times New Roman"/>
                <w:color w:val="auto"/>
              </w:rPr>
            </w:pPr>
            <w:r>
              <w:rPr>
                <w:rFonts w:ascii="Times New Roman" w:hAnsi="Times New Roman"/>
                <w:color w:val="auto"/>
              </w:rPr>
              <w:t>流动负债</w:t>
            </w:r>
          </w:p>
        </w:tc>
        <w:tc>
          <w:tcPr>
            <w:tcW w:w="1140" w:type="pct"/>
            <w:noWrap/>
            <w:vAlign w:val="center"/>
          </w:tcPr>
          <w:p w14:paraId="0ACC7BD0">
            <w:pPr>
              <w:pStyle w:val="17"/>
              <w:bidi w:val="0"/>
              <w:rPr>
                <w:rFonts w:ascii="Times New Roman" w:hAnsi="Times New Roman"/>
                <w:color w:val="auto"/>
              </w:rPr>
            </w:pPr>
            <w:r>
              <w:rPr>
                <w:rFonts w:hint="eastAsia" w:ascii="Times New Roman" w:hAnsi="Times New Roman"/>
                <w:color w:val="auto"/>
              </w:rPr>
              <w:t>流动负债</w:t>
            </w:r>
          </w:p>
        </w:tc>
        <w:tc>
          <w:tcPr>
            <w:tcW w:w="640" w:type="pct"/>
            <w:noWrap/>
            <w:vAlign w:val="center"/>
          </w:tcPr>
          <w:p w14:paraId="61B6820C">
            <w:pPr>
              <w:pStyle w:val="17"/>
              <w:bidi w:val="0"/>
              <w:rPr>
                <w:rFonts w:ascii="Times New Roman" w:hAnsi="Times New Roman"/>
                <w:color w:val="auto"/>
              </w:rPr>
            </w:pPr>
          </w:p>
        </w:tc>
        <w:tc>
          <w:tcPr>
            <w:tcW w:w="602" w:type="pct"/>
            <w:noWrap/>
            <w:vAlign w:val="center"/>
          </w:tcPr>
          <w:p w14:paraId="31A7FBFF">
            <w:pPr>
              <w:pStyle w:val="17"/>
              <w:bidi w:val="0"/>
              <w:rPr>
                <w:rFonts w:ascii="Times New Roman" w:hAnsi="Times New Roman"/>
                <w:color w:val="auto"/>
              </w:rPr>
            </w:pPr>
          </w:p>
        </w:tc>
        <w:tc>
          <w:tcPr>
            <w:tcW w:w="406" w:type="pct"/>
            <w:noWrap/>
            <w:vAlign w:val="center"/>
          </w:tcPr>
          <w:p w14:paraId="147B4639">
            <w:pPr>
              <w:pStyle w:val="17"/>
              <w:bidi w:val="0"/>
              <w:rPr>
                <w:rFonts w:ascii="Times New Roman" w:hAnsi="Times New Roman"/>
                <w:color w:val="auto"/>
              </w:rPr>
            </w:pPr>
          </w:p>
        </w:tc>
        <w:tc>
          <w:tcPr>
            <w:tcW w:w="635" w:type="pct"/>
            <w:noWrap/>
            <w:vAlign w:val="center"/>
          </w:tcPr>
          <w:p w14:paraId="5841B15A">
            <w:pPr>
              <w:pStyle w:val="17"/>
              <w:bidi w:val="0"/>
              <w:rPr>
                <w:rFonts w:ascii="Times New Roman" w:hAnsi="Times New Roman"/>
                <w:color w:val="auto"/>
              </w:rPr>
            </w:pPr>
            <w:r>
              <w:rPr>
                <w:rFonts w:hint="eastAsia" w:ascii="Times New Roman" w:hAnsi="Times New Roman"/>
                <w:color w:val="auto"/>
              </w:rPr>
              <w:t>57.72</w:t>
            </w:r>
          </w:p>
        </w:tc>
      </w:tr>
      <w:tr w14:paraId="6517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388EFB3C">
            <w:pPr>
              <w:pStyle w:val="17"/>
              <w:bidi w:val="0"/>
              <w:rPr>
                <w:rFonts w:ascii="Times New Roman" w:hAnsi="Times New Roman"/>
                <w:color w:val="auto"/>
              </w:rPr>
            </w:pPr>
            <w:r>
              <w:rPr>
                <w:rFonts w:ascii="Times New Roman" w:hAnsi="Times New Roman"/>
                <w:color w:val="auto"/>
              </w:rPr>
              <w:t>2.1</w:t>
            </w:r>
          </w:p>
        </w:tc>
        <w:tc>
          <w:tcPr>
            <w:tcW w:w="1208" w:type="pct"/>
            <w:noWrap/>
            <w:vAlign w:val="center"/>
          </w:tcPr>
          <w:p w14:paraId="6048EEA8">
            <w:pPr>
              <w:pStyle w:val="17"/>
              <w:bidi w:val="0"/>
              <w:rPr>
                <w:rFonts w:ascii="Times New Roman" w:hAnsi="Times New Roman"/>
                <w:color w:val="auto"/>
              </w:rPr>
            </w:pPr>
            <w:r>
              <w:rPr>
                <w:rFonts w:ascii="Times New Roman" w:hAnsi="Times New Roman"/>
                <w:color w:val="auto"/>
              </w:rPr>
              <w:t>应付帐款</w:t>
            </w:r>
          </w:p>
        </w:tc>
        <w:tc>
          <w:tcPr>
            <w:tcW w:w="1140" w:type="pct"/>
            <w:noWrap/>
            <w:vAlign w:val="center"/>
          </w:tcPr>
          <w:p w14:paraId="68F89645">
            <w:pPr>
              <w:pStyle w:val="17"/>
              <w:bidi w:val="0"/>
              <w:rPr>
                <w:rFonts w:ascii="Times New Roman" w:hAnsi="Times New Roman"/>
                <w:color w:val="auto"/>
              </w:rPr>
            </w:pPr>
            <w:r>
              <w:rPr>
                <w:rFonts w:hint="eastAsia" w:ascii="Times New Roman" w:hAnsi="Times New Roman"/>
                <w:color w:val="auto"/>
              </w:rPr>
              <w:t>应付帐款</w:t>
            </w:r>
          </w:p>
        </w:tc>
        <w:tc>
          <w:tcPr>
            <w:tcW w:w="640" w:type="pct"/>
            <w:noWrap/>
            <w:vAlign w:val="center"/>
          </w:tcPr>
          <w:p w14:paraId="23A9BCD8">
            <w:pPr>
              <w:pStyle w:val="17"/>
              <w:bidi w:val="0"/>
              <w:rPr>
                <w:rFonts w:ascii="Times New Roman" w:hAnsi="Times New Roman"/>
                <w:color w:val="auto"/>
              </w:rPr>
            </w:pPr>
            <w:r>
              <w:rPr>
                <w:rFonts w:hint="eastAsia" w:ascii="Times New Roman" w:hAnsi="Times New Roman"/>
                <w:color w:val="auto"/>
              </w:rPr>
              <w:t>30</w:t>
            </w:r>
          </w:p>
        </w:tc>
        <w:tc>
          <w:tcPr>
            <w:tcW w:w="602" w:type="pct"/>
            <w:noWrap/>
            <w:vAlign w:val="center"/>
          </w:tcPr>
          <w:p w14:paraId="41BE73E6">
            <w:pPr>
              <w:pStyle w:val="17"/>
              <w:bidi w:val="0"/>
              <w:rPr>
                <w:rFonts w:ascii="Times New Roman" w:hAnsi="Times New Roman"/>
                <w:color w:val="auto"/>
              </w:rPr>
            </w:pPr>
            <w:r>
              <w:rPr>
                <w:rFonts w:hint="eastAsia" w:ascii="Times New Roman" w:hAnsi="Times New Roman"/>
                <w:color w:val="auto"/>
              </w:rPr>
              <w:t>12</w:t>
            </w:r>
          </w:p>
        </w:tc>
        <w:tc>
          <w:tcPr>
            <w:tcW w:w="406" w:type="pct"/>
            <w:noWrap/>
            <w:vAlign w:val="center"/>
          </w:tcPr>
          <w:p w14:paraId="427118B2">
            <w:pPr>
              <w:pStyle w:val="17"/>
              <w:bidi w:val="0"/>
              <w:rPr>
                <w:rFonts w:ascii="Times New Roman" w:hAnsi="Times New Roman"/>
                <w:color w:val="auto"/>
              </w:rPr>
            </w:pPr>
          </w:p>
        </w:tc>
        <w:tc>
          <w:tcPr>
            <w:tcW w:w="635" w:type="pct"/>
            <w:noWrap/>
            <w:vAlign w:val="center"/>
          </w:tcPr>
          <w:p w14:paraId="07CD2BDA">
            <w:pPr>
              <w:pStyle w:val="17"/>
              <w:bidi w:val="0"/>
              <w:rPr>
                <w:rFonts w:ascii="Times New Roman" w:hAnsi="Times New Roman"/>
                <w:color w:val="auto"/>
              </w:rPr>
            </w:pPr>
            <w:r>
              <w:rPr>
                <w:rFonts w:hint="eastAsia" w:ascii="Times New Roman" w:hAnsi="Times New Roman"/>
                <w:color w:val="auto"/>
              </w:rPr>
              <w:t>57.72</w:t>
            </w:r>
          </w:p>
        </w:tc>
      </w:tr>
      <w:tr w14:paraId="42F3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61E1DE62">
            <w:pPr>
              <w:pStyle w:val="17"/>
              <w:bidi w:val="0"/>
              <w:rPr>
                <w:rFonts w:ascii="Times New Roman" w:hAnsi="Times New Roman"/>
                <w:color w:val="auto"/>
              </w:rPr>
            </w:pPr>
            <w:r>
              <w:rPr>
                <w:rFonts w:ascii="Times New Roman" w:hAnsi="Times New Roman"/>
                <w:color w:val="auto"/>
              </w:rPr>
              <w:t>3</w:t>
            </w:r>
          </w:p>
        </w:tc>
        <w:tc>
          <w:tcPr>
            <w:tcW w:w="1208" w:type="pct"/>
            <w:noWrap/>
            <w:vAlign w:val="center"/>
          </w:tcPr>
          <w:p w14:paraId="311D39A2">
            <w:pPr>
              <w:pStyle w:val="17"/>
              <w:bidi w:val="0"/>
              <w:rPr>
                <w:rFonts w:ascii="Times New Roman" w:hAnsi="Times New Roman"/>
                <w:color w:val="auto"/>
              </w:rPr>
            </w:pPr>
            <w:r>
              <w:rPr>
                <w:rFonts w:ascii="Times New Roman" w:hAnsi="Times New Roman"/>
                <w:color w:val="auto"/>
              </w:rPr>
              <w:t>流动资金</w:t>
            </w:r>
          </w:p>
        </w:tc>
        <w:tc>
          <w:tcPr>
            <w:tcW w:w="1140" w:type="pct"/>
            <w:noWrap/>
            <w:vAlign w:val="center"/>
          </w:tcPr>
          <w:p w14:paraId="4938C222">
            <w:pPr>
              <w:pStyle w:val="17"/>
              <w:bidi w:val="0"/>
              <w:rPr>
                <w:rFonts w:ascii="Times New Roman" w:hAnsi="Times New Roman"/>
                <w:color w:val="auto"/>
              </w:rPr>
            </w:pPr>
            <w:r>
              <w:rPr>
                <w:rFonts w:hint="eastAsia" w:ascii="Times New Roman" w:hAnsi="Times New Roman"/>
                <w:color w:val="auto"/>
              </w:rPr>
              <w:t>流动资金</w:t>
            </w:r>
          </w:p>
        </w:tc>
        <w:tc>
          <w:tcPr>
            <w:tcW w:w="640" w:type="pct"/>
            <w:noWrap/>
            <w:vAlign w:val="center"/>
          </w:tcPr>
          <w:p w14:paraId="217C7ABB">
            <w:pPr>
              <w:pStyle w:val="17"/>
              <w:bidi w:val="0"/>
              <w:rPr>
                <w:rFonts w:ascii="Times New Roman" w:hAnsi="Times New Roman"/>
                <w:color w:val="auto"/>
              </w:rPr>
            </w:pPr>
          </w:p>
        </w:tc>
        <w:tc>
          <w:tcPr>
            <w:tcW w:w="602" w:type="pct"/>
            <w:noWrap/>
            <w:vAlign w:val="center"/>
          </w:tcPr>
          <w:p w14:paraId="3F7D0C62">
            <w:pPr>
              <w:pStyle w:val="17"/>
              <w:bidi w:val="0"/>
              <w:rPr>
                <w:rFonts w:ascii="Times New Roman" w:hAnsi="Times New Roman"/>
                <w:color w:val="auto"/>
              </w:rPr>
            </w:pPr>
          </w:p>
        </w:tc>
        <w:tc>
          <w:tcPr>
            <w:tcW w:w="406" w:type="pct"/>
            <w:noWrap/>
            <w:vAlign w:val="center"/>
          </w:tcPr>
          <w:p w14:paraId="3B50EB23">
            <w:pPr>
              <w:pStyle w:val="17"/>
              <w:bidi w:val="0"/>
              <w:rPr>
                <w:rFonts w:ascii="Times New Roman" w:hAnsi="Times New Roman"/>
                <w:color w:val="auto"/>
              </w:rPr>
            </w:pPr>
            <w:r>
              <w:rPr>
                <w:rFonts w:hint="eastAsia" w:ascii="Times New Roman" w:hAnsi="Times New Roman"/>
                <w:color w:val="auto"/>
              </w:rPr>
              <w:t>0.00</w:t>
            </w:r>
          </w:p>
        </w:tc>
        <w:tc>
          <w:tcPr>
            <w:tcW w:w="635" w:type="pct"/>
            <w:noWrap/>
            <w:vAlign w:val="center"/>
          </w:tcPr>
          <w:p w14:paraId="2A5967E5">
            <w:pPr>
              <w:pStyle w:val="17"/>
              <w:bidi w:val="0"/>
              <w:rPr>
                <w:rFonts w:ascii="Times New Roman" w:hAnsi="Times New Roman"/>
                <w:color w:val="auto"/>
              </w:rPr>
            </w:pPr>
            <w:r>
              <w:rPr>
                <w:rFonts w:hint="eastAsia" w:ascii="Times New Roman" w:hAnsi="Times New Roman"/>
                <w:color w:val="auto"/>
              </w:rPr>
              <w:t xml:space="preserve">242.51 </w:t>
            </w:r>
          </w:p>
        </w:tc>
      </w:tr>
      <w:tr w14:paraId="1FF2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6" w:type="pct"/>
            <w:noWrap/>
            <w:vAlign w:val="center"/>
          </w:tcPr>
          <w:p w14:paraId="14CCCE38">
            <w:pPr>
              <w:pStyle w:val="17"/>
              <w:bidi w:val="0"/>
              <w:rPr>
                <w:rFonts w:ascii="Times New Roman" w:hAnsi="Times New Roman"/>
                <w:color w:val="auto"/>
              </w:rPr>
            </w:pPr>
            <w:r>
              <w:rPr>
                <w:rFonts w:ascii="Times New Roman" w:hAnsi="Times New Roman"/>
                <w:color w:val="auto"/>
              </w:rPr>
              <w:t>4</w:t>
            </w:r>
          </w:p>
        </w:tc>
        <w:tc>
          <w:tcPr>
            <w:tcW w:w="1208" w:type="pct"/>
            <w:noWrap/>
            <w:vAlign w:val="center"/>
          </w:tcPr>
          <w:p w14:paraId="10100700">
            <w:pPr>
              <w:pStyle w:val="17"/>
              <w:bidi w:val="0"/>
              <w:rPr>
                <w:rFonts w:ascii="Times New Roman" w:hAnsi="Times New Roman"/>
                <w:color w:val="auto"/>
              </w:rPr>
            </w:pPr>
            <w:r>
              <w:rPr>
                <w:rFonts w:ascii="Times New Roman" w:hAnsi="Times New Roman"/>
                <w:color w:val="auto"/>
              </w:rPr>
              <w:t>流动资金本年增加额</w:t>
            </w:r>
          </w:p>
        </w:tc>
        <w:tc>
          <w:tcPr>
            <w:tcW w:w="1140" w:type="pct"/>
            <w:noWrap/>
            <w:vAlign w:val="center"/>
          </w:tcPr>
          <w:p w14:paraId="51E93782">
            <w:pPr>
              <w:pStyle w:val="17"/>
              <w:bidi w:val="0"/>
              <w:rPr>
                <w:rFonts w:ascii="Times New Roman" w:hAnsi="Times New Roman"/>
                <w:color w:val="auto"/>
              </w:rPr>
            </w:pPr>
            <w:r>
              <w:rPr>
                <w:rFonts w:hint="eastAsia" w:ascii="Times New Roman" w:hAnsi="Times New Roman"/>
                <w:color w:val="auto"/>
              </w:rPr>
              <w:t>流动资金本年增加额</w:t>
            </w:r>
          </w:p>
        </w:tc>
        <w:tc>
          <w:tcPr>
            <w:tcW w:w="640" w:type="pct"/>
            <w:noWrap/>
            <w:vAlign w:val="center"/>
          </w:tcPr>
          <w:p w14:paraId="7B034C04">
            <w:pPr>
              <w:pStyle w:val="17"/>
              <w:bidi w:val="0"/>
              <w:rPr>
                <w:rFonts w:ascii="Times New Roman" w:hAnsi="Times New Roman"/>
                <w:color w:val="auto"/>
              </w:rPr>
            </w:pPr>
          </w:p>
        </w:tc>
        <w:tc>
          <w:tcPr>
            <w:tcW w:w="602" w:type="pct"/>
            <w:noWrap/>
            <w:vAlign w:val="center"/>
          </w:tcPr>
          <w:p w14:paraId="488834D5">
            <w:pPr>
              <w:pStyle w:val="17"/>
              <w:bidi w:val="0"/>
              <w:rPr>
                <w:rFonts w:ascii="Times New Roman" w:hAnsi="Times New Roman"/>
                <w:color w:val="auto"/>
              </w:rPr>
            </w:pPr>
          </w:p>
        </w:tc>
        <w:tc>
          <w:tcPr>
            <w:tcW w:w="406" w:type="pct"/>
            <w:noWrap/>
            <w:vAlign w:val="center"/>
          </w:tcPr>
          <w:p w14:paraId="2C5FA121">
            <w:pPr>
              <w:pStyle w:val="17"/>
              <w:bidi w:val="0"/>
              <w:rPr>
                <w:rFonts w:ascii="Times New Roman" w:hAnsi="Times New Roman"/>
                <w:color w:val="auto"/>
              </w:rPr>
            </w:pPr>
            <w:r>
              <w:rPr>
                <w:rFonts w:hint="eastAsia" w:ascii="Times New Roman" w:hAnsi="Times New Roman"/>
                <w:color w:val="auto"/>
              </w:rPr>
              <w:t>0.00</w:t>
            </w:r>
          </w:p>
        </w:tc>
        <w:tc>
          <w:tcPr>
            <w:tcW w:w="635" w:type="pct"/>
            <w:noWrap/>
            <w:vAlign w:val="center"/>
          </w:tcPr>
          <w:p w14:paraId="6BB528FB">
            <w:pPr>
              <w:pStyle w:val="17"/>
              <w:bidi w:val="0"/>
              <w:rPr>
                <w:rFonts w:ascii="Times New Roman" w:hAnsi="Times New Roman"/>
                <w:color w:val="auto"/>
              </w:rPr>
            </w:pPr>
            <w:r>
              <w:rPr>
                <w:rFonts w:hint="eastAsia" w:ascii="Times New Roman" w:hAnsi="Times New Roman"/>
                <w:color w:val="auto"/>
              </w:rPr>
              <w:t>242.51</w:t>
            </w:r>
          </w:p>
        </w:tc>
      </w:tr>
    </w:tbl>
    <w:p w14:paraId="7BE2C9BB">
      <w:pPr>
        <w:pStyle w:val="16"/>
        <w:bidi w:val="0"/>
        <w:rPr>
          <w:rFonts w:hint="eastAsia" w:ascii="Times New Roman" w:hAnsi="Times New Roman"/>
          <w:color w:val="auto"/>
          <w:lang w:val="en-US" w:eastAsia="zh-CN"/>
        </w:rPr>
      </w:pPr>
      <w:r>
        <w:rPr>
          <w:rFonts w:hint="eastAsia" w:ascii="Times New Roman" w:hAnsi="Times New Roman"/>
          <w:color w:val="auto"/>
          <w:lang w:val="en-US" w:eastAsia="zh-CN"/>
        </w:rPr>
        <w:t>表2.4-18  资金筹措表（万元）</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2687"/>
        <w:gridCol w:w="759"/>
        <w:gridCol w:w="1096"/>
        <w:gridCol w:w="638"/>
        <w:gridCol w:w="1052"/>
        <w:gridCol w:w="1346"/>
        <w:gridCol w:w="990"/>
      </w:tblGrid>
      <w:tr w14:paraId="5399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44" w:type="pct"/>
            <w:vMerge w:val="restart"/>
            <w:noWrap/>
            <w:vAlign w:val="center"/>
          </w:tcPr>
          <w:p w14:paraId="5B4B4E3C">
            <w:pPr>
              <w:pStyle w:val="17"/>
              <w:bidi w:val="0"/>
              <w:rPr>
                <w:rFonts w:ascii="Times New Roman" w:hAnsi="Times New Roman"/>
                <w:b/>
                <w:bCs/>
                <w:color w:val="auto"/>
              </w:rPr>
            </w:pPr>
            <w:r>
              <w:rPr>
                <w:rFonts w:ascii="Times New Roman" w:hAnsi="Times New Roman"/>
                <w:b/>
                <w:bCs/>
                <w:color w:val="auto"/>
              </w:rPr>
              <w:t>序号</w:t>
            </w:r>
          </w:p>
        </w:tc>
        <w:tc>
          <w:tcPr>
            <w:tcW w:w="1430" w:type="pct"/>
            <w:vMerge w:val="restart"/>
            <w:noWrap/>
            <w:vAlign w:val="center"/>
          </w:tcPr>
          <w:p w14:paraId="2AA8C163">
            <w:pPr>
              <w:pStyle w:val="17"/>
              <w:bidi w:val="0"/>
              <w:rPr>
                <w:rFonts w:hint="eastAsia" w:ascii="Times New Roman" w:hAnsi="Times New Roman"/>
                <w:b/>
                <w:bCs/>
                <w:color w:val="auto"/>
              </w:rPr>
            </w:pPr>
            <w:r>
              <w:rPr>
                <w:rFonts w:hint="eastAsia" w:ascii="Times New Roman" w:hAnsi="Times New Roman"/>
                <w:b/>
                <w:bCs/>
                <w:color w:val="auto"/>
              </w:rPr>
              <w:t>项目名称</w:t>
            </w:r>
          </w:p>
        </w:tc>
        <w:tc>
          <w:tcPr>
            <w:tcW w:w="405" w:type="pct"/>
            <w:noWrap/>
            <w:vAlign w:val="center"/>
          </w:tcPr>
          <w:p w14:paraId="270FB1D5">
            <w:pPr>
              <w:pStyle w:val="17"/>
              <w:bidi w:val="0"/>
              <w:rPr>
                <w:rFonts w:ascii="Times New Roman" w:hAnsi="Times New Roman"/>
                <w:b/>
                <w:bCs/>
                <w:color w:val="auto"/>
              </w:rPr>
            </w:pPr>
            <w:r>
              <w:rPr>
                <w:rFonts w:ascii="Times New Roman" w:hAnsi="Times New Roman"/>
                <w:b/>
                <w:bCs/>
                <w:color w:val="auto"/>
              </w:rPr>
              <w:t>贷款</w:t>
            </w:r>
          </w:p>
        </w:tc>
        <w:tc>
          <w:tcPr>
            <w:tcW w:w="584" w:type="pct"/>
            <w:noWrap/>
            <w:vAlign w:val="center"/>
          </w:tcPr>
          <w:p w14:paraId="2025FB11">
            <w:pPr>
              <w:pStyle w:val="17"/>
              <w:bidi w:val="0"/>
              <w:rPr>
                <w:rFonts w:ascii="Times New Roman" w:hAnsi="Times New Roman"/>
                <w:b/>
                <w:bCs/>
                <w:color w:val="auto"/>
              </w:rPr>
            </w:pPr>
            <w:r>
              <w:rPr>
                <w:rFonts w:ascii="Times New Roman" w:hAnsi="Times New Roman"/>
                <w:b/>
                <w:bCs/>
                <w:color w:val="auto"/>
              </w:rPr>
              <w:t>合计</w:t>
            </w:r>
          </w:p>
        </w:tc>
        <w:tc>
          <w:tcPr>
            <w:tcW w:w="327" w:type="pct"/>
            <w:noWrap/>
            <w:vAlign w:val="center"/>
          </w:tcPr>
          <w:p w14:paraId="6C1D87FA">
            <w:pPr>
              <w:pStyle w:val="17"/>
              <w:bidi w:val="0"/>
              <w:rPr>
                <w:rFonts w:ascii="Times New Roman" w:hAnsi="Times New Roman"/>
                <w:b/>
                <w:bCs/>
                <w:color w:val="auto"/>
              </w:rPr>
            </w:pPr>
            <w:r>
              <w:rPr>
                <w:rFonts w:ascii="Times New Roman" w:hAnsi="Times New Roman"/>
                <w:b/>
                <w:bCs/>
                <w:color w:val="auto"/>
              </w:rPr>
              <w:t>备注</w:t>
            </w:r>
          </w:p>
        </w:tc>
        <w:tc>
          <w:tcPr>
            <w:tcW w:w="561" w:type="pct"/>
            <w:noWrap/>
            <w:vAlign w:val="center"/>
          </w:tcPr>
          <w:p w14:paraId="43F662A1">
            <w:pPr>
              <w:pStyle w:val="17"/>
              <w:bidi w:val="0"/>
              <w:rPr>
                <w:rFonts w:ascii="Times New Roman" w:hAnsi="Times New Roman"/>
                <w:b/>
                <w:bCs/>
                <w:color w:val="auto"/>
              </w:rPr>
            </w:pPr>
            <w:r>
              <w:rPr>
                <w:rFonts w:ascii="Times New Roman" w:hAnsi="Times New Roman"/>
                <w:b/>
                <w:bCs/>
                <w:color w:val="auto"/>
              </w:rPr>
              <w:t>建设期</w:t>
            </w:r>
          </w:p>
        </w:tc>
        <w:tc>
          <w:tcPr>
            <w:tcW w:w="1245" w:type="pct"/>
            <w:gridSpan w:val="2"/>
            <w:noWrap/>
            <w:vAlign w:val="center"/>
          </w:tcPr>
          <w:p w14:paraId="5E32880A">
            <w:pPr>
              <w:pStyle w:val="17"/>
              <w:bidi w:val="0"/>
              <w:rPr>
                <w:rFonts w:ascii="Times New Roman" w:hAnsi="Times New Roman"/>
                <w:b/>
                <w:bCs/>
                <w:color w:val="auto"/>
              </w:rPr>
            </w:pPr>
            <w:r>
              <w:rPr>
                <w:rFonts w:ascii="Times New Roman" w:hAnsi="Times New Roman"/>
                <w:b/>
                <w:bCs/>
                <w:color w:val="auto"/>
              </w:rPr>
              <w:t>生产期(a)</w:t>
            </w:r>
          </w:p>
        </w:tc>
      </w:tr>
      <w:tr w14:paraId="0675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44" w:type="pct"/>
            <w:vMerge w:val="continue"/>
            <w:noWrap/>
            <w:vAlign w:val="center"/>
          </w:tcPr>
          <w:p w14:paraId="4C9D30C2">
            <w:pPr>
              <w:pStyle w:val="17"/>
              <w:bidi w:val="0"/>
              <w:rPr>
                <w:rFonts w:ascii="Times New Roman" w:hAnsi="Times New Roman"/>
                <w:b/>
                <w:bCs/>
                <w:color w:val="auto"/>
              </w:rPr>
            </w:pPr>
          </w:p>
        </w:tc>
        <w:tc>
          <w:tcPr>
            <w:tcW w:w="1430" w:type="pct"/>
            <w:vMerge w:val="continue"/>
            <w:noWrap/>
            <w:vAlign w:val="center"/>
          </w:tcPr>
          <w:p w14:paraId="45645FFD">
            <w:pPr>
              <w:pStyle w:val="17"/>
              <w:bidi w:val="0"/>
              <w:rPr>
                <w:rFonts w:ascii="Times New Roman" w:hAnsi="Times New Roman"/>
                <w:b/>
                <w:bCs/>
                <w:color w:val="auto"/>
              </w:rPr>
            </w:pPr>
          </w:p>
        </w:tc>
        <w:tc>
          <w:tcPr>
            <w:tcW w:w="405" w:type="pct"/>
            <w:noWrap/>
            <w:vAlign w:val="center"/>
          </w:tcPr>
          <w:p w14:paraId="36C33AC3">
            <w:pPr>
              <w:pStyle w:val="17"/>
              <w:bidi w:val="0"/>
              <w:rPr>
                <w:rFonts w:ascii="Times New Roman" w:hAnsi="Times New Roman"/>
                <w:b/>
                <w:bCs/>
                <w:color w:val="auto"/>
              </w:rPr>
            </w:pPr>
            <w:r>
              <w:rPr>
                <w:rFonts w:ascii="Times New Roman" w:hAnsi="Times New Roman"/>
                <w:b/>
                <w:bCs/>
                <w:color w:val="auto"/>
              </w:rPr>
              <w:t>利率</w:t>
            </w:r>
          </w:p>
        </w:tc>
        <w:tc>
          <w:tcPr>
            <w:tcW w:w="584" w:type="pct"/>
            <w:noWrap/>
            <w:vAlign w:val="center"/>
          </w:tcPr>
          <w:p w14:paraId="7AB21A1C">
            <w:pPr>
              <w:pStyle w:val="17"/>
              <w:bidi w:val="0"/>
              <w:rPr>
                <w:rFonts w:ascii="Times New Roman" w:hAnsi="Times New Roman"/>
                <w:b/>
                <w:bCs/>
                <w:color w:val="auto"/>
              </w:rPr>
            </w:pPr>
            <w:r>
              <w:rPr>
                <w:rFonts w:ascii="Times New Roman" w:hAnsi="Times New Roman"/>
                <w:b/>
                <w:bCs/>
                <w:color w:val="auto"/>
              </w:rPr>
              <w:t>　</w:t>
            </w:r>
          </w:p>
        </w:tc>
        <w:tc>
          <w:tcPr>
            <w:tcW w:w="327" w:type="pct"/>
            <w:noWrap/>
            <w:vAlign w:val="center"/>
          </w:tcPr>
          <w:p w14:paraId="1DA0AB1F">
            <w:pPr>
              <w:pStyle w:val="17"/>
              <w:bidi w:val="0"/>
              <w:rPr>
                <w:rFonts w:ascii="Times New Roman" w:hAnsi="Times New Roman"/>
                <w:b/>
                <w:bCs/>
                <w:color w:val="auto"/>
              </w:rPr>
            </w:pPr>
            <w:r>
              <w:rPr>
                <w:rFonts w:ascii="Times New Roman" w:hAnsi="Times New Roman"/>
                <w:b/>
                <w:bCs/>
                <w:color w:val="auto"/>
              </w:rPr>
              <w:t>　</w:t>
            </w:r>
          </w:p>
        </w:tc>
        <w:tc>
          <w:tcPr>
            <w:tcW w:w="561" w:type="pct"/>
            <w:noWrap/>
            <w:vAlign w:val="center"/>
          </w:tcPr>
          <w:p w14:paraId="37D17CFC">
            <w:pPr>
              <w:pStyle w:val="17"/>
              <w:bidi w:val="0"/>
              <w:rPr>
                <w:rFonts w:ascii="Times New Roman" w:hAnsi="Times New Roman"/>
                <w:b/>
                <w:bCs/>
                <w:color w:val="auto"/>
              </w:rPr>
            </w:pPr>
            <w:r>
              <w:rPr>
                <w:rFonts w:hint="eastAsia" w:ascii="Times New Roman" w:hAnsi="Times New Roman"/>
                <w:b/>
                <w:bCs/>
                <w:color w:val="auto"/>
              </w:rPr>
              <w:t>3</w:t>
            </w:r>
            <w:r>
              <w:rPr>
                <w:rFonts w:ascii="Times New Roman" w:hAnsi="Times New Roman"/>
                <w:b/>
                <w:bCs/>
                <w:color w:val="auto"/>
              </w:rPr>
              <w:t>个月</w:t>
            </w:r>
          </w:p>
        </w:tc>
        <w:tc>
          <w:tcPr>
            <w:tcW w:w="717" w:type="pct"/>
            <w:noWrap/>
            <w:vAlign w:val="center"/>
          </w:tcPr>
          <w:p w14:paraId="7AB49647">
            <w:pPr>
              <w:pStyle w:val="17"/>
              <w:bidi w:val="0"/>
              <w:rPr>
                <w:rFonts w:ascii="Times New Roman" w:hAnsi="Times New Roman"/>
                <w:b/>
                <w:bCs/>
                <w:color w:val="auto"/>
              </w:rPr>
            </w:pPr>
            <w:r>
              <w:rPr>
                <w:rFonts w:ascii="Times New Roman" w:hAnsi="Times New Roman"/>
                <w:b/>
                <w:bCs/>
                <w:color w:val="auto"/>
              </w:rPr>
              <w:t>1</w:t>
            </w:r>
          </w:p>
        </w:tc>
        <w:tc>
          <w:tcPr>
            <w:tcW w:w="528" w:type="pct"/>
            <w:noWrap/>
            <w:vAlign w:val="center"/>
          </w:tcPr>
          <w:p w14:paraId="7CF60D9D">
            <w:pPr>
              <w:pStyle w:val="17"/>
              <w:bidi w:val="0"/>
              <w:rPr>
                <w:rFonts w:ascii="Times New Roman" w:hAnsi="Times New Roman"/>
                <w:b/>
                <w:bCs/>
                <w:color w:val="auto"/>
              </w:rPr>
            </w:pPr>
            <w:r>
              <w:rPr>
                <w:rFonts w:ascii="Times New Roman" w:hAnsi="Times New Roman"/>
                <w:b/>
                <w:bCs/>
                <w:color w:val="auto"/>
              </w:rPr>
              <w:t>2</w:t>
            </w:r>
          </w:p>
        </w:tc>
      </w:tr>
      <w:tr w14:paraId="1654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57A1DEC6">
            <w:pPr>
              <w:pStyle w:val="17"/>
              <w:bidi w:val="0"/>
              <w:rPr>
                <w:rFonts w:ascii="Times New Roman" w:hAnsi="Times New Roman"/>
                <w:color w:val="auto"/>
              </w:rPr>
            </w:pPr>
            <w:r>
              <w:rPr>
                <w:rFonts w:ascii="Times New Roman" w:hAnsi="Times New Roman"/>
                <w:color w:val="auto"/>
              </w:rPr>
              <w:t>一</w:t>
            </w:r>
          </w:p>
        </w:tc>
        <w:tc>
          <w:tcPr>
            <w:tcW w:w="1430" w:type="pct"/>
            <w:noWrap/>
            <w:vAlign w:val="center"/>
          </w:tcPr>
          <w:p w14:paraId="77EC3030">
            <w:pPr>
              <w:pStyle w:val="17"/>
              <w:bidi w:val="0"/>
              <w:rPr>
                <w:rFonts w:ascii="Times New Roman" w:hAnsi="Times New Roman"/>
                <w:color w:val="auto"/>
              </w:rPr>
            </w:pPr>
            <w:r>
              <w:rPr>
                <w:rFonts w:ascii="Times New Roman" w:hAnsi="Times New Roman"/>
                <w:color w:val="auto"/>
              </w:rPr>
              <w:t>投资</w:t>
            </w:r>
          </w:p>
        </w:tc>
        <w:tc>
          <w:tcPr>
            <w:tcW w:w="405" w:type="pct"/>
            <w:noWrap/>
            <w:vAlign w:val="center"/>
          </w:tcPr>
          <w:p w14:paraId="3B018E9C">
            <w:pPr>
              <w:pStyle w:val="17"/>
              <w:bidi w:val="0"/>
              <w:rPr>
                <w:rFonts w:ascii="Times New Roman" w:hAnsi="Times New Roman"/>
                <w:color w:val="auto"/>
              </w:rPr>
            </w:pPr>
          </w:p>
        </w:tc>
        <w:tc>
          <w:tcPr>
            <w:tcW w:w="584" w:type="pct"/>
            <w:noWrap/>
            <w:vAlign w:val="center"/>
          </w:tcPr>
          <w:p w14:paraId="45C8C32C">
            <w:pPr>
              <w:pStyle w:val="17"/>
              <w:bidi w:val="0"/>
              <w:rPr>
                <w:rFonts w:ascii="Times New Roman" w:hAnsi="Times New Roman"/>
                <w:color w:val="auto"/>
              </w:rPr>
            </w:pPr>
          </w:p>
        </w:tc>
        <w:tc>
          <w:tcPr>
            <w:tcW w:w="327" w:type="pct"/>
            <w:noWrap/>
            <w:vAlign w:val="center"/>
          </w:tcPr>
          <w:p w14:paraId="41F45A48">
            <w:pPr>
              <w:pStyle w:val="17"/>
              <w:bidi w:val="0"/>
              <w:rPr>
                <w:rFonts w:ascii="Times New Roman" w:hAnsi="Times New Roman"/>
                <w:color w:val="auto"/>
              </w:rPr>
            </w:pPr>
          </w:p>
        </w:tc>
        <w:tc>
          <w:tcPr>
            <w:tcW w:w="561" w:type="pct"/>
            <w:noWrap/>
            <w:vAlign w:val="center"/>
          </w:tcPr>
          <w:p w14:paraId="56385A31">
            <w:pPr>
              <w:pStyle w:val="17"/>
              <w:bidi w:val="0"/>
              <w:rPr>
                <w:rFonts w:ascii="Times New Roman" w:hAnsi="Times New Roman"/>
                <w:color w:val="auto"/>
              </w:rPr>
            </w:pPr>
          </w:p>
        </w:tc>
        <w:tc>
          <w:tcPr>
            <w:tcW w:w="717" w:type="pct"/>
            <w:noWrap/>
            <w:vAlign w:val="center"/>
          </w:tcPr>
          <w:p w14:paraId="4AE8E211">
            <w:pPr>
              <w:pStyle w:val="17"/>
              <w:bidi w:val="0"/>
              <w:rPr>
                <w:rFonts w:ascii="Times New Roman" w:hAnsi="Times New Roman"/>
                <w:color w:val="auto"/>
              </w:rPr>
            </w:pPr>
          </w:p>
        </w:tc>
        <w:tc>
          <w:tcPr>
            <w:tcW w:w="528" w:type="pct"/>
            <w:noWrap/>
            <w:vAlign w:val="center"/>
          </w:tcPr>
          <w:p w14:paraId="63357EF7">
            <w:pPr>
              <w:pStyle w:val="17"/>
              <w:bidi w:val="0"/>
              <w:rPr>
                <w:rFonts w:ascii="Times New Roman" w:hAnsi="Times New Roman"/>
                <w:color w:val="auto"/>
              </w:rPr>
            </w:pPr>
          </w:p>
        </w:tc>
      </w:tr>
      <w:tr w14:paraId="0FA9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497B398B">
            <w:pPr>
              <w:pStyle w:val="17"/>
              <w:bidi w:val="0"/>
              <w:rPr>
                <w:rFonts w:ascii="Times New Roman" w:hAnsi="Times New Roman"/>
                <w:color w:val="auto"/>
              </w:rPr>
            </w:pPr>
            <w:r>
              <w:rPr>
                <w:rFonts w:ascii="Times New Roman" w:hAnsi="Times New Roman"/>
                <w:color w:val="auto"/>
              </w:rPr>
              <w:t>1</w:t>
            </w:r>
          </w:p>
        </w:tc>
        <w:tc>
          <w:tcPr>
            <w:tcW w:w="1430" w:type="pct"/>
            <w:noWrap/>
            <w:vAlign w:val="center"/>
          </w:tcPr>
          <w:p w14:paraId="175B78D8">
            <w:pPr>
              <w:pStyle w:val="17"/>
              <w:bidi w:val="0"/>
              <w:rPr>
                <w:rFonts w:ascii="Times New Roman" w:hAnsi="Times New Roman"/>
                <w:color w:val="auto"/>
              </w:rPr>
            </w:pPr>
            <w:r>
              <w:rPr>
                <w:rFonts w:ascii="Times New Roman" w:hAnsi="Times New Roman"/>
                <w:color w:val="auto"/>
              </w:rPr>
              <w:t>项目总投资</w:t>
            </w:r>
          </w:p>
        </w:tc>
        <w:tc>
          <w:tcPr>
            <w:tcW w:w="405" w:type="pct"/>
            <w:noWrap/>
            <w:vAlign w:val="center"/>
          </w:tcPr>
          <w:p w14:paraId="2B37A6CD">
            <w:pPr>
              <w:pStyle w:val="17"/>
              <w:bidi w:val="0"/>
              <w:rPr>
                <w:rFonts w:ascii="Times New Roman" w:hAnsi="Times New Roman"/>
                <w:color w:val="auto"/>
              </w:rPr>
            </w:pPr>
          </w:p>
        </w:tc>
        <w:tc>
          <w:tcPr>
            <w:tcW w:w="584" w:type="pct"/>
            <w:noWrap/>
            <w:vAlign w:val="center"/>
          </w:tcPr>
          <w:p w14:paraId="1106C005">
            <w:pPr>
              <w:pStyle w:val="17"/>
              <w:bidi w:val="0"/>
              <w:rPr>
                <w:rFonts w:ascii="Times New Roman" w:hAnsi="Times New Roman"/>
                <w:color w:val="auto"/>
              </w:rPr>
            </w:pPr>
            <w:r>
              <w:rPr>
                <w:rFonts w:ascii="Times New Roman" w:hAnsi="Times New Roman"/>
                <w:color w:val="auto"/>
              </w:rPr>
              <w:t>1415.83</w:t>
            </w:r>
          </w:p>
        </w:tc>
        <w:tc>
          <w:tcPr>
            <w:tcW w:w="327" w:type="pct"/>
            <w:noWrap/>
            <w:vAlign w:val="center"/>
          </w:tcPr>
          <w:p w14:paraId="4B014679">
            <w:pPr>
              <w:pStyle w:val="17"/>
              <w:bidi w:val="0"/>
              <w:rPr>
                <w:rFonts w:ascii="Times New Roman" w:hAnsi="Times New Roman"/>
                <w:color w:val="auto"/>
              </w:rPr>
            </w:pPr>
          </w:p>
        </w:tc>
        <w:tc>
          <w:tcPr>
            <w:tcW w:w="561" w:type="pct"/>
            <w:noWrap/>
            <w:vAlign w:val="center"/>
          </w:tcPr>
          <w:p w14:paraId="0AF974D0">
            <w:pPr>
              <w:pStyle w:val="17"/>
              <w:bidi w:val="0"/>
              <w:rPr>
                <w:rFonts w:ascii="Times New Roman" w:hAnsi="Times New Roman"/>
                <w:color w:val="auto"/>
              </w:rPr>
            </w:pPr>
            <w:r>
              <w:rPr>
                <w:rFonts w:ascii="Times New Roman" w:hAnsi="Times New Roman"/>
                <w:color w:val="auto"/>
              </w:rPr>
              <w:t xml:space="preserve">930.81 </w:t>
            </w:r>
          </w:p>
        </w:tc>
        <w:tc>
          <w:tcPr>
            <w:tcW w:w="717" w:type="pct"/>
            <w:noWrap/>
            <w:vAlign w:val="center"/>
          </w:tcPr>
          <w:p w14:paraId="1F0315C6">
            <w:pPr>
              <w:pStyle w:val="17"/>
              <w:bidi w:val="0"/>
              <w:rPr>
                <w:rFonts w:ascii="Times New Roman" w:hAnsi="Times New Roman"/>
                <w:color w:val="auto"/>
              </w:rPr>
            </w:pPr>
            <w:r>
              <w:rPr>
                <w:rFonts w:ascii="Times New Roman" w:hAnsi="Times New Roman"/>
                <w:color w:val="auto"/>
              </w:rPr>
              <w:t xml:space="preserve">242.51 </w:t>
            </w:r>
          </w:p>
        </w:tc>
        <w:tc>
          <w:tcPr>
            <w:tcW w:w="528" w:type="pct"/>
            <w:noWrap/>
            <w:vAlign w:val="center"/>
          </w:tcPr>
          <w:p w14:paraId="546707F9">
            <w:pPr>
              <w:pStyle w:val="17"/>
              <w:bidi w:val="0"/>
              <w:rPr>
                <w:rFonts w:ascii="Times New Roman" w:hAnsi="Times New Roman"/>
                <w:color w:val="auto"/>
              </w:rPr>
            </w:pPr>
            <w:r>
              <w:rPr>
                <w:rFonts w:ascii="Times New Roman" w:hAnsi="Times New Roman"/>
                <w:color w:val="auto"/>
              </w:rPr>
              <w:t xml:space="preserve">242.51 </w:t>
            </w:r>
          </w:p>
        </w:tc>
      </w:tr>
      <w:tr w14:paraId="10C8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7D606D7C">
            <w:pPr>
              <w:pStyle w:val="17"/>
              <w:bidi w:val="0"/>
              <w:rPr>
                <w:rFonts w:ascii="Times New Roman" w:hAnsi="Times New Roman"/>
                <w:color w:val="auto"/>
              </w:rPr>
            </w:pPr>
            <w:r>
              <w:rPr>
                <w:rFonts w:ascii="Times New Roman" w:hAnsi="Times New Roman"/>
                <w:color w:val="auto"/>
              </w:rPr>
              <w:t>1.1</w:t>
            </w:r>
          </w:p>
        </w:tc>
        <w:tc>
          <w:tcPr>
            <w:tcW w:w="1430" w:type="pct"/>
            <w:noWrap/>
            <w:vAlign w:val="center"/>
          </w:tcPr>
          <w:p w14:paraId="7755221C">
            <w:pPr>
              <w:pStyle w:val="17"/>
              <w:bidi w:val="0"/>
              <w:rPr>
                <w:rFonts w:ascii="Times New Roman" w:hAnsi="Times New Roman"/>
                <w:color w:val="auto"/>
              </w:rPr>
            </w:pPr>
            <w:r>
              <w:rPr>
                <w:rFonts w:ascii="Times New Roman" w:hAnsi="Times New Roman"/>
                <w:color w:val="auto"/>
              </w:rPr>
              <w:t>建设投资总额</w:t>
            </w:r>
          </w:p>
        </w:tc>
        <w:tc>
          <w:tcPr>
            <w:tcW w:w="405" w:type="pct"/>
            <w:noWrap/>
            <w:vAlign w:val="center"/>
          </w:tcPr>
          <w:p w14:paraId="180A73F3">
            <w:pPr>
              <w:pStyle w:val="17"/>
              <w:bidi w:val="0"/>
              <w:rPr>
                <w:rFonts w:ascii="Times New Roman" w:hAnsi="Times New Roman"/>
                <w:color w:val="auto"/>
              </w:rPr>
            </w:pPr>
          </w:p>
        </w:tc>
        <w:tc>
          <w:tcPr>
            <w:tcW w:w="584" w:type="pct"/>
            <w:noWrap/>
            <w:vAlign w:val="center"/>
          </w:tcPr>
          <w:p w14:paraId="640EFAC8">
            <w:pPr>
              <w:pStyle w:val="17"/>
              <w:bidi w:val="0"/>
              <w:rPr>
                <w:rFonts w:ascii="Times New Roman" w:hAnsi="Times New Roman"/>
                <w:color w:val="auto"/>
              </w:rPr>
            </w:pPr>
            <w:r>
              <w:rPr>
                <w:rFonts w:ascii="Times New Roman" w:hAnsi="Times New Roman"/>
                <w:color w:val="auto"/>
              </w:rPr>
              <w:t>930.81</w:t>
            </w:r>
          </w:p>
        </w:tc>
        <w:tc>
          <w:tcPr>
            <w:tcW w:w="327" w:type="pct"/>
            <w:noWrap/>
            <w:vAlign w:val="center"/>
          </w:tcPr>
          <w:p w14:paraId="2DB7ABC4">
            <w:pPr>
              <w:pStyle w:val="17"/>
              <w:bidi w:val="0"/>
              <w:rPr>
                <w:rFonts w:ascii="Times New Roman" w:hAnsi="Times New Roman"/>
                <w:color w:val="auto"/>
              </w:rPr>
            </w:pPr>
          </w:p>
        </w:tc>
        <w:tc>
          <w:tcPr>
            <w:tcW w:w="561" w:type="pct"/>
            <w:noWrap/>
            <w:vAlign w:val="center"/>
          </w:tcPr>
          <w:p w14:paraId="7A454143">
            <w:pPr>
              <w:pStyle w:val="17"/>
              <w:bidi w:val="0"/>
              <w:rPr>
                <w:rFonts w:ascii="Times New Roman" w:hAnsi="Times New Roman"/>
                <w:color w:val="auto"/>
              </w:rPr>
            </w:pPr>
            <w:r>
              <w:rPr>
                <w:rFonts w:ascii="Times New Roman" w:hAnsi="Times New Roman"/>
                <w:color w:val="auto"/>
              </w:rPr>
              <w:t xml:space="preserve">930.81 </w:t>
            </w:r>
          </w:p>
        </w:tc>
        <w:tc>
          <w:tcPr>
            <w:tcW w:w="717" w:type="pct"/>
            <w:noWrap/>
            <w:vAlign w:val="center"/>
          </w:tcPr>
          <w:p w14:paraId="4DE596FC">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7BDE0DE5">
            <w:pPr>
              <w:pStyle w:val="17"/>
              <w:bidi w:val="0"/>
              <w:rPr>
                <w:rFonts w:ascii="Times New Roman" w:hAnsi="Times New Roman"/>
                <w:color w:val="auto"/>
              </w:rPr>
            </w:pPr>
            <w:r>
              <w:rPr>
                <w:rFonts w:ascii="Times New Roman" w:hAnsi="Times New Roman"/>
                <w:color w:val="auto"/>
              </w:rPr>
              <w:t xml:space="preserve">0.00 </w:t>
            </w:r>
          </w:p>
        </w:tc>
      </w:tr>
      <w:tr w14:paraId="2722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65CAB06F">
            <w:pPr>
              <w:pStyle w:val="17"/>
              <w:bidi w:val="0"/>
              <w:rPr>
                <w:rFonts w:ascii="Times New Roman" w:hAnsi="Times New Roman"/>
                <w:color w:val="auto"/>
              </w:rPr>
            </w:pPr>
            <w:r>
              <w:rPr>
                <w:rFonts w:ascii="Times New Roman" w:hAnsi="Times New Roman"/>
                <w:color w:val="auto"/>
              </w:rPr>
              <w:t>1.11</w:t>
            </w:r>
          </w:p>
        </w:tc>
        <w:tc>
          <w:tcPr>
            <w:tcW w:w="1430" w:type="pct"/>
            <w:noWrap/>
            <w:vAlign w:val="center"/>
          </w:tcPr>
          <w:p w14:paraId="2BDF77C7">
            <w:pPr>
              <w:pStyle w:val="17"/>
              <w:bidi w:val="0"/>
              <w:rPr>
                <w:rFonts w:ascii="Times New Roman" w:hAnsi="Times New Roman"/>
                <w:color w:val="auto"/>
              </w:rPr>
            </w:pPr>
            <w:r>
              <w:rPr>
                <w:rFonts w:ascii="Times New Roman" w:hAnsi="Times New Roman"/>
                <w:color w:val="auto"/>
              </w:rPr>
              <w:t>建设投资</w:t>
            </w:r>
          </w:p>
        </w:tc>
        <w:tc>
          <w:tcPr>
            <w:tcW w:w="405" w:type="pct"/>
            <w:noWrap/>
            <w:vAlign w:val="center"/>
          </w:tcPr>
          <w:p w14:paraId="3702E4E3">
            <w:pPr>
              <w:pStyle w:val="17"/>
              <w:bidi w:val="0"/>
              <w:rPr>
                <w:rFonts w:ascii="Times New Roman" w:hAnsi="Times New Roman"/>
                <w:color w:val="auto"/>
              </w:rPr>
            </w:pPr>
          </w:p>
        </w:tc>
        <w:tc>
          <w:tcPr>
            <w:tcW w:w="584" w:type="pct"/>
            <w:noWrap/>
            <w:vAlign w:val="center"/>
          </w:tcPr>
          <w:p w14:paraId="051398E8">
            <w:pPr>
              <w:pStyle w:val="17"/>
              <w:bidi w:val="0"/>
              <w:rPr>
                <w:rFonts w:ascii="Times New Roman" w:hAnsi="Times New Roman"/>
                <w:color w:val="auto"/>
              </w:rPr>
            </w:pPr>
            <w:r>
              <w:rPr>
                <w:rFonts w:ascii="Times New Roman" w:hAnsi="Times New Roman"/>
                <w:color w:val="auto"/>
              </w:rPr>
              <w:t>930.81</w:t>
            </w:r>
          </w:p>
        </w:tc>
        <w:tc>
          <w:tcPr>
            <w:tcW w:w="327" w:type="pct"/>
            <w:noWrap/>
            <w:vAlign w:val="center"/>
          </w:tcPr>
          <w:p w14:paraId="5BDDB7D9">
            <w:pPr>
              <w:pStyle w:val="17"/>
              <w:bidi w:val="0"/>
              <w:rPr>
                <w:rFonts w:ascii="Times New Roman" w:hAnsi="Times New Roman"/>
                <w:color w:val="auto"/>
              </w:rPr>
            </w:pPr>
          </w:p>
        </w:tc>
        <w:tc>
          <w:tcPr>
            <w:tcW w:w="561" w:type="pct"/>
            <w:noWrap/>
            <w:vAlign w:val="center"/>
          </w:tcPr>
          <w:p w14:paraId="63E2E92E">
            <w:pPr>
              <w:pStyle w:val="17"/>
              <w:bidi w:val="0"/>
              <w:rPr>
                <w:rFonts w:ascii="Times New Roman" w:hAnsi="Times New Roman"/>
                <w:color w:val="auto"/>
              </w:rPr>
            </w:pPr>
            <w:r>
              <w:rPr>
                <w:rFonts w:ascii="Times New Roman" w:hAnsi="Times New Roman"/>
                <w:color w:val="auto"/>
              </w:rPr>
              <w:t xml:space="preserve">930.81 </w:t>
            </w:r>
          </w:p>
        </w:tc>
        <w:tc>
          <w:tcPr>
            <w:tcW w:w="717" w:type="pct"/>
            <w:noWrap/>
            <w:vAlign w:val="center"/>
          </w:tcPr>
          <w:p w14:paraId="13187264">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2BE9104A">
            <w:pPr>
              <w:pStyle w:val="17"/>
              <w:bidi w:val="0"/>
              <w:rPr>
                <w:rFonts w:ascii="Times New Roman" w:hAnsi="Times New Roman"/>
                <w:color w:val="auto"/>
              </w:rPr>
            </w:pPr>
            <w:r>
              <w:rPr>
                <w:rFonts w:ascii="Times New Roman" w:hAnsi="Times New Roman"/>
                <w:color w:val="auto"/>
              </w:rPr>
              <w:t xml:space="preserve">0.00 </w:t>
            </w:r>
          </w:p>
        </w:tc>
      </w:tr>
      <w:tr w14:paraId="3FA9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79AA5D80">
            <w:pPr>
              <w:pStyle w:val="17"/>
              <w:bidi w:val="0"/>
              <w:rPr>
                <w:rFonts w:ascii="Times New Roman" w:hAnsi="Times New Roman"/>
                <w:color w:val="auto"/>
              </w:rPr>
            </w:pPr>
            <w:r>
              <w:rPr>
                <w:rFonts w:ascii="Times New Roman" w:hAnsi="Times New Roman"/>
                <w:color w:val="auto"/>
              </w:rPr>
              <w:t>1.12</w:t>
            </w:r>
          </w:p>
        </w:tc>
        <w:tc>
          <w:tcPr>
            <w:tcW w:w="1430" w:type="pct"/>
            <w:noWrap/>
            <w:vAlign w:val="center"/>
          </w:tcPr>
          <w:p w14:paraId="17D1E2E0">
            <w:pPr>
              <w:pStyle w:val="17"/>
              <w:bidi w:val="0"/>
              <w:rPr>
                <w:rFonts w:hint="eastAsia" w:ascii="Times New Roman" w:hAnsi="Times New Roman"/>
                <w:color w:val="auto"/>
              </w:rPr>
            </w:pPr>
            <w:r>
              <w:rPr>
                <w:rFonts w:ascii="Times New Roman" w:hAnsi="Times New Roman"/>
                <w:color w:val="auto"/>
              </w:rPr>
              <w:t>建设期利息</w:t>
            </w:r>
          </w:p>
        </w:tc>
        <w:tc>
          <w:tcPr>
            <w:tcW w:w="405" w:type="pct"/>
            <w:noWrap/>
            <w:vAlign w:val="center"/>
          </w:tcPr>
          <w:p w14:paraId="69F96A16">
            <w:pPr>
              <w:pStyle w:val="17"/>
              <w:bidi w:val="0"/>
              <w:rPr>
                <w:rFonts w:ascii="Times New Roman" w:hAnsi="Times New Roman"/>
                <w:color w:val="auto"/>
              </w:rPr>
            </w:pPr>
          </w:p>
        </w:tc>
        <w:tc>
          <w:tcPr>
            <w:tcW w:w="584" w:type="pct"/>
            <w:noWrap/>
            <w:vAlign w:val="center"/>
          </w:tcPr>
          <w:p w14:paraId="2067CF78">
            <w:pPr>
              <w:pStyle w:val="17"/>
              <w:bidi w:val="0"/>
              <w:rPr>
                <w:rFonts w:ascii="Times New Roman" w:hAnsi="Times New Roman"/>
                <w:color w:val="auto"/>
              </w:rPr>
            </w:pPr>
            <w:r>
              <w:rPr>
                <w:rFonts w:ascii="Times New Roman" w:hAnsi="Times New Roman"/>
                <w:color w:val="auto"/>
              </w:rPr>
              <w:t>0.00</w:t>
            </w:r>
          </w:p>
        </w:tc>
        <w:tc>
          <w:tcPr>
            <w:tcW w:w="327" w:type="pct"/>
            <w:noWrap/>
            <w:vAlign w:val="center"/>
          </w:tcPr>
          <w:p w14:paraId="498F03A3">
            <w:pPr>
              <w:pStyle w:val="17"/>
              <w:bidi w:val="0"/>
              <w:rPr>
                <w:rFonts w:ascii="Times New Roman" w:hAnsi="Times New Roman"/>
                <w:color w:val="auto"/>
              </w:rPr>
            </w:pPr>
          </w:p>
        </w:tc>
        <w:tc>
          <w:tcPr>
            <w:tcW w:w="561" w:type="pct"/>
            <w:noWrap/>
            <w:vAlign w:val="center"/>
          </w:tcPr>
          <w:p w14:paraId="0E8B6447">
            <w:pPr>
              <w:pStyle w:val="17"/>
              <w:bidi w:val="0"/>
              <w:rPr>
                <w:rFonts w:ascii="Times New Roman" w:hAnsi="Times New Roman"/>
                <w:color w:val="auto"/>
              </w:rPr>
            </w:pPr>
            <w:r>
              <w:rPr>
                <w:rFonts w:ascii="Times New Roman" w:hAnsi="Times New Roman"/>
                <w:color w:val="auto"/>
              </w:rPr>
              <w:t xml:space="preserve">0.00 </w:t>
            </w:r>
          </w:p>
        </w:tc>
        <w:tc>
          <w:tcPr>
            <w:tcW w:w="717" w:type="pct"/>
            <w:noWrap/>
            <w:vAlign w:val="center"/>
          </w:tcPr>
          <w:p w14:paraId="1492A607">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58F810CA">
            <w:pPr>
              <w:pStyle w:val="17"/>
              <w:bidi w:val="0"/>
              <w:rPr>
                <w:rFonts w:ascii="Times New Roman" w:hAnsi="Times New Roman"/>
                <w:color w:val="auto"/>
              </w:rPr>
            </w:pPr>
            <w:r>
              <w:rPr>
                <w:rFonts w:ascii="Times New Roman" w:hAnsi="Times New Roman"/>
                <w:color w:val="auto"/>
              </w:rPr>
              <w:t xml:space="preserve">0.00 </w:t>
            </w:r>
          </w:p>
        </w:tc>
      </w:tr>
      <w:tr w14:paraId="4E5A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51D98DC1">
            <w:pPr>
              <w:pStyle w:val="17"/>
              <w:bidi w:val="0"/>
              <w:rPr>
                <w:rFonts w:ascii="Times New Roman" w:hAnsi="Times New Roman"/>
                <w:color w:val="auto"/>
              </w:rPr>
            </w:pPr>
            <w:r>
              <w:rPr>
                <w:rFonts w:ascii="Times New Roman" w:hAnsi="Times New Roman"/>
                <w:color w:val="auto"/>
              </w:rPr>
              <w:t>1.2</w:t>
            </w:r>
          </w:p>
        </w:tc>
        <w:tc>
          <w:tcPr>
            <w:tcW w:w="1430" w:type="pct"/>
            <w:noWrap/>
            <w:vAlign w:val="center"/>
          </w:tcPr>
          <w:p w14:paraId="22200134">
            <w:pPr>
              <w:pStyle w:val="17"/>
              <w:bidi w:val="0"/>
              <w:rPr>
                <w:rFonts w:ascii="Times New Roman" w:hAnsi="Times New Roman"/>
                <w:color w:val="auto"/>
              </w:rPr>
            </w:pPr>
            <w:r>
              <w:rPr>
                <w:rFonts w:ascii="Times New Roman" w:hAnsi="Times New Roman"/>
                <w:color w:val="auto"/>
              </w:rPr>
              <w:t>流动资金</w:t>
            </w:r>
          </w:p>
        </w:tc>
        <w:tc>
          <w:tcPr>
            <w:tcW w:w="405" w:type="pct"/>
            <w:noWrap/>
            <w:vAlign w:val="center"/>
          </w:tcPr>
          <w:p w14:paraId="40DAE46F">
            <w:pPr>
              <w:pStyle w:val="17"/>
              <w:bidi w:val="0"/>
              <w:rPr>
                <w:rFonts w:ascii="Times New Roman" w:hAnsi="Times New Roman"/>
                <w:color w:val="auto"/>
              </w:rPr>
            </w:pPr>
          </w:p>
        </w:tc>
        <w:tc>
          <w:tcPr>
            <w:tcW w:w="584" w:type="pct"/>
            <w:noWrap/>
            <w:vAlign w:val="center"/>
          </w:tcPr>
          <w:p w14:paraId="287A472C">
            <w:pPr>
              <w:pStyle w:val="17"/>
              <w:bidi w:val="0"/>
              <w:rPr>
                <w:rFonts w:ascii="Times New Roman" w:hAnsi="Times New Roman"/>
                <w:color w:val="auto"/>
              </w:rPr>
            </w:pPr>
            <w:r>
              <w:rPr>
                <w:rFonts w:ascii="Times New Roman" w:hAnsi="Times New Roman"/>
                <w:color w:val="auto"/>
              </w:rPr>
              <w:t>485.02</w:t>
            </w:r>
          </w:p>
        </w:tc>
        <w:tc>
          <w:tcPr>
            <w:tcW w:w="327" w:type="pct"/>
            <w:noWrap/>
            <w:vAlign w:val="center"/>
          </w:tcPr>
          <w:p w14:paraId="76093C72">
            <w:pPr>
              <w:pStyle w:val="17"/>
              <w:bidi w:val="0"/>
              <w:rPr>
                <w:rFonts w:ascii="Times New Roman" w:hAnsi="Times New Roman"/>
                <w:color w:val="auto"/>
              </w:rPr>
            </w:pPr>
          </w:p>
        </w:tc>
        <w:tc>
          <w:tcPr>
            <w:tcW w:w="561" w:type="pct"/>
            <w:noWrap/>
            <w:vAlign w:val="center"/>
          </w:tcPr>
          <w:p w14:paraId="5B60DCF8">
            <w:pPr>
              <w:pStyle w:val="17"/>
              <w:bidi w:val="0"/>
              <w:rPr>
                <w:rFonts w:ascii="Times New Roman" w:hAnsi="Times New Roman"/>
                <w:color w:val="auto"/>
              </w:rPr>
            </w:pPr>
            <w:r>
              <w:rPr>
                <w:rFonts w:ascii="Times New Roman" w:hAnsi="Times New Roman"/>
                <w:color w:val="auto"/>
              </w:rPr>
              <w:t xml:space="preserve">0.00 </w:t>
            </w:r>
          </w:p>
        </w:tc>
        <w:tc>
          <w:tcPr>
            <w:tcW w:w="717" w:type="pct"/>
            <w:noWrap/>
            <w:vAlign w:val="center"/>
          </w:tcPr>
          <w:p w14:paraId="2E0A042A">
            <w:pPr>
              <w:pStyle w:val="17"/>
              <w:bidi w:val="0"/>
              <w:rPr>
                <w:rFonts w:ascii="Times New Roman" w:hAnsi="Times New Roman"/>
                <w:color w:val="auto"/>
              </w:rPr>
            </w:pPr>
            <w:r>
              <w:rPr>
                <w:rFonts w:ascii="Times New Roman" w:hAnsi="Times New Roman"/>
                <w:color w:val="auto"/>
              </w:rPr>
              <w:t xml:space="preserve">242.51 </w:t>
            </w:r>
          </w:p>
        </w:tc>
        <w:tc>
          <w:tcPr>
            <w:tcW w:w="528" w:type="pct"/>
            <w:noWrap/>
            <w:vAlign w:val="center"/>
          </w:tcPr>
          <w:p w14:paraId="514E9294">
            <w:pPr>
              <w:pStyle w:val="17"/>
              <w:bidi w:val="0"/>
              <w:rPr>
                <w:rFonts w:ascii="Times New Roman" w:hAnsi="Times New Roman"/>
                <w:color w:val="auto"/>
              </w:rPr>
            </w:pPr>
            <w:r>
              <w:rPr>
                <w:rFonts w:ascii="Times New Roman" w:hAnsi="Times New Roman"/>
                <w:color w:val="auto"/>
              </w:rPr>
              <w:t xml:space="preserve">242.51 </w:t>
            </w:r>
          </w:p>
        </w:tc>
      </w:tr>
      <w:tr w14:paraId="3FAC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704B3A03">
            <w:pPr>
              <w:pStyle w:val="17"/>
              <w:bidi w:val="0"/>
              <w:rPr>
                <w:rFonts w:ascii="Times New Roman" w:hAnsi="Times New Roman"/>
                <w:color w:val="auto"/>
              </w:rPr>
            </w:pPr>
            <w:r>
              <w:rPr>
                <w:rFonts w:ascii="Times New Roman" w:hAnsi="Times New Roman"/>
                <w:color w:val="auto"/>
              </w:rPr>
              <w:t>1.3</w:t>
            </w:r>
          </w:p>
        </w:tc>
        <w:tc>
          <w:tcPr>
            <w:tcW w:w="1430" w:type="pct"/>
            <w:noWrap/>
            <w:vAlign w:val="center"/>
          </w:tcPr>
          <w:p w14:paraId="10FD7F73">
            <w:pPr>
              <w:pStyle w:val="17"/>
              <w:bidi w:val="0"/>
              <w:rPr>
                <w:rFonts w:ascii="Times New Roman" w:hAnsi="Times New Roman"/>
                <w:color w:val="auto"/>
              </w:rPr>
            </w:pPr>
            <w:r>
              <w:rPr>
                <w:rFonts w:ascii="Times New Roman" w:hAnsi="Times New Roman"/>
                <w:color w:val="auto"/>
              </w:rPr>
              <w:t>利用原有资产</w:t>
            </w:r>
          </w:p>
        </w:tc>
        <w:tc>
          <w:tcPr>
            <w:tcW w:w="405" w:type="pct"/>
            <w:noWrap/>
            <w:vAlign w:val="center"/>
          </w:tcPr>
          <w:p w14:paraId="680F2A14">
            <w:pPr>
              <w:pStyle w:val="17"/>
              <w:bidi w:val="0"/>
              <w:rPr>
                <w:rFonts w:ascii="Times New Roman" w:hAnsi="Times New Roman"/>
                <w:color w:val="auto"/>
              </w:rPr>
            </w:pPr>
          </w:p>
        </w:tc>
        <w:tc>
          <w:tcPr>
            <w:tcW w:w="584" w:type="pct"/>
            <w:noWrap/>
            <w:vAlign w:val="center"/>
          </w:tcPr>
          <w:p w14:paraId="28CE3029">
            <w:pPr>
              <w:pStyle w:val="17"/>
              <w:bidi w:val="0"/>
              <w:rPr>
                <w:rFonts w:ascii="Times New Roman" w:hAnsi="Times New Roman"/>
                <w:color w:val="auto"/>
              </w:rPr>
            </w:pPr>
            <w:r>
              <w:rPr>
                <w:rFonts w:ascii="Times New Roman" w:hAnsi="Times New Roman"/>
                <w:color w:val="auto"/>
              </w:rPr>
              <w:t>0.00</w:t>
            </w:r>
          </w:p>
        </w:tc>
        <w:tc>
          <w:tcPr>
            <w:tcW w:w="327" w:type="pct"/>
            <w:noWrap/>
            <w:vAlign w:val="center"/>
          </w:tcPr>
          <w:p w14:paraId="091A6825">
            <w:pPr>
              <w:pStyle w:val="17"/>
              <w:bidi w:val="0"/>
              <w:rPr>
                <w:rFonts w:ascii="Times New Roman" w:hAnsi="Times New Roman"/>
                <w:color w:val="auto"/>
              </w:rPr>
            </w:pPr>
          </w:p>
        </w:tc>
        <w:tc>
          <w:tcPr>
            <w:tcW w:w="561" w:type="pct"/>
            <w:noWrap/>
            <w:vAlign w:val="center"/>
          </w:tcPr>
          <w:p w14:paraId="5519FF59">
            <w:pPr>
              <w:pStyle w:val="17"/>
              <w:bidi w:val="0"/>
              <w:rPr>
                <w:rFonts w:ascii="Times New Roman" w:hAnsi="Times New Roman"/>
                <w:color w:val="auto"/>
              </w:rPr>
            </w:pPr>
            <w:r>
              <w:rPr>
                <w:rFonts w:ascii="Times New Roman" w:hAnsi="Times New Roman"/>
                <w:color w:val="auto"/>
              </w:rPr>
              <w:t xml:space="preserve">0.00 </w:t>
            </w:r>
          </w:p>
        </w:tc>
        <w:tc>
          <w:tcPr>
            <w:tcW w:w="717" w:type="pct"/>
            <w:noWrap/>
            <w:vAlign w:val="center"/>
          </w:tcPr>
          <w:p w14:paraId="6165E41A">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1CECB36E">
            <w:pPr>
              <w:pStyle w:val="17"/>
              <w:bidi w:val="0"/>
              <w:rPr>
                <w:rFonts w:ascii="Times New Roman" w:hAnsi="Times New Roman"/>
                <w:color w:val="auto"/>
              </w:rPr>
            </w:pPr>
            <w:r>
              <w:rPr>
                <w:rFonts w:ascii="Times New Roman" w:hAnsi="Times New Roman"/>
                <w:color w:val="auto"/>
              </w:rPr>
              <w:t xml:space="preserve">0.00 </w:t>
            </w:r>
          </w:p>
        </w:tc>
      </w:tr>
      <w:tr w14:paraId="237E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50C78949">
            <w:pPr>
              <w:pStyle w:val="17"/>
              <w:bidi w:val="0"/>
              <w:rPr>
                <w:rFonts w:ascii="Times New Roman" w:hAnsi="Times New Roman"/>
                <w:color w:val="auto"/>
              </w:rPr>
            </w:pPr>
            <w:r>
              <w:rPr>
                <w:rFonts w:ascii="Times New Roman" w:hAnsi="Times New Roman"/>
                <w:color w:val="auto"/>
              </w:rPr>
              <w:t>2</w:t>
            </w:r>
          </w:p>
        </w:tc>
        <w:tc>
          <w:tcPr>
            <w:tcW w:w="1430" w:type="pct"/>
            <w:noWrap/>
            <w:vAlign w:val="center"/>
          </w:tcPr>
          <w:p w14:paraId="11EA8B04">
            <w:pPr>
              <w:pStyle w:val="17"/>
              <w:bidi w:val="0"/>
              <w:rPr>
                <w:rFonts w:ascii="Times New Roman" w:hAnsi="Times New Roman"/>
                <w:color w:val="auto"/>
              </w:rPr>
            </w:pPr>
            <w:r>
              <w:rPr>
                <w:rFonts w:ascii="Times New Roman" w:hAnsi="Times New Roman"/>
                <w:color w:val="auto"/>
              </w:rPr>
              <w:t>国家考核项目总投资</w:t>
            </w:r>
          </w:p>
        </w:tc>
        <w:tc>
          <w:tcPr>
            <w:tcW w:w="405" w:type="pct"/>
            <w:noWrap/>
            <w:vAlign w:val="center"/>
          </w:tcPr>
          <w:p w14:paraId="6DE3D598">
            <w:pPr>
              <w:pStyle w:val="17"/>
              <w:bidi w:val="0"/>
              <w:rPr>
                <w:rFonts w:ascii="Times New Roman" w:hAnsi="Times New Roman"/>
                <w:color w:val="auto"/>
              </w:rPr>
            </w:pPr>
          </w:p>
        </w:tc>
        <w:tc>
          <w:tcPr>
            <w:tcW w:w="584" w:type="pct"/>
            <w:noWrap/>
            <w:vAlign w:val="center"/>
          </w:tcPr>
          <w:p w14:paraId="58860A73">
            <w:pPr>
              <w:pStyle w:val="17"/>
              <w:bidi w:val="0"/>
              <w:rPr>
                <w:rFonts w:ascii="Times New Roman" w:hAnsi="Times New Roman"/>
                <w:color w:val="auto"/>
              </w:rPr>
            </w:pPr>
            <w:r>
              <w:rPr>
                <w:rFonts w:ascii="Times New Roman" w:hAnsi="Times New Roman"/>
                <w:color w:val="auto"/>
              </w:rPr>
              <w:t>930.81</w:t>
            </w:r>
          </w:p>
        </w:tc>
        <w:tc>
          <w:tcPr>
            <w:tcW w:w="327" w:type="pct"/>
            <w:noWrap/>
            <w:vAlign w:val="center"/>
          </w:tcPr>
          <w:p w14:paraId="294BBCB7">
            <w:pPr>
              <w:pStyle w:val="17"/>
              <w:bidi w:val="0"/>
              <w:rPr>
                <w:rFonts w:ascii="Times New Roman" w:hAnsi="Times New Roman"/>
                <w:color w:val="auto"/>
              </w:rPr>
            </w:pPr>
          </w:p>
        </w:tc>
        <w:tc>
          <w:tcPr>
            <w:tcW w:w="561" w:type="pct"/>
            <w:noWrap/>
            <w:vAlign w:val="center"/>
          </w:tcPr>
          <w:p w14:paraId="59937146">
            <w:pPr>
              <w:pStyle w:val="17"/>
              <w:bidi w:val="0"/>
              <w:rPr>
                <w:rFonts w:ascii="Times New Roman" w:hAnsi="Times New Roman"/>
                <w:color w:val="auto"/>
              </w:rPr>
            </w:pPr>
            <w:r>
              <w:rPr>
                <w:rFonts w:ascii="Times New Roman" w:hAnsi="Times New Roman"/>
                <w:color w:val="auto"/>
              </w:rPr>
              <w:t xml:space="preserve">930.81 </w:t>
            </w:r>
          </w:p>
        </w:tc>
        <w:tc>
          <w:tcPr>
            <w:tcW w:w="717" w:type="pct"/>
            <w:noWrap/>
            <w:vAlign w:val="center"/>
          </w:tcPr>
          <w:p w14:paraId="086D7E7F">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6B9A8F79">
            <w:pPr>
              <w:pStyle w:val="17"/>
              <w:bidi w:val="0"/>
              <w:rPr>
                <w:rFonts w:ascii="Times New Roman" w:hAnsi="Times New Roman"/>
                <w:color w:val="auto"/>
              </w:rPr>
            </w:pPr>
            <w:r>
              <w:rPr>
                <w:rFonts w:ascii="Times New Roman" w:hAnsi="Times New Roman"/>
                <w:color w:val="auto"/>
              </w:rPr>
              <w:t xml:space="preserve">0.00 </w:t>
            </w:r>
          </w:p>
        </w:tc>
      </w:tr>
      <w:tr w14:paraId="44BA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59DABFFD">
            <w:pPr>
              <w:pStyle w:val="17"/>
              <w:bidi w:val="0"/>
              <w:rPr>
                <w:rFonts w:ascii="Times New Roman" w:hAnsi="Times New Roman"/>
                <w:color w:val="auto"/>
              </w:rPr>
            </w:pPr>
            <w:r>
              <w:rPr>
                <w:rFonts w:ascii="Times New Roman" w:hAnsi="Times New Roman"/>
                <w:color w:val="auto"/>
              </w:rPr>
              <w:t>2.1</w:t>
            </w:r>
          </w:p>
        </w:tc>
        <w:tc>
          <w:tcPr>
            <w:tcW w:w="1430" w:type="pct"/>
            <w:noWrap/>
            <w:vAlign w:val="center"/>
          </w:tcPr>
          <w:p w14:paraId="3804410D">
            <w:pPr>
              <w:pStyle w:val="17"/>
              <w:bidi w:val="0"/>
              <w:rPr>
                <w:rFonts w:ascii="Times New Roman" w:hAnsi="Times New Roman"/>
                <w:color w:val="auto"/>
              </w:rPr>
            </w:pPr>
            <w:r>
              <w:rPr>
                <w:rFonts w:ascii="Times New Roman" w:hAnsi="Times New Roman"/>
                <w:color w:val="auto"/>
              </w:rPr>
              <w:t>建设投资总额</w:t>
            </w:r>
          </w:p>
        </w:tc>
        <w:tc>
          <w:tcPr>
            <w:tcW w:w="405" w:type="pct"/>
            <w:noWrap/>
            <w:vAlign w:val="center"/>
          </w:tcPr>
          <w:p w14:paraId="16405808">
            <w:pPr>
              <w:pStyle w:val="17"/>
              <w:bidi w:val="0"/>
              <w:rPr>
                <w:rFonts w:ascii="Times New Roman" w:hAnsi="Times New Roman"/>
                <w:color w:val="auto"/>
              </w:rPr>
            </w:pPr>
          </w:p>
        </w:tc>
        <w:tc>
          <w:tcPr>
            <w:tcW w:w="584" w:type="pct"/>
            <w:noWrap/>
            <w:vAlign w:val="center"/>
          </w:tcPr>
          <w:p w14:paraId="3D7DE93F">
            <w:pPr>
              <w:pStyle w:val="17"/>
              <w:bidi w:val="0"/>
              <w:rPr>
                <w:rFonts w:ascii="Times New Roman" w:hAnsi="Times New Roman"/>
                <w:color w:val="auto"/>
              </w:rPr>
            </w:pPr>
            <w:r>
              <w:rPr>
                <w:rFonts w:ascii="Times New Roman" w:hAnsi="Times New Roman"/>
                <w:color w:val="auto"/>
              </w:rPr>
              <w:t>930.81</w:t>
            </w:r>
          </w:p>
        </w:tc>
        <w:tc>
          <w:tcPr>
            <w:tcW w:w="327" w:type="pct"/>
            <w:noWrap/>
            <w:vAlign w:val="center"/>
          </w:tcPr>
          <w:p w14:paraId="2269F486">
            <w:pPr>
              <w:pStyle w:val="17"/>
              <w:bidi w:val="0"/>
              <w:rPr>
                <w:rFonts w:ascii="Times New Roman" w:hAnsi="Times New Roman"/>
                <w:color w:val="auto"/>
              </w:rPr>
            </w:pPr>
          </w:p>
        </w:tc>
        <w:tc>
          <w:tcPr>
            <w:tcW w:w="561" w:type="pct"/>
            <w:noWrap/>
            <w:vAlign w:val="center"/>
          </w:tcPr>
          <w:p w14:paraId="55D67BF7">
            <w:pPr>
              <w:pStyle w:val="17"/>
              <w:bidi w:val="0"/>
              <w:rPr>
                <w:rFonts w:ascii="Times New Roman" w:hAnsi="Times New Roman"/>
                <w:color w:val="auto"/>
              </w:rPr>
            </w:pPr>
            <w:r>
              <w:rPr>
                <w:rFonts w:ascii="Times New Roman" w:hAnsi="Times New Roman"/>
                <w:color w:val="auto"/>
              </w:rPr>
              <w:t xml:space="preserve">930.81 </w:t>
            </w:r>
          </w:p>
        </w:tc>
        <w:tc>
          <w:tcPr>
            <w:tcW w:w="717" w:type="pct"/>
            <w:noWrap/>
            <w:vAlign w:val="center"/>
          </w:tcPr>
          <w:p w14:paraId="205E90EB">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66EA4735">
            <w:pPr>
              <w:pStyle w:val="17"/>
              <w:bidi w:val="0"/>
              <w:rPr>
                <w:rFonts w:ascii="Times New Roman" w:hAnsi="Times New Roman"/>
                <w:color w:val="auto"/>
              </w:rPr>
            </w:pPr>
            <w:r>
              <w:rPr>
                <w:rFonts w:ascii="Times New Roman" w:hAnsi="Times New Roman"/>
                <w:color w:val="auto"/>
              </w:rPr>
              <w:t xml:space="preserve">0.00 </w:t>
            </w:r>
          </w:p>
        </w:tc>
      </w:tr>
      <w:tr w14:paraId="3C81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49783636">
            <w:pPr>
              <w:pStyle w:val="17"/>
              <w:bidi w:val="0"/>
              <w:rPr>
                <w:rFonts w:ascii="Times New Roman" w:hAnsi="Times New Roman"/>
                <w:color w:val="auto"/>
              </w:rPr>
            </w:pPr>
            <w:r>
              <w:rPr>
                <w:rFonts w:ascii="Times New Roman" w:hAnsi="Times New Roman"/>
                <w:color w:val="auto"/>
              </w:rPr>
              <w:t>2.11</w:t>
            </w:r>
          </w:p>
        </w:tc>
        <w:tc>
          <w:tcPr>
            <w:tcW w:w="1430" w:type="pct"/>
            <w:noWrap/>
            <w:vAlign w:val="center"/>
          </w:tcPr>
          <w:p w14:paraId="23C49B4C">
            <w:pPr>
              <w:pStyle w:val="17"/>
              <w:bidi w:val="0"/>
              <w:rPr>
                <w:rFonts w:ascii="Times New Roman" w:hAnsi="Times New Roman"/>
                <w:color w:val="auto"/>
              </w:rPr>
            </w:pPr>
            <w:r>
              <w:rPr>
                <w:rFonts w:ascii="Times New Roman" w:hAnsi="Times New Roman"/>
                <w:color w:val="auto"/>
              </w:rPr>
              <w:t>建设投资</w:t>
            </w:r>
          </w:p>
        </w:tc>
        <w:tc>
          <w:tcPr>
            <w:tcW w:w="405" w:type="pct"/>
            <w:noWrap/>
            <w:vAlign w:val="center"/>
          </w:tcPr>
          <w:p w14:paraId="488678BE">
            <w:pPr>
              <w:pStyle w:val="17"/>
              <w:bidi w:val="0"/>
              <w:rPr>
                <w:rFonts w:ascii="Times New Roman" w:hAnsi="Times New Roman"/>
                <w:color w:val="auto"/>
              </w:rPr>
            </w:pPr>
          </w:p>
        </w:tc>
        <w:tc>
          <w:tcPr>
            <w:tcW w:w="584" w:type="pct"/>
            <w:noWrap/>
            <w:vAlign w:val="center"/>
          </w:tcPr>
          <w:p w14:paraId="69D2EB76">
            <w:pPr>
              <w:pStyle w:val="17"/>
              <w:bidi w:val="0"/>
              <w:rPr>
                <w:rFonts w:ascii="Times New Roman" w:hAnsi="Times New Roman"/>
                <w:color w:val="auto"/>
              </w:rPr>
            </w:pPr>
            <w:r>
              <w:rPr>
                <w:rFonts w:ascii="Times New Roman" w:hAnsi="Times New Roman"/>
                <w:color w:val="auto"/>
              </w:rPr>
              <w:t>930.81</w:t>
            </w:r>
          </w:p>
        </w:tc>
        <w:tc>
          <w:tcPr>
            <w:tcW w:w="327" w:type="pct"/>
            <w:noWrap/>
            <w:vAlign w:val="center"/>
          </w:tcPr>
          <w:p w14:paraId="5B9FF0EC">
            <w:pPr>
              <w:pStyle w:val="17"/>
              <w:bidi w:val="0"/>
              <w:rPr>
                <w:rFonts w:ascii="Times New Roman" w:hAnsi="Times New Roman"/>
                <w:color w:val="auto"/>
              </w:rPr>
            </w:pPr>
          </w:p>
        </w:tc>
        <w:tc>
          <w:tcPr>
            <w:tcW w:w="561" w:type="pct"/>
            <w:noWrap/>
            <w:vAlign w:val="center"/>
          </w:tcPr>
          <w:p w14:paraId="21EA6C85">
            <w:pPr>
              <w:pStyle w:val="17"/>
              <w:bidi w:val="0"/>
              <w:rPr>
                <w:rFonts w:ascii="Times New Roman" w:hAnsi="Times New Roman"/>
                <w:color w:val="auto"/>
              </w:rPr>
            </w:pPr>
            <w:r>
              <w:rPr>
                <w:rFonts w:ascii="Times New Roman" w:hAnsi="Times New Roman"/>
                <w:color w:val="auto"/>
              </w:rPr>
              <w:t xml:space="preserve">930.81 </w:t>
            </w:r>
          </w:p>
        </w:tc>
        <w:tc>
          <w:tcPr>
            <w:tcW w:w="717" w:type="pct"/>
            <w:noWrap/>
            <w:vAlign w:val="center"/>
          </w:tcPr>
          <w:p w14:paraId="3951FB8A">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192BB314">
            <w:pPr>
              <w:pStyle w:val="17"/>
              <w:bidi w:val="0"/>
              <w:rPr>
                <w:rFonts w:ascii="Times New Roman" w:hAnsi="Times New Roman"/>
                <w:color w:val="auto"/>
              </w:rPr>
            </w:pPr>
            <w:r>
              <w:rPr>
                <w:rFonts w:ascii="Times New Roman" w:hAnsi="Times New Roman"/>
                <w:color w:val="auto"/>
              </w:rPr>
              <w:t xml:space="preserve">0.00 </w:t>
            </w:r>
          </w:p>
        </w:tc>
      </w:tr>
      <w:tr w14:paraId="5AA9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59B68910">
            <w:pPr>
              <w:pStyle w:val="17"/>
              <w:bidi w:val="0"/>
              <w:rPr>
                <w:rFonts w:ascii="Times New Roman" w:hAnsi="Times New Roman"/>
                <w:color w:val="auto"/>
              </w:rPr>
            </w:pPr>
            <w:r>
              <w:rPr>
                <w:rFonts w:ascii="Times New Roman" w:hAnsi="Times New Roman"/>
                <w:color w:val="auto"/>
              </w:rPr>
              <w:t>2.12</w:t>
            </w:r>
          </w:p>
        </w:tc>
        <w:tc>
          <w:tcPr>
            <w:tcW w:w="1430" w:type="pct"/>
            <w:noWrap/>
            <w:vAlign w:val="center"/>
          </w:tcPr>
          <w:p w14:paraId="4AB50BEB">
            <w:pPr>
              <w:pStyle w:val="17"/>
              <w:bidi w:val="0"/>
              <w:rPr>
                <w:rFonts w:ascii="Times New Roman" w:hAnsi="Times New Roman"/>
                <w:color w:val="auto"/>
              </w:rPr>
            </w:pPr>
            <w:r>
              <w:rPr>
                <w:rFonts w:ascii="Times New Roman" w:hAnsi="Times New Roman"/>
                <w:color w:val="auto"/>
              </w:rPr>
              <w:t>铺底流动资金</w:t>
            </w:r>
          </w:p>
        </w:tc>
        <w:tc>
          <w:tcPr>
            <w:tcW w:w="405" w:type="pct"/>
            <w:noWrap/>
            <w:vAlign w:val="center"/>
          </w:tcPr>
          <w:p w14:paraId="1E971FCC">
            <w:pPr>
              <w:pStyle w:val="17"/>
              <w:bidi w:val="0"/>
              <w:rPr>
                <w:rFonts w:ascii="Times New Roman" w:hAnsi="Times New Roman"/>
                <w:color w:val="auto"/>
              </w:rPr>
            </w:pPr>
          </w:p>
        </w:tc>
        <w:tc>
          <w:tcPr>
            <w:tcW w:w="584" w:type="pct"/>
            <w:noWrap/>
            <w:vAlign w:val="center"/>
          </w:tcPr>
          <w:p w14:paraId="26AB9E64">
            <w:pPr>
              <w:pStyle w:val="17"/>
              <w:bidi w:val="0"/>
              <w:rPr>
                <w:rFonts w:ascii="Times New Roman" w:hAnsi="Times New Roman"/>
                <w:color w:val="auto"/>
              </w:rPr>
            </w:pPr>
            <w:r>
              <w:rPr>
                <w:rFonts w:ascii="Times New Roman" w:hAnsi="Times New Roman"/>
                <w:color w:val="auto"/>
              </w:rPr>
              <w:t>145.00</w:t>
            </w:r>
          </w:p>
        </w:tc>
        <w:tc>
          <w:tcPr>
            <w:tcW w:w="327" w:type="pct"/>
            <w:noWrap/>
            <w:vAlign w:val="center"/>
          </w:tcPr>
          <w:p w14:paraId="20E82E88">
            <w:pPr>
              <w:pStyle w:val="17"/>
              <w:bidi w:val="0"/>
              <w:rPr>
                <w:rFonts w:ascii="Times New Roman" w:hAnsi="Times New Roman"/>
                <w:color w:val="auto"/>
              </w:rPr>
            </w:pPr>
          </w:p>
        </w:tc>
        <w:tc>
          <w:tcPr>
            <w:tcW w:w="561" w:type="pct"/>
            <w:noWrap/>
            <w:vAlign w:val="center"/>
          </w:tcPr>
          <w:p w14:paraId="064DE6D6">
            <w:pPr>
              <w:pStyle w:val="17"/>
              <w:bidi w:val="0"/>
              <w:rPr>
                <w:rFonts w:ascii="Times New Roman" w:hAnsi="Times New Roman"/>
                <w:color w:val="auto"/>
              </w:rPr>
            </w:pPr>
            <w:r>
              <w:rPr>
                <w:rFonts w:ascii="Times New Roman" w:hAnsi="Times New Roman"/>
                <w:color w:val="auto"/>
              </w:rPr>
              <w:t xml:space="preserve">0.00 </w:t>
            </w:r>
          </w:p>
        </w:tc>
        <w:tc>
          <w:tcPr>
            <w:tcW w:w="717" w:type="pct"/>
            <w:noWrap/>
            <w:vAlign w:val="center"/>
          </w:tcPr>
          <w:p w14:paraId="759D4188">
            <w:pPr>
              <w:pStyle w:val="17"/>
              <w:bidi w:val="0"/>
              <w:rPr>
                <w:rFonts w:ascii="Times New Roman" w:hAnsi="Times New Roman"/>
                <w:color w:val="auto"/>
              </w:rPr>
            </w:pPr>
            <w:r>
              <w:rPr>
                <w:rFonts w:ascii="Times New Roman" w:hAnsi="Times New Roman"/>
                <w:color w:val="auto"/>
              </w:rPr>
              <w:t xml:space="preserve">72.50 </w:t>
            </w:r>
          </w:p>
        </w:tc>
        <w:tc>
          <w:tcPr>
            <w:tcW w:w="528" w:type="pct"/>
            <w:noWrap/>
            <w:vAlign w:val="center"/>
          </w:tcPr>
          <w:p w14:paraId="2CE7FB8A">
            <w:pPr>
              <w:pStyle w:val="17"/>
              <w:bidi w:val="0"/>
              <w:rPr>
                <w:rFonts w:ascii="Times New Roman" w:hAnsi="Times New Roman"/>
                <w:color w:val="auto"/>
              </w:rPr>
            </w:pPr>
            <w:r>
              <w:rPr>
                <w:rFonts w:ascii="Times New Roman" w:hAnsi="Times New Roman"/>
                <w:color w:val="auto"/>
              </w:rPr>
              <w:t xml:space="preserve">72.50 </w:t>
            </w:r>
          </w:p>
        </w:tc>
      </w:tr>
      <w:tr w14:paraId="2476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38176B95">
            <w:pPr>
              <w:pStyle w:val="17"/>
              <w:bidi w:val="0"/>
              <w:rPr>
                <w:rFonts w:ascii="Times New Roman" w:hAnsi="Times New Roman"/>
                <w:color w:val="auto"/>
              </w:rPr>
            </w:pPr>
            <w:r>
              <w:rPr>
                <w:rFonts w:ascii="Times New Roman" w:hAnsi="Times New Roman"/>
                <w:color w:val="auto"/>
              </w:rPr>
              <w:t>2.2</w:t>
            </w:r>
          </w:p>
        </w:tc>
        <w:tc>
          <w:tcPr>
            <w:tcW w:w="1430" w:type="pct"/>
            <w:noWrap/>
            <w:vAlign w:val="center"/>
          </w:tcPr>
          <w:p w14:paraId="7587101D">
            <w:pPr>
              <w:pStyle w:val="17"/>
              <w:bidi w:val="0"/>
              <w:rPr>
                <w:rFonts w:ascii="Times New Roman" w:hAnsi="Times New Roman"/>
                <w:color w:val="auto"/>
              </w:rPr>
            </w:pPr>
            <w:r>
              <w:rPr>
                <w:rFonts w:ascii="Times New Roman" w:hAnsi="Times New Roman"/>
                <w:color w:val="auto"/>
              </w:rPr>
              <w:t>利用原有资产</w:t>
            </w:r>
          </w:p>
        </w:tc>
        <w:tc>
          <w:tcPr>
            <w:tcW w:w="405" w:type="pct"/>
            <w:noWrap/>
            <w:vAlign w:val="center"/>
          </w:tcPr>
          <w:p w14:paraId="59821255">
            <w:pPr>
              <w:pStyle w:val="17"/>
              <w:bidi w:val="0"/>
              <w:rPr>
                <w:rFonts w:ascii="Times New Roman" w:hAnsi="Times New Roman"/>
                <w:color w:val="auto"/>
              </w:rPr>
            </w:pPr>
          </w:p>
        </w:tc>
        <w:tc>
          <w:tcPr>
            <w:tcW w:w="584" w:type="pct"/>
            <w:noWrap/>
            <w:vAlign w:val="center"/>
          </w:tcPr>
          <w:p w14:paraId="6E0632FF">
            <w:pPr>
              <w:pStyle w:val="17"/>
              <w:bidi w:val="0"/>
              <w:rPr>
                <w:rFonts w:ascii="Times New Roman" w:hAnsi="Times New Roman"/>
                <w:color w:val="auto"/>
              </w:rPr>
            </w:pPr>
            <w:r>
              <w:rPr>
                <w:rFonts w:ascii="Times New Roman" w:hAnsi="Times New Roman"/>
                <w:color w:val="auto"/>
              </w:rPr>
              <w:t>0.00</w:t>
            </w:r>
          </w:p>
        </w:tc>
        <w:tc>
          <w:tcPr>
            <w:tcW w:w="327" w:type="pct"/>
            <w:noWrap/>
            <w:vAlign w:val="center"/>
          </w:tcPr>
          <w:p w14:paraId="7EDF64F5">
            <w:pPr>
              <w:pStyle w:val="17"/>
              <w:bidi w:val="0"/>
              <w:rPr>
                <w:rFonts w:ascii="Times New Roman" w:hAnsi="Times New Roman"/>
                <w:color w:val="auto"/>
              </w:rPr>
            </w:pPr>
          </w:p>
        </w:tc>
        <w:tc>
          <w:tcPr>
            <w:tcW w:w="561" w:type="pct"/>
            <w:noWrap/>
            <w:vAlign w:val="center"/>
          </w:tcPr>
          <w:p w14:paraId="5B3102D0">
            <w:pPr>
              <w:pStyle w:val="17"/>
              <w:bidi w:val="0"/>
              <w:rPr>
                <w:rFonts w:ascii="Times New Roman" w:hAnsi="Times New Roman"/>
                <w:color w:val="auto"/>
              </w:rPr>
            </w:pPr>
            <w:r>
              <w:rPr>
                <w:rFonts w:ascii="Times New Roman" w:hAnsi="Times New Roman"/>
                <w:color w:val="auto"/>
              </w:rPr>
              <w:t xml:space="preserve">0.00 </w:t>
            </w:r>
          </w:p>
        </w:tc>
        <w:tc>
          <w:tcPr>
            <w:tcW w:w="717" w:type="pct"/>
            <w:noWrap/>
            <w:vAlign w:val="center"/>
          </w:tcPr>
          <w:p w14:paraId="0245D07D">
            <w:pPr>
              <w:pStyle w:val="17"/>
              <w:bidi w:val="0"/>
              <w:rPr>
                <w:rFonts w:ascii="Times New Roman" w:hAnsi="Times New Roman"/>
                <w:color w:val="auto"/>
              </w:rPr>
            </w:pPr>
            <w:r>
              <w:rPr>
                <w:rFonts w:ascii="Times New Roman" w:hAnsi="Times New Roman"/>
                <w:color w:val="auto"/>
              </w:rPr>
              <w:t xml:space="preserve">0.00 </w:t>
            </w:r>
          </w:p>
        </w:tc>
        <w:tc>
          <w:tcPr>
            <w:tcW w:w="528" w:type="pct"/>
            <w:noWrap/>
            <w:vAlign w:val="center"/>
          </w:tcPr>
          <w:p w14:paraId="4B5C069A">
            <w:pPr>
              <w:pStyle w:val="17"/>
              <w:bidi w:val="0"/>
              <w:rPr>
                <w:rFonts w:ascii="Times New Roman" w:hAnsi="Times New Roman"/>
                <w:color w:val="auto"/>
              </w:rPr>
            </w:pPr>
            <w:r>
              <w:rPr>
                <w:rFonts w:ascii="Times New Roman" w:hAnsi="Times New Roman"/>
                <w:color w:val="auto"/>
              </w:rPr>
              <w:t xml:space="preserve">0.00 </w:t>
            </w:r>
          </w:p>
        </w:tc>
      </w:tr>
      <w:tr w14:paraId="3128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64EEF5D8">
            <w:pPr>
              <w:pStyle w:val="17"/>
              <w:bidi w:val="0"/>
              <w:rPr>
                <w:rFonts w:ascii="Times New Roman" w:hAnsi="Times New Roman"/>
                <w:color w:val="auto"/>
              </w:rPr>
            </w:pPr>
            <w:r>
              <w:rPr>
                <w:rFonts w:ascii="Times New Roman" w:hAnsi="Times New Roman"/>
                <w:color w:val="auto"/>
              </w:rPr>
              <w:t>二</w:t>
            </w:r>
          </w:p>
        </w:tc>
        <w:tc>
          <w:tcPr>
            <w:tcW w:w="1430" w:type="pct"/>
            <w:noWrap/>
            <w:vAlign w:val="center"/>
          </w:tcPr>
          <w:p w14:paraId="3E5A4B37">
            <w:pPr>
              <w:pStyle w:val="17"/>
              <w:bidi w:val="0"/>
              <w:rPr>
                <w:rFonts w:ascii="Times New Roman" w:hAnsi="Times New Roman"/>
                <w:color w:val="auto"/>
              </w:rPr>
            </w:pPr>
            <w:r>
              <w:rPr>
                <w:rFonts w:ascii="Times New Roman" w:hAnsi="Times New Roman"/>
                <w:color w:val="auto"/>
              </w:rPr>
              <w:t>资金筹措</w:t>
            </w:r>
          </w:p>
        </w:tc>
        <w:tc>
          <w:tcPr>
            <w:tcW w:w="405" w:type="pct"/>
            <w:noWrap/>
            <w:vAlign w:val="center"/>
          </w:tcPr>
          <w:p w14:paraId="29045E77">
            <w:pPr>
              <w:pStyle w:val="17"/>
              <w:bidi w:val="0"/>
              <w:rPr>
                <w:rFonts w:ascii="Times New Roman" w:hAnsi="Times New Roman"/>
                <w:color w:val="auto"/>
              </w:rPr>
            </w:pPr>
          </w:p>
        </w:tc>
        <w:tc>
          <w:tcPr>
            <w:tcW w:w="584" w:type="pct"/>
            <w:noWrap/>
            <w:vAlign w:val="center"/>
          </w:tcPr>
          <w:p w14:paraId="27A8BAC5">
            <w:pPr>
              <w:pStyle w:val="17"/>
              <w:bidi w:val="0"/>
              <w:rPr>
                <w:rFonts w:ascii="Times New Roman" w:hAnsi="Times New Roman"/>
                <w:color w:val="auto"/>
              </w:rPr>
            </w:pPr>
          </w:p>
        </w:tc>
        <w:tc>
          <w:tcPr>
            <w:tcW w:w="327" w:type="pct"/>
            <w:noWrap/>
            <w:vAlign w:val="center"/>
          </w:tcPr>
          <w:p w14:paraId="0F11F29C">
            <w:pPr>
              <w:pStyle w:val="17"/>
              <w:bidi w:val="0"/>
              <w:rPr>
                <w:rFonts w:ascii="Times New Roman" w:hAnsi="Times New Roman"/>
                <w:color w:val="auto"/>
              </w:rPr>
            </w:pPr>
          </w:p>
        </w:tc>
        <w:tc>
          <w:tcPr>
            <w:tcW w:w="561" w:type="pct"/>
            <w:noWrap/>
            <w:vAlign w:val="center"/>
          </w:tcPr>
          <w:p w14:paraId="3E94F262">
            <w:pPr>
              <w:pStyle w:val="17"/>
              <w:bidi w:val="0"/>
              <w:rPr>
                <w:rFonts w:ascii="Times New Roman" w:hAnsi="Times New Roman"/>
                <w:color w:val="auto"/>
              </w:rPr>
            </w:pPr>
          </w:p>
        </w:tc>
        <w:tc>
          <w:tcPr>
            <w:tcW w:w="717" w:type="pct"/>
            <w:noWrap/>
            <w:vAlign w:val="center"/>
          </w:tcPr>
          <w:p w14:paraId="73237DC7">
            <w:pPr>
              <w:pStyle w:val="17"/>
              <w:bidi w:val="0"/>
              <w:rPr>
                <w:rFonts w:ascii="Times New Roman" w:hAnsi="Times New Roman"/>
                <w:color w:val="auto"/>
              </w:rPr>
            </w:pPr>
          </w:p>
        </w:tc>
        <w:tc>
          <w:tcPr>
            <w:tcW w:w="528" w:type="pct"/>
            <w:noWrap/>
            <w:vAlign w:val="center"/>
          </w:tcPr>
          <w:p w14:paraId="339D35E0">
            <w:pPr>
              <w:pStyle w:val="17"/>
              <w:bidi w:val="0"/>
              <w:rPr>
                <w:rFonts w:ascii="Times New Roman" w:hAnsi="Times New Roman"/>
                <w:color w:val="auto"/>
              </w:rPr>
            </w:pPr>
          </w:p>
        </w:tc>
      </w:tr>
      <w:tr w14:paraId="5146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015500CB">
            <w:pPr>
              <w:pStyle w:val="17"/>
              <w:bidi w:val="0"/>
              <w:rPr>
                <w:rFonts w:ascii="Times New Roman" w:hAnsi="Times New Roman"/>
                <w:color w:val="auto"/>
              </w:rPr>
            </w:pPr>
            <w:r>
              <w:rPr>
                <w:rFonts w:ascii="Times New Roman" w:hAnsi="Times New Roman"/>
                <w:color w:val="auto"/>
              </w:rPr>
              <w:t>1</w:t>
            </w:r>
          </w:p>
        </w:tc>
        <w:tc>
          <w:tcPr>
            <w:tcW w:w="1430" w:type="pct"/>
            <w:noWrap/>
            <w:vAlign w:val="center"/>
          </w:tcPr>
          <w:p w14:paraId="350C1DE0">
            <w:pPr>
              <w:pStyle w:val="17"/>
              <w:bidi w:val="0"/>
              <w:rPr>
                <w:rFonts w:ascii="Times New Roman" w:hAnsi="Times New Roman"/>
                <w:color w:val="auto"/>
              </w:rPr>
            </w:pPr>
            <w:r>
              <w:rPr>
                <w:rFonts w:ascii="Times New Roman" w:hAnsi="Times New Roman"/>
                <w:color w:val="auto"/>
              </w:rPr>
              <w:t>项目资本金</w:t>
            </w:r>
          </w:p>
        </w:tc>
        <w:tc>
          <w:tcPr>
            <w:tcW w:w="405" w:type="pct"/>
            <w:noWrap/>
            <w:vAlign w:val="center"/>
          </w:tcPr>
          <w:p w14:paraId="2CE2E1B6">
            <w:pPr>
              <w:pStyle w:val="17"/>
              <w:bidi w:val="0"/>
              <w:rPr>
                <w:rFonts w:ascii="Times New Roman" w:hAnsi="Times New Roman"/>
                <w:color w:val="auto"/>
              </w:rPr>
            </w:pPr>
          </w:p>
        </w:tc>
        <w:tc>
          <w:tcPr>
            <w:tcW w:w="584" w:type="pct"/>
            <w:noWrap/>
            <w:vAlign w:val="center"/>
          </w:tcPr>
          <w:p w14:paraId="16F9BF1A">
            <w:pPr>
              <w:pStyle w:val="17"/>
              <w:bidi w:val="0"/>
              <w:rPr>
                <w:rFonts w:ascii="Times New Roman" w:hAnsi="Times New Roman"/>
                <w:color w:val="auto"/>
              </w:rPr>
            </w:pPr>
            <w:r>
              <w:rPr>
                <w:rFonts w:ascii="Times New Roman" w:hAnsi="Times New Roman"/>
                <w:color w:val="auto"/>
              </w:rPr>
              <w:t>930.81</w:t>
            </w:r>
          </w:p>
        </w:tc>
        <w:tc>
          <w:tcPr>
            <w:tcW w:w="327" w:type="pct"/>
            <w:noWrap/>
            <w:vAlign w:val="center"/>
          </w:tcPr>
          <w:p w14:paraId="0624F837">
            <w:pPr>
              <w:pStyle w:val="17"/>
              <w:bidi w:val="0"/>
              <w:rPr>
                <w:rFonts w:ascii="Times New Roman" w:hAnsi="Times New Roman"/>
                <w:color w:val="auto"/>
              </w:rPr>
            </w:pPr>
          </w:p>
        </w:tc>
        <w:tc>
          <w:tcPr>
            <w:tcW w:w="561" w:type="pct"/>
            <w:noWrap/>
            <w:vAlign w:val="center"/>
          </w:tcPr>
          <w:p w14:paraId="535314CF">
            <w:pPr>
              <w:pStyle w:val="17"/>
              <w:bidi w:val="0"/>
              <w:rPr>
                <w:rFonts w:ascii="Times New Roman" w:hAnsi="Times New Roman"/>
                <w:color w:val="auto"/>
              </w:rPr>
            </w:pPr>
            <w:r>
              <w:rPr>
                <w:rFonts w:ascii="Times New Roman" w:hAnsi="Times New Roman"/>
                <w:color w:val="auto"/>
              </w:rPr>
              <w:t>930.81</w:t>
            </w:r>
          </w:p>
        </w:tc>
        <w:tc>
          <w:tcPr>
            <w:tcW w:w="717" w:type="pct"/>
            <w:noWrap/>
            <w:vAlign w:val="center"/>
          </w:tcPr>
          <w:p w14:paraId="35521B95">
            <w:pPr>
              <w:pStyle w:val="17"/>
              <w:bidi w:val="0"/>
              <w:rPr>
                <w:rFonts w:ascii="Times New Roman" w:hAnsi="Times New Roman"/>
                <w:color w:val="auto"/>
              </w:rPr>
            </w:pPr>
            <w:r>
              <w:rPr>
                <w:rFonts w:ascii="Times New Roman" w:hAnsi="Times New Roman"/>
                <w:color w:val="auto"/>
              </w:rPr>
              <w:t>0.00</w:t>
            </w:r>
          </w:p>
        </w:tc>
        <w:tc>
          <w:tcPr>
            <w:tcW w:w="528" w:type="pct"/>
            <w:noWrap/>
            <w:vAlign w:val="center"/>
          </w:tcPr>
          <w:p w14:paraId="29F90523">
            <w:pPr>
              <w:pStyle w:val="17"/>
              <w:bidi w:val="0"/>
              <w:rPr>
                <w:rFonts w:ascii="Times New Roman" w:hAnsi="Times New Roman"/>
                <w:color w:val="auto"/>
              </w:rPr>
            </w:pPr>
            <w:r>
              <w:rPr>
                <w:rFonts w:ascii="Times New Roman" w:hAnsi="Times New Roman"/>
                <w:color w:val="auto"/>
              </w:rPr>
              <w:t>0.00</w:t>
            </w:r>
          </w:p>
        </w:tc>
      </w:tr>
      <w:tr w14:paraId="17FF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261959AD">
            <w:pPr>
              <w:pStyle w:val="17"/>
              <w:bidi w:val="0"/>
              <w:rPr>
                <w:rFonts w:ascii="Times New Roman" w:hAnsi="Times New Roman"/>
                <w:color w:val="auto"/>
              </w:rPr>
            </w:pPr>
            <w:r>
              <w:rPr>
                <w:rFonts w:ascii="Times New Roman" w:hAnsi="Times New Roman"/>
                <w:color w:val="auto"/>
              </w:rPr>
              <w:t>1.1</w:t>
            </w:r>
          </w:p>
        </w:tc>
        <w:tc>
          <w:tcPr>
            <w:tcW w:w="1430" w:type="pct"/>
            <w:noWrap/>
            <w:vAlign w:val="center"/>
          </w:tcPr>
          <w:p w14:paraId="3592128C">
            <w:pPr>
              <w:pStyle w:val="17"/>
              <w:bidi w:val="0"/>
              <w:rPr>
                <w:rFonts w:ascii="Times New Roman" w:hAnsi="Times New Roman"/>
                <w:color w:val="auto"/>
              </w:rPr>
            </w:pPr>
            <w:r>
              <w:rPr>
                <w:rFonts w:ascii="Times New Roman" w:hAnsi="Times New Roman"/>
                <w:color w:val="auto"/>
              </w:rPr>
              <w:t>利用原有资产</w:t>
            </w:r>
          </w:p>
        </w:tc>
        <w:tc>
          <w:tcPr>
            <w:tcW w:w="405" w:type="pct"/>
            <w:noWrap/>
            <w:vAlign w:val="center"/>
          </w:tcPr>
          <w:p w14:paraId="3FDE5063">
            <w:pPr>
              <w:pStyle w:val="17"/>
              <w:bidi w:val="0"/>
              <w:rPr>
                <w:rFonts w:ascii="Times New Roman" w:hAnsi="Times New Roman"/>
                <w:color w:val="auto"/>
              </w:rPr>
            </w:pPr>
          </w:p>
        </w:tc>
        <w:tc>
          <w:tcPr>
            <w:tcW w:w="584" w:type="pct"/>
            <w:noWrap/>
            <w:vAlign w:val="center"/>
          </w:tcPr>
          <w:p w14:paraId="4EBEC366">
            <w:pPr>
              <w:pStyle w:val="17"/>
              <w:bidi w:val="0"/>
              <w:rPr>
                <w:rFonts w:ascii="Times New Roman" w:hAnsi="Times New Roman"/>
                <w:color w:val="auto"/>
              </w:rPr>
            </w:pPr>
            <w:r>
              <w:rPr>
                <w:rFonts w:ascii="Times New Roman" w:hAnsi="Times New Roman"/>
                <w:color w:val="auto"/>
              </w:rPr>
              <w:t>0.00</w:t>
            </w:r>
          </w:p>
        </w:tc>
        <w:tc>
          <w:tcPr>
            <w:tcW w:w="327" w:type="pct"/>
            <w:noWrap/>
            <w:vAlign w:val="center"/>
          </w:tcPr>
          <w:p w14:paraId="075B0D4E">
            <w:pPr>
              <w:pStyle w:val="17"/>
              <w:bidi w:val="0"/>
              <w:rPr>
                <w:rFonts w:ascii="Times New Roman" w:hAnsi="Times New Roman"/>
                <w:color w:val="auto"/>
              </w:rPr>
            </w:pPr>
          </w:p>
        </w:tc>
        <w:tc>
          <w:tcPr>
            <w:tcW w:w="561" w:type="pct"/>
            <w:noWrap/>
            <w:vAlign w:val="center"/>
          </w:tcPr>
          <w:p w14:paraId="4B1A165E">
            <w:pPr>
              <w:pStyle w:val="17"/>
              <w:bidi w:val="0"/>
              <w:rPr>
                <w:rFonts w:ascii="Times New Roman" w:hAnsi="Times New Roman"/>
                <w:color w:val="auto"/>
              </w:rPr>
            </w:pPr>
            <w:r>
              <w:rPr>
                <w:rFonts w:ascii="Times New Roman" w:hAnsi="Times New Roman"/>
                <w:color w:val="auto"/>
              </w:rPr>
              <w:t>0.00</w:t>
            </w:r>
          </w:p>
        </w:tc>
        <w:tc>
          <w:tcPr>
            <w:tcW w:w="717" w:type="pct"/>
            <w:noWrap/>
            <w:vAlign w:val="center"/>
          </w:tcPr>
          <w:p w14:paraId="42D8F45B">
            <w:pPr>
              <w:pStyle w:val="17"/>
              <w:bidi w:val="0"/>
              <w:rPr>
                <w:rFonts w:ascii="Times New Roman" w:hAnsi="Times New Roman"/>
                <w:color w:val="auto"/>
              </w:rPr>
            </w:pPr>
            <w:r>
              <w:rPr>
                <w:rFonts w:ascii="Times New Roman" w:hAnsi="Times New Roman"/>
                <w:color w:val="auto"/>
              </w:rPr>
              <w:t>0.00</w:t>
            </w:r>
          </w:p>
        </w:tc>
        <w:tc>
          <w:tcPr>
            <w:tcW w:w="528" w:type="pct"/>
            <w:noWrap/>
            <w:vAlign w:val="center"/>
          </w:tcPr>
          <w:p w14:paraId="18232998">
            <w:pPr>
              <w:pStyle w:val="17"/>
              <w:bidi w:val="0"/>
              <w:rPr>
                <w:rFonts w:ascii="Times New Roman" w:hAnsi="Times New Roman"/>
                <w:color w:val="auto"/>
              </w:rPr>
            </w:pPr>
            <w:r>
              <w:rPr>
                <w:rFonts w:ascii="Times New Roman" w:hAnsi="Times New Roman"/>
                <w:color w:val="auto"/>
              </w:rPr>
              <w:t>0.00</w:t>
            </w:r>
          </w:p>
        </w:tc>
      </w:tr>
      <w:tr w14:paraId="511D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3A352AC7">
            <w:pPr>
              <w:pStyle w:val="17"/>
              <w:bidi w:val="0"/>
              <w:rPr>
                <w:rFonts w:ascii="Times New Roman" w:hAnsi="Times New Roman"/>
                <w:color w:val="auto"/>
              </w:rPr>
            </w:pPr>
            <w:r>
              <w:rPr>
                <w:rFonts w:ascii="Times New Roman" w:hAnsi="Times New Roman"/>
                <w:color w:val="auto"/>
              </w:rPr>
              <w:t>1.2</w:t>
            </w:r>
          </w:p>
        </w:tc>
        <w:tc>
          <w:tcPr>
            <w:tcW w:w="1430" w:type="pct"/>
            <w:noWrap/>
            <w:vAlign w:val="center"/>
          </w:tcPr>
          <w:p w14:paraId="24B6E79D">
            <w:pPr>
              <w:pStyle w:val="17"/>
              <w:bidi w:val="0"/>
              <w:rPr>
                <w:rFonts w:ascii="Times New Roman" w:hAnsi="Times New Roman"/>
                <w:color w:val="auto"/>
              </w:rPr>
            </w:pPr>
            <w:r>
              <w:rPr>
                <w:rFonts w:ascii="Times New Roman" w:hAnsi="Times New Roman"/>
                <w:color w:val="auto"/>
              </w:rPr>
              <w:t>建设投资部分</w:t>
            </w:r>
          </w:p>
        </w:tc>
        <w:tc>
          <w:tcPr>
            <w:tcW w:w="405" w:type="pct"/>
            <w:noWrap/>
            <w:vAlign w:val="center"/>
          </w:tcPr>
          <w:p w14:paraId="17E04B47">
            <w:pPr>
              <w:pStyle w:val="17"/>
              <w:bidi w:val="0"/>
              <w:rPr>
                <w:rFonts w:ascii="Times New Roman" w:hAnsi="Times New Roman"/>
                <w:color w:val="auto"/>
              </w:rPr>
            </w:pPr>
          </w:p>
        </w:tc>
        <w:tc>
          <w:tcPr>
            <w:tcW w:w="584" w:type="pct"/>
            <w:noWrap/>
            <w:vAlign w:val="center"/>
          </w:tcPr>
          <w:p w14:paraId="12B4A316">
            <w:pPr>
              <w:pStyle w:val="17"/>
              <w:bidi w:val="0"/>
              <w:rPr>
                <w:rFonts w:ascii="Times New Roman" w:hAnsi="Times New Roman"/>
                <w:color w:val="auto"/>
              </w:rPr>
            </w:pPr>
            <w:r>
              <w:rPr>
                <w:rFonts w:ascii="Times New Roman" w:hAnsi="Times New Roman"/>
                <w:color w:val="auto"/>
              </w:rPr>
              <w:t>930.81</w:t>
            </w:r>
          </w:p>
        </w:tc>
        <w:tc>
          <w:tcPr>
            <w:tcW w:w="327" w:type="pct"/>
            <w:noWrap/>
            <w:vAlign w:val="center"/>
          </w:tcPr>
          <w:p w14:paraId="36E130A0">
            <w:pPr>
              <w:pStyle w:val="17"/>
              <w:bidi w:val="0"/>
              <w:rPr>
                <w:rFonts w:ascii="Times New Roman" w:hAnsi="Times New Roman"/>
                <w:color w:val="auto"/>
              </w:rPr>
            </w:pPr>
          </w:p>
        </w:tc>
        <w:tc>
          <w:tcPr>
            <w:tcW w:w="561" w:type="pct"/>
            <w:noWrap/>
            <w:vAlign w:val="center"/>
          </w:tcPr>
          <w:p w14:paraId="7813355A">
            <w:pPr>
              <w:pStyle w:val="17"/>
              <w:bidi w:val="0"/>
              <w:rPr>
                <w:rFonts w:ascii="Times New Roman" w:hAnsi="Times New Roman"/>
                <w:color w:val="auto"/>
              </w:rPr>
            </w:pPr>
            <w:r>
              <w:rPr>
                <w:rFonts w:ascii="Times New Roman" w:hAnsi="Times New Roman"/>
                <w:color w:val="auto"/>
              </w:rPr>
              <w:t>930.81</w:t>
            </w:r>
          </w:p>
        </w:tc>
        <w:tc>
          <w:tcPr>
            <w:tcW w:w="717" w:type="pct"/>
            <w:noWrap/>
            <w:vAlign w:val="center"/>
          </w:tcPr>
          <w:p w14:paraId="13F2A5A0">
            <w:pPr>
              <w:pStyle w:val="17"/>
              <w:bidi w:val="0"/>
              <w:rPr>
                <w:rFonts w:ascii="Times New Roman" w:hAnsi="Times New Roman"/>
                <w:color w:val="auto"/>
              </w:rPr>
            </w:pPr>
            <w:r>
              <w:rPr>
                <w:rFonts w:ascii="Times New Roman" w:hAnsi="Times New Roman"/>
                <w:color w:val="auto"/>
              </w:rPr>
              <w:t>0.00</w:t>
            </w:r>
          </w:p>
        </w:tc>
        <w:tc>
          <w:tcPr>
            <w:tcW w:w="528" w:type="pct"/>
            <w:noWrap/>
            <w:vAlign w:val="center"/>
          </w:tcPr>
          <w:p w14:paraId="5EC89C34">
            <w:pPr>
              <w:pStyle w:val="17"/>
              <w:bidi w:val="0"/>
              <w:rPr>
                <w:rFonts w:ascii="Times New Roman" w:hAnsi="Times New Roman"/>
                <w:color w:val="auto"/>
              </w:rPr>
            </w:pPr>
            <w:r>
              <w:rPr>
                <w:rFonts w:ascii="Times New Roman" w:hAnsi="Times New Roman"/>
                <w:color w:val="auto"/>
              </w:rPr>
              <w:t>0.00</w:t>
            </w:r>
          </w:p>
        </w:tc>
      </w:tr>
      <w:tr w14:paraId="5584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6C898949">
            <w:pPr>
              <w:pStyle w:val="17"/>
              <w:bidi w:val="0"/>
              <w:rPr>
                <w:rFonts w:ascii="Times New Roman" w:hAnsi="Times New Roman"/>
                <w:color w:val="auto"/>
              </w:rPr>
            </w:pPr>
            <w:r>
              <w:rPr>
                <w:rFonts w:ascii="Times New Roman" w:hAnsi="Times New Roman"/>
                <w:color w:val="auto"/>
              </w:rPr>
              <w:t>1.3</w:t>
            </w:r>
          </w:p>
        </w:tc>
        <w:tc>
          <w:tcPr>
            <w:tcW w:w="1430" w:type="pct"/>
            <w:noWrap/>
            <w:vAlign w:val="center"/>
          </w:tcPr>
          <w:p w14:paraId="73649E1E">
            <w:pPr>
              <w:pStyle w:val="17"/>
              <w:bidi w:val="0"/>
              <w:rPr>
                <w:rFonts w:ascii="Times New Roman" w:hAnsi="Times New Roman"/>
                <w:color w:val="auto"/>
              </w:rPr>
            </w:pPr>
            <w:r>
              <w:rPr>
                <w:rFonts w:ascii="Times New Roman" w:hAnsi="Times New Roman"/>
                <w:color w:val="auto"/>
              </w:rPr>
              <w:t>流动资金部分</w:t>
            </w:r>
          </w:p>
        </w:tc>
        <w:tc>
          <w:tcPr>
            <w:tcW w:w="405" w:type="pct"/>
            <w:noWrap/>
            <w:vAlign w:val="center"/>
          </w:tcPr>
          <w:p w14:paraId="7612D49D">
            <w:pPr>
              <w:pStyle w:val="17"/>
              <w:bidi w:val="0"/>
              <w:rPr>
                <w:rFonts w:ascii="Times New Roman" w:hAnsi="Times New Roman"/>
                <w:color w:val="auto"/>
              </w:rPr>
            </w:pPr>
          </w:p>
        </w:tc>
        <w:tc>
          <w:tcPr>
            <w:tcW w:w="584" w:type="pct"/>
            <w:noWrap/>
            <w:vAlign w:val="center"/>
          </w:tcPr>
          <w:p w14:paraId="4B7384A5">
            <w:pPr>
              <w:pStyle w:val="17"/>
              <w:bidi w:val="0"/>
              <w:rPr>
                <w:rFonts w:ascii="Times New Roman" w:hAnsi="Times New Roman"/>
                <w:color w:val="auto"/>
              </w:rPr>
            </w:pPr>
            <w:r>
              <w:rPr>
                <w:rFonts w:ascii="Times New Roman" w:hAnsi="Times New Roman"/>
                <w:color w:val="auto"/>
              </w:rPr>
              <w:t>0.00</w:t>
            </w:r>
          </w:p>
        </w:tc>
        <w:tc>
          <w:tcPr>
            <w:tcW w:w="327" w:type="pct"/>
            <w:noWrap/>
            <w:vAlign w:val="center"/>
          </w:tcPr>
          <w:p w14:paraId="29B4804A">
            <w:pPr>
              <w:pStyle w:val="17"/>
              <w:bidi w:val="0"/>
              <w:rPr>
                <w:rFonts w:ascii="Times New Roman" w:hAnsi="Times New Roman"/>
                <w:color w:val="auto"/>
              </w:rPr>
            </w:pPr>
          </w:p>
        </w:tc>
        <w:tc>
          <w:tcPr>
            <w:tcW w:w="561" w:type="pct"/>
            <w:noWrap/>
            <w:vAlign w:val="center"/>
          </w:tcPr>
          <w:p w14:paraId="0CAA6244">
            <w:pPr>
              <w:pStyle w:val="17"/>
              <w:bidi w:val="0"/>
              <w:rPr>
                <w:rFonts w:ascii="Times New Roman" w:hAnsi="Times New Roman"/>
                <w:color w:val="auto"/>
              </w:rPr>
            </w:pPr>
            <w:r>
              <w:rPr>
                <w:rFonts w:ascii="Times New Roman" w:hAnsi="Times New Roman"/>
                <w:color w:val="auto"/>
              </w:rPr>
              <w:t>0.00</w:t>
            </w:r>
          </w:p>
        </w:tc>
        <w:tc>
          <w:tcPr>
            <w:tcW w:w="717" w:type="pct"/>
            <w:noWrap/>
            <w:vAlign w:val="center"/>
          </w:tcPr>
          <w:p w14:paraId="7F8873D6">
            <w:pPr>
              <w:pStyle w:val="17"/>
              <w:bidi w:val="0"/>
              <w:rPr>
                <w:rFonts w:ascii="Times New Roman" w:hAnsi="Times New Roman"/>
                <w:color w:val="auto"/>
              </w:rPr>
            </w:pPr>
            <w:r>
              <w:rPr>
                <w:rFonts w:ascii="Times New Roman" w:hAnsi="Times New Roman"/>
                <w:color w:val="auto"/>
              </w:rPr>
              <w:t>0.00</w:t>
            </w:r>
          </w:p>
        </w:tc>
        <w:tc>
          <w:tcPr>
            <w:tcW w:w="528" w:type="pct"/>
            <w:noWrap/>
            <w:vAlign w:val="center"/>
          </w:tcPr>
          <w:p w14:paraId="30D0CE3B">
            <w:pPr>
              <w:pStyle w:val="17"/>
              <w:bidi w:val="0"/>
              <w:rPr>
                <w:rFonts w:ascii="Times New Roman" w:hAnsi="Times New Roman"/>
                <w:color w:val="auto"/>
              </w:rPr>
            </w:pPr>
            <w:r>
              <w:rPr>
                <w:rFonts w:ascii="Times New Roman" w:hAnsi="Times New Roman"/>
                <w:color w:val="auto"/>
              </w:rPr>
              <w:t>0.00</w:t>
            </w:r>
          </w:p>
        </w:tc>
      </w:tr>
      <w:tr w14:paraId="7681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57326684">
            <w:pPr>
              <w:pStyle w:val="17"/>
              <w:bidi w:val="0"/>
              <w:rPr>
                <w:rFonts w:ascii="Times New Roman" w:hAnsi="Times New Roman"/>
                <w:color w:val="auto"/>
              </w:rPr>
            </w:pPr>
            <w:r>
              <w:rPr>
                <w:rFonts w:ascii="Times New Roman" w:hAnsi="Times New Roman"/>
                <w:color w:val="auto"/>
              </w:rPr>
              <w:t>2</w:t>
            </w:r>
          </w:p>
        </w:tc>
        <w:tc>
          <w:tcPr>
            <w:tcW w:w="1430" w:type="pct"/>
            <w:noWrap/>
            <w:vAlign w:val="center"/>
          </w:tcPr>
          <w:p w14:paraId="4393BB55">
            <w:pPr>
              <w:pStyle w:val="17"/>
              <w:bidi w:val="0"/>
              <w:rPr>
                <w:rFonts w:ascii="Times New Roman" w:hAnsi="Times New Roman"/>
                <w:color w:val="auto"/>
              </w:rPr>
            </w:pPr>
            <w:r>
              <w:rPr>
                <w:rFonts w:ascii="Times New Roman" w:hAnsi="Times New Roman"/>
                <w:color w:val="auto"/>
              </w:rPr>
              <w:t>债务资金</w:t>
            </w:r>
          </w:p>
        </w:tc>
        <w:tc>
          <w:tcPr>
            <w:tcW w:w="405" w:type="pct"/>
            <w:noWrap/>
            <w:vAlign w:val="center"/>
          </w:tcPr>
          <w:p w14:paraId="15867C81">
            <w:pPr>
              <w:pStyle w:val="17"/>
              <w:bidi w:val="0"/>
              <w:rPr>
                <w:rFonts w:ascii="Times New Roman" w:hAnsi="Times New Roman"/>
                <w:color w:val="auto"/>
              </w:rPr>
            </w:pPr>
          </w:p>
        </w:tc>
        <w:tc>
          <w:tcPr>
            <w:tcW w:w="584" w:type="pct"/>
            <w:noWrap/>
            <w:vAlign w:val="center"/>
          </w:tcPr>
          <w:p w14:paraId="6363256C">
            <w:pPr>
              <w:pStyle w:val="17"/>
              <w:bidi w:val="0"/>
              <w:rPr>
                <w:rFonts w:ascii="Times New Roman" w:hAnsi="Times New Roman"/>
                <w:color w:val="auto"/>
              </w:rPr>
            </w:pPr>
            <w:r>
              <w:rPr>
                <w:rFonts w:ascii="Times New Roman" w:hAnsi="Times New Roman"/>
                <w:color w:val="auto"/>
              </w:rPr>
              <w:t>242.51</w:t>
            </w:r>
          </w:p>
        </w:tc>
        <w:tc>
          <w:tcPr>
            <w:tcW w:w="327" w:type="pct"/>
            <w:noWrap/>
            <w:vAlign w:val="center"/>
          </w:tcPr>
          <w:p w14:paraId="6D9F81CA">
            <w:pPr>
              <w:pStyle w:val="17"/>
              <w:bidi w:val="0"/>
              <w:rPr>
                <w:rFonts w:ascii="Times New Roman" w:hAnsi="Times New Roman"/>
                <w:color w:val="auto"/>
              </w:rPr>
            </w:pPr>
          </w:p>
        </w:tc>
        <w:tc>
          <w:tcPr>
            <w:tcW w:w="561" w:type="pct"/>
            <w:noWrap/>
            <w:vAlign w:val="center"/>
          </w:tcPr>
          <w:p w14:paraId="1B430F42">
            <w:pPr>
              <w:pStyle w:val="17"/>
              <w:bidi w:val="0"/>
              <w:rPr>
                <w:rFonts w:ascii="Times New Roman" w:hAnsi="Times New Roman"/>
                <w:color w:val="auto"/>
              </w:rPr>
            </w:pPr>
            <w:r>
              <w:rPr>
                <w:rFonts w:ascii="Times New Roman" w:hAnsi="Times New Roman"/>
                <w:color w:val="auto"/>
              </w:rPr>
              <w:t>0.00</w:t>
            </w:r>
          </w:p>
        </w:tc>
        <w:tc>
          <w:tcPr>
            <w:tcW w:w="717" w:type="pct"/>
            <w:noWrap/>
            <w:vAlign w:val="center"/>
          </w:tcPr>
          <w:p w14:paraId="76AD079A">
            <w:pPr>
              <w:pStyle w:val="17"/>
              <w:bidi w:val="0"/>
              <w:rPr>
                <w:rFonts w:ascii="Times New Roman" w:hAnsi="Times New Roman"/>
                <w:color w:val="auto"/>
              </w:rPr>
            </w:pPr>
            <w:r>
              <w:rPr>
                <w:rFonts w:ascii="Times New Roman" w:hAnsi="Times New Roman"/>
                <w:color w:val="auto"/>
              </w:rPr>
              <w:t>242.51</w:t>
            </w:r>
          </w:p>
        </w:tc>
        <w:tc>
          <w:tcPr>
            <w:tcW w:w="528" w:type="pct"/>
            <w:noWrap/>
            <w:vAlign w:val="center"/>
          </w:tcPr>
          <w:p w14:paraId="67099ABA">
            <w:pPr>
              <w:pStyle w:val="17"/>
              <w:bidi w:val="0"/>
              <w:rPr>
                <w:rFonts w:ascii="Times New Roman" w:hAnsi="Times New Roman"/>
                <w:color w:val="auto"/>
              </w:rPr>
            </w:pPr>
            <w:r>
              <w:rPr>
                <w:rFonts w:ascii="Times New Roman" w:hAnsi="Times New Roman"/>
                <w:color w:val="auto"/>
              </w:rPr>
              <w:t>0.00</w:t>
            </w:r>
          </w:p>
        </w:tc>
      </w:tr>
      <w:tr w14:paraId="7780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68012829">
            <w:pPr>
              <w:pStyle w:val="17"/>
              <w:bidi w:val="0"/>
              <w:rPr>
                <w:rFonts w:ascii="Times New Roman" w:hAnsi="Times New Roman"/>
                <w:color w:val="auto"/>
              </w:rPr>
            </w:pPr>
            <w:r>
              <w:rPr>
                <w:rFonts w:ascii="Times New Roman" w:hAnsi="Times New Roman"/>
                <w:color w:val="auto"/>
              </w:rPr>
              <w:t>2.1</w:t>
            </w:r>
          </w:p>
        </w:tc>
        <w:tc>
          <w:tcPr>
            <w:tcW w:w="1430" w:type="pct"/>
            <w:noWrap/>
            <w:vAlign w:val="center"/>
          </w:tcPr>
          <w:p w14:paraId="0F6E8B88">
            <w:pPr>
              <w:pStyle w:val="17"/>
              <w:bidi w:val="0"/>
              <w:rPr>
                <w:rFonts w:ascii="Times New Roman" w:hAnsi="Times New Roman"/>
                <w:color w:val="auto"/>
              </w:rPr>
            </w:pPr>
            <w:r>
              <w:rPr>
                <w:rFonts w:ascii="Times New Roman" w:hAnsi="Times New Roman"/>
                <w:color w:val="auto"/>
              </w:rPr>
              <w:t>用于建设投资</w:t>
            </w:r>
            <w:r>
              <w:rPr>
                <w:rFonts w:hint="eastAsia" w:ascii="Times New Roman" w:hAnsi="Times New Roman"/>
                <w:color w:val="auto"/>
              </w:rPr>
              <w:t>（%）</w:t>
            </w:r>
          </w:p>
        </w:tc>
        <w:tc>
          <w:tcPr>
            <w:tcW w:w="405" w:type="pct"/>
            <w:noWrap/>
            <w:vAlign w:val="center"/>
          </w:tcPr>
          <w:p w14:paraId="1EEBA3B2">
            <w:pPr>
              <w:pStyle w:val="17"/>
              <w:bidi w:val="0"/>
              <w:rPr>
                <w:rFonts w:ascii="Times New Roman" w:hAnsi="Times New Roman"/>
                <w:color w:val="auto"/>
              </w:rPr>
            </w:pPr>
            <w:r>
              <w:rPr>
                <w:rFonts w:ascii="Times New Roman" w:hAnsi="Times New Roman"/>
                <w:color w:val="auto"/>
              </w:rPr>
              <w:t>4.90</w:t>
            </w:r>
          </w:p>
        </w:tc>
        <w:tc>
          <w:tcPr>
            <w:tcW w:w="584" w:type="pct"/>
            <w:noWrap/>
            <w:vAlign w:val="center"/>
          </w:tcPr>
          <w:p w14:paraId="50F39B7C">
            <w:pPr>
              <w:pStyle w:val="17"/>
              <w:bidi w:val="0"/>
              <w:rPr>
                <w:rFonts w:ascii="Times New Roman" w:hAnsi="Times New Roman"/>
                <w:color w:val="auto"/>
              </w:rPr>
            </w:pPr>
            <w:r>
              <w:rPr>
                <w:rFonts w:ascii="Times New Roman" w:hAnsi="Times New Roman"/>
                <w:color w:val="auto"/>
              </w:rPr>
              <w:t>0.00</w:t>
            </w:r>
          </w:p>
        </w:tc>
        <w:tc>
          <w:tcPr>
            <w:tcW w:w="327" w:type="pct"/>
            <w:noWrap/>
            <w:vAlign w:val="center"/>
          </w:tcPr>
          <w:p w14:paraId="2CA0CA40">
            <w:pPr>
              <w:pStyle w:val="17"/>
              <w:bidi w:val="0"/>
              <w:rPr>
                <w:rFonts w:ascii="Times New Roman" w:hAnsi="Times New Roman"/>
                <w:color w:val="auto"/>
              </w:rPr>
            </w:pPr>
          </w:p>
        </w:tc>
        <w:tc>
          <w:tcPr>
            <w:tcW w:w="561" w:type="pct"/>
            <w:noWrap/>
            <w:vAlign w:val="center"/>
          </w:tcPr>
          <w:p w14:paraId="2F7BC9CD">
            <w:pPr>
              <w:pStyle w:val="17"/>
              <w:bidi w:val="0"/>
              <w:rPr>
                <w:rFonts w:ascii="Times New Roman" w:hAnsi="Times New Roman"/>
                <w:color w:val="auto"/>
              </w:rPr>
            </w:pPr>
            <w:r>
              <w:rPr>
                <w:rFonts w:ascii="Times New Roman" w:hAnsi="Times New Roman"/>
                <w:color w:val="auto"/>
              </w:rPr>
              <w:t>0.00</w:t>
            </w:r>
          </w:p>
        </w:tc>
        <w:tc>
          <w:tcPr>
            <w:tcW w:w="717" w:type="pct"/>
            <w:noWrap/>
            <w:vAlign w:val="center"/>
          </w:tcPr>
          <w:p w14:paraId="3AF97B10">
            <w:pPr>
              <w:pStyle w:val="17"/>
              <w:bidi w:val="0"/>
              <w:rPr>
                <w:rFonts w:ascii="Times New Roman" w:hAnsi="Times New Roman"/>
                <w:color w:val="auto"/>
              </w:rPr>
            </w:pPr>
            <w:r>
              <w:rPr>
                <w:rFonts w:ascii="Times New Roman" w:hAnsi="Times New Roman"/>
                <w:color w:val="auto"/>
              </w:rPr>
              <w:t>0.00</w:t>
            </w:r>
          </w:p>
        </w:tc>
        <w:tc>
          <w:tcPr>
            <w:tcW w:w="528" w:type="pct"/>
            <w:noWrap/>
            <w:vAlign w:val="center"/>
          </w:tcPr>
          <w:p w14:paraId="0FF2FA7E">
            <w:pPr>
              <w:pStyle w:val="17"/>
              <w:bidi w:val="0"/>
              <w:rPr>
                <w:rFonts w:ascii="Times New Roman" w:hAnsi="Times New Roman"/>
                <w:color w:val="auto"/>
              </w:rPr>
            </w:pPr>
            <w:r>
              <w:rPr>
                <w:rFonts w:ascii="Times New Roman" w:hAnsi="Times New Roman"/>
                <w:color w:val="auto"/>
              </w:rPr>
              <w:t>0.00</w:t>
            </w:r>
          </w:p>
        </w:tc>
      </w:tr>
      <w:tr w14:paraId="06D9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16D193B9">
            <w:pPr>
              <w:pStyle w:val="17"/>
              <w:bidi w:val="0"/>
              <w:rPr>
                <w:rFonts w:ascii="Times New Roman" w:hAnsi="Times New Roman"/>
                <w:color w:val="auto"/>
              </w:rPr>
            </w:pPr>
            <w:r>
              <w:rPr>
                <w:rFonts w:ascii="Times New Roman" w:hAnsi="Times New Roman"/>
                <w:color w:val="auto"/>
              </w:rPr>
              <w:t>2.2</w:t>
            </w:r>
          </w:p>
        </w:tc>
        <w:tc>
          <w:tcPr>
            <w:tcW w:w="1430" w:type="pct"/>
            <w:noWrap/>
            <w:vAlign w:val="center"/>
          </w:tcPr>
          <w:p w14:paraId="011CDCFA">
            <w:pPr>
              <w:pStyle w:val="17"/>
              <w:bidi w:val="0"/>
              <w:rPr>
                <w:rFonts w:ascii="Times New Roman" w:hAnsi="Times New Roman"/>
                <w:color w:val="auto"/>
              </w:rPr>
            </w:pPr>
            <w:r>
              <w:rPr>
                <w:rFonts w:ascii="Times New Roman" w:hAnsi="Times New Roman"/>
                <w:color w:val="auto"/>
              </w:rPr>
              <w:t>用于建设期利息</w:t>
            </w:r>
          </w:p>
        </w:tc>
        <w:tc>
          <w:tcPr>
            <w:tcW w:w="405" w:type="pct"/>
            <w:noWrap/>
            <w:vAlign w:val="center"/>
          </w:tcPr>
          <w:p w14:paraId="4B562236">
            <w:pPr>
              <w:pStyle w:val="17"/>
              <w:bidi w:val="0"/>
              <w:rPr>
                <w:rFonts w:ascii="Times New Roman" w:hAnsi="Times New Roman"/>
                <w:color w:val="auto"/>
              </w:rPr>
            </w:pPr>
          </w:p>
        </w:tc>
        <w:tc>
          <w:tcPr>
            <w:tcW w:w="584" w:type="pct"/>
            <w:noWrap/>
            <w:vAlign w:val="center"/>
          </w:tcPr>
          <w:p w14:paraId="426B3EB8">
            <w:pPr>
              <w:pStyle w:val="17"/>
              <w:bidi w:val="0"/>
              <w:rPr>
                <w:rFonts w:ascii="Times New Roman" w:hAnsi="Times New Roman"/>
                <w:color w:val="auto"/>
              </w:rPr>
            </w:pPr>
            <w:r>
              <w:rPr>
                <w:rFonts w:ascii="Times New Roman" w:hAnsi="Times New Roman"/>
                <w:color w:val="auto"/>
              </w:rPr>
              <w:t>0.00</w:t>
            </w:r>
          </w:p>
        </w:tc>
        <w:tc>
          <w:tcPr>
            <w:tcW w:w="327" w:type="pct"/>
            <w:noWrap/>
            <w:vAlign w:val="center"/>
          </w:tcPr>
          <w:p w14:paraId="2751FAA1">
            <w:pPr>
              <w:pStyle w:val="17"/>
              <w:bidi w:val="0"/>
              <w:rPr>
                <w:rFonts w:ascii="Times New Roman" w:hAnsi="Times New Roman"/>
                <w:color w:val="auto"/>
              </w:rPr>
            </w:pPr>
          </w:p>
        </w:tc>
        <w:tc>
          <w:tcPr>
            <w:tcW w:w="561" w:type="pct"/>
            <w:noWrap/>
            <w:vAlign w:val="center"/>
          </w:tcPr>
          <w:p w14:paraId="0F08A78A">
            <w:pPr>
              <w:pStyle w:val="17"/>
              <w:bidi w:val="0"/>
              <w:rPr>
                <w:rFonts w:ascii="Times New Roman" w:hAnsi="Times New Roman"/>
                <w:color w:val="auto"/>
              </w:rPr>
            </w:pPr>
            <w:r>
              <w:rPr>
                <w:rFonts w:ascii="Times New Roman" w:hAnsi="Times New Roman"/>
                <w:color w:val="auto"/>
              </w:rPr>
              <w:t>0.00</w:t>
            </w:r>
          </w:p>
        </w:tc>
        <w:tc>
          <w:tcPr>
            <w:tcW w:w="717" w:type="pct"/>
            <w:noWrap/>
            <w:vAlign w:val="center"/>
          </w:tcPr>
          <w:p w14:paraId="5A1023AF">
            <w:pPr>
              <w:pStyle w:val="17"/>
              <w:bidi w:val="0"/>
              <w:rPr>
                <w:rFonts w:ascii="Times New Roman" w:hAnsi="Times New Roman"/>
                <w:color w:val="auto"/>
              </w:rPr>
            </w:pPr>
            <w:r>
              <w:rPr>
                <w:rFonts w:ascii="Times New Roman" w:hAnsi="Times New Roman"/>
                <w:color w:val="auto"/>
              </w:rPr>
              <w:t>0.00</w:t>
            </w:r>
          </w:p>
        </w:tc>
        <w:tc>
          <w:tcPr>
            <w:tcW w:w="528" w:type="pct"/>
            <w:noWrap/>
            <w:vAlign w:val="center"/>
          </w:tcPr>
          <w:p w14:paraId="3835E683">
            <w:pPr>
              <w:pStyle w:val="17"/>
              <w:bidi w:val="0"/>
              <w:rPr>
                <w:rFonts w:ascii="Times New Roman" w:hAnsi="Times New Roman"/>
                <w:color w:val="auto"/>
              </w:rPr>
            </w:pPr>
            <w:r>
              <w:rPr>
                <w:rFonts w:ascii="Times New Roman" w:hAnsi="Times New Roman"/>
                <w:color w:val="auto"/>
              </w:rPr>
              <w:t>0.00</w:t>
            </w:r>
          </w:p>
        </w:tc>
      </w:tr>
      <w:tr w14:paraId="5AFD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4" w:type="pct"/>
            <w:noWrap/>
            <w:vAlign w:val="center"/>
          </w:tcPr>
          <w:p w14:paraId="4EBBD919">
            <w:pPr>
              <w:pStyle w:val="17"/>
              <w:bidi w:val="0"/>
              <w:rPr>
                <w:rFonts w:ascii="Times New Roman" w:hAnsi="Times New Roman"/>
                <w:color w:val="auto"/>
              </w:rPr>
            </w:pPr>
            <w:r>
              <w:rPr>
                <w:rFonts w:ascii="Times New Roman" w:hAnsi="Times New Roman"/>
                <w:color w:val="auto"/>
              </w:rPr>
              <w:t>2.3</w:t>
            </w:r>
          </w:p>
        </w:tc>
        <w:tc>
          <w:tcPr>
            <w:tcW w:w="1430" w:type="pct"/>
            <w:noWrap/>
            <w:vAlign w:val="center"/>
          </w:tcPr>
          <w:p w14:paraId="17847BB6">
            <w:pPr>
              <w:pStyle w:val="17"/>
              <w:bidi w:val="0"/>
              <w:rPr>
                <w:rFonts w:ascii="Times New Roman" w:hAnsi="Times New Roman"/>
                <w:color w:val="auto"/>
              </w:rPr>
            </w:pPr>
            <w:r>
              <w:rPr>
                <w:rFonts w:ascii="Times New Roman" w:hAnsi="Times New Roman"/>
                <w:color w:val="auto"/>
              </w:rPr>
              <w:t>用于流动资金</w:t>
            </w:r>
            <w:r>
              <w:rPr>
                <w:rFonts w:hint="eastAsia" w:ascii="Times New Roman" w:hAnsi="Times New Roman"/>
                <w:color w:val="auto"/>
              </w:rPr>
              <w:t>（%）</w:t>
            </w:r>
          </w:p>
        </w:tc>
        <w:tc>
          <w:tcPr>
            <w:tcW w:w="405" w:type="pct"/>
            <w:noWrap/>
            <w:vAlign w:val="center"/>
          </w:tcPr>
          <w:p w14:paraId="508AB09C">
            <w:pPr>
              <w:pStyle w:val="17"/>
              <w:bidi w:val="0"/>
              <w:rPr>
                <w:rFonts w:ascii="Times New Roman" w:hAnsi="Times New Roman"/>
                <w:color w:val="auto"/>
              </w:rPr>
            </w:pPr>
            <w:r>
              <w:rPr>
                <w:rFonts w:ascii="Times New Roman" w:hAnsi="Times New Roman"/>
                <w:color w:val="auto"/>
              </w:rPr>
              <w:t>4.35</w:t>
            </w:r>
          </w:p>
        </w:tc>
        <w:tc>
          <w:tcPr>
            <w:tcW w:w="584" w:type="pct"/>
            <w:noWrap/>
            <w:vAlign w:val="center"/>
          </w:tcPr>
          <w:p w14:paraId="73A6330D">
            <w:pPr>
              <w:pStyle w:val="17"/>
              <w:bidi w:val="0"/>
              <w:rPr>
                <w:rFonts w:ascii="Times New Roman" w:hAnsi="Times New Roman"/>
                <w:color w:val="auto"/>
              </w:rPr>
            </w:pPr>
            <w:r>
              <w:rPr>
                <w:rFonts w:ascii="Times New Roman" w:hAnsi="Times New Roman"/>
                <w:color w:val="auto"/>
              </w:rPr>
              <w:t>485.02</w:t>
            </w:r>
          </w:p>
        </w:tc>
        <w:tc>
          <w:tcPr>
            <w:tcW w:w="327" w:type="pct"/>
            <w:noWrap/>
            <w:vAlign w:val="center"/>
          </w:tcPr>
          <w:p w14:paraId="4A016685">
            <w:pPr>
              <w:pStyle w:val="17"/>
              <w:bidi w:val="0"/>
              <w:rPr>
                <w:rFonts w:ascii="Times New Roman" w:hAnsi="Times New Roman"/>
                <w:color w:val="auto"/>
              </w:rPr>
            </w:pPr>
          </w:p>
        </w:tc>
        <w:tc>
          <w:tcPr>
            <w:tcW w:w="561" w:type="pct"/>
            <w:noWrap/>
            <w:vAlign w:val="center"/>
          </w:tcPr>
          <w:p w14:paraId="32C6CC44">
            <w:pPr>
              <w:pStyle w:val="17"/>
              <w:bidi w:val="0"/>
              <w:rPr>
                <w:rFonts w:ascii="Times New Roman" w:hAnsi="Times New Roman"/>
                <w:color w:val="auto"/>
              </w:rPr>
            </w:pPr>
            <w:r>
              <w:rPr>
                <w:rFonts w:ascii="Times New Roman" w:hAnsi="Times New Roman"/>
                <w:color w:val="auto"/>
              </w:rPr>
              <w:t>0.00</w:t>
            </w:r>
          </w:p>
        </w:tc>
        <w:tc>
          <w:tcPr>
            <w:tcW w:w="717" w:type="pct"/>
            <w:noWrap/>
            <w:vAlign w:val="center"/>
          </w:tcPr>
          <w:p w14:paraId="0F971F47">
            <w:pPr>
              <w:pStyle w:val="17"/>
              <w:bidi w:val="0"/>
              <w:rPr>
                <w:rFonts w:ascii="Times New Roman" w:hAnsi="Times New Roman"/>
                <w:color w:val="auto"/>
              </w:rPr>
            </w:pPr>
            <w:r>
              <w:rPr>
                <w:rFonts w:ascii="Times New Roman" w:hAnsi="Times New Roman"/>
                <w:color w:val="auto"/>
              </w:rPr>
              <w:t>242.51</w:t>
            </w:r>
          </w:p>
        </w:tc>
        <w:tc>
          <w:tcPr>
            <w:tcW w:w="528" w:type="pct"/>
            <w:noWrap/>
            <w:vAlign w:val="center"/>
          </w:tcPr>
          <w:p w14:paraId="3397A0B7">
            <w:pPr>
              <w:pStyle w:val="17"/>
              <w:bidi w:val="0"/>
              <w:rPr>
                <w:rFonts w:ascii="Times New Roman" w:hAnsi="Times New Roman"/>
                <w:color w:val="auto"/>
              </w:rPr>
            </w:pPr>
            <w:r>
              <w:rPr>
                <w:rFonts w:ascii="Times New Roman" w:hAnsi="Times New Roman"/>
                <w:color w:val="auto"/>
              </w:rPr>
              <w:t>242.51</w:t>
            </w:r>
          </w:p>
        </w:tc>
      </w:tr>
    </w:tbl>
    <w:p w14:paraId="098EE2A7">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2、</w:t>
      </w:r>
      <w:r>
        <w:rPr>
          <w:rFonts w:hint="eastAsia" w:ascii="Times New Roman" w:hAnsi="Times New Roman"/>
          <w:color w:val="auto"/>
        </w:rPr>
        <w:t>成本</w:t>
      </w:r>
      <w:r>
        <w:rPr>
          <w:rFonts w:hint="eastAsia" w:ascii="Times New Roman" w:hAnsi="Times New Roman"/>
          <w:color w:val="auto"/>
          <w:lang w:val="en-US" w:eastAsia="zh-CN"/>
        </w:rPr>
        <w:t>分析</w:t>
      </w:r>
    </w:p>
    <w:p w14:paraId="17A7A119">
      <w:pPr>
        <w:pStyle w:val="16"/>
        <w:bidi w:val="0"/>
        <w:rPr>
          <w:rFonts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 xml:space="preserve">2.4-19  </w:t>
      </w:r>
      <w:r>
        <w:rPr>
          <w:rFonts w:hint="eastAsia" w:ascii="Times New Roman" w:hAnsi="Times New Roman"/>
          <w:color w:val="auto"/>
        </w:rPr>
        <w:t>总成本费用估算表（单位：万元）</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3157"/>
        <w:gridCol w:w="1107"/>
        <w:gridCol w:w="1164"/>
        <w:gridCol w:w="1010"/>
        <w:gridCol w:w="1166"/>
        <w:gridCol w:w="965"/>
      </w:tblGrid>
      <w:tr w14:paraId="6DDE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blHeader/>
        </w:trPr>
        <w:tc>
          <w:tcPr>
            <w:tcW w:w="441" w:type="pct"/>
            <w:vMerge w:val="restart"/>
            <w:noWrap/>
            <w:vAlign w:val="center"/>
          </w:tcPr>
          <w:p w14:paraId="389C9B28">
            <w:pPr>
              <w:pStyle w:val="17"/>
              <w:bidi w:val="0"/>
              <w:rPr>
                <w:rFonts w:ascii="Times New Roman" w:hAnsi="Times New Roman"/>
                <w:color w:val="auto"/>
              </w:rPr>
            </w:pPr>
            <w:r>
              <w:rPr>
                <w:rFonts w:ascii="Times New Roman" w:hAnsi="Times New Roman"/>
                <w:color w:val="auto"/>
              </w:rPr>
              <w:t>序号</w:t>
            </w:r>
          </w:p>
        </w:tc>
        <w:tc>
          <w:tcPr>
            <w:tcW w:w="1679" w:type="pct"/>
            <w:vMerge w:val="restart"/>
            <w:noWrap/>
            <w:vAlign w:val="center"/>
          </w:tcPr>
          <w:p w14:paraId="6AF90D11">
            <w:pPr>
              <w:pStyle w:val="17"/>
              <w:bidi w:val="0"/>
              <w:rPr>
                <w:rFonts w:ascii="Times New Roman" w:hAnsi="Times New Roman"/>
                <w:color w:val="auto"/>
              </w:rPr>
            </w:pPr>
            <w:r>
              <w:rPr>
                <w:rFonts w:ascii="Times New Roman" w:hAnsi="Times New Roman"/>
                <w:color w:val="auto"/>
              </w:rPr>
              <w:t>项目名称</w:t>
            </w:r>
          </w:p>
        </w:tc>
        <w:tc>
          <w:tcPr>
            <w:tcW w:w="589" w:type="pct"/>
            <w:vMerge w:val="restart"/>
            <w:noWrap/>
            <w:vAlign w:val="center"/>
          </w:tcPr>
          <w:p w14:paraId="6F774693">
            <w:pPr>
              <w:pStyle w:val="17"/>
              <w:bidi w:val="0"/>
              <w:rPr>
                <w:rFonts w:ascii="Times New Roman" w:hAnsi="Times New Roman"/>
                <w:color w:val="auto"/>
              </w:rPr>
            </w:pPr>
            <w:r>
              <w:rPr>
                <w:rFonts w:ascii="Times New Roman" w:hAnsi="Times New Roman"/>
                <w:color w:val="auto"/>
              </w:rPr>
              <w:t>合计</w:t>
            </w:r>
          </w:p>
        </w:tc>
        <w:tc>
          <w:tcPr>
            <w:tcW w:w="619" w:type="pct"/>
            <w:vMerge w:val="restart"/>
            <w:noWrap/>
            <w:vAlign w:val="center"/>
          </w:tcPr>
          <w:p w14:paraId="4DDB69EA">
            <w:pPr>
              <w:pStyle w:val="17"/>
              <w:bidi w:val="0"/>
              <w:rPr>
                <w:rFonts w:ascii="Times New Roman" w:hAnsi="Times New Roman"/>
                <w:color w:val="auto"/>
              </w:rPr>
            </w:pPr>
            <w:r>
              <w:rPr>
                <w:rFonts w:ascii="Times New Roman" w:hAnsi="Times New Roman"/>
                <w:color w:val="auto"/>
              </w:rPr>
              <w:t>平均</w:t>
            </w:r>
          </w:p>
        </w:tc>
        <w:tc>
          <w:tcPr>
            <w:tcW w:w="537" w:type="pct"/>
            <w:noWrap/>
            <w:vAlign w:val="center"/>
          </w:tcPr>
          <w:p w14:paraId="757B213A">
            <w:pPr>
              <w:pStyle w:val="17"/>
              <w:bidi w:val="0"/>
              <w:rPr>
                <w:rFonts w:ascii="Times New Roman" w:hAnsi="Times New Roman"/>
                <w:color w:val="auto"/>
              </w:rPr>
            </w:pPr>
            <w:r>
              <w:rPr>
                <w:rFonts w:ascii="Times New Roman" w:hAnsi="Times New Roman"/>
                <w:color w:val="auto"/>
              </w:rPr>
              <w:t>建设期</w:t>
            </w:r>
          </w:p>
        </w:tc>
        <w:tc>
          <w:tcPr>
            <w:tcW w:w="1133" w:type="pct"/>
            <w:gridSpan w:val="2"/>
            <w:noWrap/>
            <w:vAlign w:val="center"/>
          </w:tcPr>
          <w:p w14:paraId="0FB6AB81">
            <w:pPr>
              <w:pStyle w:val="17"/>
              <w:bidi w:val="0"/>
              <w:rPr>
                <w:rFonts w:ascii="Times New Roman" w:hAnsi="Times New Roman"/>
                <w:color w:val="auto"/>
              </w:rPr>
            </w:pPr>
            <w:r>
              <w:rPr>
                <w:rFonts w:ascii="Times New Roman" w:hAnsi="Times New Roman"/>
                <w:color w:val="auto"/>
              </w:rPr>
              <w:t>生产期(a)</w:t>
            </w:r>
          </w:p>
        </w:tc>
      </w:tr>
      <w:tr w14:paraId="1842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441" w:type="pct"/>
            <w:vMerge w:val="continue"/>
            <w:vAlign w:val="center"/>
          </w:tcPr>
          <w:p w14:paraId="7EFF819E">
            <w:pPr>
              <w:pStyle w:val="17"/>
              <w:bidi w:val="0"/>
              <w:rPr>
                <w:rFonts w:ascii="Times New Roman" w:hAnsi="Times New Roman"/>
                <w:color w:val="auto"/>
              </w:rPr>
            </w:pPr>
          </w:p>
        </w:tc>
        <w:tc>
          <w:tcPr>
            <w:tcW w:w="1679" w:type="pct"/>
            <w:vMerge w:val="continue"/>
            <w:vAlign w:val="center"/>
          </w:tcPr>
          <w:p w14:paraId="2B1C8F66">
            <w:pPr>
              <w:pStyle w:val="17"/>
              <w:bidi w:val="0"/>
              <w:rPr>
                <w:rFonts w:ascii="Times New Roman" w:hAnsi="Times New Roman"/>
                <w:color w:val="auto"/>
              </w:rPr>
            </w:pPr>
          </w:p>
        </w:tc>
        <w:tc>
          <w:tcPr>
            <w:tcW w:w="589" w:type="pct"/>
            <w:vMerge w:val="continue"/>
            <w:vAlign w:val="center"/>
          </w:tcPr>
          <w:p w14:paraId="01B5FF6B">
            <w:pPr>
              <w:pStyle w:val="17"/>
              <w:bidi w:val="0"/>
              <w:rPr>
                <w:rFonts w:ascii="Times New Roman" w:hAnsi="Times New Roman"/>
                <w:color w:val="auto"/>
              </w:rPr>
            </w:pPr>
          </w:p>
        </w:tc>
        <w:tc>
          <w:tcPr>
            <w:tcW w:w="619" w:type="pct"/>
            <w:vMerge w:val="continue"/>
            <w:vAlign w:val="center"/>
          </w:tcPr>
          <w:p w14:paraId="3E146AA9">
            <w:pPr>
              <w:pStyle w:val="17"/>
              <w:bidi w:val="0"/>
              <w:rPr>
                <w:rFonts w:ascii="Times New Roman" w:hAnsi="Times New Roman"/>
                <w:color w:val="auto"/>
              </w:rPr>
            </w:pPr>
          </w:p>
        </w:tc>
        <w:tc>
          <w:tcPr>
            <w:tcW w:w="537" w:type="pct"/>
            <w:noWrap/>
            <w:vAlign w:val="center"/>
          </w:tcPr>
          <w:p w14:paraId="304CB77B">
            <w:pPr>
              <w:pStyle w:val="17"/>
              <w:bidi w:val="0"/>
              <w:rPr>
                <w:rFonts w:ascii="Times New Roman" w:hAnsi="Times New Roman"/>
                <w:color w:val="auto"/>
              </w:rPr>
            </w:pPr>
            <w:r>
              <w:rPr>
                <w:rFonts w:hint="eastAsia" w:ascii="Times New Roman" w:hAnsi="Times New Roman"/>
                <w:color w:val="auto"/>
              </w:rPr>
              <w:t>3</w:t>
            </w:r>
            <w:r>
              <w:rPr>
                <w:rFonts w:ascii="Times New Roman" w:hAnsi="Times New Roman"/>
                <w:color w:val="auto"/>
              </w:rPr>
              <w:t>个月</w:t>
            </w:r>
          </w:p>
        </w:tc>
        <w:tc>
          <w:tcPr>
            <w:tcW w:w="620" w:type="pct"/>
            <w:noWrap/>
            <w:vAlign w:val="center"/>
          </w:tcPr>
          <w:p w14:paraId="0A27AB40">
            <w:pPr>
              <w:pStyle w:val="17"/>
              <w:bidi w:val="0"/>
              <w:rPr>
                <w:rFonts w:ascii="Times New Roman" w:hAnsi="Times New Roman"/>
                <w:color w:val="auto"/>
              </w:rPr>
            </w:pPr>
            <w:r>
              <w:rPr>
                <w:rFonts w:ascii="Times New Roman" w:hAnsi="Times New Roman"/>
                <w:color w:val="auto"/>
              </w:rPr>
              <w:t>1-</w:t>
            </w:r>
            <w:r>
              <w:rPr>
                <w:rFonts w:hint="eastAsia" w:ascii="Times New Roman" w:hAnsi="Times New Roman"/>
                <w:color w:val="auto"/>
              </w:rPr>
              <w:t>5</w:t>
            </w:r>
          </w:p>
        </w:tc>
        <w:tc>
          <w:tcPr>
            <w:tcW w:w="512" w:type="pct"/>
            <w:noWrap/>
            <w:vAlign w:val="center"/>
          </w:tcPr>
          <w:p w14:paraId="2EE16741">
            <w:pPr>
              <w:pStyle w:val="17"/>
              <w:bidi w:val="0"/>
              <w:rPr>
                <w:rFonts w:ascii="Times New Roman" w:hAnsi="Times New Roman"/>
                <w:color w:val="auto"/>
              </w:rPr>
            </w:pPr>
            <w:r>
              <w:rPr>
                <w:rFonts w:hint="eastAsia" w:ascii="Times New Roman" w:hAnsi="Times New Roman"/>
                <w:color w:val="auto"/>
              </w:rPr>
              <w:t>6</w:t>
            </w:r>
          </w:p>
        </w:tc>
      </w:tr>
      <w:tr w14:paraId="0A1E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5C913B85">
            <w:pPr>
              <w:pStyle w:val="17"/>
              <w:bidi w:val="0"/>
              <w:rPr>
                <w:rFonts w:ascii="Times New Roman" w:hAnsi="Times New Roman"/>
                <w:color w:val="auto"/>
              </w:rPr>
            </w:pPr>
          </w:p>
        </w:tc>
        <w:tc>
          <w:tcPr>
            <w:tcW w:w="1679" w:type="pct"/>
            <w:noWrap/>
            <w:vAlign w:val="center"/>
          </w:tcPr>
          <w:p w14:paraId="4AA5458B">
            <w:pPr>
              <w:pStyle w:val="17"/>
              <w:bidi w:val="0"/>
              <w:rPr>
                <w:rFonts w:ascii="Times New Roman" w:hAnsi="Times New Roman"/>
                <w:color w:val="auto"/>
              </w:rPr>
            </w:pPr>
            <w:r>
              <w:rPr>
                <w:rFonts w:ascii="Times New Roman" w:hAnsi="Times New Roman"/>
                <w:color w:val="auto"/>
              </w:rPr>
              <w:t>生产负荷</w:t>
            </w:r>
          </w:p>
        </w:tc>
        <w:tc>
          <w:tcPr>
            <w:tcW w:w="589" w:type="pct"/>
            <w:noWrap/>
            <w:vAlign w:val="center"/>
          </w:tcPr>
          <w:p w14:paraId="4169B25F">
            <w:pPr>
              <w:pStyle w:val="17"/>
              <w:bidi w:val="0"/>
              <w:rPr>
                <w:rFonts w:ascii="Times New Roman" w:hAnsi="Times New Roman"/>
                <w:color w:val="auto"/>
              </w:rPr>
            </w:pPr>
          </w:p>
        </w:tc>
        <w:tc>
          <w:tcPr>
            <w:tcW w:w="619" w:type="pct"/>
            <w:noWrap/>
            <w:vAlign w:val="center"/>
          </w:tcPr>
          <w:p w14:paraId="0EECCE4A">
            <w:pPr>
              <w:pStyle w:val="17"/>
              <w:bidi w:val="0"/>
              <w:rPr>
                <w:rFonts w:ascii="Times New Roman" w:hAnsi="Times New Roman"/>
                <w:color w:val="auto"/>
              </w:rPr>
            </w:pPr>
          </w:p>
        </w:tc>
        <w:tc>
          <w:tcPr>
            <w:tcW w:w="537" w:type="pct"/>
            <w:noWrap/>
            <w:vAlign w:val="center"/>
          </w:tcPr>
          <w:p w14:paraId="2DB2B650">
            <w:pPr>
              <w:pStyle w:val="17"/>
              <w:bidi w:val="0"/>
              <w:rPr>
                <w:rFonts w:ascii="Times New Roman" w:hAnsi="Times New Roman"/>
                <w:color w:val="auto"/>
              </w:rPr>
            </w:pPr>
            <w:r>
              <w:rPr>
                <w:rFonts w:hint="eastAsia" w:ascii="Times New Roman" w:hAnsi="Times New Roman"/>
                <w:color w:val="auto"/>
              </w:rPr>
              <w:t>13%</w:t>
            </w:r>
          </w:p>
        </w:tc>
        <w:tc>
          <w:tcPr>
            <w:tcW w:w="620" w:type="pct"/>
            <w:noWrap/>
            <w:vAlign w:val="center"/>
          </w:tcPr>
          <w:p w14:paraId="3C08F534">
            <w:pPr>
              <w:pStyle w:val="17"/>
              <w:bidi w:val="0"/>
              <w:rPr>
                <w:rFonts w:ascii="Times New Roman" w:hAnsi="Times New Roman"/>
                <w:color w:val="auto"/>
              </w:rPr>
            </w:pPr>
            <w:r>
              <w:rPr>
                <w:rFonts w:hint="eastAsia" w:ascii="Times New Roman" w:hAnsi="Times New Roman"/>
                <w:color w:val="auto"/>
              </w:rPr>
              <w:t>100%</w:t>
            </w:r>
          </w:p>
        </w:tc>
        <w:tc>
          <w:tcPr>
            <w:tcW w:w="512" w:type="pct"/>
            <w:noWrap/>
            <w:vAlign w:val="center"/>
          </w:tcPr>
          <w:p w14:paraId="3EB39313">
            <w:pPr>
              <w:pStyle w:val="17"/>
              <w:bidi w:val="0"/>
              <w:rPr>
                <w:rFonts w:ascii="Times New Roman" w:hAnsi="Times New Roman"/>
                <w:color w:val="auto"/>
              </w:rPr>
            </w:pPr>
            <w:r>
              <w:rPr>
                <w:rFonts w:hint="eastAsia" w:ascii="Times New Roman" w:hAnsi="Times New Roman"/>
                <w:color w:val="auto"/>
              </w:rPr>
              <w:t>71%</w:t>
            </w:r>
          </w:p>
        </w:tc>
      </w:tr>
      <w:tr w14:paraId="23BC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3D44BCEC">
            <w:pPr>
              <w:pStyle w:val="17"/>
              <w:bidi w:val="0"/>
              <w:rPr>
                <w:rFonts w:ascii="Times New Roman" w:hAnsi="Times New Roman"/>
                <w:color w:val="auto"/>
              </w:rPr>
            </w:pPr>
            <w:r>
              <w:rPr>
                <w:rFonts w:ascii="Times New Roman" w:hAnsi="Times New Roman"/>
                <w:color w:val="auto"/>
              </w:rPr>
              <w:t>1</w:t>
            </w:r>
          </w:p>
        </w:tc>
        <w:tc>
          <w:tcPr>
            <w:tcW w:w="1679" w:type="pct"/>
            <w:noWrap/>
            <w:vAlign w:val="center"/>
          </w:tcPr>
          <w:p w14:paraId="11108DC4">
            <w:pPr>
              <w:pStyle w:val="17"/>
              <w:bidi w:val="0"/>
              <w:rPr>
                <w:rFonts w:ascii="Times New Roman" w:hAnsi="Times New Roman"/>
                <w:color w:val="auto"/>
              </w:rPr>
            </w:pPr>
            <w:r>
              <w:rPr>
                <w:rFonts w:ascii="Times New Roman" w:hAnsi="Times New Roman"/>
                <w:color w:val="auto"/>
              </w:rPr>
              <w:t>制造成本</w:t>
            </w:r>
          </w:p>
        </w:tc>
        <w:tc>
          <w:tcPr>
            <w:tcW w:w="589" w:type="pct"/>
            <w:noWrap/>
            <w:vAlign w:val="center"/>
          </w:tcPr>
          <w:p w14:paraId="431B5E7C">
            <w:pPr>
              <w:pStyle w:val="17"/>
              <w:bidi w:val="0"/>
              <w:rPr>
                <w:rFonts w:ascii="Times New Roman" w:hAnsi="Times New Roman"/>
                <w:color w:val="auto"/>
              </w:rPr>
            </w:pPr>
            <w:r>
              <w:rPr>
                <w:rFonts w:hint="eastAsia" w:ascii="Times New Roman" w:hAnsi="Times New Roman"/>
                <w:color w:val="auto"/>
              </w:rPr>
              <w:t>5588.41</w:t>
            </w:r>
          </w:p>
        </w:tc>
        <w:tc>
          <w:tcPr>
            <w:tcW w:w="619" w:type="pct"/>
            <w:noWrap/>
            <w:vAlign w:val="center"/>
          </w:tcPr>
          <w:p w14:paraId="0C04A36D">
            <w:pPr>
              <w:pStyle w:val="17"/>
              <w:bidi w:val="0"/>
              <w:rPr>
                <w:rFonts w:ascii="Times New Roman" w:hAnsi="Times New Roman"/>
                <w:color w:val="auto"/>
              </w:rPr>
            </w:pPr>
            <w:r>
              <w:rPr>
                <w:rFonts w:hint="eastAsia" w:ascii="Times New Roman" w:hAnsi="Times New Roman"/>
                <w:color w:val="auto"/>
              </w:rPr>
              <w:t>931.40</w:t>
            </w:r>
          </w:p>
        </w:tc>
        <w:tc>
          <w:tcPr>
            <w:tcW w:w="537" w:type="pct"/>
            <w:noWrap/>
            <w:vAlign w:val="center"/>
          </w:tcPr>
          <w:p w14:paraId="28FE410D">
            <w:pPr>
              <w:pStyle w:val="17"/>
              <w:bidi w:val="0"/>
              <w:rPr>
                <w:rFonts w:ascii="Times New Roman" w:hAnsi="Times New Roman"/>
                <w:color w:val="auto"/>
              </w:rPr>
            </w:pPr>
            <w:r>
              <w:rPr>
                <w:rFonts w:hint="eastAsia" w:ascii="Times New Roman" w:hAnsi="Times New Roman"/>
                <w:color w:val="auto"/>
              </w:rPr>
              <w:t>114.07</w:t>
            </w:r>
          </w:p>
        </w:tc>
        <w:tc>
          <w:tcPr>
            <w:tcW w:w="620" w:type="pct"/>
            <w:noWrap/>
            <w:vAlign w:val="center"/>
          </w:tcPr>
          <w:p w14:paraId="3D1248E5">
            <w:pPr>
              <w:pStyle w:val="17"/>
              <w:bidi w:val="0"/>
              <w:rPr>
                <w:rFonts w:ascii="Times New Roman" w:hAnsi="Times New Roman"/>
                <w:color w:val="auto"/>
              </w:rPr>
            </w:pPr>
            <w:r>
              <w:rPr>
                <w:rFonts w:hint="eastAsia" w:ascii="Times New Roman" w:hAnsi="Times New Roman"/>
                <w:color w:val="auto"/>
              </w:rPr>
              <w:t>958.23</w:t>
            </w:r>
          </w:p>
        </w:tc>
        <w:tc>
          <w:tcPr>
            <w:tcW w:w="512" w:type="pct"/>
            <w:noWrap/>
            <w:vAlign w:val="center"/>
          </w:tcPr>
          <w:p w14:paraId="01834360">
            <w:pPr>
              <w:pStyle w:val="17"/>
              <w:bidi w:val="0"/>
              <w:rPr>
                <w:rFonts w:ascii="Times New Roman" w:hAnsi="Times New Roman"/>
                <w:color w:val="auto"/>
              </w:rPr>
            </w:pPr>
            <w:r>
              <w:rPr>
                <w:rFonts w:hint="eastAsia" w:ascii="Times New Roman" w:hAnsi="Times New Roman"/>
                <w:color w:val="auto"/>
              </w:rPr>
              <w:t>683.20</w:t>
            </w:r>
          </w:p>
        </w:tc>
      </w:tr>
      <w:tr w14:paraId="4F54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0DB93303">
            <w:pPr>
              <w:pStyle w:val="17"/>
              <w:bidi w:val="0"/>
              <w:rPr>
                <w:rFonts w:ascii="Times New Roman" w:hAnsi="Times New Roman"/>
                <w:color w:val="auto"/>
              </w:rPr>
            </w:pPr>
            <w:r>
              <w:rPr>
                <w:rFonts w:ascii="Times New Roman" w:hAnsi="Times New Roman"/>
                <w:color w:val="auto"/>
              </w:rPr>
              <w:t>1.1</w:t>
            </w:r>
          </w:p>
        </w:tc>
        <w:tc>
          <w:tcPr>
            <w:tcW w:w="1679" w:type="pct"/>
            <w:noWrap/>
            <w:vAlign w:val="center"/>
          </w:tcPr>
          <w:p w14:paraId="14E6ABE2">
            <w:pPr>
              <w:pStyle w:val="17"/>
              <w:bidi w:val="0"/>
              <w:rPr>
                <w:rFonts w:ascii="Times New Roman" w:hAnsi="Times New Roman"/>
                <w:color w:val="auto"/>
              </w:rPr>
            </w:pPr>
            <w:r>
              <w:rPr>
                <w:rFonts w:ascii="Times New Roman" w:hAnsi="Times New Roman"/>
                <w:color w:val="auto"/>
              </w:rPr>
              <w:t>原辅料</w:t>
            </w:r>
          </w:p>
        </w:tc>
        <w:tc>
          <w:tcPr>
            <w:tcW w:w="589" w:type="pct"/>
            <w:noWrap/>
            <w:vAlign w:val="center"/>
          </w:tcPr>
          <w:p w14:paraId="705CB841">
            <w:pPr>
              <w:pStyle w:val="17"/>
              <w:bidi w:val="0"/>
              <w:rPr>
                <w:rFonts w:ascii="Times New Roman" w:hAnsi="Times New Roman"/>
                <w:color w:val="auto"/>
              </w:rPr>
            </w:pPr>
            <w:r>
              <w:rPr>
                <w:rFonts w:hint="eastAsia" w:ascii="Times New Roman" w:hAnsi="Times New Roman"/>
                <w:color w:val="auto"/>
              </w:rPr>
              <w:t>3839.35</w:t>
            </w:r>
          </w:p>
        </w:tc>
        <w:tc>
          <w:tcPr>
            <w:tcW w:w="619" w:type="pct"/>
            <w:noWrap/>
            <w:vAlign w:val="center"/>
          </w:tcPr>
          <w:p w14:paraId="3015922F">
            <w:pPr>
              <w:pStyle w:val="17"/>
              <w:bidi w:val="0"/>
              <w:rPr>
                <w:rFonts w:ascii="Times New Roman" w:hAnsi="Times New Roman"/>
                <w:color w:val="auto"/>
              </w:rPr>
            </w:pPr>
            <w:r>
              <w:rPr>
                <w:rFonts w:hint="eastAsia" w:ascii="Times New Roman" w:hAnsi="Times New Roman"/>
                <w:color w:val="auto"/>
              </w:rPr>
              <w:t>639.89</w:t>
            </w:r>
          </w:p>
        </w:tc>
        <w:tc>
          <w:tcPr>
            <w:tcW w:w="537" w:type="pct"/>
            <w:noWrap/>
            <w:vAlign w:val="center"/>
          </w:tcPr>
          <w:p w14:paraId="4695DAFB">
            <w:pPr>
              <w:pStyle w:val="17"/>
              <w:bidi w:val="0"/>
              <w:rPr>
                <w:rFonts w:ascii="Times New Roman" w:hAnsi="Times New Roman"/>
                <w:color w:val="auto"/>
              </w:rPr>
            </w:pPr>
            <w:r>
              <w:rPr>
                <w:rFonts w:hint="eastAsia" w:ascii="Times New Roman" w:hAnsi="Times New Roman"/>
                <w:color w:val="auto"/>
              </w:rPr>
              <w:t>82.38</w:t>
            </w:r>
          </w:p>
        </w:tc>
        <w:tc>
          <w:tcPr>
            <w:tcW w:w="620" w:type="pct"/>
            <w:noWrap/>
            <w:vAlign w:val="center"/>
          </w:tcPr>
          <w:p w14:paraId="7DFEBB14">
            <w:pPr>
              <w:pStyle w:val="17"/>
              <w:bidi w:val="0"/>
              <w:rPr>
                <w:rFonts w:ascii="Times New Roman" w:hAnsi="Times New Roman"/>
                <w:color w:val="auto"/>
              </w:rPr>
            </w:pPr>
            <w:r>
              <w:rPr>
                <w:rFonts w:hint="eastAsia" w:ascii="Times New Roman" w:hAnsi="Times New Roman"/>
                <w:color w:val="auto"/>
              </w:rPr>
              <w:t>657.62</w:t>
            </w:r>
          </w:p>
        </w:tc>
        <w:tc>
          <w:tcPr>
            <w:tcW w:w="512" w:type="pct"/>
            <w:noWrap/>
            <w:vAlign w:val="center"/>
          </w:tcPr>
          <w:p w14:paraId="305BDDAF">
            <w:pPr>
              <w:pStyle w:val="17"/>
              <w:bidi w:val="0"/>
              <w:rPr>
                <w:rFonts w:ascii="Times New Roman" w:hAnsi="Times New Roman"/>
                <w:color w:val="auto"/>
              </w:rPr>
            </w:pPr>
            <w:r>
              <w:rPr>
                <w:rFonts w:hint="eastAsia" w:ascii="Times New Roman" w:hAnsi="Times New Roman"/>
                <w:color w:val="auto"/>
              </w:rPr>
              <w:t>468.88</w:t>
            </w:r>
          </w:p>
        </w:tc>
      </w:tr>
      <w:tr w14:paraId="3231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72FF9974">
            <w:pPr>
              <w:pStyle w:val="17"/>
              <w:bidi w:val="0"/>
              <w:rPr>
                <w:rFonts w:ascii="Times New Roman" w:hAnsi="Times New Roman"/>
                <w:color w:val="auto"/>
              </w:rPr>
            </w:pPr>
            <w:r>
              <w:rPr>
                <w:rFonts w:ascii="Times New Roman" w:hAnsi="Times New Roman"/>
                <w:color w:val="auto"/>
              </w:rPr>
              <w:t>1.2</w:t>
            </w:r>
          </w:p>
        </w:tc>
        <w:tc>
          <w:tcPr>
            <w:tcW w:w="1679" w:type="pct"/>
            <w:noWrap/>
            <w:vAlign w:val="center"/>
          </w:tcPr>
          <w:p w14:paraId="52AEE06A">
            <w:pPr>
              <w:pStyle w:val="17"/>
              <w:bidi w:val="0"/>
              <w:rPr>
                <w:rFonts w:ascii="Times New Roman" w:hAnsi="Times New Roman"/>
                <w:color w:val="auto"/>
              </w:rPr>
            </w:pPr>
            <w:r>
              <w:rPr>
                <w:rFonts w:ascii="Times New Roman" w:hAnsi="Times New Roman"/>
                <w:color w:val="auto"/>
              </w:rPr>
              <w:t>燃料</w:t>
            </w:r>
          </w:p>
        </w:tc>
        <w:tc>
          <w:tcPr>
            <w:tcW w:w="589" w:type="pct"/>
            <w:noWrap/>
            <w:vAlign w:val="center"/>
          </w:tcPr>
          <w:p w14:paraId="19E4244B">
            <w:pPr>
              <w:pStyle w:val="17"/>
              <w:bidi w:val="0"/>
              <w:rPr>
                <w:rFonts w:ascii="Times New Roman" w:hAnsi="Times New Roman"/>
                <w:color w:val="auto"/>
              </w:rPr>
            </w:pPr>
            <w:r>
              <w:rPr>
                <w:rFonts w:hint="eastAsia" w:ascii="Times New Roman" w:hAnsi="Times New Roman"/>
                <w:color w:val="auto"/>
              </w:rPr>
              <w:t>0.00</w:t>
            </w:r>
          </w:p>
        </w:tc>
        <w:tc>
          <w:tcPr>
            <w:tcW w:w="619" w:type="pct"/>
            <w:noWrap/>
            <w:vAlign w:val="center"/>
          </w:tcPr>
          <w:p w14:paraId="6051064B">
            <w:pPr>
              <w:pStyle w:val="17"/>
              <w:bidi w:val="0"/>
              <w:rPr>
                <w:rFonts w:ascii="Times New Roman" w:hAnsi="Times New Roman"/>
                <w:color w:val="auto"/>
              </w:rPr>
            </w:pPr>
            <w:r>
              <w:rPr>
                <w:rFonts w:hint="eastAsia" w:ascii="Times New Roman" w:hAnsi="Times New Roman"/>
                <w:color w:val="auto"/>
              </w:rPr>
              <w:t>0.00</w:t>
            </w:r>
          </w:p>
        </w:tc>
        <w:tc>
          <w:tcPr>
            <w:tcW w:w="537" w:type="pct"/>
            <w:noWrap/>
            <w:vAlign w:val="center"/>
          </w:tcPr>
          <w:p w14:paraId="1F6B5C2A">
            <w:pPr>
              <w:pStyle w:val="17"/>
              <w:bidi w:val="0"/>
              <w:rPr>
                <w:rFonts w:ascii="Times New Roman" w:hAnsi="Times New Roman"/>
                <w:color w:val="auto"/>
              </w:rPr>
            </w:pPr>
            <w:r>
              <w:rPr>
                <w:rFonts w:hint="eastAsia" w:ascii="Times New Roman" w:hAnsi="Times New Roman"/>
                <w:color w:val="auto"/>
              </w:rPr>
              <w:t>0.00</w:t>
            </w:r>
          </w:p>
        </w:tc>
        <w:tc>
          <w:tcPr>
            <w:tcW w:w="620" w:type="pct"/>
            <w:noWrap/>
            <w:vAlign w:val="center"/>
          </w:tcPr>
          <w:p w14:paraId="74BB86D4">
            <w:pPr>
              <w:pStyle w:val="17"/>
              <w:bidi w:val="0"/>
              <w:rPr>
                <w:rFonts w:ascii="Times New Roman" w:hAnsi="Times New Roman"/>
                <w:color w:val="auto"/>
              </w:rPr>
            </w:pPr>
            <w:r>
              <w:rPr>
                <w:rFonts w:hint="eastAsia" w:ascii="Times New Roman" w:hAnsi="Times New Roman"/>
                <w:color w:val="auto"/>
              </w:rPr>
              <w:t>0.00</w:t>
            </w:r>
          </w:p>
        </w:tc>
        <w:tc>
          <w:tcPr>
            <w:tcW w:w="512" w:type="pct"/>
            <w:noWrap/>
            <w:vAlign w:val="center"/>
          </w:tcPr>
          <w:p w14:paraId="59306F78">
            <w:pPr>
              <w:pStyle w:val="17"/>
              <w:bidi w:val="0"/>
              <w:rPr>
                <w:rFonts w:ascii="Times New Roman" w:hAnsi="Times New Roman"/>
                <w:color w:val="auto"/>
              </w:rPr>
            </w:pPr>
            <w:r>
              <w:rPr>
                <w:rFonts w:hint="eastAsia" w:ascii="Times New Roman" w:hAnsi="Times New Roman"/>
                <w:color w:val="auto"/>
              </w:rPr>
              <w:t>0.00</w:t>
            </w:r>
          </w:p>
        </w:tc>
      </w:tr>
      <w:tr w14:paraId="6C09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26F98D2F">
            <w:pPr>
              <w:pStyle w:val="17"/>
              <w:bidi w:val="0"/>
              <w:rPr>
                <w:rFonts w:ascii="Times New Roman" w:hAnsi="Times New Roman"/>
                <w:color w:val="auto"/>
              </w:rPr>
            </w:pPr>
            <w:r>
              <w:rPr>
                <w:rFonts w:ascii="Times New Roman" w:hAnsi="Times New Roman"/>
                <w:color w:val="auto"/>
              </w:rPr>
              <w:t>1.3</w:t>
            </w:r>
          </w:p>
        </w:tc>
        <w:tc>
          <w:tcPr>
            <w:tcW w:w="1679" w:type="pct"/>
            <w:noWrap/>
            <w:vAlign w:val="center"/>
          </w:tcPr>
          <w:p w14:paraId="4EA9FB72">
            <w:pPr>
              <w:pStyle w:val="17"/>
              <w:bidi w:val="0"/>
              <w:rPr>
                <w:rFonts w:ascii="Times New Roman" w:hAnsi="Times New Roman"/>
                <w:color w:val="auto"/>
              </w:rPr>
            </w:pPr>
            <w:r>
              <w:rPr>
                <w:rFonts w:ascii="Times New Roman" w:hAnsi="Times New Roman"/>
                <w:color w:val="auto"/>
              </w:rPr>
              <w:t>动力</w:t>
            </w:r>
          </w:p>
        </w:tc>
        <w:tc>
          <w:tcPr>
            <w:tcW w:w="589" w:type="pct"/>
            <w:noWrap/>
            <w:vAlign w:val="center"/>
          </w:tcPr>
          <w:p w14:paraId="6A20272B">
            <w:pPr>
              <w:pStyle w:val="17"/>
              <w:bidi w:val="0"/>
              <w:rPr>
                <w:rFonts w:ascii="Times New Roman" w:hAnsi="Times New Roman"/>
                <w:color w:val="auto"/>
              </w:rPr>
            </w:pPr>
            <w:r>
              <w:rPr>
                <w:rFonts w:hint="eastAsia" w:ascii="Times New Roman" w:hAnsi="Times New Roman"/>
                <w:color w:val="auto"/>
              </w:rPr>
              <w:t>204.34</w:t>
            </w:r>
          </w:p>
        </w:tc>
        <w:tc>
          <w:tcPr>
            <w:tcW w:w="619" w:type="pct"/>
            <w:noWrap/>
            <w:vAlign w:val="center"/>
          </w:tcPr>
          <w:p w14:paraId="6E8B85E5">
            <w:pPr>
              <w:pStyle w:val="17"/>
              <w:bidi w:val="0"/>
              <w:rPr>
                <w:rFonts w:ascii="Times New Roman" w:hAnsi="Times New Roman"/>
                <w:color w:val="auto"/>
              </w:rPr>
            </w:pPr>
            <w:r>
              <w:rPr>
                <w:rFonts w:hint="eastAsia" w:ascii="Times New Roman" w:hAnsi="Times New Roman"/>
                <w:color w:val="auto"/>
              </w:rPr>
              <w:t>34.06</w:t>
            </w:r>
          </w:p>
        </w:tc>
        <w:tc>
          <w:tcPr>
            <w:tcW w:w="537" w:type="pct"/>
            <w:noWrap/>
            <w:vAlign w:val="center"/>
          </w:tcPr>
          <w:p w14:paraId="799C83E5">
            <w:pPr>
              <w:pStyle w:val="17"/>
              <w:bidi w:val="0"/>
              <w:rPr>
                <w:rFonts w:ascii="Times New Roman" w:hAnsi="Times New Roman"/>
                <w:color w:val="auto"/>
              </w:rPr>
            </w:pPr>
            <w:r>
              <w:rPr>
                <w:rFonts w:hint="eastAsia" w:ascii="Times New Roman" w:hAnsi="Times New Roman"/>
                <w:color w:val="auto"/>
              </w:rPr>
              <w:t>4.38</w:t>
            </w:r>
          </w:p>
        </w:tc>
        <w:tc>
          <w:tcPr>
            <w:tcW w:w="620" w:type="pct"/>
            <w:noWrap/>
            <w:vAlign w:val="center"/>
          </w:tcPr>
          <w:p w14:paraId="047CE301">
            <w:pPr>
              <w:pStyle w:val="17"/>
              <w:bidi w:val="0"/>
              <w:rPr>
                <w:rFonts w:ascii="Times New Roman" w:hAnsi="Times New Roman"/>
                <w:color w:val="auto"/>
              </w:rPr>
            </w:pPr>
            <w:r>
              <w:rPr>
                <w:rFonts w:hint="eastAsia" w:ascii="Times New Roman" w:hAnsi="Times New Roman"/>
                <w:color w:val="auto"/>
              </w:rPr>
              <w:t>35.00</w:t>
            </w:r>
          </w:p>
        </w:tc>
        <w:tc>
          <w:tcPr>
            <w:tcW w:w="512" w:type="pct"/>
            <w:noWrap/>
            <w:vAlign w:val="center"/>
          </w:tcPr>
          <w:p w14:paraId="461D45C0">
            <w:pPr>
              <w:pStyle w:val="17"/>
              <w:bidi w:val="0"/>
              <w:rPr>
                <w:rFonts w:ascii="Times New Roman" w:hAnsi="Times New Roman"/>
                <w:color w:val="auto"/>
              </w:rPr>
            </w:pPr>
            <w:r>
              <w:rPr>
                <w:rFonts w:hint="eastAsia" w:ascii="Times New Roman" w:hAnsi="Times New Roman"/>
                <w:color w:val="auto"/>
              </w:rPr>
              <w:t>24.95</w:t>
            </w:r>
          </w:p>
        </w:tc>
      </w:tr>
      <w:tr w14:paraId="4A5E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4A3B88DD">
            <w:pPr>
              <w:pStyle w:val="17"/>
              <w:bidi w:val="0"/>
              <w:rPr>
                <w:rFonts w:ascii="Times New Roman" w:hAnsi="Times New Roman"/>
                <w:color w:val="auto"/>
              </w:rPr>
            </w:pPr>
            <w:r>
              <w:rPr>
                <w:rFonts w:ascii="Times New Roman" w:hAnsi="Times New Roman"/>
                <w:color w:val="auto"/>
              </w:rPr>
              <w:t>1.4</w:t>
            </w:r>
          </w:p>
        </w:tc>
        <w:tc>
          <w:tcPr>
            <w:tcW w:w="1679" w:type="pct"/>
            <w:noWrap/>
            <w:vAlign w:val="center"/>
          </w:tcPr>
          <w:p w14:paraId="68FE69DD">
            <w:pPr>
              <w:pStyle w:val="17"/>
              <w:bidi w:val="0"/>
              <w:rPr>
                <w:rFonts w:ascii="Times New Roman" w:hAnsi="Times New Roman"/>
                <w:color w:val="auto"/>
              </w:rPr>
            </w:pPr>
            <w:r>
              <w:rPr>
                <w:rFonts w:ascii="Times New Roman" w:hAnsi="Times New Roman"/>
                <w:color w:val="auto"/>
              </w:rPr>
              <w:t>工人工资及福利</w:t>
            </w:r>
          </w:p>
        </w:tc>
        <w:tc>
          <w:tcPr>
            <w:tcW w:w="589" w:type="pct"/>
            <w:noWrap/>
            <w:vAlign w:val="center"/>
          </w:tcPr>
          <w:p w14:paraId="03302C7D">
            <w:pPr>
              <w:pStyle w:val="17"/>
              <w:bidi w:val="0"/>
              <w:rPr>
                <w:rFonts w:ascii="Times New Roman" w:hAnsi="Times New Roman"/>
                <w:color w:val="auto"/>
              </w:rPr>
            </w:pPr>
            <w:r>
              <w:rPr>
                <w:rFonts w:hint="eastAsia" w:ascii="Times New Roman" w:hAnsi="Times New Roman"/>
                <w:color w:val="auto"/>
              </w:rPr>
              <w:t>992.50</w:t>
            </w:r>
          </w:p>
        </w:tc>
        <w:tc>
          <w:tcPr>
            <w:tcW w:w="619" w:type="pct"/>
            <w:noWrap/>
            <w:vAlign w:val="center"/>
          </w:tcPr>
          <w:p w14:paraId="6A276BC8">
            <w:pPr>
              <w:pStyle w:val="17"/>
              <w:bidi w:val="0"/>
              <w:rPr>
                <w:rFonts w:ascii="Times New Roman" w:hAnsi="Times New Roman"/>
                <w:color w:val="auto"/>
              </w:rPr>
            </w:pPr>
            <w:r>
              <w:rPr>
                <w:rFonts w:hint="eastAsia" w:ascii="Times New Roman" w:hAnsi="Times New Roman"/>
                <w:color w:val="auto"/>
              </w:rPr>
              <w:t>165.42</w:t>
            </w:r>
          </w:p>
        </w:tc>
        <w:tc>
          <w:tcPr>
            <w:tcW w:w="537" w:type="pct"/>
            <w:noWrap/>
            <w:vAlign w:val="center"/>
          </w:tcPr>
          <w:p w14:paraId="055ED697">
            <w:pPr>
              <w:pStyle w:val="17"/>
              <w:bidi w:val="0"/>
              <w:rPr>
                <w:rFonts w:ascii="Times New Roman" w:hAnsi="Times New Roman"/>
                <w:color w:val="auto"/>
              </w:rPr>
            </w:pPr>
            <w:r>
              <w:rPr>
                <w:rFonts w:hint="eastAsia" w:ascii="Times New Roman" w:hAnsi="Times New Roman"/>
                <w:color w:val="auto"/>
              </w:rPr>
              <w:t>21.30</w:t>
            </w:r>
          </w:p>
        </w:tc>
        <w:tc>
          <w:tcPr>
            <w:tcW w:w="620" w:type="pct"/>
            <w:noWrap/>
            <w:vAlign w:val="center"/>
          </w:tcPr>
          <w:p w14:paraId="225B1DCC">
            <w:pPr>
              <w:pStyle w:val="17"/>
              <w:bidi w:val="0"/>
              <w:rPr>
                <w:rFonts w:ascii="Times New Roman" w:hAnsi="Times New Roman"/>
                <w:color w:val="auto"/>
              </w:rPr>
            </w:pPr>
            <w:r>
              <w:rPr>
                <w:rFonts w:hint="eastAsia" w:ascii="Times New Roman" w:hAnsi="Times New Roman"/>
                <w:color w:val="auto"/>
              </w:rPr>
              <w:t>170.00</w:t>
            </w:r>
          </w:p>
        </w:tc>
        <w:tc>
          <w:tcPr>
            <w:tcW w:w="512" w:type="pct"/>
            <w:noWrap/>
            <w:vAlign w:val="center"/>
          </w:tcPr>
          <w:p w14:paraId="1C92E4C4">
            <w:pPr>
              <w:pStyle w:val="17"/>
              <w:bidi w:val="0"/>
              <w:rPr>
                <w:rFonts w:ascii="Times New Roman" w:hAnsi="Times New Roman"/>
                <w:color w:val="auto"/>
              </w:rPr>
            </w:pPr>
            <w:r>
              <w:rPr>
                <w:rFonts w:hint="eastAsia" w:ascii="Times New Roman" w:hAnsi="Times New Roman"/>
                <w:color w:val="auto"/>
              </w:rPr>
              <w:t>121.21</w:t>
            </w:r>
          </w:p>
        </w:tc>
      </w:tr>
      <w:tr w14:paraId="798C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38F1EE49">
            <w:pPr>
              <w:pStyle w:val="17"/>
              <w:bidi w:val="0"/>
              <w:rPr>
                <w:rFonts w:ascii="Times New Roman" w:hAnsi="Times New Roman"/>
                <w:color w:val="auto"/>
              </w:rPr>
            </w:pPr>
            <w:r>
              <w:rPr>
                <w:rFonts w:ascii="Times New Roman" w:hAnsi="Times New Roman"/>
                <w:color w:val="auto"/>
              </w:rPr>
              <w:t>1.5</w:t>
            </w:r>
          </w:p>
        </w:tc>
        <w:tc>
          <w:tcPr>
            <w:tcW w:w="1679" w:type="pct"/>
            <w:noWrap/>
            <w:vAlign w:val="center"/>
          </w:tcPr>
          <w:p w14:paraId="344F308D">
            <w:pPr>
              <w:pStyle w:val="17"/>
              <w:bidi w:val="0"/>
              <w:rPr>
                <w:rFonts w:ascii="Times New Roman" w:hAnsi="Times New Roman"/>
                <w:color w:val="auto"/>
              </w:rPr>
            </w:pPr>
            <w:r>
              <w:rPr>
                <w:rFonts w:ascii="Times New Roman" w:hAnsi="Times New Roman"/>
                <w:color w:val="auto"/>
              </w:rPr>
              <w:t>制造费用</w:t>
            </w:r>
          </w:p>
        </w:tc>
        <w:tc>
          <w:tcPr>
            <w:tcW w:w="589" w:type="pct"/>
            <w:noWrap/>
            <w:vAlign w:val="center"/>
          </w:tcPr>
          <w:p w14:paraId="5D065661">
            <w:pPr>
              <w:pStyle w:val="17"/>
              <w:bidi w:val="0"/>
              <w:rPr>
                <w:rFonts w:ascii="Times New Roman" w:hAnsi="Times New Roman"/>
                <w:color w:val="auto"/>
              </w:rPr>
            </w:pPr>
            <w:r>
              <w:rPr>
                <w:rFonts w:hint="eastAsia" w:ascii="Times New Roman" w:hAnsi="Times New Roman"/>
                <w:color w:val="auto"/>
              </w:rPr>
              <w:t>552.21</w:t>
            </w:r>
          </w:p>
        </w:tc>
        <w:tc>
          <w:tcPr>
            <w:tcW w:w="619" w:type="pct"/>
            <w:noWrap/>
            <w:vAlign w:val="center"/>
          </w:tcPr>
          <w:p w14:paraId="572CBA2D">
            <w:pPr>
              <w:pStyle w:val="17"/>
              <w:bidi w:val="0"/>
              <w:rPr>
                <w:rFonts w:ascii="Times New Roman" w:hAnsi="Times New Roman"/>
                <w:color w:val="auto"/>
              </w:rPr>
            </w:pPr>
            <w:r>
              <w:rPr>
                <w:rFonts w:hint="eastAsia" w:ascii="Times New Roman" w:hAnsi="Times New Roman"/>
                <w:color w:val="auto"/>
              </w:rPr>
              <w:t>92.03</w:t>
            </w:r>
          </w:p>
        </w:tc>
        <w:tc>
          <w:tcPr>
            <w:tcW w:w="537" w:type="pct"/>
            <w:noWrap/>
            <w:vAlign w:val="center"/>
          </w:tcPr>
          <w:p w14:paraId="69EF429C">
            <w:pPr>
              <w:pStyle w:val="17"/>
              <w:bidi w:val="0"/>
              <w:rPr>
                <w:rFonts w:ascii="Times New Roman" w:hAnsi="Times New Roman"/>
                <w:color w:val="auto"/>
              </w:rPr>
            </w:pPr>
            <w:r>
              <w:rPr>
                <w:rFonts w:hint="eastAsia" w:ascii="Times New Roman" w:hAnsi="Times New Roman"/>
                <w:color w:val="auto"/>
              </w:rPr>
              <w:t>6.01</w:t>
            </w:r>
          </w:p>
        </w:tc>
        <w:tc>
          <w:tcPr>
            <w:tcW w:w="620" w:type="pct"/>
            <w:noWrap/>
            <w:vAlign w:val="center"/>
          </w:tcPr>
          <w:p w14:paraId="1ADB5AF4">
            <w:pPr>
              <w:pStyle w:val="17"/>
              <w:bidi w:val="0"/>
              <w:rPr>
                <w:rFonts w:ascii="Times New Roman" w:hAnsi="Times New Roman"/>
                <w:color w:val="auto"/>
              </w:rPr>
            </w:pPr>
            <w:r>
              <w:rPr>
                <w:rFonts w:hint="eastAsia" w:ascii="Times New Roman" w:hAnsi="Times New Roman"/>
                <w:color w:val="auto"/>
              </w:rPr>
              <w:t>95.61</w:t>
            </w:r>
          </w:p>
        </w:tc>
        <w:tc>
          <w:tcPr>
            <w:tcW w:w="512" w:type="pct"/>
            <w:noWrap/>
            <w:vAlign w:val="center"/>
          </w:tcPr>
          <w:p w14:paraId="6C3CF4EA">
            <w:pPr>
              <w:pStyle w:val="17"/>
              <w:bidi w:val="0"/>
              <w:rPr>
                <w:rFonts w:ascii="Times New Roman" w:hAnsi="Times New Roman"/>
                <w:color w:val="auto"/>
              </w:rPr>
            </w:pPr>
            <w:r>
              <w:rPr>
                <w:rFonts w:hint="eastAsia" w:ascii="Times New Roman" w:hAnsi="Times New Roman"/>
                <w:color w:val="auto"/>
              </w:rPr>
              <w:t>68.17</w:t>
            </w:r>
          </w:p>
        </w:tc>
      </w:tr>
      <w:tr w14:paraId="6545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25615254">
            <w:pPr>
              <w:pStyle w:val="17"/>
              <w:bidi w:val="0"/>
              <w:rPr>
                <w:rFonts w:ascii="Times New Roman" w:hAnsi="Times New Roman"/>
                <w:color w:val="auto"/>
              </w:rPr>
            </w:pPr>
            <w:r>
              <w:rPr>
                <w:rFonts w:ascii="Times New Roman" w:hAnsi="Times New Roman"/>
                <w:color w:val="auto"/>
              </w:rPr>
              <w:t>1.5.1</w:t>
            </w:r>
          </w:p>
        </w:tc>
        <w:tc>
          <w:tcPr>
            <w:tcW w:w="1679" w:type="pct"/>
            <w:noWrap/>
            <w:vAlign w:val="center"/>
          </w:tcPr>
          <w:p w14:paraId="21A036C3">
            <w:pPr>
              <w:pStyle w:val="17"/>
              <w:bidi w:val="0"/>
              <w:rPr>
                <w:rFonts w:ascii="Times New Roman" w:hAnsi="Times New Roman"/>
                <w:color w:val="auto"/>
              </w:rPr>
            </w:pPr>
            <w:r>
              <w:rPr>
                <w:rFonts w:ascii="Times New Roman" w:hAnsi="Times New Roman"/>
                <w:color w:val="auto"/>
              </w:rPr>
              <w:t>折旧费</w:t>
            </w:r>
          </w:p>
        </w:tc>
        <w:tc>
          <w:tcPr>
            <w:tcW w:w="589" w:type="pct"/>
            <w:noWrap/>
            <w:vAlign w:val="center"/>
          </w:tcPr>
          <w:p w14:paraId="1A618CF1">
            <w:pPr>
              <w:pStyle w:val="17"/>
              <w:bidi w:val="0"/>
              <w:rPr>
                <w:rFonts w:ascii="Times New Roman" w:hAnsi="Times New Roman"/>
                <w:color w:val="auto"/>
              </w:rPr>
            </w:pPr>
            <w:r>
              <w:rPr>
                <w:rFonts w:hint="eastAsia" w:ascii="Times New Roman" w:hAnsi="Times New Roman"/>
                <w:color w:val="auto"/>
              </w:rPr>
              <w:t>140.92</w:t>
            </w:r>
          </w:p>
        </w:tc>
        <w:tc>
          <w:tcPr>
            <w:tcW w:w="619" w:type="pct"/>
            <w:noWrap/>
            <w:vAlign w:val="center"/>
          </w:tcPr>
          <w:p w14:paraId="2B68B293">
            <w:pPr>
              <w:pStyle w:val="17"/>
              <w:bidi w:val="0"/>
              <w:rPr>
                <w:rFonts w:ascii="Times New Roman" w:hAnsi="Times New Roman"/>
                <w:color w:val="auto"/>
              </w:rPr>
            </w:pPr>
            <w:r>
              <w:rPr>
                <w:rFonts w:hint="eastAsia" w:ascii="Times New Roman" w:hAnsi="Times New Roman"/>
                <w:color w:val="auto"/>
              </w:rPr>
              <w:t>23.49</w:t>
            </w:r>
          </w:p>
        </w:tc>
        <w:tc>
          <w:tcPr>
            <w:tcW w:w="537" w:type="pct"/>
            <w:noWrap/>
            <w:vAlign w:val="center"/>
          </w:tcPr>
          <w:p w14:paraId="6A976DA4">
            <w:pPr>
              <w:pStyle w:val="17"/>
              <w:bidi w:val="0"/>
              <w:rPr>
                <w:rFonts w:ascii="Times New Roman" w:hAnsi="Times New Roman"/>
                <w:color w:val="auto"/>
              </w:rPr>
            </w:pPr>
            <w:r>
              <w:rPr>
                <w:rFonts w:hint="eastAsia" w:ascii="Times New Roman" w:hAnsi="Times New Roman"/>
                <w:color w:val="auto"/>
              </w:rPr>
              <w:t>0.00</w:t>
            </w:r>
          </w:p>
        </w:tc>
        <w:tc>
          <w:tcPr>
            <w:tcW w:w="620" w:type="pct"/>
            <w:noWrap/>
            <w:vAlign w:val="center"/>
          </w:tcPr>
          <w:p w14:paraId="4E562E47">
            <w:pPr>
              <w:pStyle w:val="17"/>
              <w:bidi w:val="0"/>
              <w:rPr>
                <w:rFonts w:ascii="Times New Roman" w:hAnsi="Times New Roman"/>
                <w:color w:val="auto"/>
              </w:rPr>
            </w:pPr>
            <w:r>
              <w:rPr>
                <w:rFonts w:hint="eastAsia" w:ascii="Times New Roman" w:hAnsi="Times New Roman"/>
                <w:color w:val="auto"/>
              </w:rPr>
              <w:t>24.67</w:t>
            </w:r>
          </w:p>
        </w:tc>
        <w:tc>
          <w:tcPr>
            <w:tcW w:w="512" w:type="pct"/>
            <w:noWrap/>
            <w:vAlign w:val="center"/>
          </w:tcPr>
          <w:p w14:paraId="5B3A43BE">
            <w:pPr>
              <w:pStyle w:val="17"/>
              <w:bidi w:val="0"/>
              <w:rPr>
                <w:rFonts w:ascii="Times New Roman" w:hAnsi="Times New Roman"/>
                <w:color w:val="auto"/>
              </w:rPr>
            </w:pPr>
            <w:r>
              <w:rPr>
                <w:rFonts w:hint="eastAsia" w:ascii="Times New Roman" w:hAnsi="Times New Roman"/>
                <w:color w:val="auto"/>
              </w:rPr>
              <w:t>17.59</w:t>
            </w:r>
          </w:p>
        </w:tc>
      </w:tr>
      <w:tr w14:paraId="1B23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3BA69F90">
            <w:pPr>
              <w:pStyle w:val="17"/>
              <w:bidi w:val="0"/>
              <w:rPr>
                <w:rFonts w:ascii="Times New Roman" w:hAnsi="Times New Roman"/>
                <w:color w:val="auto"/>
              </w:rPr>
            </w:pPr>
            <w:r>
              <w:rPr>
                <w:rFonts w:ascii="Times New Roman" w:hAnsi="Times New Roman"/>
                <w:color w:val="auto"/>
              </w:rPr>
              <w:t>1.5.2</w:t>
            </w:r>
          </w:p>
        </w:tc>
        <w:tc>
          <w:tcPr>
            <w:tcW w:w="1679" w:type="pct"/>
            <w:noWrap/>
            <w:vAlign w:val="center"/>
          </w:tcPr>
          <w:p w14:paraId="0244295D">
            <w:pPr>
              <w:pStyle w:val="17"/>
              <w:bidi w:val="0"/>
              <w:rPr>
                <w:rFonts w:ascii="Times New Roman" w:hAnsi="Times New Roman"/>
                <w:color w:val="auto"/>
              </w:rPr>
            </w:pPr>
            <w:r>
              <w:rPr>
                <w:rFonts w:ascii="Times New Roman" w:hAnsi="Times New Roman"/>
                <w:color w:val="auto"/>
              </w:rPr>
              <w:t>修理费</w:t>
            </w:r>
          </w:p>
        </w:tc>
        <w:tc>
          <w:tcPr>
            <w:tcW w:w="589" w:type="pct"/>
            <w:noWrap/>
            <w:vAlign w:val="center"/>
          </w:tcPr>
          <w:p w14:paraId="0BF3844B">
            <w:pPr>
              <w:pStyle w:val="17"/>
              <w:bidi w:val="0"/>
              <w:rPr>
                <w:rFonts w:ascii="Times New Roman" w:hAnsi="Times New Roman"/>
                <w:color w:val="auto"/>
              </w:rPr>
            </w:pPr>
            <w:r>
              <w:rPr>
                <w:rFonts w:hint="eastAsia" w:ascii="Times New Roman" w:hAnsi="Times New Roman"/>
                <w:color w:val="auto"/>
              </w:rPr>
              <w:t>83.07</w:t>
            </w:r>
          </w:p>
        </w:tc>
        <w:tc>
          <w:tcPr>
            <w:tcW w:w="619" w:type="pct"/>
            <w:noWrap/>
            <w:vAlign w:val="center"/>
          </w:tcPr>
          <w:p w14:paraId="1826EADF">
            <w:pPr>
              <w:pStyle w:val="17"/>
              <w:bidi w:val="0"/>
              <w:rPr>
                <w:rFonts w:ascii="Times New Roman" w:hAnsi="Times New Roman"/>
                <w:color w:val="auto"/>
              </w:rPr>
            </w:pPr>
            <w:r>
              <w:rPr>
                <w:rFonts w:hint="eastAsia" w:ascii="Times New Roman" w:hAnsi="Times New Roman"/>
                <w:color w:val="auto"/>
              </w:rPr>
              <w:t>13.84</w:t>
            </w:r>
          </w:p>
        </w:tc>
        <w:tc>
          <w:tcPr>
            <w:tcW w:w="537" w:type="pct"/>
            <w:noWrap/>
            <w:vAlign w:val="center"/>
          </w:tcPr>
          <w:p w14:paraId="280D2B45">
            <w:pPr>
              <w:pStyle w:val="17"/>
              <w:bidi w:val="0"/>
              <w:rPr>
                <w:rFonts w:ascii="Times New Roman" w:hAnsi="Times New Roman"/>
                <w:color w:val="auto"/>
              </w:rPr>
            </w:pPr>
            <w:r>
              <w:rPr>
                <w:rFonts w:hint="eastAsia" w:ascii="Times New Roman" w:hAnsi="Times New Roman"/>
                <w:color w:val="auto"/>
              </w:rPr>
              <w:t>0.00</w:t>
            </w:r>
          </w:p>
        </w:tc>
        <w:tc>
          <w:tcPr>
            <w:tcW w:w="620" w:type="pct"/>
            <w:noWrap/>
            <w:vAlign w:val="center"/>
          </w:tcPr>
          <w:p w14:paraId="1C41BE7D">
            <w:pPr>
              <w:pStyle w:val="17"/>
              <w:bidi w:val="0"/>
              <w:rPr>
                <w:rFonts w:ascii="Times New Roman" w:hAnsi="Times New Roman"/>
                <w:color w:val="auto"/>
              </w:rPr>
            </w:pPr>
            <w:r>
              <w:rPr>
                <w:rFonts w:hint="eastAsia" w:ascii="Times New Roman" w:hAnsi="Times New Roman"/>
                <w:color w:val="auto"/>
              </w:rPr>
              <w:t>14.54</w:t>
            </w:r>
          </w:p>
        </w:tc>
        <w:tc>
          <w:tcPr>
            <w:tcW w:w="512" w:type="pct"/>
            <w:noWrap/>
            <w:vAlign w:val="center"/>
          </w:tcPr>
          <w:p w14:paraId="21357706">
            <w:pPr>
              <w:pStyle w:val="17"/>
              <w:bidi w:val="0"/>
              <w:rPr>
                <w:rFonts w:ascii="Times New Roman" w:hAnsi="Times New Roman"/>
                <w:color w:val="auto"/>
              </w:rPr>
            </w:pPr>
            <w:r>
              <w:rPr>
                <w:rFonts w:hint="eastAsia" w:ascii="Times New Roman" w:hAnsi="Times New Roman"/>
                <w:color w:val="auto"/>
              </w:rPr>
              <w:t>10.37</w:t>
            </w:r>
          </w:p>
        </w:tc>
      </w:tr>
      <w:tr w14:paraId="433E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4B4CB3FD">
            <w:pPr>
              <w:pStyle w:val="17"/>
              <w:bidi w:val="0"/>
              <w:rPr>
                <w:rFonts w:ascii="Times New Roman" w:hAnsi="Times New Roman"/>
                <w:color w:val="auto"/>
              </w:rPr>
            </w:pPr>
            <w:r>
              <w:rPr>
                <w:rFonts w:ascii="Times New Roman" w:hAnsi="Times New Roman"/>
                <w:color w:val="auto"/>
              </w:rPr>
              <w:t>1.5.3</w:t>
            </w:r>
          </w:p>
        </w:tc>
        <w:tc>
          <w:tcPr>
            <w:tcW w:w="1679" w:type="pct"/>
            <w:noWrap/>
            <w:vAlign w:val="center"/>
          </w:tcPr>
          <w:p w14:paraId="58A1C9D0">
            <w:pPr>
              <w:pStyle w:val="17"/>
              <w:bidi w:val="0"/>
              <w:rPr>
                <w:rFonts w:ascii="Times New Roman" w:hAnsi="Times New Roman"/>
                <w:color w:val="auto"/>
              </w:rPr>
            </w:pPr>
            <w:r>
              <w:rPr>
                <w:rFonts w:ascii="Times New Roman" w:hAnsi="Times New Roman"/>
                <w:color w:val="auto"/>
              </w:rPr>
              <w:t>车间管理人员工资及福利</w:t>
            </w:r>
          </w:p>
        </w:tc>
        <w:tc>
          <w:tcPr>
            <w:tcW w:w="589" w:type="pct"/>
            <w:noWrap/>
            <w:vAlign w:val="center"/>
          </w:tcPr>
          <w:p w14:paraId="51C80B13">
            <w:pPr>
              <w:pStyle w:val="17"/>
              <w:bidi w:val="0"/>
              <w:rPr>
                <w:rFonts w:ascii="Times New Roman" w:hAnsi="Times New Roman"/>
                <w:color w:val="auto"/>
              </w:rPr>
            </w:pPr>
            <w:r>
              <w:rPr>
                <w:rFonts w:hint="eastAsia" w:ascii="Times New Roman" w:hAnsi="Times New Roman"/>
                <w:color w:val="auto"/>
              </w:rPr>
              <w:t>280.24</w:t>
            </w:r>
          </w:p>
        </w:tc>
        <w:tc>
          <w:tcPr>
            <w:tcW w:w="619" w:type="pct"/>
            <w:noWrap/>
            <w:vAlign w:val="center"/>
          </w:tcPr>
          <w:p w14:paraId="025DC1EE">
            <w:pPr>
              <w:pStyle w:val="17"/>
              <w:bidi w:val="0"/>
              <w:rPr>
                <w:rFonts w:ascii="Times New Roman" w:hAnsi="Times New Roman"/>
                <w:color w:val="auto"/>
              </w:rPr>
            </w:pPr>
            <w:r>
              <w:rPr>
                <w:rFonts w:hint="eastAsia" w:ascii="Times New Roman" w:hAnsi="Times New Roman"/>
                <w:color w:val="auto"/>
              </w:rPr>
              <w:t>46.71</w:t>
            </w:r>
          </w:p>
        </w:tc>
        <w:tc>
          <w:tcPr>
            <w:tcW w:w="537" w:type="pct"/>
            <w:noWrap/>
            <w:vAlign w:val="center"/>
          </w:tcPr>
          <w:p w14:paraId="61E57BC2">
            <w:pPr>
              <w:pStyle w:val="17"/>
              <w:bidi w:val="0"/>
              <w:rPr>
                <w:rFonts w:ascii="Times New Roman" w:hAnsi="Times New Roman"/>
                <w:color w:val="auto"/>
              </w:rPr>
            </w:pPr>
            <w:r>
              <w:rPr>
                <w:rFonts w:hint="eastAsia" w:ascii="Times New Roman" w:hAnsi="Times New Roman"/>
                <w:color w:val="auto"/>
              </w:rPr>
              <w:t>6.01</w:t>
            </w:r>
          </w:p>
        </w:tc>
        <w:tc>
          <w:tcPr>
            <w:tcW w:w="620" w:type="pct"/>
            <w:noWrap/>
            <w:vAlign w:val="center"/>
          </w:tcPr>
          <w:p w14:paraId="3BC9B971">
            <w:pPr>
              <w:pStyle w:val="17"/>
              <w:bidi w:val="0"/>
              <w:rPr>
                <w:rFonts w:ascii="Times New Roman" w:hAnsi="Times New Roman"/>
                <w:color w:val="auto"/>
              </w:rPr>
            </w:pPr>
            <w:r>
              <w:rPr>
                <w:rFonts w:hint="eastAsia" w:ascii="Times New Roman" w:hAnsi="Times New Roman"/>
                <w:color w:val="auto"/>
              </w:rPr>
              <w:t>48.00</w:t>
            </w:r>
          </w:p>
        </w:tc>
        <w:tc>
          <w:tcPr>
            <w:tcW w:w="512" w:type="pct"/>
            <w:noWrap/>
            <w:vAlign w:val="center"/>
          </w:tcPr>
          <w:p w14:paraId="44DBE71D">
            <w:pPr>
              <w:pStyle w:val="17"/>
              <w:bidi w:val="0"/>
              <w:rPr>
                <w:rFonts w:ascii="Times New Roman" w:hAnsi="Times New Roman"/>
                <w:color w:val="auto"/>
              </w:rPr>
            </w:pPr>
            <w:r>
              <w:rPr>
                <w:rFonts w:hint="eastAsia" w:ascii="Times New Roman" w:hAnsi="Times New Roman"/>
                <w:color w:val="auto"/>
              </w:rPr>
              <w:t>34.22</w:t>
            </w:r>
          </w:p>
        </w:tc>
      </w:tr>
      <w:tr w14:paraId="6F11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3E7E7A21">
            <w:pPr>
              <w:pStyle w:val="17"/>
              <w:bidi w:val="0"/>
              <w:rPr>
                <w:rFonts w:ascii="Times New Roman" w:hAnsi="Times New Roman"/>
                <w:color w:val="auto"/>
              </w:rPr>
            </w:pPr>
            <w:r>
              <w:rPr>
                <w:rFonts w:ascii="Times New Roman" w:hAnsi="Times New Roman"/>
                <w:color w:val="auto"/>
              </w:rPr>
              <w:t>1.5.4</w:t>
            </w:r>
          </w:p>
        </w:tc>
        <w:tc>
          <w:tcPr>
            <w:tcW w:w="1679" w:type="pct"/>
            <w:noWrap/>
            <w:vAlign w:val="center"/>
          </w:tcPr>
          <w:p w14:paraId="1520136A">
            <w:pPr>
              <w:pStyle w:val="17"/>
              <w:bidi w:val="0"/>
              <w:rPr>
                <w:rFonts w:ascii="Times New Roman" w:hAnsi="Times New Roman"/>
                <w:color w:val="auto"/>
              </w:rPr>
            </w:pPr>
            <w:r>
              <w:rPr>
                <w:rFonts w:ascii="Times New Roman" w:hAnsi="Times New Roman"/>
                <w:color w:val="auto"/>
              </w:rPr>
              <w:t>其他制造费用</w:t>
            </w:r>
          </w:p>
        </w:tc>
        <w:tc>
          <w:tcPr>
            <w:tcW w:w="589" w:type="pct"/>
            <w:noWrap/>
            <w:vAlign w:val="center"/>
          </w:tcPr>
          <w:p w14:paraId="0A9591AB">
            <w:pPr>
              <w:pStyle w:val="17"/>
              <w:bidi w:val="0"/>
              <w:rPr>
                <w:rFonts w:ascii="Times New Roman" w:hAnsi="Times New Roman"/>
                <w:color w:val="auto"/>
              </w:rPr>
            </w:pPr>
            <w:r>
              <w:rPr>
                <w:rFonts w:hint="eastAsia" w:ascii="Times New Roman" w:hAnsi="Times New Roman"/>
                <w:color w:val="auto"/>
              </w:rPr>
              <w:t>47.99</w:t>
            </w:r>
          </w:p>
        </w:tc>
        <w:tc>
          <w:tcPr>
            <w:tcW w:w="619" w:type="pct"/>
            <w:noWrap/>
            <w:vAlign w:val="center"/>
          </w:tcPr>
          <w:p w14:paraId="2701FD87">
            <w:pPr>
              <w:pStyle w:val="17"/>
              <w:bidi w:val="0"/>
              <w:rPr>
                <w:rFonts w:ascii="Times New Roman" w:hAnsi="Times New Roman"/>
                <w:color w:val="auto"/>
              </w:rPr>
            </w:pPr>
            <w:r>
              <w:rPr>
                <w:rFonts w:hint="eastAsia" w:ascii="Times New Roman" w:hAnsi="Times New Roman"/>
                <w:color w:val="auto"/>
              </w:rPr>
              <w:t>8.00</w:t>
            </w:r>
          </w:p>
        </w:tc>
        <w:tc>
          <w:tcPr>
            <w:tcW w:w="537" w:type="pct"/>
            <w:noWrap/>
            <w:vAlign w:val="center"/>
          </w:tcPr>
          <w:p w14:paraId="1267E48F">
            <w:pPr>
              <w:pStyle w:val="17"/>
              <w:bidi w:val="0"/>
              <w:rPr>
                <w:rFonts w:ascii="Times New Roman" w:hAnsi="Times New Roman"/>
                <w:color w:val="auto"/>
              </w:rPr>
            </w:pPr>
            <w:r>
              <w:rPr>
                <w:rFonts w:hint="eastAsia" w:ascii="Times New Roman" w:hAnsi="Times New Roman"/>
                <w:color w:val="auto"/>
              </w:rPr>
              <w:t>0.00</w:t>
            </w:r>
          </w:p>
        </w:tc>
        <w:tc>
          <w:tcPr>
            <w:tcW w:w="620" w:type="pct"/>
            <w:noWrap/>
            <w:vAlign w:val="center"/>
          </w:tcPr>
          <w:p w14:paraId="36B8047D">
            <w:pPr>
              <w:pStyle w:val="17"/>
              <w:bidi w:val="0"/>
              <w:rPr>
                <w:rFonts w:ascii="Times New Roman" w:hAnsi="Times New Roman"/>
                <w:color w:val="auto"/>
              </w:rPr>
            </w:pPr>
            <w:r>
              <w:rPr>
                <w:rFonts w:hint="eastAsia" w:ascii="Times New Roman" w:hAnsi="Times New Roman"/>
                <w:color w:val="auto"/>
              </w:rPr>
              <w:t>8.40</w:t>
            </w:r>
          </w:p>
        </w:tc>
        <w:tc>
          <w:tcPr>
            <w:tcW w:w="512" w:type="pct"/>
            <w:noWrap/>
            <w:vAlign w:val="center"/>
          </w:tcPr>
          <w:p w14:paraId="4C90EE46">
            <w:pPr>
              <w:pStyle w:val="17"/>
              <w:bidi w:val="0"/>
              <w:rPr>
                <w:rFonts w:ascii="Times New Roman" w:hAnsi="Times New Roman"/>
                <w:color w:val="auto"/>
              </w:rPr>
            </w:pPr>
            <w:r>
              <w:rPr>
                <w:rFonts w:hint="eastAsia" w:ascii="Times New Roman" w:hAnsi="Times New Roman"/>
                <w:color w:val="auto"/>
              </w:rPr>
              <w:t>5.99</w:t>
            </w:r>
          </w:p>
        </w:tc>
      </w:tr>
      <w:tr w14:paraId="5577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1B44277D">
            <w:pPr>
              <w:pStyle w:val="17"/>
              <w:bidi w:val="0"/>
              <w:rPr>
                <w:rFonts w:ascii="Times New Roman" w:hAnsi="Times New Roman"/>
                <w:color w:val="auto"/>
              </w:rPr>
            </w:pPr>
            <w:r>
              <w:rPr>
                <w:rFonts w:ascii="Times New Roman" w:hAnsi="Times New Roman"/>
                <w:color w:val="auto"/>
              </w:rPr>
              <w:t>2</w:t>
            </w:r>
          </w:p>
        </w:tc>
        <w:tc>
          <w:tcPr>
            <w:tcW w:w="1679" w:type="pct"/>
            <w:noWrap/>
            <w:vAlign w:val="center"/>
          </w:tcPr>
          <w:p w14:paraId="20ABA0EE">
            <w:pPr>
              <w:pStyle w:val="17"/>
              <w:bidi w:val="0"/>
              <w:rPr>
                <w:rFonts w:ascii="Times New Roman" w:hAnsi="Times New Roman"/>
                <w:color w:val="auto"/>
              </w:rPr>
            </w:pPr>
            <w:r>
              <w:rPr>
                <w:rFonts w:ascii="Times New Roman" w:hAnsi="Times New Roman"/>
                <w:color w:val="auto"/>
              </w:rPr>
              <w:t>管理费用</w:t>
            </w:r>
          </w:p>
        </w:tc>
        <w:tc>
          <w:tcPr>
            <w:tcW w:w="589" w:type="pct"/>
            <w:noWrap/>
            <w:vAlign w:val="center"/>
          </w:tcPr>
          <w:p w14:paraId="73499EFA">
            <w:pPr>
              <w:pStyle w:val="17"/>
              <w:bidi w:val="0"/>
              <w:rPr>
                <w:rFonts w:ascii="Times New Roman" w:hAnsi="Times New Roman"/>
                <w:color w:val="auto"/>
              </w:rPr>
            </w:pPr>
            <w:r>
              <w:rPr>
                <w:rFonts w:hint="eastAsia" w:ascii="Times New Roman" w:hAnsi="Times New Roman"/>
                <w:color w:val="auto"/>
              </w:rPr>
              <w:t>2080.47</w:t>
            </w:r>
          </w:p>
        </w:tc>
        <w:tc>
          <w:tcPr>
            <w:tcW w:w="619" w:type="pct"/>
            <w:noWrap/>
            <w:vAlign w:val="center"/>
          </w:tcPr>
          <w:p w14:paraId="6A64D8D3">
            <w:pPr>
              <w:pStyle w:val="17"/>
              <w:bidi w:val="0"/>
              <w:rPr>
                <w:rFonts w:ascii="Times New Roman" w:hAnsi="Times New Roman"/>
                <w:color w:val="auto"/>
              </w:rPr>
            </w:pPr>
            <w:r>
              <w:rPr>
                <w:rFonts w:hint="eastAsia" w:ascii="Times New Roman" w:hAnsi="Times New Roman"/>
                <w:color w:val="auto"/>
              </w:rPr>
              <w:t>346.75</w:t>
            </w:r>
          </w:p>
        </w:tc>
        <w:tc>
          <w:tcPr>
            <w:tcW w:w="537" w:type="pct"/>
            <w:noWrap/>
            <w:vAlign w:val="center"/>
          </w:tcPr>
          <w:p w14:paraId="39DF082B">
            <w:pPr>
              <w:pStyle w:val="17"/>
              <w:bidi w:val="0"/>
              <w:rPr>
                <w:rFonts w:ascii="Times New Roman" w:hAnsi="Times New Roman"/>
                <w:color w:val="auto"/>
              </w:rPr>
            </w:pPr>
            <w:r>
              <w:rPr>
                <w:rFonts w:hint="eastAsia" w:ascii="Times New Roman" w:hAnsi="Times New Roman"/>
                <w:color w:val="auto"/>
              </w:rPr>
              <w:t>42.53</w:t>
            </w:r>
          </w:p>
        </w:tc>
        <w:tc>
          <w:tcPr>
            <w:tcW w:w="620" w:type="pct"/>
            <w:noWrap/>
            <w:vAlign w:val="center"/>
          </w:tcPr>
          <w:p w14:paraId="3C493A94">
            <w:pPr>
              <w:pStyle w:val="17"/>
              <w:bidi w:val="0"/>
              <w:rPr>
                <w:rFonts w:ascii="Times New Roman" w:hAnsi="Times New Roman"/>
                <w:color w:val="auto"/>
              </w:rPr>
            </w:pPr>
            <w:r>
              <w:rPr>
                <w:rFonts w:hint="eastAsia" w:ascii="Times New Roman" w:hAnsi="Times New Roman"/>
                <w:color w:val="auto"/>
              </w:rPr>
              <w:t>356.45</w:t>
            </w:r>
          </w:p>
        </w:tc>
        <w:tc>
          <w:tcPr>
            <w:tcW w:w="512" w:type="pct"/>
            <w:noWrap/>
            <w:vAlign w:val="center"/>
          </w:tcPr>
          <w:p w14:paraId="60591B40">
            <w:pPr>
              <w:pStyle w:val="17"/>
              <w:bidi w:val="0"/>
              <w:rPr>
                <w:rFonts w:ascii="Times New Roman" w:hAnsi="Times New Roman"/>
                <w:color w:val="auto"/>
              </w:rPr>
            </w:pPr>
            <w:r>
              <w:rPr>
                <w:rFonts w:hint="eastAsia" w:ascii="Times New Roman" w:hAnsi="Times New Roman"/>
                <w:color w:val="auto"/>
              </w:rPr>
              <w:t>254.15</w:t>
            </w:r>
          </w:p>
        </w:tc>
      </w:tr>
      <w:tr w14:paraId="0D41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5F63302B">
            <w:pPr>
              <w:pStyle w:val="17"/>
              <w:bidi w:val="0"/>
              <w:rPr>
                <w:rFonts w:ascii="Times New Roman" w:hAnsi="Times New Roman"/>
                <w:color w:val="auto"/>
              </w:rPr>
            </w:pPr>
            <w:r>
              <w:rPr>
                <w:rFonts w:ascii="Times New Roman" w:hAnsi="Times New Roman"/>
                <w:color w:val="auto"/>
              </w:rPr>
              <w:t>2.1</w:t>
            </w:r>
          </w:p>
        </w:tc>
        <w:tc>
          <w:tcPr>
            <w:tcW w:w="1679" w:type="pct"/>
            <w:noWrap/>
            <w:vAlign w:val="center"/>
          </w:tcPr>
          <w:p w14:paraId="7B3BB816">
            <w:pPr>
              <w:pStyle w:val="17"/>
              <w:bidi w:val="0"/>
              <w:rPr>
                <w:rFonts w:ascii="Times New Roman" w:hAnsi="Times New Roman"/>
                <w:color w:val="auto"/>
              </w:rPr>
            </w:pPr>
            <w:r>
              <w:rPr>
                <w:rFonts w:ascii="Times New Roman" w:hAnsi="Times New Roman"/>
                <w:color w:val="auto"/>
              </w:rPr>
              <w:t>管理人员工资及福利</w:t>
            </w:r>
          </w:p>
        </w:tc>
        <w:tc>
          <w:tcPr>
            <w:tcW w:w="589" w:type="pct"/>
            <w:noWrap/>
            <w:vAlign w:val="center"/>
          </w:tcPr>
          <w:p w14:paraId="3D12155C">
            <w:pPr>
              <w:pStyle w:val="17"/>
              <w:bidi w:val="0"/>
              <w:rPr>
                <w:rFonts w:ascii="Times New Roman" w:hAnsi="Times New Roman"/>
                <w:color w:val="auto"/>
              </w:rPr>
            </w:pPr>
            <w:r>
              <w:rPr>
                <w:rFonts w:hint="eastAsia" w:ascii="Times New Roman" w:hAnsi="Times New Roman"/>
                <w:color w:val="auto"/>
              </w:rPr>
              <w:t>700.59</w:t>
            </w:r>
          </w:p>
        </w:tc>
        <w:tc>
          <w:tcPr>
            <w:tcW w:w="619" w:type="pct"/>
            <w:noWrap/>
            <w:vAlign w:val="center"/>
          </w:tcPr>
          <w:p w14:paraId="79CA3D84">
            <w:pPr>
              <w:pStyle w:val="17"/>
              <w:bidi w:val="0"/>
              <w:rPr>
                <w:rFonts w:ascii="Times New Roman" w:hAnsi="Times New Roman"/>
                <w:color w:val="auto"/>
              </w:rPr>
            </w:pPr>
            <w:r>
              <w:rPr>
                <w:rFonts w:hint="eastAsia" w:ascii="Times New Roman" w:hAnsi="Times New Roman"/>
                <w:color w:val="auto"/>
              </w:rPr>
              <w:t>116.77</w:t>
            </w:r>
          </w:p>
        </w:tc>
        <w:tc>
          <w:tcPr>
            <w:tcW w:w="537" w:type="pct"/>
            <w:noWrap/>
            <w:vAlign w:val="center"/>
          </w:tcPr>
          <w:p w14:paraId="5EA6DBA6">
            <w:pPr>
              <w:pStyle w:val="17"/>
              <w:bidi w:val="0"/>
              <w:rPr>
                <w:rFonts w:ascii="Times New Roman" w:hAnsi="Times New Roman"/>
                <w:color w:val="auto"/>
              </w:rPr>
            </w:pPr>
            <w:r>
              <w:rPr>
                <w:rFonts w:hint="eastAsia" w:ascii="Times New Roman" w:hAnsi="Times New Roman"/>
                <w:color w:val="auto"/>
              </w:rPr>
              <w:t>15.03</w:t>
            </w:r>
          </w:p>
        </w:tc>
        <w:tc>
          <w:tcPr>
            <w:tcW w:w="620" w:type="pct"/>
            <w:noWrap/>
            <w:vAlign w:val="center"/>
          </w:tcPr>
          <w:p w14:paraId="42456252">
            <w:pPr>
              <w:pStyle w:val="17"/>
              <w:bidi w:val="0"/>
              <w:rPr>
                <w:rFonts w:ascii="Times New Roman" w:hAnsi="Times New Roman"/>
                <w:color w:val="auto"/>
              </w:rPr>
            </w:pPr>
            <w:r>
              <w:rPr>
                <w:rFonts w:hint="eastAsia" w:ascii="Times New Roman" w:hAnsi="Times New Roman"/>
                <w:color w:val="auto"/>
              </w:rPr>
              <w:t>120.00</w:t>
            </w:r>
          </w:p>
        </w:tc>
        <w:tc>
          <w:tcPr>
            <w:tcW w:w="512" w:type="pct"/>
            <w:noWrap/>
            <w:vAlign w:val="center"/>
          </w:tcPr>
          <w:p w14:paraId="7AD9B6A8">
            <w:pPr>
              <w:pStyle w:val="17"/>
              <w:bidi w:val="0"/>
              <w:rPr>
                <w:rFonts w:ascii="Times New Roman" w:hAnsi="Times New Roman"/>
                <w:color w:val="auto"/>
              </w:rPr>
            </w:pPr>
            <w:r>
              <w:rPr>
                <w:rFonts w:hint="eastAsia" w:ascii="Times New Roman" w:hAnsi="Times New Roman"/>
                <w:color w:val="auto"/>
              </w:rPr>
              <w:t>85.56</w:t>
            </w:r>
          </w:p>
        </w:tc>
      </w:tr>
      <w:tr w14:paraId="5216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1C54D588">
            <w:pPr>
              <w:pStyle w:val="17"/>
              <w:bidi w:val="0"/>
              <w:rPr>
                <w:rFonts w:ascii="Times New Roman" w:hAnsi="Times New Roman"/>
                <w:color w:val="auto"/>
              </w:rPr>
            </w:pPr>
            <w:r>
              <w:rPr>
                <w:rFonts w:ascii="Times New Roman" w:hAnsi="Times New Roman"/>
                <w:color w:val="auto"/>
              </w:rPr>
              <w:t>2.2</w:t>
            </w:r>
          </w:p>
        </w:tc>
        <w:tc>
          <w:tcPr>
            <w:tcW w:w="1679" w:type="pct"/>
            <w:noWrap/>
            <w:vAlign w:val="center"/>
          </w:tcPr>
          <w:p w14:paraId="7D9074C1">
            <w:pPr>
              <w:pStyle w:val="17"/>
              <w:bidi w:val="0"/>
              <w:rPr>
                <w:rFonts w:ascii="Times New Roman" w:hAnsi="Times New Roman"/>
                <w:color w:val="auto"/>
              </w:rPr>
            </w:pPr>
            <w:r>
              <w:rPr>
                <w:rFonts w:ascii="Times New Roman" w:hAnsi="Times New Roman"/>
                <w:color w:val="auto"/>
              </w:rPr>
              <w:t>摊销费</w:t>
            </w:r>
          </w:p>
        </w:tc>
        <w:tc>
          <w:tcPr>
            <w:tcW w:w="589" w:type="pct"/>
            <w:noWrap/>
            <w:vAlign w:val="center"/>
          </w:tcPr>
          <w:p w14:paraId="29DC12B7">
            <w:pPr>
              <w:pStyle w:val="17"/>
              <w:bidi w:val="0"/>
              <w:rPr>
                <w:rFonts w:ascii="Times New Roman" w:hAnsi="Times New Roman"/>
                <w:color w:val="auto"/>
              </w:rPr>
            </w:pPr>
            <w:r>
              <w:rPr>
                <w:rFonts w:hint="eastAsia" w:ascii="Times New Roman" w:hAnsi="Times New Roman"/>
                <w:color w:val="auto"/>
              </w:rPr>
              <w:t>56.88</w:t>
            </w:r>
          </w:p>
        </w:tc>
        <w:tc>
          <w:tcPr>
            <w:tcW w:w="619" w:type="pct"/>
            <w:noWrap/>
            <w:vAlign w:val="center"/>
          </w:tcPr>
          <w:p w14:paraId="7AC6C108">
            <w:pPr>
              <w:pStyle w:val="17"/>
              <w:bidi w:val="0"/>
              <w:rPr>
                <w:rFonts w:ascii="Times New Roman" w:hAnsi="Times New Roman"/>
                <w:color w:val="auto"/>
              </w:rPr>
            </w:pPr>
            <w:r>
              <w:rPr>
                <w:rFonts w:hint="eastAsia" w:ascii="Times New Roman" w:hAnsi="Times New Roman"/>
                <w:color w:val="auto"/>
              </w:rPr>
              <w:t>9.48</w:t>
            </w:r>
          </w:p>
        </w:tc>
        <w:tc>
          <w:tcPr>
            <w:tcW w:w="537" w:type="pct"/>
            <w:noWrap/>
            <w:vAlign w:val="center"/>
          </w:tcPr>
          <w:p w14:paraId="35E845D8">
            <w:pPr>
              <w:pStyle w:val="17"/>
              <w:bidi w:val="0"/>
              <w:rPr>
                <w:rFonts w:ascii="Times New Roman" w:hAnsi="Times New Roman"/>
                <w:color w:val="auto"/>
              </w:rPr>
            </w:pPr>
            <w:r>
              <w:rPr>
                <w:rFonts w:hint="eastAsia" w:ascii="Times New Roman" w:hAnsi="Times New Roman"/>
                <w:color w:val="auto"/>
              </w:rPr>
              <w:t>1.19</w:t>
            </w:r>
          </w:p>
        </w:tc>
        <w:tc>
          <w:tcPr>
            <w:tcW w:w="620" w:type="pct"/>
            <w:noWrap/>
            <w:vAlign w:val="center"/>
          </w:tcPr>
          <w:p w14:paraId="2ACC45B6">
            <w:pPr>
              <w:pStyle w:val="17"/>
              <w:bidi w:val="0"/>
              <w:rPr>
                <w:rFonts w:ascii="Times New Roman" w:hAnsi="Times New Roman"/>
                <w:color w:val="auto"/>
              </w:rPr>
            </w:pPr>
            <w:r>
              <w:rPr>
                <w:rFonts w:hint="eastAsia" w:ascii="Times New Roman" w:hAnsi="Times New Roman"/>
                <w:color w:val="auto"/>
              </w:rPr>
              <w:t>9.48</w:t>
            </w:r>
          </w:p>
        </w:tc>
        <w:tc>
          <w:tcPr>
            <w:tcW w:w="512" w:type="pct"/>
            <w:noWrap/>
            <w:vAlign w:val="center"/>
          </w:tcPr>
          <w:p w14:paraId="799B3393">
            <w:pPr>
              <w:pStyle w:val="17"/>
              <w:bidi w:val="0"/>
              <w:rPr>
                <w:rFonts w:ascii="Times New Roman" w:hAnsi="Times New Roman"/>
                <w:color w:val="auto"/>
              </w:rPr>
            </w:pPr>
            <w:r>
              <w:rPr>
                <w:rFonts w:hint="eastAsia" w:ascii="Times New Roman" w:hAnsi="Times New Roman"/>
                <w:color w:val="auto"/>
              </w:rPr>
              <w:t>6.76</w:t>
            </w:r>
          </w:p>
        </w:tc>
      </w:tr>
      <w:tr w14:paraId="455A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473E587C">
            <w:pPr>
              <w:pStyle w:val="17"/>
              <w:bidi w:val="0"/>
              <w:rPr>
                <w:rFonts w:ascii="Times New Roman" w:hAnsi="Times New Roman"/>
                <w:color w:val="auto"/>
              </w:rPr>
            </w:pPr>
            <w:r>
              <w:rPr>
                <w:rFonts w:ascii="Times New Roman" w:hAnsi="Times New Roman"/>
                <w:color w:val="auto"/>
              </w:rPr>
              <w:t>2.3</w:t>
            </w:r>
          </w:p>
        </w:tc>
        <w:tc>
          <w:tcPr>
            <w:tcW w:w="1679" w:type="pct"/>
            <w:noWrap/>
            <w:vAlign w:val="center"/>
          </w:tcPr>
          <w:p w14:paraId="3DD56F5A">
            <w:pPr>
              <w:pStyle w:val="17"/>
              <w:bidi w:val="0"/>
              <w:rPr>
                <w:rFonts w:ascii="Times New Roman" w:hAnsi="Times New Roman"/>
                <w:color w:val="auto"/>
              </w:rPr>
            </w:pPr>
            <w:r>
              <w:rPr>
                <w:rFonts w:ascii="Times New Roman" w:hAnsi="Times New Roman"/>
                <w:color w:val="auto"/>
              </w:rPr>
              <w:t>安全生产费</w:t>
            </w:r>
          </w:p>
        </w:tc>
        <w:tc>
          <w:tcPr>
            <w:tcW w:w="589" w:type="pct"/>
            <w:noWrap/>
            <w:vAlign w:val="center"/>
          </w:tcPr>
          <w:p w14:paraId="401DB586">
            <w:pPr>
              <w:pStyle w:val="17"/>
              <w:bidi w:val="0"/>
              <w:rPr>
                <w:rFonts w:ascii="Times New Roman" w:hAnsi="Times New Roman"/>
                <w:color w:val="auto"/>
              </w:rPr>
            </w:pPr>
            <w:r>
              <w:rPr>
                <w:rFonts w:hint="eastAsia" w:ascii="Times New Roman" w:hAnsi="Times New Roman"/>
                <w:color w:val="auto"/>
              </w:rPr>
              <w:t>1226.03</w:t>
            </w:r>
          </w:p>
        </w:tc>
        <w:tc>
          <w:tcPr>
            <w:tcW w:w="619" w:type="pct"/>
            <w:noWrap/>
            <w:vAlign w:val="center"/>
          </w:tcPr>
          <w:p w14:paraId="4EC9A9C0">
            <w:pPr>
              <w:pStyle w:val="17"/>
              <w:bidi w:val="0"/>
              <w:rPr>
                <w:rFonts w:ascii="Times New Roman" w:hAnsi="Times New Roman"/>
                <w:color w:val="auto"/>
              </w:rPr>
            </w:pPr>
            <w:r>
              <w:rPr>
                <w:rFonts w:hint="eastAsia" w:ascii="Times New Roman" w:hAnsi="Times New Roman"/>
                <w:color w:val="auto"/>
              </w:rPr>
              <w:t>204.34</w:t>
            </w:r>
          </w:p>
        </w:tc>
        <w:tc>
          <w:tcPr>
            <w:tcW w:w="537" w:type="pct"/>
            <w:noWrap/>
            <w:vAlign w:val="center"/>
          </w:tcPr>
          <w:p w14:paraId="2981FCF3">
            <w:pPr>
              <w:pStyle w:val="17"/>
              <w:bidi w:val="0"/>
              <w:rPr>
                <w:rFonts w:ascii="Times New Roman" w:hAnsi="Times New Roman"/>
                <w:color w:val="auto"/>
              </w:rPr>
            </w:pPr>
            <w:r>
              <w:rPr>
                <w:rFonts w:hint="eastAsia" w:ascii="Times New Roman" w:hAnsi="Times New Roman"/>
                <w:color w:val="auto"/>
              </w:rPr>
              <w:t>26.31</w:t>
            </w:r>
          </w:p>
        </w:tc>
        <w:tc>
          <w:tcPr>
            <w:tcW w:w="620" w:type="pct"/>
            <w:noWrap/>
            <w:vAlign w:val="center"/>
          </w:tcPr>
          <w:p w14:paraId="7AD1B3B7">
            <w:pPr>
              <w:pStyle w:val="17"/>
              <w:bidi w:val="0"/>
              <w:rPr>
                <w:rFonts w:ascii="Times New Roman" w:hAnsi="Times New Roman"/>
                <w:color w:val="auto"/>
              </w:rPr>
            </w:pPr>
            <w:r>
              <w:rPr>
                <w:rFonts w:hint="eastAsia" w:ascii="Times New Roman" w:hAnsi="Times New Roman"/>
                <w:color w:val="auto"/>
              </w:rPr>
              <w:t>210.00</w:t>
            </w:r>
          </w:p>
        </w:tc>
        <w:tc>
          <w:tcPr>
            <w:tcW w:w="512" w:type="pct"/>
            <w:noWrap/>
            <w:vAlign w:val="center"/>
          </w:tcPr>
          <w:p w14:paraId="59E87195">
            <w:pPr>
              <w:pStyle w:val="17"/>
              <w:bidi w:val="0"/>
              <w:rPr>
                <w:rFonts w:ascii="Times New Roman" w:hAnsi="Times New Roman"/>
                <w:color w:val="auto"/>
              </w:rPr>
            </w:pPr>
            <w:r>
              <w:rPr>
                <w:rFonts w:hint="eastAsia" w:ascii="Times New Roman" w:hAnsi="Times New Roman"/>
                <w:color w:val="auto"/>
              </w:rPr>
              <w:t>149.73</w:t>
            </w:r>
          </w:p>
        </w:tc>
      </w:tr>
      <w:tr w14:paraId="54F3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359FDF36">
            <w:pPr>
              <w:pStyle w:val="17"/>
              <w:bidi w:val="0"/>
              <w:rPr>
                <w:rFonts w:ascii="Times New Roman" w:hAnsi="Times New Roman"/>
                <w:color w:val="auto"/>
              </w:rPr>
            </w:pPr>
            <w:r>
              <w:rPr>
                <w:rFonts w:ascii="Times New Roman" w:hAnsi="Times New Roman"/>
                <w:color w:val="auto"/>
              </w:rPr>
              <w:t>2.4</w:t>
            </w:r>
          </w:p>
        </w:tc>
        <w:tc>
          <w:tcPr>
            <w:tcW w:w="1679" w:type="pct"/>
            <w:noWrap/>
            <w:vAlign w:val="center"/>
          </w:tcPr>
          <w:p w14:paraId="5142DA3B">
            <w:pPr>
              <w:pStyle w:val="17"/>
              <w:bidi w:val="0"/>
              <w:rPr>
                <w:rFonts w:ascii="Times New Roman" w:hAnsi="Times New Roman"/>
                <w:color w:val="auto"/>
              </w:rPr>
            </w:pPr>
            <w:r>
              <w:rPr>
                <w:rFonts w:ascii="Times New Roman" w:hAnsi="Times New Roman"/>
                <w:color w:val="auto"/>
              </w:rPr>
              <w:t>其他费用</w:t>
            </w:r>
          </w:p>
        </w:tc>
        <w:tc>
          <w:tcPr>
            <w:tcW w:w="589" w:type="pct"/>
            <w:noWrap/>
            <w:vAlign w:val="center"/>
          </w:tcPr>
          <w:p w14:paraId="0CBAEB71">
            <w:pPr>
              <w:pStyle w:val="17"/>
              <w:bidi w:val="0"/>
              <w:rPr>
                <w:rFonts w:ascii="Times New Roman" w:hAnsi="Times New Roman"/>
                <w:color w:val="auto"/>
              </w:rPr>
            </w:pPr>
            <w:r>
              <w:rPr>
                <w:rFonts w:hint="eastAsia" w:ascii="Times New Roman" w:hAnsi="Times New Roman"/>
                <w:color w:val="auto"/>
              </w:rPr>
              <w:t>96.97</w:t>
            </w:r>
          </w:p>
        </w:tc>
        <w:tc>
          <w:tcPr>
            <w:tcW w:w="619" w:type="pct"/>
            <w:noWrap/>
            <w:vAlign w:val="center"/>
          </w:tcPr>
          <w:p w14:paraId="79E71800">
            <w:pPr>
              <w:pStyle w:val="17"/>
              <w:bidi w:val="0"/>
              <w:rPr>
                <w:rFonts w:ascii="Times New Roman" w:hAnsi="Times New Roman"/>
                <w:color w:val="auto"/>
              </w:rPr>
            </w:pPr>
            <w:r>
              <w:rPr>
                <w:rFonts w:hint="eastAsia" w:ascii="Times New Roman" w:hAnsi="Times New Roman"/>
                <w:color w:val="auto"/>
              </w:rPr>
              <w:t>16.16</w:t>
            </w:r>
          </w:p>
        </w:tc>
        <w:tc>
          <w:tcPr>
            <w:tcW w:w="537" w:type="pct"/>
            <w:noWrap/>
            <w:vAlign w:val="center"/>
          </w:tcPr>
          <w:p w14:paraId="3190C2EB">
            <w:pPr>
              <w:pStyle w:val="17"/>
              <w:bidi w:val="0"/>
              <w:rPr>
                <w:rFonts w:ascii="Times New Roman" w:hAnsi="Times New Roman"/>
                <w:color w:val="auto"/>
              </w:rPr>
            </w:pPr>
            <w:r>
              <w:rPr>
                <w:rFonts w:hint="eastAsia" w:ascii="Times New Roman" w:hAnsi="Times New Roman"/>
                <w:color w:val="auto"/>
              </w:rPr>
              <w:t>0.00</w:t>
            </w:r>
          </w:p>
        </w:tc>
        <w:tc>
          <w:tcPr>
            <w:tcW w:w="620" w:type="pct"/>
            <w:noWrap/>
            <w:vAlign w:val="center"/>
          </w:tcPr>
          <w:p w14:paraId="19928239">
            <w:pPr>
              <w:pStyle w:val="17"/>
              <w:bidi w:val="0"/>
              <w:rPr>
                <w:rFonts w:ascii="Times New Roman" w:hAnsi="Times New Roman"/>
                <w:color w:val="auto"/>
              </w:rPr>
            </w:pPr>
            <w:r>
              <w:rPr>
                <w:rFonts w:hint="eastAsia" w:ascii="Times New Roman" w:hAnsi="Times New Roman"/>
                <w:color w:val="auto"/>
              </w:rPr>
              <w:t>16.97</w:t>
            </w:r>
          </w:p>
        </w:tc>
        <w:tc>
          <w:tcPr>
            <w:tcW w:w="512" w:type="pct"/>
            <w:noWrap/>
            <w:vAlign w:val="center"/>
          </w:tcPr>
          <w:p w14:paraId="249A77CF">
            <w:pPr>
              <w:pStyle w:val="17"/>
              <w:bidi w:val="0"/>
              <w:rPr>
                <w:rFonts w:ascii="Times New Roman" w:hAnsi="Times New Roman"/>
                <w:color w:val="auto"/>
              </w:rPr>
            </w:pPr>
            <w:r>
              <w:rPr>
                <w:rFonts w:hint="eastAsia" w:ascii="Times New Roman" w:hAnsi="Times New Roman"/>
                <w:color w:val="auto"/>
              </w:rPr>
              <w:t>12.10</w:t>
            </w:r>
          </w:p>
        </w:tc>
      </w:tr>
      <w:tr w14:paraId="6322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0C888B54">
            <w:pPr>
              <w:pStyle w:val="17"/>
              <w:bidi w:val="0"/>
              <w:rPr>
                <w:rFonts w:ascii="Times New Roman" w:hAnsi="Times New Roman"/>
                <w:color w:val="auto"/>
              </w:rPr>
            </w:pPr>
            <w:r>
              <w:rPr>
                <w:rFonts w:ascii="Times New Roman" w:hAnsi="Times New Roman"/>
                <w:color w:val="auto"/>
              </w:rPr>
              <w:t>2.5</w:t>
            </w:r>
          </w:p>
        </w:tc>
        <w:tc>
          <w:tcPr>
            <w:tcW w:w="1679" w:type="pct"/>
            <w:noWrap/>
            <w:vAlign w:val="center"/>
          </w:tcPr>
          <w:p w14:paraId="6D55BB80">
            <w:pPr>
              <w:pStyle w:val="17"/>
              <w:bidi w:val="0"/>
              <w:rPr>
                <w:rFonts w:ascii="Times New Roman" w:hAnsi="Times New Roman"/>
                <w:color w:val="auto"/>
              </w:rPr>
            </w:pPr>
            <w:r>
              <w:rPr>
                <w:rFonts w:ascii="Times New Roman" w:hAnsi="Times New Roman"/>
                <w:color w:val="auto"/>
              </w:rPr>
              <w:t>财务费用</w:t>
            </w:r>
          </w:p>
        </w:tc>
        <w:tc>
          <w:tcPr>
            <w:tcW w:w="589" w:type="pct"/>
            <w:noWrap/>
            <w:vAlign w:val="center"/>
          </w:tcPr>
          <w:p w14:paraId="0D07213A">
            <w:pPr>
              <w:pStyle w:val="17"/>
              <w:bidi w:val="0"/>
              <w:rPr>
                <w:rFonts w:ascii="Times New Roman" w:hAnsi="Times New Roman"/>
                <w:color w:val="auto"/>
              </w:rPr>
            </w:pPr>
            <w:r>
              <w:rPr>
                <w:rFonts w:hint="eastAsia" w:ascii="Times New Roman" w:hAnsi="Times New Roman"/>
                <w:color w:val="auto"/>
              </w:rPr>
              <w:t>49.57</w:t>
            </w:r>
          </w:p>
        </w:tc>
        <w:tc>
          <w:tcPr>
            <w:tcW w:w="619" w:type="pct"/>
            <w:noWrap/>
            <w:vAlign w:val="center"/>
          </w:tcPr>
          <w:p w14:paraId="65926E22">
            <w:pPr>
              <w:pStyle w:val="17"/>
              <w:bidi w:val="0"/>
              <w:rPr>
                <w:rFonts w:ascii="Times New Roman" w:hAnsi="Times New Roman"/>
                <w:color w:val="auto"/>
              </w:rPr>
            </w:pPr>
            <w:r>
              <w:rPr>
                <w:rFonts w:hint="eastAsia" w:ascii="Times New Roman" w:hAnsi="Times New Roman"/>
                <w:color w:val="auto"/>
              </w:rPr>
              <w:t>8.26</w:t>
            </w:r>
          </w:p>
        </w:tc>
        <w:tc>
          <w:tcPr>
            <w:tcW w:w="537" w:type="pct"/>
            <w:noWrap/>
            <w:vAlign w:val="center"/>
          </w:tcPr>
          <w:p w14:paraId="3D97F3CE">
            <w:pPr>
              <w:pStyle w:val="17"/>
              <w:bidi w:val="0"/>
              <w:rPr>
                <w:rFonts w:ascii="Times New Roman" w:hAnsi="Times New Roman"/>
                <w:color w:val="auto"/>
              </w:rPr>
            </w:pPr>
            <w:r>
              <w:rPr>
                <w:rFonts w:hint="eastAsia" w:ascii="Times New Roman" w:hAnsi="Times New Roman"/>
                <w:color w:val="auto"/>
              </w:rPr>
              <w:t>7.38</w:t>
            </w:r>
          </w:p>
        </w:tc>
        <w:tc>
          <w:tcPr>
            <w:tcW w:w="620" w:type="pct"/>
            <w:noWrap/>
            <w:vAlign w:val="center"/>
          </w:tcPr>
          <w:p w14:paraId="0970FD6E">
            <w:pPr>
              <w:pStyle w:val="17"/>
              <w:bidi w:val="0"/>
              <w:rPr>
                <w:rFonts w:ascii="Times New Roman" w:hAnsi="Times New Roman"/>
                <w:color w:val="auto"/>
              </w:rPr>
            </w:pPr>
            <w:r>
              <w:rPr>
                <w:rFonts w:hint="eastAsia" w:ascii="Times New Roman" w:hAnsi="Times New Roman"/>
                <w:color w:val="auto"/>
              </w:rPr>
              <w:t>7.38</w:t>
            </w:r>
          </w:p>
        </w:tc>
        <w:tc>
          <w:tcPr>
            <w:tcW w:w="512" w:type="pct"/>
            <w:noWrap/>
            <w:vAlign w:val="center"/>
          </w:tcPr>
          <w:p w14:paraId="4EB72566">
            <w:pPr>
              <w:pStyle w:val="17"/>
              <w:bidi w:val="0"/>
              <w:rPr>
                <w:rFonts w:ascii="Times New Roman" w:hAnsi="Times New Roman"/>
                <w:color w:val="auto"/>
              </w:rPr>
            </w:pPr>
            <w:r>
              <w:rPr>
                <w:rFonts w:hint="eastAsia" w:ascii="Times New Roman" w:hAnsi="Times New Roman"/>
                <w:color w:val="auto"/>
              </w:rPr>
              <w:t>5.27</w:t>
            </w:r>
          </w:p>
        </w:tc>
      </w:tr>
      <w:tr w14:paraId="6060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41C6FBE5">
            <w:pPr>
              <w:pStyle w:val="17"/>
              <w:bidi w:val="0"/>
              <w:rPr>
                <w:rFonts w:ascii="Times New Roman" w:hAnsi="Times New Roman"/>
                <w:color w:val="auto"/>
              </w:rPr>
            </w:pPr>
            <w:r>
              <w:rPr>
                <w:rFonts w:ascii="Times New Roman" w:hAnsi="Times New Roman"/>
                <w:color w:val="auto"/>
              </w:rPr>
              <w:t>3</w:t>
            </w:r>
          </w:p>
        </w:tc>
        <w:tc>
          <w:tcPr>
            <w:tcW w:w="1679" w:type="pct"/>
            <w:noWrap/>
            <w:vAlign w:val="center"/>
          </w:tcPr>
          <w:p w14:paraId="09BA68DF">
            <w:pPr>
              <w:pStyle w:val="17"/>
              <w:bidi w:val="0"/>
              <w:rPr>
                <w:rFonts w:ascii="Times New Roman" w:hAnsi="Times New Roman"/>
                <w:color w:val="auto"/>
              </w:rPr>
            </w:pPr>
            <w:r>
              <w:rPr>
                <w:rFonts w:ascii="Times New Roman" w:hAnsi="Times New Roman"/>
                <w:color w:val="auto"/>
              </w:rPr>
              <w:t>流动资金利息</w:t>
            </w:r>
          </w:p>
        </w:tc>
        <w:tc>
          <w:tcPr>
            <w:tcW w:w="589" w:type="pct"/>
            <w:noWrap/>
            <w:vAlign w:val="center"/>
          </w:tcPr>
          <w:p w14:paraId="4F55DCF9">
            <w:pPr>
              <w:pStyle w:val="17"/>
              <w:bidi w:val="0"/>
              <w:rPr>
                <w:rFonts w:ascii="Times New Roman" w:hAnsi="Times New Roman"/>
                <w:color w:val="auto"/>
              </w:rPr>
            </w:pPr>
            <w:r>
              <w:rPr>
                <w:rFonts w:hint="eastAsia" w:ascii="Times New Roman" w:hAnsi="Times New Roman"/>
                <w:color w:val="auto"/>
              </w:rPr>
              <w:t>49.57</w:t>
            </w:r>
          </w:p>
        </w:tc>
        <w:tc>
          <w:tcPr>
            <w:tcW w:w="619" w:type="pct"/>
            <w:noWrap/>
            <w:vAlign w:val="center"/>
          </w:tcPr>
          <w:p w14:paraId="2C0B0B82">
            <w:pPr>
              <w:pStyle w:val="17"/>
              <w:bidi w:val="0"/>
              <w:rPr>
                <w:rFonts w:ascii="Times New Roman" w:hAnsi="Times New Roman"/>
                <w:color w:val="auto"/>
              </w:rPr>
            </w:pPr>
            <w:r>
              <w:rPr>
                <w:rFonts w:hint="eastAsia" w:ascii="Times New Roman" w:hAnsi="Times New Roman"/>
                <w:color w:val="auto"/>
              </w:rPr>
              <w:t>8.26</w:t>
            </w:r>
          </w:p>
        </w:tc>
        <w:tc>
          <w:tcPr>
            <w:tcW w:w="537" w:type="pct"/>
            <w:noWrap/>
            <w:vAlign w:val="center"/>
          </w:tcPr>
          <w:p w14:paraId="3EC545E8">
            <w:pPr>
              <w:pStyle w:val="17"/>
              <w:bidi w:val="0"/>
              <w:rPr>
                <w:rFonts w:ascii="Times New Roman" w:hAnsi="Times New Roman"/>
                <w:color w:val="auto"/>
              </w:rPr>
            </w:pPr>
            <w:r>
              <w:rPr>
                <w:rFonts w:hint="eastAsia" w:ascii="Times New Roman" w:hAnsi="Times New Roman"/>
                <w:color w:val="auto"/>
              </w:rPr>
              <w:t>7.38</w:t>
            </w:r>
          </w:p>
        </w:tc>
        <w:tc>
          <w:tcPr>
            <w:tcW w:w="620" w:type="pct"/>
            <w:noWrap/>
            <w:vAlign w:val="center"/>
          </w:tcPr>
          <w:p w14:paraId="31179A4B">
            <w:pPr>
              <w:pStyle w:val="17"/>
              <w:bidi w:val="0"/>
              <w:rPr>
                <w:rFonts w:ascii="Times New Roman" w:hAnsi="Times New Roman"/>
                <w:color w:val="auto"/>
              </w:rPr>
            </w:pPr>
            <w:r>
              <w:rPr>
                <w:rFonts w:hint="eastAsia" w:ascii="Times New Roman" w:hAnsi="Times New Roman"/>
                <w:color w:val="auto"/>
              </w:rPr>
              <w:t>7.38</w:t>
            </w:r>
          </w:p>
        </w:tc>
        <w:tc>
          <w:tcPr>
            <w:tcW w:w="512" w:type="pct"/>
            <w:noWrap/>
            <w:vAlign w:val="center"/>
          </w:tcPr>
          <w:p w14:paraId="7186EDE2">
            <w:pPr>
              <w:pStyle w:val="17"/>
              <w:bidi w:val="0"/>
              <w:rPr>
                <w:rFonts w:ascii="Times New Roman" w:hAnsi="Times New Roman"/>
                <w:color w:val="auto"/>
              </w:rPr>
            </w:pPr>
            <w:r>
              <w:rPr>
                <w:rFonts w:hint="eastAsia" w:ascii="Times New Roman" w:hAnsi="Times New Roman"/>
                <w:color w:val="auto"/>
              </w:rPr>
              <w:t>5.27</w:t>
            </w:r>
          </w:p>
        </w:tc>
      </w:tr>
      <w:tr w14:paraId="4A2B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0221C6EA">
            <w:pPr>
              <w:pStyle w:val="17"/>
              <w:bidi w:val="0"/>
              <w:rPr>
                <w:rFonts w:ascii="Times New Roman" w:hAnsi="Times New Roman"/>
                <w:color w:val="auto"/>
              </w:rPr>
            </w:pPr>
            <w:r>
              <w:rPr>
                <w:rFonts w:ascii="Times New Roman" w:hAnsi="Times New Roman"/>
                <w:color w:val="auto"/>
              </w:rPr>
              <w:t>3.1</w:t>
            </w:r>
          </w:p>
        </w:tc>
        <w:tc>
          <w:tcPr>
            <w:tcW w:w="1679" w:type="pct"/>
            <w:noWrap/>
            <w:vAlign w:val="center"/>
          </w:tcPr>
          <w:p w14:paraId="64D8BF4B">
            <w:pPr>
              <w:pStyle w:val="17"/>
              <w:bidi w:val="0"/>
              <w:rPr>
                <w:rFonts w:ascii="Times New Roman" w:hAnsi="Times New Roman"/>
                <w:color w:val="auto"/>
              </w:rPr>
            </w:pPr>
            <w:r>
              <w:rPr>
                <w:rFonts w:ascii="Times New Roman" w:hAnsi="Times New Roman"/>
                <w:color w:val="auto"/>
              </w:rPr>
              <w:t>建设投资利息</w:t>
            </w:r>
          </w:p>
        </w:tc>
        <w:tc>
          <w:tcPr>
            <w:tcW w:w="589" w:type="pct"/>
            <w:noWrap/>
            <w:vAlign w:val="center"/>
          </w:tcPr>
          <w:p w14:paraId="6A2F9A9B">
            <w:pPr>
              <w:pStyle w:val="17"/>
              <w:bidi w:val="0"/>
              <w:rPr>
                <w:rFonts w:ascii="Times New Roman" w:hAnsi="Times New Roman"/>
                <w:color w:val="auto"/>
              </w:rPr>
            </w:pPr>
            <w:r>
              <w:rPr>
                <w:rFonts w:hint="eastAsia" w:ascii="Times New Roman" w:hAnsi="Times New Roman"/>
                <w:color w:val="auto"/>
              </w:rPr>
              <w:t>0.00</w:t>
            </w:r>
          </w:p>
        </w:tc>
        <w:tc>
          <w:tcPr>
            <w:tcW w:w="619" w:type="pct"/>
            <w:noWrap/>
            <w:vAlign w:val="center"/>
          </w:tcPr>
          <w:p w14:paraId="3F4B0E8A">
            <w:pPr>
              <w:pStyle w:val="17"/>
              <w:bidi w:val="0"/>
              <w:rPr>
                <w:rFonts w:ascii="Times New Roman" w:hAnsi="Times New Roman"/>
                <w:color w:val="auto"/>
              </w:rPr>
            </w:pPr>
            <w:r>
              <w:rPr>
                <w:rFonts w:hint="eastAsia" w:ascii="Times New Roman" w:hAnsi="Times New Roman"/>
                <w:color w:val="auto"/>
              </w:rPr>
              <w:t>0.00</w:t>
            </w:r>
          </w:p>
        </w:tc>
        <w:tc>
          <w:tcPr>
            <w:tcW w:w="537" w:type="pct"/>
            <w:noWrap/>
            <w:vAlign w:val="center"/>
          </w:tcPr>
          <w:p w14:paraId="3D79A2FE">
            <w:pPr>
              <w:pStyle w:val="17"/>
              <w:bidi w:val="0"/>
              <w:rPr>
                <w:rFonts w:ascii="Times New Roman" w:hAnsi="Times New Roman"/>
                <w:color w:val="auto"/>
              </w:rPr>
            </w:pPr>
            <w:r>
              <w:rPr>
                <w:rFonts w:hint="eastAsia" w:ascii="Times New Roman" w:hAnsi="Times New Roman"/>
                <w:color w:val="auto"/>
              </w:rPr>
              <w:t>0.00</w:t>
            </w:r>
          </w:p>
        </w:tc>
        <w:tc>
          <w:tcPr>
            <w:tcW w:w="620" w:type="pct"/>
            <w:noWrap/>
            <w:vAlign w:val="center"/>
          </w:tcPr>
          <w:p w14:paraId="7E6EC276">
            <w:pPr>
              <w:pStyle w:val="17"/>
              <w:bidi w:val="0"/>
              <w:rPr>
                <w:rFonts w:ascii="Times New Roman" w:hAnsi="Times New Roman"/>
                <w:color w:val="auto"/>
              </w:rPr>
            </w:pPr>
            <w:r>
              <w:rPr>
                <w:rFonts w:hint="eastAsia" w:ascii="Times New Roman" w:hAnsi="Times New Roman"/>
                <w:color w:val="auto"/>
              </w:rPr>
              <w:t>0.00</w:t>
            </w:r>
          </w:p>
        </w:tc>
        <w:tc>
          <w:tcPr>
            <w:tcW w:w="512" w:type="pct"/>
            <w:noWrap/>
            <w:vAlign w:val="center"/>
          </w:tcPr>
          <w:p w14:paraId="7A27210D">
            <w:pPr>
              <w:pStyle w:val="17"/>
              <w:bidi w:val="0"/>
              <w:rPr>
                <w:rFonts w:ascii="Times New Roman" w:hAnsi="Times New Roman"/>
                <w:color w:val="auto"/>
              </w:rPr>
            </w:pPr>
            <w:r>
              <w:rPr>
                <w:rFonts w:hint="eastAsia" w:ascii="Times New Roman" w:hAnsi="Times New Roman"/>
                <w:color w:val="auto"/>
              </w:rPr>
              <w:t>0.00</w:t>
            </w:r>
          </w:p>
        </w:tc>
      </w:tr>
      <w:tr w14:paraId="635D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0EE5D3C9">
            <w:pPr>
              <w:pStyle w:val="17"/>
              <w:bidi w:val="0"/>
              <w:rPr>
                <w:rFonts w:ascii="Times New Roman" w:hAnsi="Times New Roman"/>
                <w:color w:val="auto"/>
              </w:rPr>
            </w:pPr>
            <w:r>
              <w:rPr>
                <w:rFonts w:ascii="Times New Roman" w:hAnsi="Times New Roman"/>
                <w:color w:val="auto"/>
              </w:rPr>
              <w:t>3.2</w:t>
            </w:r>
          </w:p>
        </w:tc>
        <w:tc>
          <w:tcPr>
            <w:tcW w:w="1679" w:type="pct"/>
            <w:noWrap/>
            <w:vAlign w:val="center"/>
          </w:tcPr>
          <w:p w14:paraId="21FA7321">
            <w:pPr>
              <w:pStyle w:val="17"/>
              <w:bidi w:val="0"/>
              <w:rPr>
                <w:rFonts w:ascii="Times New Roman" w:hAnsi="Times New Roman"/>
                <w:color w:val="auto"/>
              </w:rPr>
            </w:pPr>
            <w:r>
              <w:rPr>
                <w:rFonts w:ascii="Times New Roman" w:hAnsi="Times New Roman"/>
                <w:color w:val="auto"/>
              </w:rPr>
              <w:t>营业费用</w:t>
            </w:r>
          </w:p>
        </w:tc>
        <w:tc>
          <w:tcPr>
            <w:tcW w:w="589" w:type="pct"/>
            <w:noWrap/>
            <w:vAlign w:val="center"/>
          </w:tcPr>
          <w:p w14:paraId="201F79CE">
            <w:pPr>
              <w:pStyle w:val="17"/>
              <w:bidi w:val="0"/>
              <w:rPr>
                <w:rFonts w:ascii="Times New Roman" w:hAnsi="Times New Roman"/>
                <w:color w:val="auto"/>
              </w:rPr>
            </w:pPr>
            <w:r>
              <w:rPr>
                <w:rFonts w:hint="eastAsia" w:ascii="Times New Roman" w:hAnsi="Times New Roman"/>
                <w:color w:val="auto"/>
              </w:rPr>
              <w:t>245.21</w:t>
            </w:r>
          </w:p>
        </w:tc>
        <w:tc>
          <w:tcPr>
            <w:tcW w:w="619" w:type="pct"/>
            <w:noWrap/>
            <w:vAlign w:val="center"/>
          </w:tcPr>
          <w:p w14:paraId="72908BE1">
            <w:pPr>
              <w:pStyle w:val="17"/>
              <w:bidi w:val="0"/>
              <w:rPr>
                <w:rFonts w:ascii="Times New Roman" w:hAnsi="Times New Roman"/>
                <w:color w:val="auto"/>
              </w:rPr>
            </w:pPr>
            <w:r>
              <w:rPr>
                <w:rFonts w:hint="eastAsia" w:ascii="Times New Roman" w:hAnsi="Times New Roman"/>
                <w:color w:val="auto"/>
              </w:rPr>
              <w:t>40.87</w:t>
            </w:r>
          </w:p>
        </w:tc>
        <w:tc>
          <w:tcPr>
            <w:tcW w:w="537" w:type="pct"/>
            <w:noWrap/>
            <w:vAlign w:val="center"/>
          </w:tcPr>
          <w:p w14:paraId="2E5331D9">
            <w:pPr>
              <w:pStyle w:val="17"/>
              <w:bidi w:val="0"/>
              <w:rPr>
                <w:rFonts w:ascii="Times New Roman" w:hAnsi="Times New Roman"/>
                <w:color w:val="auto"/>
              </w:rPr>
            </w:pPr>
            <w:r>
              <w:rPr>
                <w:rFonts w:hint="eastAsia" w:ascii="Times New Roman" w:hAnsi="Times New Roman"/>
                <w:color w:val="auto"/>
              </w:rPr>
              <w:t>5.26</w:t>
            </w:r>
          </w:p>
        </w:tc>
        <w:tc>
          <w:tcPr>
            <w:tcW w:w="620" w:type="pct"/>
            <w:noWrap/>
            <w:vAlign w:val="center"/>
          </w:tcPr>
          <w:p w14:paraId="48AC1617">
            <w:pPr>
              <w:pStyle w:val="17"/>
              <w:bidi w:val="0"/>
              <w:rPr>
                <w:rFonts w:ascii="Times New Roman" w:hAnsi="Times New Roman"/>
                <w:color w:val="auto"/>
              </w:rPr>
            </w:pPr>
            <w:r>
              <w:rPr>
                <w:rFonts w:hint="eastAsia" w:ascii="Times New Roman" w:hAnsi="Times New Roman"/>
                <w:color w:val="auto"/>
              </w:rPr>
              <w:t>42.00</w:t>
            </w:r>
          </w:p>
        </w:tc>
        <w:tc>
          <w:tcPr>
            <w:tcW w:w="512" w:type="pct"/>
            <w:noWrap/>
            <w:vAlign w:val="center"/>
          </w:tcPr>
          <w:p w14:paraId="0CD85C68">
            <w:pPr>
              <w:pStyle w:val="17"/>
              <w:bidi w:val="0"/>
              <w:rPr>
                <w:rFonts w:ascii="Times New Roman" w:hAnsi="Times New Roman"/>
                <w:color w:val="auto"/>
              </w:rPr>
            </w:pPr>
            <w:r>
              <w:rPr>
                <w:rFonts w:hint="eastAsia" w:ascii="Times New Roman" w:hAnsi="Times New Roman"/>
                <w:color w:val="auto"/>
              </w:rPr>
              <w:t>29.95</w:t>
            </w:r>
          </w:p>
        </w:tc>
      </w:tr>
      <w:tr w14:paraId="52A4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1C923B91">
            <w:pPr>
              <w:pStyle w:val="17"/>
              <w:bidi w:val="0"/>
              <w:rPr>
                <w:rFonts w:ascii="Times New Roman" w:hAnsi="Times New Roman"/>
                <w:color w:val="auto"/>
              </w:rPr>
            </w:pPr>
            <w:r>
              <w:rPr>
                <w:rFonts w:ascii="Times New Roman" w:hAnsi="Times New Roman"/>
                <w:color w:val="auto"/>
              </w:rPr>
              <w:t>4</w:t>
            </w:r>
          </w:p>
        </w:tc>
        <w:tc>
          <w:tcPr>
            <w:tcW w:w="1679" w:type="pct"/>
            <w:noWrap/>
            <w:vAlign w:val="center"/>
          </w:tcPr>
          <w:p w14:paraId="3103DFDA">
            <w:pPr>
              <w:pStyle w:val="17"/>
              <w:bidi w:val="0"/>
              <w:rPr>
                <w:rFonts w:ascii="Times New Roman" w:hAnsi="Times New Roman"/>
                <w:color w:val="auto"/>
              </w:rPr>
            </w:pPr>
            <w:r>
              <w:rPr>
                <w:rFonts w:ascii="Times New Roman" w:hAnsi="Times New Roman"/>
                <w:color w:val="auto"/>
              </w:rPr>
              <w:t>总成本费用(含税)</w:t>
            </w:r>
          </w:p>
        </w:tc>
        <w:tc>
          <w:tcPr>
            <w:tcW w:w="589" w:type="pct"/>
            <w:noWrap/>
            <w:vAlign w:val="center"/>
          </w:tcPr>
          <w:p w14:paraId="7CAF6E2E">
            <w:pPr>
              <w:pStyle w:val="17"/>
              <w:bidi w:val="0"/>
              <w:rPr>
                <w:rFonts w:ascii="Times New Roman" w:hAnsi="Times New Roman"/>
                <w:color w:val="auto"/>
              </w:rPr>
            </w:pPr>
            <w:r>
              <w:rPr>
                <w:rFonts w:hint="eastAsia" w:ascii="Times New Roman" w:hAnsi="Times New Roman"/>
                <w:color w:val="auto"/>
              </w:rPr>
              <w:t>7963.66</w:t>
            </w:r>
          </w:p>
        </w:tc>
        <w:tc>
          <w:tcPr>
            <w:tcW w:w="619" w:type="pct"/>
            <w:noWrap/>
            <w:vAlign w:val="center"/>
          </w:tcPr>
          <w:p w14:paraId="7122DF8E">
            <w:pPr>
              <w:pStyle w:val="17"/>
              <w:bidi w:val="0"/>
              <w:rPr>
                <w:rFonts w:ascii="Times New Roman" w:hAnsi="Times New Roman"/>
                <w:color w:val="auto"/>
              </w:rPr>
            </w:pPr>
            <w:r>
              <w:rPr>
                <w:rFonts w:hint="eastAsia" w:ascii="Times New Roman" w:hAnsi="Times New Roman"/>
                <w:color w:val="auto"/>
              </w:rPr>
              <w:t>1327.28</w:t>
            </w:r>
          </w:p>
        </w:tc>
        <w:tc>
          <w:tcPr>
            <w:tcW w:w="537" w:type="pct"/>
            <w:noWrap/>
            <w:vAlign w:val="center"/>
          </w:tcPr>
          <w:p w14:paraId="61E74CBC">
            <w:pPr>
              <w:pStyle w:val="17"/>
              <w:bidi w:val="0"/>
              <w:rPr>
                <w:rFonts w:ascii="Times New Roman" w:hAnsi="Times New Roman"/>
                <w:color w:val="auto"/>
              </w:rPr>
            </w:pPr>
            <w:r>
              <w:rPr>
                <w:rFonts w:hint="eastAsia" w:ascii="Times New Roman" w:hAnsi="Times New Roman"/>
                <w:color w:val="auto"/>
              </w:rPr>
              <w:t>169.24</w:t>
            </w:r>
          </w:p>
        </w:tc>
        <w:tc>
          <w:tcPr>
            <w:tcW w:w="620" w:type="pct"/>
            <w:noWrap/>
            <w:vAlign w:val="center"/>
          </w:tcPr>
          <w:p w14:paraId="0177B5C5">
            <w:pPr>
              <w:pStyle w:val="17"/>
              <w:bidi w:val="0"/>
              <w:rPr>
                <w:rFonts w:ascii="Times New Roman" w:hAnsi="Times New Roman"/>
                <w:color w:val="auto"/>
              </w:rPr>
            </w:pPr>
            <w:r>
              <w:rPr>
                <w:rFonts w:hint="eastAsia" w:ascii="Times New Roman" w:hAnsi="Times New Roman"/>
                <w:color w:val="auto"/>
              </w:rPr>
              <w:t>1364.06</w:t>
            </w:r>
          </w:p>
        </w:tc>
        <w:tc>
          <w:tcPr>
            <w:tcW w:w="512" w:type="pct"/>
            <w:noWrap/>
            <w:vAlign w:val="center"/>
          </w:tcPr>
          <w:p w14:paraId="68850880">
            <w:pPr>
              <w:pStyle w:val="17"/>
              <w:bidi w:val="0"/>
              <w:rPr>
                <w:rFonts w:ascii="Times New Roman" w:hAnsi="Times New Roman"/>
                <w:color w:val="auto"/>
              </w:rPr>
            </w:pPr>
            <w:r>
              <w:rPr>
                <w:rFonts w:hint="eastAsia" w:ascii="Times New Roman" w:hAnsi="Times New Roman"/>
                <w:color w:val="auto"/>
              </w:rPr>
              <w:t>972.56</w:t>
            </w:r>
          </w:p>
        </w:tc>
      </w:tr>
      <w:tr w14:paraId="5B1B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7B21DEDF">
            <w:pPr>
              <w:pStyle w:val="17"/>
              <w:bidi w:val="0"/>
              <w:rPr>
                <w:rFonts w:ascii="Times New Roman" w:hAnsi="Times New Roman"/>
                <w:color w:val="auto"/>
              </w:rPr>
            </w:pPr>
            <w:r>
              <w:rPr>
                <w:rFonts w:ascii="Times New Roman" w:hAnsi="Times New Roman"/>
                <w:color w:val="auto"/>
              </w:rPr>
              <w:t>5</w:t>
            </w:r>
          </w:p>
        </w:tc>
        <w:tc>
          <w:tcPr>
            <w:tcW w:w="1679" w:type="pct"/>
            <w:noWrap/>
            <w:vAlign w:val="center"/>
          </w:tcPr>
          <w:p w14:paraId="5D6FF929">
            <w:pPr>
              <w:pStyle w:val="17"/>
              <w:bidi w:val="0"/>
              <w:rPr>
                <w:rFonts w:ascii="Times New Roman" w:hAnsi="Times New Roman"/>
                <w:color w:val="auto"/>
              </w:rPr>
            </w:pPr>
            <w:r>
              <w:rPr>
                <w:rFonts w:ascii="Times New Roman" w:hAnsi="Times New Roman"/>
                <w:color w:val="auto"/>
              </w:rPr>
              <w:t>固定成本费用</w:t>
            </w:r>
          </w:p>
        </w:tc>
        <w:tc>
          <w:tcPr>
            <w:tcW w:w="589" w:type="pct"/>
            <w:noWrap/>
            <w:vAlign w:val="center"/>
          </w:tcPr>
          <w:p w14:paraId="2BB68651">
            <w:pPr>
              <w:pStyle w:val="17"/>
              <w:bidi w:val="0"/>
              <w:rPr>
                <w:rFonts w:ascii="Times New Roman" w:hAnsi="Times New Roman"/>
                <w:color w:val="auto"/>
              </w:rPr>
            </w:pPr>
            <w:r>
              <w:rPr>
                <w:rFonts w:hint="eastAsia" w:ascii="Times New Roman" w:hAnsi="Times New Roman"/>
                <w:color w:val="auto"/>
              </w:rPr>
              <w:t>3673.22</w:t>
            </w:r>
          </w:p>
        </w:tc>
        <w:tc>
          <w:tcPr>
            <w:tcW w:w="619" w:type="pct"/>
            <w:noWrap/>
            <w:vAlign w:val="center"/>
          </w:tcPr>
          <w:p w14:paraId="144BA4E6">
            <w:pPr>
              <w:pStyle w:val="17"/>
              <w:bidi w:val="0"/>
              <w:rPr>
                <w:rFonts w:ascii="Times New Roman" w:hAnsi="Times New Roman"/>
                <w:color w:val="auto"/>
              </w:rPr>
            </w:pPr>
            <w:r>
              <w:rPr>
                <w:rFonts w:hint="eastAsia" w:ascii="Times New Roman" w:hAnsi="Times New Roman"/>
                <w:color w:val="auto"/>
              </w:rPr>
              <w:t>612.20</w:t>
            </w:r>
          </w:p>
        </w:tc>
        <w:tc>
          <w:tcPr>
            <w:tcW w:w="537" w:type="pct"/>
            <w:noWrap/>
            <w:vAlign w:val="center"/>
          </w:tcPr>
          <w:p w14:paraId="3501CC5E">
            <w:pPr>
              <w:pStyle w:val="17"/>
              <w:bidi w:val="0"/>
              <w:rPr>
                <w:rFonts w:ascii="Times New Roman" w:hAnsi="Times New Roman"/>
                <w:color w:val="auto"/>
              </w:rPr>
            </w:pPr>
            <w:r>
              <w:rPr>
                <w:rFonts w:hint="eastAsia" w:ascii="Times New Roman" w:hAnsi="Times New Roman"/>
                <w:color w:val="auto"/>
              </w:rPr>
              <w:t>77.22</w:t>
            </w:r>
          </w:p>
        </w:tc>
        <w:tc>
          <w:tcPr>
            <w:tcW w:w="620" w:type="pct"/>
            <w:noWrap/>
            <w:vAlign w:val="center"/>
          </w:tcPr>
          <w:p w14:paraId="210A108F">
            <w:pPr>
              <w:pStyle w:val="17"/>
              <w:bidi w:val="0"/>
              <w:rPr>
                <w:rFonts w:ascii="Times New Roman" w:hAnsi="Times New Roman"/>
                <w:color w:val="auto"/>
              </w:rPr>
            </w:pPr>
            <w:r>
              <w:rPr>
                <w:rFonts w:hint="eastAsia" w:ascii="Times New Roman" w:hAnsi="Times New Roman"/>
                <w:color w:val="auto"/>
              </w:rPr>
              <w:t>629.44</w:t>
            </w:r>
          </w:p>
        </w:tc>
        <w:tc>
          <w:tcPr>
            <w:tcW w:w="512" w:type="pct"/>
            <w:noWrap/>
            <w:vAlign w:val="center"/>
          </w:tcPr>
          <w:p w14:paraId="1A2A12B2">
            <w:pPr>
              <w:pStyle w:val="17"/>
              <w:bidi w:val="0"/>
              <w:rPr>
                <w:rFonts w:ascii="Times New Roman" w:hAnsi="Times New Roman"/>
                <w:color w:val="auto"/>
              </w:rPr>
            </w:pPr>
            <w:r>
              <w:rPr>
                <w:rFonts w:hint="eastAsia" w:ascii="Times New Roman" w:hAnsi="Times New Roman"/>
                <w:color w:val="auto"/>
              </w:rPr>
              <w:t>448.79</w:t>
            </w:r>
          </w:p>
        </w:tc>
      </w:tr>
      <w:tr w14:paraId="4D84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5B733BE9">
            <w:pPr>
              <w:pStyle w:val="17"/>
              <w:bidi w:val="0"/>
              <w:rPr>
                <w:rFonts w:ascii="Times New Roman" w:hAnsi="Times New Roman"/>
                <w:color w:val="auto"/>
              </w:rPr>
            </w:pPr>
            <w:r>
              <w:rPr>
                <w:rFonts w:ascii="Times New Roman" w:hAnsi="Times New Roman"/>
                <w:color w:val="auto"/>
              </w:rPr>
              <w:t>5.1</w:t>
            </w:r>
          </w:p>
        </w:tc>
        <w:tc>
          <w:tcPr>
            <w:tcW w:w="1679" w:type="pct"/>
            <w:noWrap/>
            <w:vAlign w:val="center"/>
          </w:tcPr>
          <w:p w14:paraId="6ECE34C1">
            <w:pPr>
              <w:pStyle w:val="17"/>
              <w:bidi w:val="0"/>
              <w:rPr>
                <w:rFonts w:ascii="Times New Roman" w:hAnsi="Times New Roman"/>
                <w:color w:val="auto"/>
              </w:rPr>
            </w:pPr>
            <w:r>
              <w:rPr>
                <w:rFonts w:ascii="Times New Roman" w:hAnsi="Times New Roman"/>
                <w:color w:val="auto"/>
              </w:rPr>
              <w:t>可变成本费用</w:t>
            </w:r>
          </w:p>
        </w:tc>
        <w:tc>
          <w:tcPr>
            <w:tcW w:w="589" w:type="pct"/>
            <w:noWrap/>
            <w:vAlign w:val="center"/>
          </w:tcPr>
          <w:p w14:paraId="77CACB84">
            <w:pPr>
              <w:pStyle w:val="17"/>
              <w:bidi w:val="0"/>
              <w:rPr>
                <w:rFonts w:ascii="Times New Roman" w:hAnsi="Times New Roman"/>
                <w:color w:val="auto"/>
              </w:rPr>
            </w:pPr>
            <w:r>
              <w:rPr>
                <w:rFonts w:hint="eastAsia" w:ascii="Times New Roman" w:hAnsi="Times New Roman"/>
                <w:color w:val="auto"/>
              </w:rPr>
              <w:t>4288.90</w:t>
            </w:r>
          </w:p>
        </w:tc>
        <w:tc>
          <w:tcPr>
            <w:tcW w:w="619" w:type="pct"/>
            <w:noWrap/>
            <w:vAlign w:val="center"/>
          </w:tcPr>
          <w:p w14:paraId="39EE8D73">
            <w:pPr>
              <w:pStyle w:val="17"/>
              <w:bidi w:val="0"/>
              <w:rPr>
                <w:rFonts w:ascii="Times New Roman" w:hAnsi="Times New Roman"/>
                <w:color w:val="auto"/>
              </w:rPr>
            </w:pPr>
            <w:r>
              <w:rPr>
                <w:rFonts w:hint="eastAsia" w:ascii="Times New Roman" w:hAnsi="Times New Roman"/>
                <w:color w:val="auto"/>
              </w:rPr>
              <w:t>714.82</w:t>
            </w:r>
          </w:p>
        </w:tc>
        <w:tc>
          <w:tcPr>
            <w:tcW w:w="537" w:type="pct"/>
            <w:noWrap/>
            <w:vAlign w:val="center"/>
          </w:tcPr>
          <w:p w14:paraId="0FB5506B">
            <w:pPr>
              <w:pStyle w:val="17"/>
              <w:bidi w:val="0"/>
              <w:rPr>
                <w:rFonts w:ascii="Times New Roman" w:hAnsi="Times New Roman"/>
                <w:color w:val="auto"/>
              </w:rPr>
            </w:pPr>
            <w:r>
              <w:rPr>
                <w:rFonts w:hint="eastAsia" w:ascii="Times New Roman" w:hAnsi="Times New Roman"/>
                <w:color w:val="auto"/>
              </w:rPr>
              <w:t>92.02</w:t>
            </w:r>
          </w:p>
        </w:tc>
        <w:tc>
          <w:tcPr>
            <w:tcW w:w="620" w:type="pct"/>
            <w:noWrap/>
            <w:vAlign w:val="center"/>
          </w:tcPr>
          <w:p w14:paraId="39DAD1F8">
            <w:pPr>
              <w:pStyle w:val="17"/>
              <w:bidi w:val="0"/>
              <w:rPr>
                <w:rFonts w:ascii="Times New Roman" w:hAnsi="Times New Roman"/>
                <w:color w:val="auto"/>
              </w:rPr>
            </w:pPr>
            <w:r>
              <w:rPr>
                <w:rFonts w:hint="eastAsia" w:ascii="Times New Roman" w:hAnsi="Times New Roman"/>
                <w:color w:val="auto"/>
              </w:rPr>
              <w:t>734.62</w:t>
            </w:r>
          </w:p>
        </w:tc>
        <w:tc>
          <w:tcPr>
            <w:tcW w:w="512" w:type="pct"/>
            <w:noWrap/>
            <w:vAlign w:val="center"/>
          </w:tcPr>
          <w:p w14:paraId="1AB5DA4F">
            <w:pPr>
              <w:pStyle w:val="17"/>
              <w:bidi w:val="0"/>
              <w:rPr>
                <w:rFonts w:ascii="Times New Roman" w:hAnsi="Times New Roman"/>
                <w:color w:val="auto"/>
              </w:rPr>
            </w:pPr>
            <w:r>
              <w:rPr>
                <w:rFonts w:hint="eastAsia" w:ascii="Times New Roman" w:hAnsi="Times New Roman"/>
                <w:color w:val="auto"/>
              </w:rPr>
              <w:t>523.78</w:t>
            </w:r>
          </w:p>
        </w:tc>
      </w:tr>
      <w:tr w14:paraId="4809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77CF408B">
            <w:pPr>
              <w:pStyle w:val="17"/>
              <w:bidi w:val="0"/>
              <w:rPr>
                <w:rFonts w:ascii="Times New Roman" w:hAnsi="Times New Roman"/>
                <w:color w:val="auto"/>
              </w:rPr>
            </w:pPr>
            <w:r>
              <w:rPr>
                <w:rFonts w:ascii="Times New Roman" w:hAnsi="Times New Roman"/>
                <w:color w:val="auto"/>
              </w:rPr>
              <w:t>5.2</w:t>
            </w:r>
          </w:p>
        </w:tc>
        <w:tc>
          <w:tcPr>
            <w:tcW w:w="1679" w:type="pct"/>
            <w:noWrap/>
            <w:vAlign w:val="center"/>
          </w:tcPr>
          <w:p w14:paraId="64EC0B08">
            <w:pPr>
              <w:pStyle w:val="17"/>
              <w:bidi w:val="0"/>
              <w:rPr>
                <w:rFonts w:ascii="Times New Roman" w:hAnsi="Times New Roman"/>
                <w:color w:val="auto"/>
              </w:rPr>
            </w:pPr>
            <w:r>
              <w:rPr>
                <w:rFonts w:ascii="Times New Roman" w:hAnsi="Times New Roman"/>
                <w:color w:val="auto"/>
              </w:rPr>
              <w:t>经营成本(含税)</w:t>
            </w:r>
          </w:p>
        </w:tc>
        <w:tc>
          <w:tcPr>
            <w:tcW w:w="589" w:type="pct"/>
            <w:noWrap/>
            <w:vAlign w:val="center"/>
          </w:tcPr>
          <w:p w14:paraId="4E701988">
            <w:pPr>
              <w:pStyle w:val="17"/>
              <w:bidi w:val="0"/>
              <w:rPr>
                <w:rFonts w:ascii="Times New Roman" w:hAnsi="Times New Roman"/>
                <w:color w:val="auto"/>
              </w:rPr>
            </w:pPr>
            <w:r>
              <w:rPr>
                <w:rFonts w:hint="eastAsia" w:ascii="Times New Roman" w:hAnsi="Times New Roman"/>
                <w:color w:val="auto"/>
              </w:rPr>
              <w:t>7684.73</w:t>
            </w:r>
          </w:p>
        </w:tc>
        <w:tc>
          <w:tcPr>
            <w:tcW w:w="619" w:type="pct"/>
            <w:noWrap/>
            <w:vAlign w:val="center"/>
          </w:tcPr>
          <w:p w14:paraId="3D905843">
            <w:pPr>
              <w:pStyle w:val="17"/>
              <w:bidi w:val="0"/>
              <w:rPr>
                <w:rFonts w:ascii="Times New Roman" w:hAnsi="Times New Roman"/>
                <w:color w:val="auto"/>
              </w:rPr>
            </w:pPr>
            <w:r>
              <w:rPr>
                <w:rFonts w:hint="eastAsia" w:ascii="Times New Roman" w:hAnsi="Times New Roman"/>
                <w:color w:val="auto"/>
              </w:rPr>
              <w:t>1280.79</w:t>
            </w:r>
          </w:p>
        </w:tc>
        <w:tc>
          <w:tcPr>
            <w:tcW w:w="537" w:type="pct"/>
            <w:noWrap/>
            <w:vAlign w:val="center"/>
          </w:tcPr>
          <w:p w14:paraId="6596E4B8">
            <w:pPr>
              <w:pStyle w:val="17"/>
              <w:bidi w:val="0"/>
              <w:rPr>
                <w:rFonts w:ascii="Times New Roman" w:hAnsi="Times New Roman"/>
                <w:color w:val="auto"/>
              </w:rPr>
            </w:pPr>
            <w:r>
              <w:rPr>
                <w:rFonts w:hint="eastAsia" w:ascii="Times New Roman" w:hAnsi="Times New Roman"/>
                <w:color w:val="auto"/>
              </w:rPr>
              <w:t>129.10</w:t>
            </w:r>
          </w:p>
        </w:tc>
        <w:tc>
          <w:tcPr>
            <w:tcW w:w="620" w:type="pct"/>
            <w:noWrap/>
            <w:vAlign w:val="center"/>
          </w:tcPr>
          <w:p w14:paraId="68D153A3">
            <w:pPr>
              <w:pStyle w:val="17"/>
              <w:bidi w:val="0"/>
              <w:rPr>
                <w:rFonts w:ascii="Times New Roman" w:hAnsi="Times New Roman"/>
                <w:color w:val="auto"/>
              </w:rPr>
            </w:pPr>
            <w:r>
              <w:rPr>
                <w:rFonts w:hint="eastAsia" w:ascii="Times New Roman" w:hAnsi="Times New Roman"/>
                <w:color w:val="auto"/>
              </w:rPr>
              <w:t>1322.53</w:t>
            </w:r>
          </w:p>
        </w:tc>
        <w:tc>
          <w:tcPr>
            <w:tcW w:w="512" w:type="pct"/>
            <w:noWrap/>
            <w:vAlign w:val="center"/>
          </w:tcPr>
          <w:p w14:paraId="41828A87">
            <w:pPr>
              <w:pStyle w:val="17"/>
              <w:bidi w:val="0"/>
              <w:rPr>
                <w:rFonts w:ascii="Times New Roman" w:hAnsi="Times New Roman"/>
                <w:color w:val="auto"/>
              </w:rPr>
            </w:pPr>
            <w:r>
              <w:rPr>
                <w:rFonts w:hint="eastAsia" w:ascii="Times New Roman" w:hAnsi="Times New Roman"/>
                <w:color w:val="auto"/>
              </w:rPr>
              <w:t>942.95</w:t>
            </w:r>
          </w:p>
        </w:tc>
      </w:tr>
      <w:tr w14:paraId="3983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23747A52">
            <w:pPr>
              <w:pStyle w:val="17"/>
              <w:bidi w:val="0"/>
              <w:rPr>
                <w:rFonts w:ascii="Times New Roman" w:hAnsi="Times New Roman"/>
                <w:color w:val="auto"/>
              </w:rPr>
            </w:pPr>
            <w:r>
              <w:rPr>
                <w:rFonts w:ascii="Times New Roman" w:hAnsi="Times New Roman"/>
                <w:color w:val="auto"/>
              </w:rPr>
              <w:t>6</w:t>
            </w:r>
          </w:p>
        </w:tc>
        <w:tc>
          <w:tcPr>
            <w:tcW w:w="1679" w:type="pct"/>
            <w:noWrap/>
            <w:vAlign w:val="center"/>
          </w:tcPr>
          <w:p w14:paraId="46855EED">
            <w:pPr>
              <w:pStyle w:val="17"/>
              <w:bidi w:val="0"/>
              <w:rPr>
                <w:rFonts w:ascii="Times New Roman" w:hAnsi="Times New Roman"/>
                <w:color w:val="auto"/>
              </w:rPr>
            </w:pPr>
            <w:r>
              <w:rPr>
                <w:rFonts w:ascii="Times New Roman" w:hAnsi="Times New Roman"/>
                <w:color w:val="auto"/>
              </w:rPr>
              <w:t>经营成本(不含税)</w:t>
            </w:r>
          </w:p>
        </w:tc>
        <w:tc>
          <w:tcPr>
            <w:tcW w:w="589" w:type="pct"/>
            <w:noWrap/>
            <w:vAlign w:val="center"/>
          </w:tcPr>
          <w:p w14:paraId="05977A5A">
            <w:pPr>
              <w:pStyle w:val="17"/>
              <w:bidi w:val="0"/>
              <w:rPr>
                <w:rFonts w:ascii="Times New Roman" w:hAnsi="Times New Roman"/>
                <w:color w:val="auto"/>
              </w:rPr>
            </w:pPr>
            <w:r>
              <w:rPr>
                <w:rFonts w:hint="eastAsia" w:ascii="Times New Roman" w:hAnsi="Times New Roman"/>
                <w:color w:val="auto"/>
              </w:rPr>
              <w:t>7095.04</w:t>
            </w:r>
          </w:p>
        </w:tc>
        <w:tc>
          <w:tcPr>
            <w:tcW w:w="619" w:type="pct"/>
            <w:noWrap/>
            <w:vAlign w:val="center"/>
          </w:tcPr>
          <w:p w14:paraId="1F3D706A">
            <w:pPr>
              <w:pStyle w:val="17"/>
              <w:bidi w:val="0"/>
              <w:rPr>
                <w:rFonts w:ascii="Times New Roman" w:hAnsi="Times New Roman"/>
                <w:color w:val="auto"/>
              </w:rPr>
            </w:pPr>
            <w:r>
              <w:rPr>
                <w:rFonts w:hint="eastAsia" w:ascii="Times New Roman" w:hAnsi="Times New Roman"/>
                <w:color w:val="auto"/>
              </w:rPr>
              <w:t>1182.51</w:t>
            </w:r>
          </w:p>
        </w:tc>
        <w:tc>
          <w:tcPr>
            <w:tcW w:w="537" w:type="pct"/>
            <w:noWrap/>
            <w:vAlign w:val="center"/>
          </w:tcPr>
          <w:p w14:paraId="130E624F">
            <w:pPr>
              <w:pStyle w:val="17"/>
              <w:bidi w:val="0"/>
              <w:rPr>
                <w:rFonts w:ascii="Times New Roman" w:hAnsi="Times New Roman"/>
                <w:color w:val="auto"/>
              </w:rPr>
            </w:pPr>
            <w:r>
              <w:rPr>
                <w:rFonts w:hint="eastAsia" w:ascii="Times New Roman" w:hAnsi="Times New Roman"/>
                <w:color w:val="auto"/>
              </w:rPr>
              <w:t>114.35</w:t>
            </w:r>
          </w:p>
        </w:tc>
        <w:tc>
          <w:tcPr>
            <w:tcW w:w="620" w:type="pct"/>
            <w:noWrap/>
            <w:vAlign w:val="center"/>
          </w:tcPr>
          <w:p w14:paraId="29DE3556">
            <w:pPr>
              <w:pStyle w:val="17"/>
              <w:bidi w:val="0"/>
              <w:rPr>
                <w:rFonts w:ascii="Times New Roman" w:hAnsi="Times New Roman"/>
                <w:color w:val="auto"/>
              </w:rPr>
            </w:pPr>
            <w:r>
              <w:rPr>
                <w:rFonts w:hint="eastAsia" w:ascii="Times New Roman" w:hAnsi="Times New Roman"/>
                <w:color w:val="auto"/>
              </w:rPr>
              <w:t>1221.90</w:t>
            </w:r>
          </w:p>
        </w:tc>
        <w:tc>
          <w:tcPr>
            <w:tcW w:w="512" w:type="pct"/>
            <w:noWrap/>
            <w:vAlign w:val="center"/>
          </w:tcPr>
          <w:p w14:paraId="4CB0E667">
            <w:pPr>
              <w:pStyle w:val="17"/>
              <w:bidi w:val="0"/>
              <w:rPr>
                <w:rFonts w:ascii="Times New Roman" w:hAnsi="Times New Roman"/>
                <w:color w:val="auto"/>
              </w:rPr>
            </w:pPr>
            <w:r>
              <w:rPr>
                <w:rFonts w:hint="eastAsia" w:ascii="Times New Roman" w:hAnsi="Times New Roman"/>
                <w:color w:val="auto"/>
              </w:rPr>
              <w:t>871.20</w:t>
            </w:r>
          </w:p>
        </w:tc>
      </w:tr>
      <w:tr w14:paraId="2416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1421D6EA">
            <w:pPr>
              <w:pStyle w:val="17"/>
              <w:bidi w:val="0"/>
              <w:rPr>
                <w:rFonts w:ascii="Times New Roman" w:hAnsi="Times New Roman"/>
                <w:color w:val="auto"/>
              </w:rPr>
            </w:pPr>
            <w:r>
              <w:rPr>
                <w:rFonts w:ascii="Times New Roman" w:hAnsi="Times New Roman"/>
                <w:color w:val="auto"/>
              </w:rPr>
              <w:t>6.1</w:t>
            </w:r>
          </w:p>
        </w:tc>
        <w:tc>
          <w:tcPr>
            <w:tcW w:w="1679" w:type="pct"/>
            <w:noWrap/>
            <w:vAlign w:val="center"/>
          </w:tcPr>
          <w:p w14:paraId="713E99EF">
            <w:pPr>
              <w:pStyle w:val="17"/>
              <w:bidi w:val="0"/>
              <w:rPr>
                <w:rFonts w:ascii="Times New Roman" w:hAnsi="Times New Roman"/>
                <w:color w:val="auto"/>
              </w:rPr>
            </w:pPr>
            <w:r>
              <w:rPr>
                <w:rFonts w:ascii="Times New Roman" w:hAnsi="Times New Roman"/>
                <w:color w:val="auto"/>
              </w:rPr>
              <w:t>总成本费用(不含税)</w:t>
            </w:r>
          </w:p>
        </w:tc>
        <w:tc>
          <w:tcPr>
            <w:tcW w:w="589" w:type="pct"/>
            <w:noWrap/>
            <w:vAlign w:val="center"/>
          </w:tcPr>
          <w:p w14:paraId="09A4583E">
            <w:pPr>
              <w:pStyle w:val="17"/>
              <w:bidi w:val="0"/>
              <w:rPr>
                <w:rFonts w:ascii="Times New Roman" w:hAnsi="Times New Roman"/>
                <w:color w:val="auto"/>
              </w:rPr>
            </w:pPr>
            <w:r>
              <w:rPr>
                <w:rFonts w:hint="eastAsia" w:ascii="Times New Roman" w:hAnsi="Times New Roman"/>
                <w:color w:val="auto"/>
              </w:rPr>
              <w:t>7372.44</w:t>
            </w:r>
          </w:p>
        </w:tc>
        <w:tc>
          <w:tcPr>
            <w:tcW w:w="619" w:type="pct"/>
            <w:noWrap/>
            <w:vAlign w:val="center"/>
          </w:tcPr>
          <w:p w14:paraId="00DA0417">
            <w:pPr>
              <w:pStyle w:val="17"/>
              <w:bidi w:val="0"/>
              <w:rPr>
                <w:rFonts w:ascii="Times New Roman" w:hAnsi="Times New Roman"/>
                <w:color w:val="auto"/>
              </w:rPr>
            </w:pPr>
            <w:r>
              <w:rPr>
                <w:rFonts w:hint="eastAsia" w:ascii="Times New Roman" w:hAnsi="Times New Roman"/>
                <w:color w:val="auto"/>
              </w:rPr>
              <w:t>1228.74</w:t>
            </w:r>
          </w:p>
        </w:tc>
        <w:tc>
          <w:tcPr>
            <w:tcW w:w="537" w:type="pct"/>
            <w:noWrap/>
            <w:vAlign w:val="center"/>
          </w:tcPr>
          <w:p w14:paraId="46DB975C">
            <w:pPr>
              <w:pStyle w:val="17"/>
              <w:bidi w:val="0"/>
              <w:rPr>
                <w:rFonts w:ascii="Times New Roman" w:hAnsi="Times New Roman"/>
                <w:color w:val="auto"/>
              </w:rPr>
            </w:pPr>
            <w:r>
              <w:rPr>
                <w:rFonts w:hint="eastAsia" w:ascii="Times New Roman" w:hAnsi="Times New Roman"/>
                <w:color w:val="auto"/>
              </w:rPr>
              <w:t>154.49</w:t>
            </w:r>
          </w:p>
        </w:tc>
        <w:tc>
          <w:tcPr>
            <w:tcW w:w="620" w:type="pct"/>
            <w:noWrap/>
            <w:vAlign w:val="center"/>
          </w:tcPr>
          <w:p w14:paraId="714A7651">
            <w:pPr>
              <w:pStyle w:val="17"/>
              <w:bidi w:val="0"/>
              <w:rPr>
                <w:rFonts w:ascii="Times New Roman" w:hAnsi="Times New Roman"/>
                <w:color w:val="auto"/>
              </w:rPr>
            </w:pPr>
            <w:r>
              <w:rPr>
                <w:rFonts w:hint="eastAsia" w:ascii="Times New Roman" w:hAnsi="Times New Roman"/>
                <w:color w:val="auto"/>
              </w:rPr>
              <w:t>1263.43</w:t>
            </w:r>
          </w:p>
        </w:tc>
        <w:tc>
          <w:tcPr>
            <w:tcW w:w="512" w:type="pct"/>
            <w:noWrap/>
            <w:vAlign w:val="center"/>
          </w:tcPr>
          <w:p w14:paraId="50A9FB2F">
            <w:pPr>
              <w:pStyle w:val="17"/>
              <w:bidi w:val="0"/>
              <w:rPr>
                <w:rFonts w:ascii="Times New Roman" w:hAnsi="Times New Roman"/>
                <w:color w:val="auto"/>
              </w:rPr>
            </w:pPr>
            <w:r>
              <w:rPr>
                <w:rFonts w:hint="eastAsia" w:ascii="Times New Roman" w:hAnsi="Times New Roman"/>
                <w:color w:val="auto"/>
              </w:rPr>
              <w:t>900.81</w:t>
            </w:r>
          </w:p>
        </w:tc>
      </w:tr>
      <w:tr w14:paraId="0151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7EFDFE8E">
            <w:pPr>
              <w:pStyle w:val="17"/>
              <w:bidi w:val="0"/>
              <w:rPr>
                <w:rFonts w:ascii="Times New Roman" w:hAnsi="Times New Roman"/>
                <w:color w:val="auto"/>
              </w:rPr>
            </w:pPr>
            <w:r>
              <w:rPr>
                <w:rFonts w:ascii="Times New Roman" w:hAnsi="Times New Roman"/>
                <w:color w:val="auto"/>
              </w:rPr>
              <w:t>7</w:t>
            </w:r>
          </w:p>
        </w:tc>
        <w:tc>
          <w:tcPr>
            <w:tcW w:w="1679" w:type="pct"/>
            <w:noWrap/>
            <w:vAlign w:val="center"/>
          </w:tcPr>
          <w:p w14:paraId="711B8432">
            <w:pPr>
              <w:pStyle w:val="17"/>
              <w:bidi w:val="0"/>
              <w:rPr>
                <w:rFonts w:ascii="Times New Roman" w:hAnsi="Times New Roman"/>
                <w:color w:val="auto"/>
              </w:rPr>
            </w:pPr>
            <w:r>
              <w:rPr>
                <w:rFonts w:ascii="Times New Roman" w:hAnsi="Times New Roman"/>
                <w:color w:val="auto"/>
              </w:rPr>
              <w:t>进项税</w:t>
            </w:r>
          </w:p>
        </w:tc>
        <w:tc>
          <w:tcPr>
            <w:tcW w:w="589" w:type="pct"/>
            <w:noWrap/>
            <w:vAlign w:val="center"/>
          </w:tcPr>
          <w:p w14:paraId="47AB60AF">
            <w:pPr>
              <w:pStyle w:val="17"/>
              <w:bidi w:val="0"/>
              <w:rPr>
                <w:rFonts w:ascii="Times New Roman" w:hAnsi="Times New Roman"/>
                <w:color w:val="auto"/>
              </w:rPr>
            </w:pPr>
            <w:r>
              <w:rPr>
                <w:rFonts w:hint="eastAsia" w:ascii="Times New Roman" w:hAnsi="Times New Roman"/>
                <w:color w:val="auto"/>
              </w:rPr>
              <w:t>589.69</w:t>
            </w:r>
          </w:p>
        </w:tc>
        <w:tc>
          <w:tcPr>
            <w:tcW w:w="619" w:type="pct"/>
            <w:noWrap/>
            <w:vAlign w:val="center"/>
          </w:tcPr>
          <w:p w14:paraId="14A8F06B">
            <w:pPr>
              <w:pStyle w:val="17"/>
              <w:bidi w:val="0"/>
              <w:rPr>
                <w:rFonts w:ascii="Times New Roman" w:hAnsi="Times New Roman"/>
                <w:color w:val="auto"/>
              </w:rPr>
            </w:pPr>
            <w:r>
              <w:rPr>
                <w:rFonts w:hint="eastAsia" w:ascii="Times New Roman" w:hAnsi="Times New Roman"/>
                <w:color w:val="auto"/>
              </w:rPr>
              <w:t>98.28</w:t>
            </w:r>
          </w:p>
        </w:tc>
        <w:tc>
          <w:tcPr>
            <w:tcW w:w="537" w:type="pct"/>
            <w:noWrap/>
            <w:vAlign w:val="center"/>
          </w:tcPr>
          <w:p w14:paraId="301C005B">
            <w:pPr>
              <w:pStyle w:val="17"/>
              <w:bidi w:val="0"/>
              <w:rPr>
                <w:rFonts w:ascii="Times New Roman" w:hAnsi="Times New Roman"/>
                <w:color w:val="auto"/>
              </w:rPr>
            </w:pPr>
            <w:r>
              <w:rPr>
                <w:rFonts w:hint="eastAsia" w:ascii="Times New Roman" w:hAnsi="Times New Roman"/>
                <w:color w:val="auto"/>
              </w:rPr>
              <w:t>14.75</w:t>
            </w:r>
          </w:p>
        </w:tc>
        <w:tc>
          <w:tcPr>
            <w:tcW w:w="620" w:type="pct"/>
            <w:noWrap/>
            <w:vAlign w:val="center"/>
          </w:tcPr>
          <w:p w14:paraId="3D466179">
            <w:pPr>
              <w:pStyle w:val="17"/>
              <w:bidi w:val="0"/>
              <w:rPr>
                <w:rFonts w:ascii="Times New Roman" w:hAnsi="Times New Roman"/>
                <w:color w:val="auto"/>
              </w:rPr>
            </w:pPr>
            <w:r>
              <w:rPr>
                <w:rFonts w:hint="eastAsia" w:ascii="Times New Roman" w:hAnsi="Times New Roman"/>
                <w:color w:val="auto"/>
              </w:rPr>
              <w:t>100.64</w:t>
            </w:r>
          </w:p>
        </w:tc>
        <w:tc>
          <w:tcPr>
            <w:tcW w:w="512" w:type="pct"/>
            <w:noWrap/>
            <w:vAlign w:val="center"/>
          </w:tcPr>
          <w:p w14:paraId="5016448F">
            <w:pPr>
              <w:pStyle w:val="17"/>
              <w:bidi w:val="0"/>
              <w:rPr>
                <w:rFonts w:ascii="Times New Roman" w:hAnsi="Times New Roman"/>
                <w:color w:val="auto"/>
              </w:rPr>
            </w:pPr>
            <w:r>
              <w:rPr>
                <w:rFonts w:hint="eastAsia" w:ascii="Times New Roman" w:hAnsi="Times New Roman"/>
                <w:color w:val="auto"/>
              </w:rPr>
              <w:t>71.75</w:t>
            </w:r>
          </w:p>
        </w:tc>
      </w:tr>
      <w:tr w14:paraId="5794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1C98B1E2">
            <w:pPr>
              <w:pStyle w:val="17"/>
              <w:bidi w:val="0"/>
              <w:rPr>
                <w:rFonts w:ascii="Times New Roman" w:hAnsi="Times New Roman"/>
                <w:color w:val="auto"/>
              </w:rPr>
            </w:pPr>
            <w:r>
              <w:rPr>
                <w:rFonts w:ascii="Times New Roman" w:hAnsi="Times New Roman"/>
                <w:color w:val="auto"/>
              </w:rPr>
              <w:t>8</w:t>
            </w:r>
          </w:p>
        </w:tc>
        <w:tc>
          <w:tcPr>
            <w:tcW w:w="1679" w:type="pct"/>
            <w:noWrap/>
            <w:vAlign w:val="center"/>
          </w:tcPr>
          <w:p w14:paraId="28ECE76C">
            <w:pPr>
              <w:pStyle w:val="17"/>
              <w:bidi w:val="0"/>
              <w:rPr>
                <w:rFonts w:ascii="Times New Roman" w:hAnsi="Times New Roman"/>
                <w:color w:val="auto"/>
              </w:rPr>
            </w:pPr>
            <w:r>
              <w:rPr>
                <w:rFonts w:ascii="Times New Roman" w:hAnsi="Times New Roman"/>
                <w:color w:val="auto"/>
              </w:rPr>
              <w:t>单位成本费用（元/t）</w:t>
            </w:r>
          </w:p>
        </w:tc>
        <w:tc>
          <w:tcPr>
            <w:tcW w:w="589" w:type="pct"/>
            <w:noWrap/>
            <w:vAlign w:val="center"/>
          </w:tcPr>
          <w:p w14:paraId="2376E1AE">
            <w:pPr>
              <w:pStyle w:val="17"/>
              <w:bidi w:val="0"/>
              <w:rPr>
                <w:rFonts w:ascii="Times New Roman" w:hAnsi="Times New Roman"/>
                <w:color w:val="auto"/>
              </w:rPr>
            </w:pPr>
          </w:p>
        </w:tc>
        <w:tc>
          <w:tcPr>
            <w:tcW w:w="619" w:type="pct"/>
            <w:noWrap/>
            <w:vAlign w:val="center"/>
          </w:tcPr>
          <w:p w14:paraId="22BC9E53">
            <w:pPr>
              <w:pStyle w:val="17"/>
              <w:bidi w:val="0"/>
              <w:rPr>
                <w:rFonts w:ascii="Times New Roman" w:hAnsi="Times New Roman"/>
                <w:color w:val="auto"/>
              </w:rPr>
            </w:pPr>
          </w:p>
        </w:tc>
        <w:tc>
          <w:tcPr>
            <w:tcW w:w="537" w:type="pct"/>
            <w:noWrap/>
            <w:vAlign w:val="center"/>
          </w:tcPr>
          <w:p w14:paraId="3912AAA2">
            <w:pPr>
              <w:pStyle w:val="17"/>
              <w:bidi w:val="0"/>
              <w:rPr>
                <w:rFonts w:ascii="Times New Roman" w:hAnsi="Times New Roman"/>
                <w:color w:val="auto"/>
              </w:rPr>
            </w:pPr>
            <w:r>
              <w:rPr>
                <w:rFonts w:hint="eastAsia" w:ascii="Times New Roman" w:hAnsi="Times New Roman"/>
                <w:color w:val="auto"/>
              </w:rPr>
              <w:t>19.49</w:t>
            </w:r>
          </w:p>
        </w:tc>
        <w:tc>
          <w:tcPr>
            <w:tcW w:w="620" w:type="pct"/>
            <w:noWrap/>
            <w:vAlign w:val="center"/>
          </w:tcPr>
          <w:p w14:paraId="1C28EE32">
            <w:pPr>
              <w:pStyle w:val="17"/>
              <w:bidi w:val="0"/>
              <w:rPr>
                <w:rFonts w:ascii="Times New Roman" w:hAnsi="Times New Roman"/>
                <w:color w:val="auto"/>
              </w:rPr>
            </w:pPr>
            <w:r>
              <w:rPr>
                <w:rFonts w:hint="eastAsia" w:ascii="Times New Roman" w:hAnsi="Times New Roman"/>
                <w:color w:val="auto"/>
              </w:rPr>
              <w:t>19.49</w:t>
            </w:r>
          </w:p>
        </w:tc>
        <w:tc>
          <w:tcPr>
            <w:tcW w:w="512" w:type="pct"/>
            <w:noWrap/>
            <w:vAlign w:val="center"/>
          </w:tcPr>
          <w:p w14:paraId="6946AE28">
            <w:pPr>
              <w:pStyle w:val="17"/>
              <w:bidi w:val="0"/>
              <w:rPr>
                <w:rFonts w:ascii="Times New Roman" w:hAnsi="Times New Roman"/>
                <w:color w:val="auto"/>
              </w:rPr>
            </w:pPr>
            <w:r>
              <w:rPr>
                <w:rFonts w:hint="eastAsia" w:ascii="Times New Roman" w:hAnsi="Times New Roman"/>
                <w:color w:val="auto"/>
              </w:rPr>
              <w:t>13.89</w:t>
            </w:r>
          </w:p>
        </w:tc>
      </w:tr>
      <w:tr w14:paraId="2BE8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41" w:type="pct"/>
            <w:noWrap/>
            <w:vAlign w:val="center"/>
          </w:tcPr>
          <w:p w14:paraId="695C3D20">
            <w:pPr>
              <w:pStyle w:val="17"/>
              <w:bidi w:val="0"/>
              <w:rPr>
                <w:rFonts w:ascii="Times New Roman" w:hAnsi="Times New Roman"/>
                <w:color w:val="auto"/>
              </w:rPr>
            </w:pPr>
            <w:r>
              <w:rPr>
                <w:rFonts w:ascii="Times New Roman" w:hAnsi="Times New Roman"/>
                <w:color w:val="auto"/>
              </w:rPr>
              <w:t>9</w:t>
            </w:r>
          </w:p>
        </w:tc>
        <w:tc>
          <w:tcPr>
            <w:tcW w:w="1679" w:type="pct"/>
            <w:noWrap/>
            <w:vAlign w:val="center"/>
          </w:tcPr>
          <w:p w14:paraId="12A1E372">
            <w:pPr>
              <w:pStyle w:val="17"/>
              <w:bidi w:val="0"/>
              <w:rPr>
                <w:rFonts w:ascii="Times New Roman" w:hAnsi="Times New Roman"/>
                <w:color w:val="auto"/>
              </w:rPr>
            </w:pPr>
            <w:r>
              <w:rPr>
                <w:rFonts w:ascii="Times New Roman" w:hAnsi="Times New Roman"/>
                <w:color w:val="auto"/>
              </w:rPr>
              <w:t>单位经营成本（元/t）</w:t>
            </w:r>
          </w:p>
        </w:tc>
        <w:tc>
          <w:tcPr>
            <w:tcW w:w="589" w:type="pct"/>
            <w:noWrap/>
            <w:vAlign w:val="center"/>
          </w:tcPr>
          <w:p w14:paraId="679F58B0">
            <w:pPr>
              <w:pStyle w:val="17"/>
              <w:bidi w:val="0"/>
              <w:rPr>
                <w:rFonts w:ascii="Times New Roman" w:hAnsi="Times New Roman"/>
                <w:color w:val="auto"/>
              </w:rPr>
            </w:pPr>
          </w:p>
        </w:tc>
        <w:tc>
          <w:tcPr>
            <w:tcW w:w="619" w:type="pct"/>
            <w:noWrap/>
            <w:vAlign w:val="center"/>
          </w:tcPr>
          <w:p w14:paraId="671A54B1">
            <w:pPr>
              <w:pStyle w:val="17"/>
              <w:bidi w:val="0"/>
              <w:rPr>
                <w:rFonts w:ascii="Times New Roman" w:hAnsi="Times New Roman"/>
                <w:color w:val="auto"/>
              </w:rPr>
            </w:pPr>
          </w:p>
        </w:tc>
        <w:tc>
          <w:tcPr>
            <w:tcW w:w="537" w:type="pct"/>
            <w:noWrap/>
            <w:vAlign w:val="center"/>
          </w:tcPr>
          <w:p w14:paraId="782FF4B2">
            <w:pPr>
              <w:pStyle w:val="17"/>
              <w:bidi w:val="0"/>
              <w:rPr>
                <w:rFonts w:ascii="Times New Roman" w:hAnsi="Times New Roman"/>
                <w:color w:val="auto"/>
              </w:rPr>
            </w:pPr>
            <w:r>
              <w:rPr>
                <w:rFonts w:hint="eastAsia" w:ascii="Times New Roman" w:hAnsi="Times New Roman"/>
                <w:color w:val="auto"/>
              </w:rPr>
              <w:t>18.89</w:t>
            </w:r>
          </w:p>
        </w:tc>
        <w:tc>
          <w:tcPr>
            <w:tcW w:w="620" w:type="pct"/>
            <w:noWrap/>
            <w:vAlign w:val="center"/>
          </w:tcPr>
          <w:p w14:paraId="62CB4E2B">
            <w:pPr>
              <w:pStyle w:val="17"/>
              <w:bidi w:val="0"/>
              <w:rPr>
                <w:rFonts w:ascii="Times New Roman" w:hAnsi="Times New Roman"/>
                <w:color w:val="auto"/>
              </w:rPr>
            </w:pPr>
            <w:r>
              <w:rPr>
                <w:rFonts w:hint="eastAsia" w:ascii="Times New Roman" w:hAnsi="Times New Roman"/>
                <w:color w:val="auto"/>
              </w:rPr>
              <w:t>18.89</w:t>
            </w:r>
          </w:p>
        </w:tc>
        <w:tc>
          <w:tcPr>
            <w:tcW w:w="512" w:type="pct"/>
            <w:noWrap/>
            <w:vAlign w:val="center"/>
          </w:tcPr>
          <w:p w14:paraId="2C82AB0D">
            <w:pPr>
              <w:pStyle w:val="17"/>
              <w:bidi w:val="0"/>
              <w:rPr>
                <w:rFonts w:ascii="Times New Roman" w:hAnsi="Times New Roman"/>
                <w:color w:val="auto"/>
              </w:rPr>
            </w:pPr>
            <w:r>
              <w:rPr>
                <w:rFonts w:hint="eastAsia" w:ascii="Times New Roman" w:hAnsi="Times New Roman"/>
                <w:color w:val="auto"/>
              </w:rPr>
              <w:t>13.47</w:t>
            </w:r>
          </w:p>
        </w:tc>
      </w:tr>
    </w:tbl>
    <w:p w14:paraId="1CF40FAA">
      <w:pPr>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3、财务盈利能力分析</w:t>
      </w:r>
    </w:p>
    <w:p w14:paraId="5AAE0691">
      <w:pPr>
        <w:bidi w:val="0"/>
        <w:rPr>
          <w:rFonts w:hint="eastAsia" w:ascii="Times New Roman" w:hAnsi="Times New Roman"/>
          <w:color w:val="auto"/>
        </w:rPr>
      </w:pPr>
      <w:r>
        <w:rPr>
          <w:rFonts w:hint="eastAsia" w:ascii="Times New Roman" w:hAnsi="Times New Roman"/>
          <w:color w:val="auto"/>
        </w:rPr>
        <w:t>以项目每年的现金流量分析计算本项目的财务内部收益率，反映项目所占用资金的盈利能力。进行盈利能力分析的指标有财务内部收益率、财务净现值、投资回收期、投资利润率、投资利税率、资本金净利润率等。经计算，本项目主要财务盈利能力指标如下：</w:t>
      </w:r>
    </w:p>
    <w:p w14:paraId="6A23D91B">
      <w:pPr>
        <w:bidi w:val="0"/>
        <w:rPr>
          <w:rFonts w:hint="eastAsia" w:ascii="Times New Roman" w:hAnsi="Times New Roman"/>
          <w:color w:val="auto"/>
        </w:rPr>
      </w:pPr>
      <w:r>
        <w:rPr>
          <w:rFonts w:hint="eastAsia" w:ascii="Times New Roman" w:hAnsi="Times New Roman"/>
          <w:color w:val="auto"/>
        </w:rPr>
        <w:t>1、全部投资财务内部收益率：</w:t>
      </w:r>
    </w:p>
    <w:p w14:paraId="428C105A">
      <w:pPr>
        <w:bidi w:val="0"/>
        <w:rPr>
          <w:rFonts w:hint="eastAsia" w:ascii="Times New Roman" w:hAnsi="Times New Roman"/>
          <w:color w:val="auto"/>
        </w:rPr>
      </w:pPr>
      <w:r>
        <w:rPr>
          <w:rFonts w:hint="eastAsia" w:ascii="Times New Roman" w:hAnsi="Times New Roman"/>
          <w:color w:val="auto"/>
        </w:rPr>
        <w:t>所得税前：26.02%</w:t>
      </w:r>
    </w:p>
    <w:p w14:paraId="1DDBA23A">
      <w:pPr>
        <w:bidi w:val="0"/>
        <w:rPr>
          <w:rFonts w:hint="eastAsia" w:ascii="Times New Roman" w:hAnsi="Times New Roman"/>
          <w:color w:val="auto"/>
        </w:rPr>
      </w:pPr>
      <w:r>
        <w:rPr>
          <w:rFonts w:hint="eastAsia" w:ascii="Times New Roman" w:hAnsi="Times New Roman"/>
          <w:color w:val="auto"/>
        </w:rPr>
        <w:t>所得税后：37.68%</w:t>
      </w:r>
    </w:p>
    <w:p w14:paraId="05CD1217">
      <w:pPr>
        <w:bidi w:val="0"/>
        <w:rPr>
          <w:rFonts w:hint="eastAsia" w:ascii="Times New Roman" w:hAnsi="Times New Roman"/>
          <w:color w:val="auto"/>
        </w:rPr>
      </w:pPr>
      <w:r>
        <w:rPr>
          <w:rFonts w:hint="eastAsia" w:ascii="Times New Roman" w:hAnsi="Times New Roman"/>
          <w:color w:val="auto"/>
        </w:rPr>
        <w:t>2、全部投资财务净现值（I=8%）：</w:t>
      </w:r>
    </w:p>
    <w:p w14:paraId="3DE7374E">
      <w:pPr>
        <w:bidi w:val="0"/>
        <w:rPr>
          <w:rFonts w:hint="eastAsia" w:ascii="Times New Roman" w:hAnsi="Times New Roman"/>
          <w:color w:val="auto"/>
        </w:rPr>
      </w:pPr>
      <w:r>
        <w:rPr>
          <w:rFonts w:hint="eastAsia" w:ascii="Times New Roman" w:hAnsi="Times New Roman"/>
          <w:color w:val="auto"/>
        </w:rPr>
        <w:t>所得税前：1096.05万元</w:t>
      </w:r>
    </w:p>
    <w:p w14:paraId="780A35CD">
      <w:pPr>
        <w:bidi w:val="0"/>
        <w:rPr>
          <w:rFonts w:hint="eastAsia" w:ascii="Times New Roman" w:hAnsi="Times New Roman"/>
          <w:color w:val="auto"/>
        </w:rPr>
      </w:pPr>
      <w:r>
        <w:rPr>
          <w:rFonts w:hint="eastAsia" w:ascii="Times New Roman" w:hAnsi="Times New Roman"/>
          <w:color w:val="auto"/>
        </w:rPr>
        <w:t>所得税后：650.78万元</w:t>
      </w:r>
    </w:p>
    <w:p w14:paraId="59CD2BA3">
      <w:pPr>
        <w:bidi w:val="0"/>
        <w:rPr>
          <w:rFonts w:hint="eastAsia" w:ascii="Times New Roman" w:hAnsi="Times New Roman"/>
          <w:color w:val="auto"/>
        </w:rPr>
      </w:pPr>
      <w:r>
        <w:rPr>
          <w:rFonts w:hint="eastAsia" w:ascii="Times New Roman" w:hAnsi="Times New Roman"/>
          <w:color w:val="auto"/>
        </w:rPr>
        <w:t>3、投资回收期：</w:t>
      </w:r>
    </w:p>
    <w:p w14:paraId="255E202D">
      <w:pPr>
        <w:bidi w:val="0"/>
        <w:rPr>
          <w:rFonts w:hint="eastAsia" w:ascii="Times New Roman" w:hAnsi="Times New Roman"/>
          <w:color w:val="auto"/>
        </w:rPr>
      </w:pPr>
      <w:r>
        <w:rPr>
          <w:rFonts w:hint="eastAsia" w:ascii="Times New Roman" w:hAnsi="Times New Roman"/>
          <w:color w:val="auto"/>
        </w:rPr>
        <w:t>所得税前：3.17年</w:t>
      </w:r>
    </w:p>
    <w:p w14:paraId="4EE6BD5F">
      <w:pPr>
        <w:bidi w:val="0"/>
        <w:rPr>
          <w:rFonts w:hint="eastAsia" w:ascii="Times New Roman" w:hAnsi="Times New Roman"/>
          <w:color w:val="auto"/>
        </w:rPr>
      </w:pPr>
      <w:r>
        <w:rPr>
          <w:rFonts w:hint="eastAsia" w:ascii="Times New Roman" w:hAnsi="Times New Roman"/>
          <w:color w:val="auto"/>
        </w:rPr>
        <w:t>所得税后：3.53年</w:t>
      </w:r>
    </w:p>
    <w:p w14:paraId="6C2DD541">
      <w:pPr>
        <w:bidi w:val="0"/>
        <w:rPr>
          <w:rFonts w:hint="eastAsia" w:ascii="Times New Roman" w:hAnsi="Times New Roman"/>
          <w:color w:val="auto"/>
        </w:rPr>
      </w:pPr>
      <w:r>
        <w:rPr>
          <w:rFonts w:hint="eastAsia" w:ascii="Times New Roman" w:hAnsi="Times New Roman"/>
          <w:color w:val="auto"/>
        </w:rPr>
        <w:t>4、总投资收益率：22.94%</w:t>
      </w:r>
    </w:p>
    <w:p w14:paraId="6ABF2C17">
      <w:pPr>
        <w:bidi w:val="0"/>
        <w:rPr>
          <w:rFonts w:hint="eastAsia" w:ascii="Times New Roman" w:hAnsi="Times New Roman"/>
          <w:color w:val="auto"/>
        </w:rPr>
      </w:pPr>
      <w:r>
        <w:rPr>
          <w:rFonts w:hint="eastAsia" w:ascii="Times New Roman" w:hAnsi="Times New Roman"/>
          <w:color w:val="auto"/>
        </w:rPr>
        <w:t>5、资本金净利润率：26.17%</w:t>
      </w:r>
    </w:p>
    <w:p w14:paraId="21FE12F7">
      <w:pPr>
        <w:bidi w:val="0"/>
        <w:rPr>
          <w:rFonts w:hint="eastAsia" w:ascii="Times New Roman" w:hAnsi="Times New Roman"/>
          <w:color w:val="auto"/>
        </w:rPr>
      </w:pPr>
      <w:r>
        <w:rPr>
          <w:rFonts w:hint="eastAsia" w:ascii="Times New Roman" w:hAnsi="Times New Roman"/>
          <w:color w:val="auto"/>
        </w:rPr>
        <w:t>从以上指标来看，本项目有一定的财务效益，在同行业中属较好水平。</w:t>
      </w:r>
    </w:p>
    <w:p w14:paraId="7467D28A">
      <w:pPr>
        <w:rPr>
          <w:rFonts w:ascii="Times New Roman" w:hAnsi="Times New Roman"/>
          <w:color w:val="auto"/>
        </w:rPr>
      </w:pPr>
      <w:r>
        <w:rPr>
          <w:rFonts w:ascii="Times New Roman" w:hAnsi="Times New Roman"/>
          <w:color w:val="auto"/>
        </w:rPr>
        <w:br w:type="page"/>
      </w:r>
    </w:p>
    <w:p w14:paraId="1943DD4C">
      <w:pPr>
        <w:pStyle w:val="2"/>
        <w:bidi w:val="0"/>
        <w:rPr>
          <w:rFonts w:hint="eastAsia" w:ascii="Times New Roman" w:hAnsi="Times New Roman"/>
          <w:color w:val="auto"/>
        </w:rPr>
      </w:pPr>
      <w:bookmarkStart w:id="97" w:name="_Toc20355"/>
      <w:r>
        <w:rPr>
          <w:rFonts w:hint="eastAsia" w:ascii="Times New Roman" w:hAnsi="Times New Roman"/>
          <w:color w:val="auto"/>
        </w:rPr>
        <w:t>3</w:t>
      </w:r>
      <w:r>
        <w:rPr>
          <w:rFonts w:hint="eastAsia" w:ascii="Times New Roman" w:hAnsi="Times New Roman"/>
          <w:color w:val="auto"/>
          <w:lang w:val="en-US" w:eastAsia="zh-CN"/>
        </w:rPr>
        <w:t xml:space="preserve"> </w:t>
      </w:r>
      <w:r>
        <w:rPr>
          <w:rFonts w:hint="eastAsia" w:ascii="Times New Roman" w:hAnsi="Times New Roman"/>
          <w:color w:val="auto"/>
        </w:rPr>
        <w:t>定性定量评价</w:t>
      </w:r>
      <w:bookmarkEnd w:id="97"/>
    </w:p>
    <w:p w14:paraId="317F0F18">
      <w:pPr>
        <w:bidi w:val="0"/>
        <w:rPr>
          <w:rFonts w:hint="eastAsia" w:ascii="Times New Roman" w:hAnsi="Times New Roman"/>
          <w:color w:val="auto"/>
        </w:rPr>
      </w:pPr>
      <w:r>
        <w:rPr>
          <w:rFonts w:hint="eastAsia" w:ascii="Times New Roman" w:hAnsi="Times New Roman"/>
          <w:color w:val="auto"/>
        </w:rPr>
        <w:t>根据</w:t>
      </w:r>
      <w:r>
        <w:rPr>
          <w:rFonts w:hint="eastAsia" w:ascii="Times New Roman" w:hAnsi="Times New Roman"/>
          <w:color w:val="auto"/>
          <w:lang w:eastAsia="zh-CN"/>
        </w:rPr>
        <w:t>昭阳区文辉矿业有限公司洒渔大桥石灰岩矿70万t/a露天采矿工程</w:t>
      </w:r>
      <w:r>
        <w:rPr>
          <w:rFonts w:hint="eastAsia" w:ascii="Times New Roman" w:hAnsi="Times New Roman"/>
          <w:color w:val="auto"/>
        </w:rPr>
        <w:t>已提供的有关技术资料和现场调查、类比调查结果，以及设计方案所固有的系统特点，在对该建设项目主要危险因素分析的基础上，遵循突出重点、抓主要环节的原则，按照系统分析中自上而下逐步分解的原理，将整个评价对象首先划分为若干子系统，再将各子系统划分为不同的单元，对复杂的和重要的单元进一步划分为数个子单元，以此确保评价过程的系统性、完整性和针对性。</w:t>
      </w:r>
    </w:p>
    <w:p w14:paraId="4AB4AF83">
      <w:pPr>
        <w:bidi w:val="0"/>
        <w:rPr>
          <w:rFonts w:hint="eastAsia" w:ascii="Times New Roman" w:hAnsi="Times New Roman"/>
          <w:color w:val="auto"/>
        </w:rPr>
      </w:pPr>
      <w:r>
        <w:rPr>
          <w:rFonts w:hint="eastAsia" w:ascii="Times New Roman" w:hAnsi="Times New Roman"/>
          <w:color w:val="auto"/>
        </w:rPr>
        <w:t>本报告根据《国家安全监管总局关于印发金属非金属矿山建设项目安全评价报告编写提纲的通知》（原安监总管一〔2016〕49号），并结合该矿山危险、有害因素的性质和主要危险、有害因素的分布情况，划分为7个单元进行评价，见表3.1-1。</w:t>
      </w:r>
    </w:p>
    <w:p w14:paraId="55A3118D">
      <w:pPr>
        <w:pStyle w:val="16"/>
        <w:bidi w:val="0"/>
        <w:rPr>
          <w:rFonts w:hint="eastAsia" w:ascii="Times New Roman" w:hAnsi="Times New Roman"/>
          <w:color w:val="auto"/>
        </w:rPr>
      </w:pPr>
      <w:r>
        <w:rPr>
          <w:rFonts w:hint="eastAsia" w:ascii="Times New Roman" w:hAnsi="Times New Roman"/>
          <w:color w:val="auto"/>
        </w:rPr>
        <w:t>表3.1-1  评价单元划分表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411"/>
        <w:gridCol w:w="2257"/>
        <w:gridCol w:w="4886"/>
      </w:tblGrid>
      <w:tr w14:paraId="670B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blHeader/>
          <w:jc w:val="center"/>
        </w:trPr>
        <w:tc>
          <w:tcPr>
            <w:tcW w:w="446" w:type="pct"/>
            <w:noWrap w:val="0"/>
            <w:vAlign w:val="center"/>
          </w:tcPr>
          <w:p w14:paraId="24D92AC9">
            <w:pPr>
              <w:pStyle w:val="17"/>
              <w:bidi w:val="0"/>
              <w:rPr>
                <w:rFonts w:ascii="Times New Roman" w:hAnsi="Times New Roman"/>
                <w:b/>
                <w:bCs/>
                <w:color w:val="auto"/>
              </w:rPr>
            </w:pPr>
            <w:r>
              <w:rPr>
                <w:rFonts w:ascii="Times New Roman" w:hAnsi="Times New Roman"/>
                <w:b/>
                <w:bCs/>
                <w:color w:val="auto"/>
              </w:rPr>
              <w:t>序号</w:t>
            </w:r>
          </w:p>
        </w:tc>
        <w:tc>
          <w:tcPr>
            <w:tcW w:w="1952" w:type="pct"/>
            <w:gridSpan w:val="2"/>
            <w:noWrap w:val="0"/>
            <w:vAlign w:val="center"/>
          </w:tcPr>
          <w:p w14:paraId="3670B695">
            <w:pPr>
              <w:pStyle w:val="17"/>
              <w:bidi w:val="0"/>
              <w:rPr>
                <w:rFonts w:ascii="Times New Roman" w:hAnsi="Times New Roman"/>
                <w:b/>
                <w:bCs/>
                <w:color w:val="auto"/>
              </w:rPr>
            </w:pPr>
            <w:r>
              <w:rPr>
                <w:rFonts w:ascii="Times New Roman" w:hAnsi="Times New Roman"/>
                <w:b/>
                <w:bCs/>
                <w:color w:val="auto"/>
              </w:rPr>
              <w:t>评价单元划分</w:t>
            </w:r>
          </w:p>
        </w:tc>
        <w:tc>
          <w:tcPr>
            <w:tcW w:w="2600" w:type="pct"/>
            <w:noWrap w:val="0"/>
            <w:vAlign w:val="center"/>
          </w:tcPr>
          <w:p w14:paraId="50B5F246">
            <w:pPr>
              <w:pStyle w:val="17"/>
              <w:bidi w:val="0"/>
              <w:rPr>
                <w:rFonts w:ascii="Times New Roman" w:hAnsi="Times New Roman"/>
                <w:b/>
                <w:bCs/>
                <w:color w:val="auto"/>
              </w:rPr>
            </w:pPr>
            <w:r>
              <w:rPr>
                <w:rFonts w:ascii="Times New Roman" w:hAnsi="Times New Roman"/>
                <w:b/>
                <w:bCs/>
                <w:color w:val="auto"/>
              </w:rPr>
              <w:t>评价方法</w:t>
            </w:r>
          </w:p>
        </w:tc>
      </w:tr>
      <w:tr w14:paraId="7068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46" w:type="pct"/>
            <w:noWrap w:val="0"/>
            <w:vAlign w:val="center"/>
          </w:tcPr>
          <w:p w14:paraId="2BBC6291">
            <w:pPr>
              <w:pStyle w:val="17"/>
              <w:bidi w:val="0"/>
              <w:rPr>
                <w:rFonts w:ascii="Times New Roman" w:hAnsi="Times New Roman"/>
                <w:color w:val="auto"/>
              </w:rPr>
            </w:pPr>
            <w:r>
              <w:rPr>
                <w:rFonts w:ascii="Times New Roman" w:hAnsi="Times New Roman"/>
                <w:color w:val="auto"/>
              </w:rPr>
              <w:t>1</w:t>
            </w:r>
          </w:p>
        </w:tc>
        <w:tc>
          <w:tcPr>
            <w:tcW w:w="1952" w:type="pct"/>
            <w:gridSpan w:val="2"/>
            <w:noWrap w:val="0"/>
            <w:vAlign w:val="center"/>
          </w:tcPr>
          <w:p w14:paraId="705815B5">
            <w:pPr>
              <w:pStyle w:val="17"/>
              <w:bidi w:val="0"/>
              <w:rPr>
                <w:rFonts w:ascii="Times New Roman" w:hAnsi="Times New Roman"/>
                <w:color w:val="auto"/>
              </w:rPr>
            </w:pPr>
            <w:r>
              <w:rPr>
                <w:rFonts w:ascii="Times New Roman" w:hAnsi="Times New Roman"/>
                <w:color w:val="auto"/>
              </w:rPr>
              <w:t>总平面布置单元</w:t>
            </w:r>
          </w:p>
        </w:tc>
        <w:tc>
          <w:tcPr>
            <w:tcW w:w="2600" w:type="pct"/>
            <w:noWrap w:val="0"/>
            <w:vAlign w:val="center"/>
          </w:tcPr>
          <w:p w14:paraId="0CAA14AE">
            <w:pPr>
              <w:pStyle w:val="17"/>
              <w:bidi w:val="0"/>
              <w:rPr>
                <w:rFonts w:ascii="Times New Roman" w:hAnsi="Times New Roman"/>
                <w:color w:val="auto"/>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r>
              <w:rPr>
                <w:rFonts w:ascii="Times New Roman" w:hAnsi="Times New Roman"/>
                <w:color w:val="auto"/>
              </w:rPr>
              <w:t>、安全检查表</w:t>
            </w:r>
          </w:p>
        </w:tc>
      </w:tr>
      <w:tr w14:paraId="080D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446" w:type="pct"/>
            <w:noWrap w:val="0"/>
            <w:vAlign w:val="center"/>
          </w:tcPr>
          <w:p w14:paraId="6545E97A">
            <w:pPr>
              <w:pStyle w:val="17"/>
              <w:bidi w:val="0"/>
              <w:rPr>
                <w:rFonts w:ascii="Times New Roman" w:hAnsi="Times New Roman"/>
                <w:color w:val="auto"/>
              </w:rPr>
            </w:pPr>
            <w:r>
              <w:rPr>
                <w:rFonts w:ascii="Times New Roman" w:hAnsi="Times New Roman"/>
                <w:color w:val="auto"/>
              </w:rPr>
              <w:t>2</w:t>
            </w:r>
          </w:p>
        </w:tc>
        <w:tc>
          <w:tcPr>
            <w:tcW w:w="1952" w:type="pct"/>
            <w:gridSpan w:val="2"/>
            <w:noWrap w:val="0"/>
            <w:vAlign w:val="center"/>
          </w:tcPr>
          <w:p w14:paraId="457BE67B">
            <w:pPr>
              <w:pStyle w:val="17"/>
              <w:bidi w:val="0"/>
              <w:rPr>
                <w:rFonts w:ascii="Times New Roman" w:hAnsi="Times New Roman"/>
                <w:color w:val="auto"/>
              </w:rPr>
            </w:pPr>
            <w:r>
              <w:rPr>
                <w:rFonts w:ascii="Times New Roman" w:hAnsi="Times New Roman"/>
                <w:color w:val="auto"/>
              </w:rPr>
              <w:t>开拓运输单元</w:t>
            </w:r>
          </w:p>
        </w:tc>
        <w:tc>
          <w:tcPr>
            <w:tcW w:w="2600" w:type="pct"/>
            <w:noWrap w:val="0"/>
            <w:vAlign w:val="center"/>
          </w:tcPr>
          <w:p w14:paraId="4592CAE5">
            <w:pPr>
              <w:pStyle w:val="17"/>
              <w:bidi w:val="0"/>
              <w:rPr>
                <w:rFonts w:ascii="Times New Roman" w:hAnsi="Times New Roman"/>
                <w:color w:val="auto"/>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r>
              <w:rPr>
                <w:rFonts w:ascii="Times New Roman" w:hAnsi="Times New Roman"/>
                <w:color w:val="auto"/>
              </w:rPr>
              <w:t>、安全检查表</w:t>
            </w:r>
          </w:p>
        </w:tc>
      </w:tr>
      <w:tr w14:paraId="3E40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446" w:type="pct"/>
            <w:vMerge w:val="restart"/>
            <w:noWrap w:val="0"/>
            <w:vAlign w:val="center"/>
          </w:tcPr>
          <w:p w14:paraId="2FEE4E35">
            <w:pPr>
              <w:pStyle w:val="17"/>
              <w:bidi w:val="0"/>
              <w:rPr>
                <w:rFonts w:ascii="Times New Roman" w:hAnsi="Times New Roman"/>
                <w:color w:val="auto"/>
              </w:rPr>
            </w:pPr>
            <w:r>
              <w:rPr>
                <w:rFonts w:ascii="Times New Roman" w:hAnsi="Times New Roman"/>
                <w:color w:val="auto"/>
              </w:rPr>
              <w:t>3</w:t>
            </w:r>
          </w:p>
        </w:tc>
        <w:tc>
          <w:tcPr>
            <w:tcW w:w="751" w:type="pct"/>
            <w:vMerge w:val="restart"/>
            <w:noWrap w:val="0"/>
            <w:vAlign w:val="center"/>
          </w:tcPr>
          <w:p w14:paraId="12D3698B">
            <w:pPr>
              <w:pStyle w:val="17"/>
              <w:bidi w:val="0"/>
              <w:rPr>
                <w:rFonts w:ascii="Times New Roman" w:hAnsi="Times New Roman"/>
                <w:color w:val="auto"/>
              </w:rPr>
            </w:pPr>
            <w:r>
              <w:rPr>
                <w:rFonts w:ascii="Times New Roman" w:hAnsi="Times New Roman"/>
                <w:color w:val="auto"/>
              </w:rPr>
              <w:t>采剥单元</w:t>
            </w:r>
          </w:p>
        </w:tc>
        <w:tc>
          <w:tcPr>
            <w:tcW w:w="1201" w:type="pct"/>
            <w:noWrap w:val="0"/>
            <w:vAlign w:val="center"/>
          </w:tcPr>
          <w:p w14:paraId="54D93B9A">
            <w:pPr>
              <w:pStyle w:val="17"/>
              <w:bidi w:val="0"/>
              <w:rPr>
                <w:rFonts w:ascii="Times New Roman" w:hAnsi="Times New Roman"/>
                <w:color w:val="auto"/>
              </w:rPr>
            </w:pPr>
            <w:r>
              <w:rPr>
                <w:rFonts w:ascii="Times New Roman" w:hAnsi="Times New Roman"/>
                <w:color w:val="auto"/>
              </w:rPr>
              <w:t>露天采场子单元</w:t>
            </w:r>
          </w:p>
        </w:tc>
        <w:tc>
          <w:tcPr>
            <w:tcW w:w="2600" w:type="pct"/>
            <w:noWrap w:val="0"/>
            <w:vAlign w:val="center"/>
          </w:tcPr>
          <w:p w14:paraId="5B4CAB30">
            <w:pPr>
              <w:pStyle w:val="17"/>
              <w:bidi w:val="0"/>
              <w:rPr>
                <w:rFonts w:hint="eastAsia" w:ascii="Times New Roman" w:hAnsi="Times New Roman" w:eastAsia="宋体"/>
                <w:color w:val="auto"/>
                <w:lang w:eastAsia="zh-CN"/>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r>
              <w:rPr>
                <w:rFonts w:ascii="Times New Roman" w:hAnsi="Times New Roman"/>
                <w:color w:val="auto"/>
              </w:rPr>
              <w:t>、鱼刺图分析法、事故树分析法</w:t>
            </w:r>
            <w:r>
              <w:rPr>
                <w:rFonts w:hint="eastAsia" w:ascii="Times New Roman" w:hAnsi="Times New Roman"/>
                <w:color w:val="auto"/>
                <w:lang w:eastAsia="zh-CN"/>
              </w:rPr>
              <w:t>（</w:t>
            </w:r>
            <w:r>
              <w:rPr>
                <w:rFonts w:ascii="Times New Roman" w:hAnsi="Times New Roman"/>
                <w:color w:val="auto"/>
              </w:rPr>
              <w:t>FTA</w:t>
            </w:r>
            <w:r>
              <w:rPr>
                <w:rFonts w:hint="eastAsia" w:ascii="Times New Roman" w:hAnsi="Times New Roman"/>
                <w:color w:val="auto"/>
                <w:lang w:eastAsia="zh-CN"/>
              </w:rPr>
              <w:t>）</w:t>
            </w:r>
            <w:r>
              <w:rPr>
                <w:rFonts w:ascii="Times New Roman" w:hAnsi="Times New Roman"/>
                <w:color w:val="auto"/>
              </w:rPr>
              <w:t>、安全检查表分析法</w:t>
            </w:r>
            <w:r>
              <w:rPr>
                <w:rFonts w:hint="eastAsia" w:ascii="Times New Roman" w:hAnsi="Times New Roman"/>
                <w:color w:val="auto"/>
                <w:lang w:eastAsia="zh-CN"/>
              </w:rPr>
              <w:t>（</w:t>
            </w:r>
            <w:r>
              <w:rPr>
                <w:rFonts w:ascii="Times New Roman" w:hAnsi="Times New Roman"/>
                <w:color w:val="auto"/>
              </w:rPr>
              <w:t>SCL</w:t>
            </w:r>
            <w:r>
              <w:rPr>
                <w:rFonts w:hint="eastAsia" w:ascii="Times New Roman" w:hAnsi="Times New Roman"/>
                <w:color w:val="auto"/>
                <w:lang w:eastAsia="zh-CN"/>
              </w:rPr>
              <w:t>）</w:t>
            </w:r>
          </w:p>
        </w:tc>
      </w:tr>
      <w:tr w14:paraId="343A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446" w:type="pct"/>
            <w:vMerge w:val="continue"/>
            <w:noWrap w:val="0"/>
            <w:vAlign w:val="center"/>
          </w:tcPr>
          <w:p w14:paraId="24E8BD61">
            <w:pPr>
              <w:pStyle w:val="17"/>
              <w:bidi w:val="0"/>
              <w:rPr>
                <w:rFonts w:ascii="Times New Roman" w:hAnsi="Times New Roman"/>
                <w:color w:val="auto"/>
              </w:rPr>
            </w:pPr>
          </w:p>
        </w:tc>
        <w:tc>
          <w:tcPr>
            <w:tcW w:w="751" w:type="pct"/>
            <w:vMerge w:val="continue"/>
            <w:noWrap w:val="0"/>
            <w:vAlign w:val="center"/>
          </w:tcPr>
          <w:p w14:paraId="76787238">
            <w:pPr>
              <w:pStyle w:val="17"/>
              <w:bidi w:val="0"/>
              <w:rPr>
                <w:rFonts w:ascii="Times New Roman" w:hAnsi="Times New Roman"/>
                <w:color w:val="auto"/>
              </w:rPr>
            </w:pPr>
          </w:p>
        </w:tc>
        <w:tc>
          <w:tcPr>
            <w:tcW w:w="1201" w:type="pct"/>
            <w:noWrap w:val="0"/>
            <w:vAlign w:val="center"/>
          </w:tcPr>
          <w:p w14:paraId="7870F412">
            <w:pPr>
              <w:pStyle w:val="17"/>
              <w:bidi w:val="0"/>
              <w:rPr>
                <w:rFonts w:ascii="Times New Roman" w:hAnsi="Times New Roman"/>
                <w:color w:val="auto"/>
              </w:rPr>
            </w:pPr>
            <w:r>
              <w:rPr>
                <w:rFonts w:ascii="Times New Roman" w:hAnsi="Times New Roman"/>
                <w:color w:val="auto"/>
              </w:rPr>
              <w:t>穿孔爆破子单元</w:t>
            </w:r>
          </w:p>
        </w:tc>
        <w:tc>
          <w:tcPr>
            <w:tcW w:w="2600" w:type="pct"/>
            <w:noWrap w:val="0"/>
            <w:vAlign w:val="center"/>
          </w:tcPr>
          <w:p w14:paraId="1C1582FB">
            <w:pPr>
              <w:pStyle w:val="17"/>
              <w:bidi w:val="0"/>
              <w:rPr>
                <w:rFonts w:ascii="Times New Roman" w:hAnsi="Times New Roman"/>
                <w:color w:val="auto"/>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r>
              <w:rPr>
                <w:rFonts w:ascii="Times New Roman" w:hAnsi="Times New Roman"/>
                <w:color w:val="auto"/>
              </w:rPr>
              <w:t>、鱼刺图分析法</w:t>
            </w:r>
          </w:p>
        </w:tc>
      </w:tr>
      <w:tr w14:paraId="6ED5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446" w:type="pct"/>
            <w:vMerge w:val="continue"/>
            <w:noWrap w:val="0"/>
            <w:vAlign w:val="center"/>
          </w:tcPr>
          <w:p w14:paraId="1EA2DA08">
            <w:pPr>
              <w:pStyle w:val="17"/>
              <w:bidi w:val="0"/>
              <w:rPr>
                <w:rFonts w:ascii="Times New Roman" w:hAnsi="Times New Roman"/>
                <w:color w:val="auto"/>
              </w:rPr>
            </w:pPr>
          </w:p>
        </w:tc>
        <w:tc>
          <w:tcPr>
            <w:tcW w:w="751" w:type="pct"/>
            <w:vMerge w:val="continue"/>
            <w:noWrap w:val="0"/>
            <w:vAlign w:val="center"/>
          </w:tcPr>
          <w:p w14:paraId="1C63CB65">
            <w:pPr>
              <w:pStyle w:val="17"/>
              <w:bidi w:val="0"/>
              <w:rPr>
                <w:rFonts w:ascii="Times New Roman" w:hAnsi="Times New Roman"/>
                <w:color w:val="auto"/>
              </w:rPr>
            </w:pPr>
          </w:p>
        </w:tc>
        <w:tc>
          <w:tcPr>
            <w:tcW w:w="1201" w:type="pct"/>
            <w:noWrap w:val="0"/>
            <w:vAlign w:val="center"/>
          </w:tcPr>
          <w:p w14:paraId="1B4B7A02">
            <w:pPr>
              <w:pStyle w:val="17"/>
              <w:bidi w:val="0"/>
              <w:rPr>
                <w:rFonts w:ascii="Times New Roman" w:hAnsi="Times New Roman"/>
                <w:color w:val="auto"/>
              </w:rPr>
            </w:pPr>
            <w:r>
              <w:rPr>
                <w:rFonts w:ascii="Times New Roman" w:hAnsi="Times New Roman"/>
                <w:color w:val="auto"/>
              </w:rPr>
              <w:t>铲装运输子单元</w:t>
            </w:r>
          </w:p>
        </w:tc>
        <w:tc>
          <w:tcPr>
            <w:tcW w:w="2600" w:type="pct"/>
            <w:noWrap w:val="0"/>
            <w:vAlign w:val="center"/>
          </w:tcPr>
          <w:p w14:paraId="088F644C">
            <w:pPr>
              <w:pStyle w:val="17"/>
              <w:bidi w:val="0"/>
              <w:rPr>
                <w:rFonts w:hint="eastAsia" w:ascii="Times New Roman" w:hAnsi="Times New Roman" w:eastAsia="宋体"/>
                <w:color w:val="auto"/>
                <w:lang w:eastAsia="zh-CN"/>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p>
        </w:tc>
      </w:tr>
      <w:tr w14:paraId="219F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noWrap w:val="0"/>
            <w:vAlign w:val="center"/>
          </w:tcPr>
          <w:p w14:paraId="3645148C">
            <w:pPr>
              <w:pStyle w:val="17"/>
              <w:bidi w:val="0"/>
              <w:rPr>
                <w:rFonts w:ascii="Times New Roman" w:hAnsi="Times New Roman"/>
                <w:color w:val="auto"/>
              </w:rPr>
            </w:pPr>
            <w:r>
              <w:rPr>
                <w:rFonts w:ascii="Times New Roman" w:hAnsi="Times New Roman"/>
                <w:color w:val="auto"/>
              </w:rPr>
              <w:t>4</w:t>
            </w:r>
          </w:p>
        </w:tc>
        <w:tc>
          <w:tcPr>
            <w:tcW w:w="1952" w:type="pct"/>
            <w:gridSpan w:val="2"/>
            <w:noWrap w:val="0"/>
            <w:vAlign w:val="center"/>
          </w:tcPr>
          <w:p w14:paraId="0AC917B2">
            <w:pPr>
              <w:pStyle w:val="17"/>
              <w:bidi w:val="0"/>
              <w:rPr>
                <w:rFonts w:ascii="Times New Roman" w:hAnsi="Times New Roman"/>
                <w:color w:val="auto"/>
              </w:rPr>
            </w:pPr>
            <w:r>
              <w:rPr>
                <w:rFonts w:ascii="Times New Roman" w:hAnsi="Times New Roman"/>
                <w:color w:val="auto"/>
              </w:rPr>
              <w:t>矿山供配电设施单元</w:t>
            </w:r>
          </w:p>
        </w:tc>
        <w:tc>
          <w:tcPr>
            <w:tcW w:w="2600" w:type="pct"/>
            <w:noWrap w:val="0"/>
            <w:vAlign w:val="center"/>
          </w:tcPr>
          <w:p w14:paraId="688DB629">
            <w:pPr>
              <w:pStyle w:val="17"/>
              <w:bidi w:val="0"/>
              <w:rPr>
                <w:rFonts w:ascii="Times New Roman" w:hAnsi="Times New Roman"/>
                <w:color w:val="auto"/>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r>
              <w:rPr>
                <w:rFonts w:ascii="Times New Roman" w:hAnsi="Times New Roman"/>
                <w:color w:val="auto"/>
              </w:rPr>
              <w:t>、安全检查表</w:t>
            </w:r>
          </w:p>
        </w:tc>
      </w:tr>
      <w:tr w14:paraId="10EC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noWrap w:val="0"/>
            <w:vAlign w:val="center"/>
          </w:tcPr>
          <w:p w14:paraId="4E117215">
            <w:pPr>
              <w:pStyle w:val="17"/>
              <w:bidi w:val="0"/>
              <w:rPr>
                <w:rFonts w:ascii="Times New Roman" w:hAnsi="Times New Roman"/>
                <w:color w:val="auto"/>
              </w:rPr>
            </w:pPr>
            <w:r>
              <w:rPr>
                <w:rFonts w:ascii="Times New Roman" w:hAnsi="Times New Roman"/>
                <w:color w:val="auto"/>
              </w:rPr>
              <w:t>5</w:t>
            </w:r>
          </w:p>
        </w:tc>
        <w:tc>
          <w:tcPr>
            <w:tcW w:w="1952" w:type="pct"/>
            <w:gridSpan w:val="2"/>
            <w:noWrap w:val="0"/>
            <w:vAlign w:val="center"/>
          </w:tcPr>
          <w:p w14:paraId="31E2962A">
            <w:pPr>
              <w:pStyle w:val="17"/>
              <w:bidi w:val="0"/>
              <w:rPr>
                <w:rFonts w:ascii="Times New Roman" w:hAnsi="Times New Roman"/>
                <w:color w:val="auto"/>
              </w:rPr>
            </w:pPr>
            <w:r>
              <w:rPr>
                <w:rFonts w:ascii="Times New Roman" w:hAnsi="Times New Roman"/>
                <w:color w:val="auto"/>
              </w:rPr>
              <w:t>防排水</w:t>
            </w:r>
            <w:r>
              <w:rPr>
                <w:rFonts w:hint="eastAsia" w:ascii="Times New Roman" w:hAnsi="Times New Roman"/>
                <w:color w:val="auto"/>
                <w:lang w:val="en-US" w:eastAsia="zh-CN"/>
              </w:rPr>
              <w:t>与防灭火</w:t>
            </w:r>
            <w:r>
              <w:rPr>
                <w:rFonts w:ascii="Times New Roman" w:hAnsi="Times New Roman"/>
                <w:color w:val="auto"/>
              </w:rPr>
              <w:t>单元</w:t>
            </w:r>
          </w:p>
        </w:tc>
        <w:tc>
          <w:tcPr>
            <w:tcW w:w="2600" w:type="pct"/>
            <w:noWrap w:val="0"/>
            <w:vAlign w:val="center"/>
          </w:tcPr>
          <w:p w14:paraId="6E07E947">
            <w:pPr>
              <w:pStyle w:val="17"/>
              <w:bidi w:val="0"/>
              <w:rPr>
                <w:rFonts w:ascii="Times New Roman" w:hAnsi="Times New Roman"/>
                <w:color w:val="auto"/>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r>
              <w:rPr>
                <w:rFonts w:ascii="Times New Roman" w:hAnsi="Times New Roman"/>
                <w:color w:val="auto"/>
              </w:rPr>
              <w:t>、安全检查表</w:t>
            </w:r>
          </w:p>
        </w:tc>
      </w:tr>
      <w:tr w14:paraId="5E4C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46" w:type="pct"/>
            <w:noWrap w:val="0"/>
            <w:vAlign w:val="center"/>
          </w:tcPr>
          <w:p w14:paraId="4A3D9188">
            <w:pPr>
              <w:pStyle w:val="17"/>
              <w:bidi w:val="0"/>
              <w:rPr>
                <w:rFonts w:ascii="Times New Roman" w:hAnsi="Times New Roman"/>
                <w:color w:val="auto"/>
              </w:rPr>
            </w:pPr>
            <w:r>
              <w:rPr>
                <w:rFonts w:hint="eastAsia" w:ascii="Times New Roman" w:hAnsi="Times New Roman"/>
                <w:color w:val="auto"/>
                <w:lang w:val="en-US" w:eastAsia="zh-CN"/>
              </w:rPr>
              <w:t>6</w:t>
            </w:r>
          </w:p>
        </w:tc>
        <w:tc>
          <w:tcPr>
            <w:tcW w:w="1952" w:type="pct"/>
            <w:gridSpan w:val="2"/>
            <w:noWrap w:val="0"/>
            <w:vAlign w:val="center"/>
          </w:tcPr>
          <w:p w14:paraId="2CE6C5E5">
            <w:pPr>
              <w:pStyle w:val="17"/>
              <w:bidi w:val="0"/>
              <w:rPr>
                <w:rFonts w:ascii="Times New Roman" w:hAnsi="Times New Roman"/>
                <w:color w:val="auto"/>
              </w:rPr>
            </w:pPr>
            <w:r>
              <w:rPr>
                <w:rFonts w:ascii="Times New Roman" w:hAnsi="Times New Roman"/>
                <w:color w:val="auto"/>
              </w:rPr>
              <w:t>安全管理及其他单元</w:t>
            </w:r>
          </w:p>
        </w:tc>
        <w:tc>
          <w:tcPr>
            <w:tcW w:w="2600" w:type="pct"/>
            <w:noWrap w:val="0"/>
            <w:vAlign w:val="center"/>
          </w:tcPr>
          <w:p w14:paraId="3E53CCE0">
            <w:pPr>
              <w:pStyle w:val="17"/>
              <w:bidi w:val="0"/>
              <w:rPr>
                <w:rFonts w:hint="eastAsia" w:ascii="Times New Roman" w:hAnsi="Times New Roman" w:eastAsia="宋体"/>
                <w:color w:val="auto"/>
                <w:lang w:eastAsia="zh-CN"/>
              </w:rPr>
            </w:pPr>
            <w:r>
              <w:rPr>
                <w:rFonts w:ascii="Times New Roman" w:hAnsi="Times New Roman"/>
                <w:color w:val="auto"/>
              </w:rPr>
              <w:t>预先危险性分析法</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p>
        </w:tc>
      </w:tr>
      <w:tr w14:paraId="5B91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46" w:type="pct"/>
            <w:noWrap w:val="0"/>
            <w:vAlign w:val="center"/>
          </w:tcPr>
          <w:p w14:paraId="503AE6BD">
            <w:pPr>
              <w:pStyle w:val="17"/>
              <w:bidi w:val="0"/>
              <w:rPr>
                <w:rFonts w:ascii="Times New Roman" w:hAnsi="Times New Roman"/>
                <w:color w:val="auto"/>
              </w:rPr>
            </w:pPr>
            <w:r>
              <w:rPr>
                <w:rFonts w:hint="eastAsia" w:ascii="Times New Roman" w:hAnsi="Times New Roman"/>
                <w:color w:val="auto"/>
                <w:lang w:val="en-US" w:eastAsia="zh-CN"/>
              </w:rPr>
              <w:t>7</w:t>
            </w:r>
          </w:p>
        </w:tc>
        <w:tc>
          <w:tcPr>
            <w:tcW w:w="1952" w:type="pct"/>
            <w:gridSpan w:val="2"/>
            <w:noWrap w:val="0"/>
            <w:vAlign w:val="center"/>
          </w:tcPr>
          <w:p w14:paraId="1C247A97">
            <w:pPr>
              <w:pStyle w:val="17"/>
              <w:bidi w:val="0"/>
              <w:rPr>
                <w:rFonts w:ascii="Times New Roman" w:hAnsi="Times New Roman"/>
                <w:color w:val="auto"/>
              </w:rPr>
            </w:pPr>
            <w:r>
              <w:rPr>
                <w:rFonts w:ascii="Times New Roman" w:hAnsi="Times New Roman"/>
                <w:color w:val="auto"/>
              </w:rPr>
              <w:t>重大危险源辨识单元</w:t>
            </w:r>
          </w:p>
        </w:tc>
        <w:tc>
          <w:tcPr>
            <w:tcW w:w="2600" w:type="pct"/>
            <w:noWrap w:val="0"/>
            <w:vAlign w:val="center"/>
          </w:tcPr>
          <w:p w14:paraId="06A03755">
            <w:pPr>
              <w:pStyle w:val="17"/>
              <w:bidi w:val="0"/>
              <w:rPr>
                <w:rFonts w:ascii="Times New Roman" w:hAnsi="Times New Roman"/>
                <w:color w:val="auto"/>
              </w:rPr>
            </w:pPr>
            <w:r>
              <w:rPr>
                <w:rFonts w:ascii="Times New Roman" w:hAnsi="Times New Roman"/>
                <w:color w:val="auto"/>
              </w:rPr>
              <w:t>/</w:t>
            </w:r>
          </w:p>
        </w:tc>
      </w:tr>
    </w:tbl>
    <w:p w14:paraId="2F8DB208">
      <w:pPr>
        <w:bidi w:val="0"/>
        <w:rPr>
          <w:rFonts w:hint="eastAsia" w:ascii="Times New Roman" w:hAnsi="Times New Roman"/>
          <w:color w:val="auto"/>
        </w:rPr>
      </w:pPr>
      <w:r>
        <w:rPr>
          <w:rFonts w:hint="eastAsia" w:ascii="Times New Roman" w:hAnsi="Times New Roman"/>
          <w:color w:val="auto"/>
        </w:rPr>
        <w:t>根据《金属非金属露天矿山建设项目安全预评价报告编写提纲》，本章节采用安全检查表分析法</w:t>
      </w:r>
      <w:r>
        <w:rPr>
          <w:rFonts w:hint="eastAsia" w:ascii="Times New Roman" w:hAnsi="Times New Roman"/>
          <w:color w:val="auto"/>
          <w:lang w:eastAsia="zh-CN"/>
        </w:rPr>
        <w:t>（</w:t>
      </w:r>
      <w:r>
        <w:rPr>
          <w:rFonts w:hint="eastAsia" w:ascii="Times New Roman" w:hAnsi="Times New Roman"/>
          <w:color w:val="auto"/>
        </w:rPr>
        <w:t>SCL</w:t>
      </w:r>
      <w:r>
        <w:rPr>
          <w:rFonts w:hint="eastAsia" w:ascii="Times New Roman" w:hAnsi="Times New Roman"/>
          <w:color w:val="auto"/>
          <w:lang w:eastAsia="zh-CN"/>
        </w:rPr>
        <w:t>）</w:t>
      </w:r>
      <w:r>
        <w:rPr>
          <w:rFonts w:hint="eastAsia" w:ascii="Times New Roman" w:hAnsi="Times New Roman"/>
          <w:color w:val="auto"/>
        </w:rPr>
        <w:t>、预先危险性分析法</w:t>
      </w:r>
      <w:r>
        <w:rPr>
          <w:rFonts w:hint="eastAsia" w:ascii="Times New Roman" w:hAnsi="Times New Roman"/>
          <w:color w:val="auto"/>
          <w:lang w:eastAsia="zh-CN"/>
        </w:rPr>
        <w:t>（</w:t>
      </w:r>
      <w:r>
        <w:rPr>
          <w:rFonts w:hint="eastAsia" w:ascii="Times New Roman" w:hAnsi="Times New Roman"/>
          <w:color w:val="auto"/>
        </w:rPr>
        <w:t>PHA</w:t>
      </w:r>
      <w:r>
        <w:rPr>
          <w:rFonts w:hint="eastAsia" w:ascii="Times New Roman" w:hAnsi="Times New Roman"/>
          <w:color w:val="auto"/>
          <w:lang w:eastAsia="zh-CN"/>
        </w:rPr>
        <w:t>）</w:t>
      </w:r>
      <w:r>
        <w:rPr>
          <w:rFonts w:hint="eastAsia" w:ascii="Times New Roman" w:hAnsi="Times New Roman"/>
          <w:color w:val="auto"/>
        </w:rPr>
        <w:t>、鱼刺图分析法、事故树分析法</w:t>
      </w:r>
      <w:r>
        <w:rPr>
          <w:rFonts w:hint="eastAsia" w:ascii="Times New Roman" w:hAnsi="Times New Roman"/>
          <w:color w:val="auto"/>
          <w:lang w:eastAsia="zh-CN"/>
        </w:rPr>
        <w:t>（</w:t>
      </w:r>
      <w:r>
        <w:rPr>
          <w:rFonts w:hint="eastAsia" w:ascii="Times New Roman" w:hAnsi="Times New Roman"/>
          <w:color w:val="auto"/>
        </w:rPr>
        <w:t>FTA</w:t>
      </w:r>
      <w:r>
        <w:rPr>
          <w:rFonts w:hint="eastAsia" w:ascii="Times New Roman" w:hAnsi="Times New Roman"/>
          <w:color w:val="auto"/>
          <w:lang w:eastAsia="zh-CN"/>
        </w:rPr>
        <w:t>）</w:t>
      </w:r>
      <w:r>
        <w:rPr>
          <w:rFonts w:hint="eastAsia" w:ascii="Times New Roman" w:hAnsi="Times New Roman"/>
          <w:color w:val="auto"/>
        </w:rPr>
        <w:t>等评价方法，按划分的评价单元对本项目可能存在的主要危险、有害因素的种类和严重程度进行定性、定量分析和评价。</w:t>
      </w:r>
    </w:p>
    <w:p w14:paraId="21B30BCD">
      <w:pPr>
        <w:pStyle w:val="3"/>
        <w:bidi w:val="0"/>
        <w:rPr>
          <w:rFonts w:hint="eastAsia" w:ascii="Times New Roman" w:hAnsi="Times New Roman"/>
          <w:color w:val="auto"/>
        </w:rPr>
      </w:pPr>
      <w:bookmarkStart w:id="98" w:name="_Toc23722"/>
      <w:r>
        <w:rPr>
          <w:rFonts w:hint="eastAsia" w:ascii="Times New Roman" w:hAnsi="Times New Roman"/>
          <w:color w:val="auto"/>
        </w:rPr>
        <w:t>3.1</w:t>
      </w:r>
      <w:r>
        <w:rPr>
          <w:rFonts w:hint="eastAsia" w:ascii="Times New Roman" w:hAnsi="Times New Roman"/>
          <w:color w:val="auto"/>
          <w:lang w:val="en-US" w:eastAsia="zh-CN"/>
        </w:rPr>
        <w:t xml:space="preserve"> </w:t>
      </w:r>
      <w:r>
        <w:rPr>
          <w:rFonts w:hint="eastAsia" w:ascii="Times New Roman" w:hAnsi="Times New Roman"/>
          <w:color w:val="auto"/>
        </w:rPr>
        <w:t>总平面布置单元</w:t>
      </w:r>
      <w:bookmarkEnd w:id="98"/>
    </w:p>
    <w:p w14:paraId="5B9FA067">
      <w:pPr>
        <w:pStyle w:val="4"/>
        <w:bidi w:val="0"/>
        <w:rPr>
          <w:rFonts w:hint="eastAsia" w:ascii="Times New Roman" w:hAnsi="Times New Roman"/>
          <w:color w:val="auto"/>
        </w:rPr>
      </w:pPr>
      <w:bookmarkStart w:id="99" w:name="_Toc17759"/>
      <w:r>
        <w:rPr>
          <w:rFonts w:hint="eastAsia" w:ascii="Times New Roman" w:hAnsi="Times New Roman"/>
          <w:color w:val="auto"/>
        </w:rPr>
        <w:t>3.1.1</w:t>
      </w:r>
      <w:r>
        <w:rPr>
          <w:rFonts w:hint="eastAsia" w:ascii="Times New Roman" w:hAnsi="Times New Roman"/>
          <w:color w:val="auto"/>
          <w:lang w:val="en-US" w:eastAsia="zh-CN"/>
        </w:rPr>
        <w:t xml:space="preserve"> </w:t>
      </w:r>
      <w:r>
        <w:rPr>
          <w:rFonts w:hint="eastAsia" w:ascii="Times New Roman" w:hAnsi="Times New Roman"/>
          <w:color w:val="auto"/>
        </w:rPr>
        <w:t>周边环境及总平面布置危险、有害因素辨识与分析</w:t>
      </w:r>
      <w:bookmarkEnd w:id="99"/>
    </w:p>
    <w:p w14:paraId="4ADDDFAD">
      <w:pPr>
        <w:bidi w:val="0"/>
        <w:rPr>
          <w:rFonts w:hint="eastAsia" w:ascii="Times New Roman" w:hAnsi="Times New Roman"/>
          <w:color w:val="auto"/>
        </w:rPr>
      </w:pPr>
      <w:r>
        <w:rPr>
          <w:rFonts w:hint="eastAsia" w:ascii="Times New Roman" w:hAnsi="Times New Roman"/>
          <w:color w:val="auto"/>
        </w:rPr>
        <w:t>（1）滑坡、坍塌</w:t>
      </w:r>
    </w:p>
    <w:p w14:paraId="3889CE68">
      <w:pPr>
        <w:bidi w:val="0"/>
        <w:rPr>
          <w:rFonts w:hint="eastAsia" w:ascii="Times New Roman" w:hAnsi="Times New Roman"/>
          <w:color w:val="auto"/>
        </w:rPr>
      </w:pPr>
      <w:r>
        <w:rPr>
          <w:rFonts w:hint="eastAsia" w:ascii="Times New Roman" w:hAnsi="Times New Roman"/>
          <w:color w:val="auto"/>
        </w:rPr>
        <w:t>在开采过程中，未按矿山设计要求进行开采而发生设施破坏和伤亡事故。针对本项目设计产生坍塌的原因有：</w:t>
      </w:r>
    </w:p>
    <w:p w14:paraId="4501B30F">
      <w:pPr>
        <w:bidi w:val="0"/>
        <w:rPr>
          <w:rFonts w:hint="eastAsia" w:ascii="Times New Roman" w:hAnsi="Times New Roman"/>
          <w:color w:val="auto"/>
        </w:rPr>
      </w:pPr>
      <w:r>
        <w:rPr>
          <w:rFonts w:hint="eastAsia" w:ascii="Times New Roman" w:hAnsi="Times New Roman"/>
          <w:color w:val="auto"/>
        </w:rPr>
        <w:t>1）采场剥采作业过程中，若开采中台阶坡面高陡，台阶高度过高，再加上矿岩构造、自然环境、地形地貌等固有因素的制约，边坡坍塌可能会影响到生产场地。</w:t>
      </w:r>
    </w:p>
    <w:p w14:paraId="290528AB">
      <w:pPr>
        <w:bidi w:val="0"/>
        <w:rPr>
          <w:rFonts w:hint="eastAsia" w:ascii="Times New Roman" w:hAnsi="Times New Roman"/>
          <w:color w:val="auto"/>
        </w:rPr>
      </w:pPr>
      <w:r>
        <w:rPr>
          <w:rFonts w:hint="eastAsia" w:ascii="Times New Roman" w:hAnsi="Times New Roman"/>
          <w:color w:val="auto"/>
        </w:rPr>
        <w:t>2）在露采过程中，随着台阶的推进，受构造影响可能会产生局部塌方；露天开采结束后形成的最终边坡也可能产生局部塌方，边坡岩石也可能出现塌落移动现象，特别是暴雨季节有发生滑坡的可能。</w:t>
      </w:r>
    </w:p>
    <w:p w14:paraId="4FD2F469">
      <w:pPr>
        <w:bidi w:val="0"/>
        <w:rPr>
          <w:rFonts w:hint="eastAsia" w:ascii="Times New Roman" w:hAnsi="Times New Roman"/>
          <w:color w:val="auto"/>
        </w:rPr>
      </w:pPr>
      <w:r>
        <w:rPr>
          <w:rFonts w:hint="eastAsia" w:ascii="Times New Roman" w:hAnsi="Times New Roman"/>
          <w:color w:val="auto"/>
        </w:rPr>
        <w:t>3）未按设计要求布置矿山防排水设施或损坏失效，导致边坡冲刷、失稳垮塌，因而造成的人员伤害和设备、设施损坏。</w:t>
      </w:r>
    </w:p>
    <w:p w14:paraId="0FB5E9C6">
      <w:pPr>
        <w:bidi w:val="0"/>
        <w:rPr>
          <w:rFonts w:hint="eastAsia" w:ascii="Times New Roman" w:hAnsi="Times New Roman"/>
          <w:color w:val="auto"/>
        </w:rPr>
      </w:pPr>
      <w:r>
        <w:rPr>
          <w:rFonts w:hint="eastAsia" w:ascii="Times New Roman" w:hAnsi="Times New Roman"/>
          <w:color w:val="auto"/>
        </w:rPr>
        <w:t>4）场地道路的开挖边坡陡、缺乏有效支护。</w:t>
      </w:r>
    </w:p>
    <w:p w14:paraId="7B6C75DF">
      <w:pPr>
        <w:bidi w:val="0"/>
        <w:rPr>
          <w:rFonts w:hint="eastAsia" w:ascii="Times New Roman" w:hAnsi="Times New Roman"/>
          <w:color w:val="auto"/>
        </w:rPr>
      </w:pPr>
      <w:r>
        <w:rPr>
          <w:rFonts w:hint="eastAsia" w:ascii="Times New Roman" w:hAnsi="Times New Roman"/>
          <w:color w:val="auto"/>
        </w:rPr>
        <w:t>5）在生产过程中使岩体受到某种条件的影响，破坏了岩体原有的稳定，从而导致坍塌事故的发生。</w:t>
      </w:r>
    </w:p>
    <w:p w14:paraId="541CB6D1">
      <w:pPr>
        <w:bidi w:val="0"/>
        <w:rPr>
          <w:rFonts w:hint="eastAsia" w:ascii="Times New Roman" w:hAnsi="Times New Roman"/>
          <w:color w:val="auto"/>
        </w:rPr>
      </w:pPr>
      <w:r>
        <w:rPr>
          <w:rFonts w:hint="eastAsia" w:ascii="Times New Roman" w:hAnsi="Times New Roman"/>
          <w:color w:val="auto"/>
        </w:rPr>
        <w:t>（2）触电</w:t>
      </w:r>
    </w:p>
    <w:p w14:paraId="56655E31">
      <w:pPr>
        <w:bidi w:val="0"/>
        <w:rPr>
          <w:rFonts w:hint="eastAsia" w:ascii="Times New Roman" w:hAnsi="Times New Roman"/>
          <w:color w:val="auto"/>
        </w:rPr>
      </w:pPr>
      <w:r>
        <w:rPr>
          <w:rFonts w:hint="eastAsia" w:ascii="Times New Roman" w:hAnsi="Times New Roman"/>
          <w:color w:val="auto"/>
        </w:rPr>
        <w:t>电气设备设施布局不当，如电力线架设、变压器的安装、配电房的设置等会发生触电事故。针对本项目设计来辨识发生触电事故的原因有：</w:t>
      </w:r>
    </w:p>
    <w:p w14:paraId="2E646E6A">
      <w:pPr>
        <w:bidi w:val="0"/>
        <w:rPr>
          <w:rFonts w:hint="eastAsia" w:ascii="Times New Roman" w:hAnsi="Times New Roman"/>
          <w:color w:val="auto"/>
        </w:rPr>
      </w:pPr>
      <w:r>
        <w:rPr>
          <w:rFonts w:hint="eastAsia" w:ascii="Times New Roman" w:hAnsi="Times New Roman"/>
          <w:color w:val="auto"/>
        </w:rPr>
        <w:t>1）矿山设备设施位于引雷区；</w:t>
      </w:r>
    </w:p>
    <w:p w14:paraId="37B56161">
      <w:pPr>
        <w:bidi w:val="0"/>
        <w:rPr>
          <w:rFonts w:hint="eastAsia" w:ascii="Times New Roman" w:hAnsi="Times New Roman"/>
          <w:color w:val="auto"/>
        </w:rPr>
      </w:pPr>
      <w:r>
        <w:rPr>
          <w:rFonts w:hint="eastAsia" w:ascii="Times New Roman" w:hAnsi="Times New Roman"/>
          <w:color w:val="auto"/>
        </w:rPr>
        <w:t>2）雷暴时人员位于山脊、大树等引雷设施下；</w:t>
      </w:r>
    </w:p>
    <w:p w14:paraId="272BD8E7">
      <w:pPr>
        <w:bidi w:val="0"/>
        <w:rPr>
          <w:rFonts w:hint="eastAsia" w:ascii="Times New Roman" w:hAnsi="Times New Roman"/>
          <w:color w:val="auto"/>
        </w:rPr>
      </w:pPr>
      <w:r>
        <w:rPr>
          <w:rFonts w:hint="eastAsia" w:ascii="Times New Roman" w:hAnsi="Times New Roman"/>
          <w:color w:val="auto"/>
        </w:rPr>
        <w:t>3）电力设施设备布局在人员易触及的地方；</w:t>
      </w:r>
    </w:p>
    <w:p w14:paraId="00AEAE30">
      <w:pPr>
        <w:bidi w:val="0"/>
        <w:rPr>
          <w:rFonts w:hint="eastAsia" w:ascii="Times New Roman" w:hAnsi="Times New Roman"/>
          <w:color w:val="auto"/>
        </w:rPr>
      </w:pPr>
      <w:r>
        <w:rPr>
          <w:rFonts w:hint="eastAsia" w:ascii="Times New Roman" w:hAnsi="Times New Roman"/>
          <w:color w:val="auto"/>
        </w:rPr>
        <w:t>4）电力线路的架设高度及线路布局走向不合理；</w:t>
      </w:r>
    </w:p>
    <w:p w14:paraId="1DD6F0DF">
      <w:pPr>
        <w:bidi w:val="0"/>
        <w:rPr>
          <w:rFonts w:hint="eastAsia" w:ascii="Times New Roman" w:hAnsi="Times New Roman"/>
          <w:color w:val="auto"/>
        </w:rPr>
      </w:pPr>
      <w:r>
        <w:rPr>
          <w:rFonts w:hint="eastAsia" w:ascii="Times New Roman" w:hAnsi="Times New Roman"/>
          <w:color w:val="auto"/>
        </w:rPr>
        <w:t>5）配电室未设置防雷接地设施。</w:t>
      </w:r>
    </w:p>
    <w:p w14:paraId="7EC99069">
      <w:pPr>
        <w:bidi w:val="0"/>
        <w:rPr>
          <w:rFonts w:hint="eastAsia" w:ascii="Times New Roman" w:hAnsi="Times New Roman"/>
          <w:color w:val="auto"/>
        </w:rPr>
      </w:pPr>
      <w:r>
        <w:rPr>
          <w:rFonts w:hint="eastAsia" w:ascii="Times New Roman" w:hAnsi="Times New Roman"/>
          <w:color w:val="auto"/>
        </w:rPr>
        <w:t>（3）火灾</w:t>
      </w:r>
    </w:p>
    <w:p w14:paraId="0A0DF1F9">
      <w:pPr>
        <w:bidi w:val="0"/>
        <w:rPr>
          <w:rFonts w:hint="eastAsia" w:ascii="Times New Roman" w:hAnsi="Times New Roman"/>
          <w:color w:val="auto"/>
        </w:rPr>
      </w:pPr>
      <w:r>
        <w:rPr>
          <w:rFonts w:hint="eastAsia" w:ascii="Times New Roman" w:hAnsi="Times New Roman"/>
          <w:color w:val="auto"/>
        </w:rPr>
        <w:t>矿山材料工具房储存有可燃易燃物品，机修车间动火作业管理不善，配电室产生漏电等会导致火星产生，火源管理不善，会引发火灾事故。针对本项目设计来辨识发生火灾事故的原因有：</w:t>
      </w:r>
    </w:p>
    <w:p w14:paraId="1A027A70">
      <w:pPr>
        <w:bidi w:val="0"/>
        <w:rPr>
          <w:rFonts w:hint="eastAsia" w:ascii="Times New Roman" w:hAnsi="Times New Roman"/>
          <w:color w:val="auto"/>
        </w:rPr>
      </w:pPr>
      <w:r>
        <w:rPr>
          <w:rFonts w:hint="eastAsia" w:ascii="Times New Roman" w:hAnsi="Times New Roman"/>
          <w:color w:val="auto"/>
        </w:rPr>
        <w:t>1）建筑的消防距离不满足消防安全要求；</w:t>
      </w:r>
    </w:p>
    <w:p w14:paraId="431C0339">
      <w:pPr>
        <w:bidi w:val="0"/>
        <w:rPr>
          <w:rFonts w:hint="eastAsia" w:ascii="Times New Roman" w:hAnsi="Times New Roman"/>
          <w:color w:val="auto"/>
        </w:rPr>
      </w:pPr>
      <w:r>
        <w:rPr>
          <w:rFonts w:hint="eastAsia" w:ascii="Times New Roman" w:hAnsi="Times New Roman"/>
          <w:color w:val="auto"/>
        </w:rPr>
        <w:t>2）未配置灭火器或灭火器放置地点、消防水池布局不当。</w:t>
      </w:r>
    </w:p>
    <w:p w14:paraId="03A860A9">
      <w:pPr>
        <w:bidi w:val="0"/>
        <w:rPr>
          <w:rFonts w:hint="eastAsia" w:ascii="Times New Roman" w:hAnsi="Times New Roman"/>
          <w:color w:val="auto"/>
        </w:rPr>
      </w:pPr>
      <w:r>
        <w:rPr>
          <w:rFonts w:hint="eastAsia" w:ascii="Times New Roman" w:hAnsi="Times New Roman"/>
          <w:color w:val="auto"/>
        </w:rPr>
        <w:t>（4）车辆伤害</w:t>
      </w:r>
    </w:p>
    <w:p w14:paraId="002D7E03">
      <w:pPr>
        <w:bidi w:val="0"/>
        <w:rPr>
          <w:rFonts w:hint="eastAsia" w:ascii="Times New Roman" w:hAnsi="Times New Roman"/>
          <w:color w:val="auto"/>
        </w:rPr>
      </w:pPr>
      <w:r>
        <w:rPr>
          <w:rFonts w:hint="eastAsia" w:ascii="Times New Roman" w:hAnsi="Times New Roman"/>
          <w:color w:val="auto"/>
        </w:rPr>
        <w:t>矿山的运输道路布局不当，会导致车辆伤害事故。针对本项目设计来辨识发生车辆伤害事故的原因有：</w:t>
      </w:r>
    </w:p>
    <w:p w14:paraId="36C00DE7">
      <w:pPr>
        <w:bidi w:val="0"/>
        <w:rPr>
          <w:rFonts w:hint="eastAsia" w:ascii="Times New Roman" w:hAnsi="Times New Roman"/>
          <w:color w:val="auto"/>
        </w:rPr>
      </w:pPr>
      <w:r>
        <w:rPr>
          <w:rFonts w:hint="eastAsia" w:ascii="Times New Roman" w:hAnsi="Times New Roman"/>
          <w:color w:val="auto"/>
        </w:rPr>
        <w:t>1）矿区道路布局在坡度较大的地段。</w:t>
      </w:r>
    </w:p>
    <w:p w14:paraId="79E6C9E8">
      <w:pPr>
        <w:bidi w:val="0"/>
        <w:rPr>
          <w:rFonts w:hint="eastAsia" w:ascii="Times New Roman" w:hAnsi="Times New Roman"/>
          <w:color w:val="auto"/>
        </w:rPr>
      </w:pPr>
      <w:r>
        <w:rPr>
          <w:rFonts w:hint="eastAsia" w:ascii="Times New Roman" w:hAnsi="Times New Roman"/>
          <w:color w:val="auto"/>
        </w:rPr>
        <w:t>2）矿区道路布局的转弯半径小，不能满足车辆转弯要求。</w:t>
      </w:r>
    </w:p>
    <w:p w14:paraId="5AD17CD3">
      <w:pPr>
        <w:bidi w:val="0"/>
        <w:rPr>
          <w:rFonts w:hint="eastAsia" w:ascii="Times New Roman" w:hAnsi="Times New Roman"/>
          <w:color w:val="auto"/>
        </w:rPr>
      </w:pPr>
      <w:r>
        <w:rPr>
          <w:rFonts w:hint="eastAsia" w:ascii="Times New Roman" w:hAnsi="Times New Roman"/>
          <w:color w:val="auto"/>
        </w:rPr>
        <w:t>3）在运行过程中，由于路面窄、行车速度快、在行至弯道、运输车辆通过下方与公路的交叉路口时，易发生翻车、挤伤、撞坏设备等事故。</w:t>
      </w:r>
    </w:p>
    <w:p w14:paraId="16F1BD28">
      <w:pPr>
        <w:bidi w:val="0"/>
        <w:rPr>
          <w:rFonts w:hint="eastAsia" w:ascii="Times New Roman" w:hAnsi="Times New Roman"/>
          <w:color w:val="auto"/>
        </w:rPr>
      </w:pPr>
      <w:r>
        <w:rPr>
          <w:rFonts w:hint="eastAsia" w:ascii="Times New Roman" w:hAnsi="Times New Roman"/>
          <w:color w:val="auto"/>
        </w:rPr>
        <w:t>（5）不良工程地质</w:t>
      </w:r>
    </w:p>
    <w:p w14:paraId="44D27382">
      <w:pPr>
        <w:bidi w:val="0"/>
        <w:rPr>
          <w:rFonts w:hint="eastAsia" w:ascii="Times New Roman" w:hAnsi="Times New Roman"/>
          <w:color w:val="auto"/>
        </w:rPr>
      </w:pPr>
      <w:r>
        <w:rPr>
          <w:rFonts w:hint="eastAsia" w:ascii="Times New Roman" w:hAnsi="Times New Roman"/>
          <w:color w:val="auto"/>
        </w:rPr>
        <w:t>矿区构造简单，岩性组成简单，但露天采场各向最终边坡岩石单一，以坚硬岩组为主。现状下边坡岩体节理裂隙发育，各向采矿边坡稳定性一般，采矿边坡局部可能形成掉块、危岩滚落和小范围地面拉裂，未来随着采矿工作进行，边坡高度及临空面继续增大，可能形成掉块、危岩滚落和崩塌等工程地质问题的可能性较大。</w:t>
      </w:r>
    </w:p>
    <w:p w14:paraId="77F99245">
      <w:pPr>
        <w:pStyle w:val="4"/>
        <w:bidi w:val="0"/>
        <w:rPr>
          <w:rFonts w:hint="eastAsia" w:ascii="Times New Roman" w:hAnsi="Times New Roman"/>
          <w:color w:val="auto"/>
        </w:rPr>
      </w:pPr>
      <w:bookmarkStart w:id="100" w:name="_Toc3378"/>
      <w:r>
        <w:rPr>
          <w:rFonts w:hint="eastAsia" w:ascii="Times New Roman" w:hAnsi="Times New Roman"/>
          <w:color w:val="auto"/>
        </w:rPr>
        <w:t>3.1.2</w:t>
      </w:r>
      <w:r>
        <w:rPr>
          <w:rFonts w:hint="eastAsia" w:ascii="Times New Roman" w:hAnsi="Times New Roman"/>
          <w:color w:val="auto"/>
          <w:lang w:val="en-US" w:eastAsia="zh-CN"/>
        </w:rPr>
        <w:t xml:space="preserve"> </w:t>
      </w:r>
      <w:r>
        <w:rPr>
          <w:rFonts w:hint="eastAsia" w:ascii="Times New Roman" w:hAnsi="Times New Roman"/>
          <w:color w:val="auto"/>
        </w:rPr>
        <w:t>周边环境及总平面布置预先危险性分析（PHA）</w:t>
      </w:r>
      <w:bookmarkEnd w:id="100"/>
    </w:p>
    <w:p w14:paraId="07D2B68A">
      <w:pPr>
        <w:bidi w:val="0"/>
        <w:rPr>
          <w:rFonts w:hint="eastAsia" w:ascii="Times New Roman" w:hAnsi="Times New Roman"/>
          <w:color w:val="auto"/>
        </w:rPr>
      </w:pPr>
      <w:r>
        <w:rPr>
          <w:rFonts w:hint="eastAsia" w:ascii="Times New Roman" w:hAnsi="Times New Roman"/>
          <w:color w:val="auto"/>
        </w:rPr>
        <w:t>根据危险有害因素辨识和分析，对已辨识的危险、有害因素进行PHA分析，鉴别危险产生的原因，预测事故出现对作业人员及生产过程产生的影响，判定已识别的危险性等级，并提出消除或控制危险性的措施。总平面布置预先危险性分析见表3.1-2。</w:t>
      </w:r>
    </w:p>
    <w:p w14:paraId="7B6BF86D">
      <w:pPr>
        <w:pStyle w:val="16"/>
        <w:bidi w:val="0"/>
        <w:rPr>
          <w:rFonts w:hint="eastAsia" w:ascii="Times New Roman" w:hAnsi="Times New Roman"/>
          <w:color w:val="auto"/>
        </w:rPr>
      </w:pPr>
      <w:r>
        <w:rPr>
          <w:rFonts w:hint="eastAsia" w:ascii="Times New Roman" w:hAnsi="Times New Roman"/>
          <w:color w:val="auto"/>
        </w:rPr>
        <w:t>表3.1-2  总平面布置预先危险性分析</w:t>
      </w:r>
    </w:p>
    <w:tbl>
      <w:tblPr>
        <w:tblStyle w:val="1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2458"/>
        <w:gridCol w:w="1350"/>
        <w:gridCol w:w="741"/>
        <w:gridCol w:w="741"/>
        <w:gridCol w:w="3193"/>
      </w:tblGrid>
      <w:tr w14:paraId="38699C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86" w:type="pct"/>
            <w:tcBorders>
              <w:left w:val="single" w:color="auto" w:sz="4" w:space="0"/>
            </w:tcBorders>
            <w:noWrap w:val="0"/>
            <w:vAlign w:val="center"/>
          </w:tcPr>
          <w:p w14:paraId="5D41B8C4">
            <w:pPr>
              <w:pStyle w:val="17"/>
              <w:bidi w:val="0"/>
              <w:rPr>
                <w:rFonts w:ascii="Times New Roman" w:hAnsi="Times New Roman"/>
                <w:b/>
                <w:bCs/>
                <w:color w:val="auto"/>
              </w:rPr>
            </w:pPr>
            <w:r>
              <w:rPr>
                <w:rFonts w:ascii="Times New Roman" w:hAnsi="Times New Roman"/>
                <w:b/>
                <w:bCs/>
                <w:color w:val="auto"/>
              </w:rPr>
              <w:t>危险有害因素</w:t>
            </w:r>
          </w:p>
        </w:tc>
        <w:tc>
          <w:tcPr>
            <w:tcW w:w="1307" w:type="pct"/>
            <w:noWrap w:val="0"/>
            <w:vAlign w:val="center"/>
          </w:tcPr>
          <w:p w14:paraId="17E8FEE8">
            <w:pPr>
              <w:pStyle w:val="17"/>
              <w:bidi w:val="0"/>
              <w:rPr>
                <w:rFonts w:ascii="Times New Roman" w:hAnsi="Times New Roman"/>
                <w:b/>
                <w:bCs/>
                <w:color w:val="auto"/>
              </w:rPr>
            </w:pPr>
            <w:r>
              <w:rPr>
                <w:rFonts w:ascii="Times New Roman" w:hAnsi="Times New Roman"/>
                <w:b/>
                <w:bCs/>
                <w:color w:val="auto"/>
              </w:rPr>
              <w:t>诱发事故原因</w:t>
            </w:r>
          </w:p>
        </w:tc>
        <w:tc>
          <w:tcPr>
            <w:tcW w:w="718" w:type="pct"/>
            <w:noWrap w:val="0"/>
            <w:vAlign w:val="center"/>
          </w:tcPr>
          <w:p w14:paraId="38EB979E">
            <w:pPr>
              <w:pStyle w:val="17"/>
              <w:bidi w:val="0"/>
              <w:rPr>
                <w:rFonts w:ascii="Times New Roman" w:hAnsi="Times New Roman"/>
                <w:b/>
                <w:bCs/>
                <w:color w:val="auto"/>
              </w:rPr>
            </w:pPr>
            <w:r>
              <w:rPr>
                <w:rFonts w:ascii="Times New Roman" w:hAnsi="Times New Roman"/>
                <w:b/>
                <w:bCs/>
                <w:color w:val="auto"/>
              </w:rPr>
              <w:t>事故</w:t>
            </w:r>
          </w:p>
          <w:p w14:paraId="5A46A37C">
            <w:pPr>
              <w:pStyle w:val="17"/>
              <w:bidi w:val="0"/>
              <w:rPr>
                <w:rFonts w:ascii="Times New Roman" w:hAnsi="Times New Roman"/>
                <w:b/>
                <w:bCs/>
                <w:color w:val="auto"/>
              </w:rPr>
            </w:pPr>
            <w:r>
              <w:rPr>
                <w:rFonts w:ascii="Times New Roman" w:hAnsi="Times New Roman"/>
                <w:b/>
                <w:bCs/>
                <w:color w:val="auto"/>
              </w:rPr>
              <w:t>模式</w:t>
            </w:r>
          </w:p>
        </w:tc>
        <w:tc>
          <w:tcPr>
            <w:tcW w:w="394" w:type="pct"/>
            <w:noWrap w:val="0"/>
            <w:vAlign w:val="center"/>
          </w:tcPr>
          <w:p w14:paraId="4E9B260A">
            <w:pPr>
              <w:pStyle w:val="17"/>
              <w:bidi w:val="0"/>
              <w:rPr>
                <w:rFonts w:ascii="Times New Roman" w:hAnsi="Times New Roman"/>
                <w:b/>
                <w:bCs/>
                <w:color w:val="auto"/>
              </w:rPr>
            </w:pPr>
            <w:r>
              <w:rPr>
                <w:rFonts w:ascii="Times New Roman" w:hAnsi="Times New Roman"/>
                <w:b/>
                <w:bCs/>
                <w:color w:val="auto"/>
              </w:rPr>
              <w:t>事故后果</w:t>
            </w:r>
          </w:p>
        </w:tc>
        <w:tc>
          <w:tcPr>
            <w:tcW w:w="394" w:type="pct"/>
            <w:noWrap w:val="0"/>
            <w:vAlign w:val="center"/>
          </w:tcPr>
          <w:p w14:paraId="1DE1DF88">
            <w:pPr>
              <w:pStyle w:val="17"/>
              <w:bidi w:val="0"/>
              <w:rPr>
                <w:rFonts w:ascii="Times New Roman" w:hAnsi="Times New Roman"/>
                <w:b/>
                <w:bCs/>
                <w:color w:val="auto"/>
              </w:rPr>
            </w:pPr>
            <w:r>
              <w:rPr>
                <w:rFonts w:ascii="Times New Roman" w:hAnsi="Times New Roman"/>
                <w:b/>
                <w:bCs/>
                <w:color w:val="auto"/>
              </w:rPr>
              <w:t>危险等级</w:t>
            </w:r>
          </w:p>
        </w:tc>
        <w:tc>
          <w:tcPr>
            <w:tcW w:w="1698" w:type="pct"/>
            <w:tcBorders>
              <w:right w:val="single" w:color="auto" w:sz="4" w:space="0"/>
            </w:tcBorders>
            <w:noWrap w:val="0"/>
            <w:vAlign w:val="center"/>
          </w:tcPr>
          <w:p w14:paraId="0B8270BF">
            <w:pPr>
              <w:pStyle w:val="17"/>
              <w:bidi w:val="0"/>
              <w:rPr>
                <w:rFonts w:ascii="Times New Roman" w:hAnsi="Times New Roman"/>
                <w:b/>
                <w:bCs/>
                <w:color w:val="auto"/>
              </w:rPr>
            </w:pPr>
            <w:r>
              <w:rPr>
                <w:rFonts w:ascii="Times New Roman" w:hAnsi="Times New Roman"/>
                <w:b/>
                <w:bCs/>
                <w:color w:val="auto"/>
              </w:rPr>
              <w:t>对策措施</w:t>
            </w:r>
          </w:p>
        </w:tc>
      </w:tr>
      <w:tr w14:paraId="52FC30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86" w:type="pct"/>
            <w:tcBorders>
              <w:left w:val="single" w:color="auto" w:sz="4" w:space="0"/>
            </w:tcBorders>
            <w:noWrap w:val="0"/>
            <w:vAlign w:val="center"/>
          </w:tcPr>
          <w:p w14:paraId="0D377679">
            <w:pPr>
              <w:pStyle w:val="17"/>
              <w:bidi w:val="0"/>
              <w:rPr>
                <w:rFonts w:ascii="Times New Roman" w:hAnsi="Times New Roman"/>
                <w:color w:val="auto"/>
              </w:rPr>
            </w:pPr>
            <w:r>
              <w:rPr>
                <w:rFonts w:ascii="Times New Roman" w:hAnsi="Times New Roman"/>
                <w:color w:val="auto"/>
              </w:rPr>
              <w:t>建构筑物基础不均匀沉降、变形、滑坡</w:t>
            </w:r>
          </w:p>
        </w:tc>
        <w:tc>
          <w:tcPr>
            <w:tcW w:w="1307" w:type="pct"/>
            <w:noWrap w:val="0"/>
            <w:vAlign w:val="center"/>
          </w:tcPr>
          <w:p w14:paraId="1393553E">
            <w:pPr>
              <w:pStyle w:val="17"/>
              <w:bidi w:val="0"/>
              <w:jc w:val="both"/>
              <w:rPr>
                <w:rFonts w:ascii="Times New Roman" w:hAnsi="Times New Roman"/>
                <w:color w:val="auto"/>
              </w:rPr>
            </w:pPr>
            <w:r>
              <w:rPr>
                <w:rFonts w:ascii="Times New Roman" w:hAnsi="Times New Roman"/>
                <w:color w:val="auto"/>
              </w:rPr>
              <w:t>①建构筑物布置于残积、坡积，断裂破碎带等不良工程地质地段；</w:t>
            </w:r>
          </w:p>
          <w:p w14:paraId="2E63016C">
            <w:pPr>
              <w:pStyle w:val="17"/>
              <w:bidi w:val="0"/>
              <w:jc w:val="both"/>
              <w:rPr>
                <w:rFonts w:ascii="Times New Roman" w:hAnsi="Times New Roman"/>
                <w:color w:val="auto"/>
              </w:rPr>
            </w:pPr>
            <w:r>
              <w:rPr>
                <w:rFonts w:ascii="Times New Roman" w:hAnsi="Times New Roman"/>
                <w:color w:val="auto"/>
              </w:rPr>
              <w:t>②厂址不良工程地质现象未查明；</w:t>
            </w:r>
          </w:p>
          <w:p w14:paraId="495C2EF1">
            <w:pPr>
              <w:pStyle w:val="17"/>
              <w:bidi w:val="0"/>
              <w:jc w:val="both"/>
              <w:rPr>
                <w:rFonts w:ascii="Times New Roman" w:hAnsi="Times New Roman"/>
                <w:color w:val="auto"/>
              </w:rPr>
            </w:pPr>
            <w:r>
              <w:rPr>
                <w:rFonts w:ascii="Times New Roman" w:hAnsi="Times New Roman"/>
                <w:color w:val="auto"/>
              </w:rPr>
              <w:t>③厂址、生活区布置于滚石、滑坡、泥石流可能影响区域</w:t>
            </w:r>
          </w:p>
        </w:tc>
        <w:tc>
          <w:tcPr>
            <w:tcW w:w="718" w:type="pct"/>
            <w:noWrap w:val="0"/>
            <w:vAlign w:val="center"/>
          </w:tcPr>
          <w:p w14:paraId="00A57A9C">
            <w:pPr>
              <w:pStyle w:val="17"/>
              <w:bidi w:val="0"/>
              <w:rPr>
                <w:rFonts w:ascii="Times New Roman" w:hAnsi="Times New Roman"/>
                <w:color w:val="auto"/>
              </w:rPr>
            </w:pPr>
            <w:r>
              <w:rPr>
                <w:rFonts w:ascii="Times New Roman" w:hAnsi="Times New Roman"/>
                <w:color w:val="auto"/>
              </w:rPr>
              <w:t>建构筑物沉降、变形、滑坡</w:t>
            </w:r>
          </w:p>
          <w:p w14:paraId="0EA5CC90">
            <w:pPr>
              <w:pStyle w:val="17"/>
              <w:bidi w:val="0"/>
              <w:rPr>
                <w:rFonts w:ascii="Times New Roman" w:hAnsi="Times New Roman"/>
                <w:color w:val="auto"/>
              </w:rPr>
            </w:pPr>
            <w:r>
              <w:rPr>
                <w:rFonts w:ascii="Times New Roman" w:hAnsi="Times New Roman"/>
                <w:color w:val="auto"/>
              </w:rPr>
              <w:t>滚石、滑坡、泥石流冲击、掩埋建构筑物、生活区。</w:t>
            </w:r>
          </w:p>
        </w:tc>
        <w:tc>
          <w:tcPr>
            <w:tcW w:w="394" w:type="pct"/>
            <w:noWrap w:val="0"/>
            <w:vAlign w:val="center"/>
          </w:tcPr>
          <w:p w14:paraId="0DDDA14B">
            <w:pPr>
              <w:pStyle w:val="17"/>
              <w:bidi w:val="0"/>
              <w:rPr>
                <w:rFonts w:ascii="Times New Roman" w:hAnsi="Times New Roman"/>
                <w:color w:val="auto"/>
              </w:rPr>
            </w:pPr>
            <w:r>
              <w:rPr>
                <w:rFonts w:ascii="Times New Roman" w:hAnsi="Times New Roman"/>
                <w:color w:val="auto"/>
              </w:rPr>
              <w:t>人员伤亡</w:t>
            </w:r>
          </w:p>
          <w:p w14:paraId="1C632B68">
            <w:pPr>
              <w:pStyle w:val="17"/>
              <w:bidi w:val="0"/>
              <w:rPr>
                <w:rFonts w:ascii="Times New Roman" w:hAnsi="Times New Roman"/>
                <w:color w:val="auto"/>
              </w:rPr>
            </w:pPr>
            <w:r>
              <w:rPr>
                <w:rFonts w:ascii="Times New Roman" w:hAnsi="Times New Roman"/>
                <w:color w:val="auto"/>
              </w:rPr>
              <w:t>财产损失</w:t>
            </w:r>
          </w:p>
        </w:tc>
        <w:tc>
          <w:tcPr>
            <w:tcW w:w="394" w:type="pct"/>
            <w:noWrap w:val="0"/>
            <w:vAlign w:val="center"/>
          </w:tcPr>
          <w:p w14:paraId="215745D0">
            <w:pPr>
              <w:pStyle w:val="17"/>
              <w:bidi w:val="0"/>
              <w:rPr>
                <w:rFonts w:ascii="Times New Roman" w:hAnsi="Times New Roman"/>
                <w:color w:val="auto"/>
              </w:rPr>
            </w:pPr>
            <w:r>
              <w:rPr>
                <w:rFonts w:ascii="Times New Roman" w:hAnsi="Times New Roman"/>
                <w:color w:val="auto"/>
              </w:rPr>
              <w:t>IV</w:t>
            </w:r>
          </w:p>
        </w:tc>
        <w:tc>
          <w:tcPr>
            <w:tcW w:w="1698" w:type="pct"/>
            <w:tcBorders>
              <w:right w:val="single" w:color="auto" w:sz="4" w:space="0"/>
            </w:tcBorders>
            <w:noWrap w:val="0"/>
            <w:vAlign w:val="center"/>
          </w:tcPr>
          <w:p w14:paraId="1A62A740">
            <w:pPr>
              <w:pStyle w:val="17"/>
              <w:bidi w:val="0"/>
              <w:jc w:val="both"/>
              <w:rPr>
                <w:rFonts w:ascii="Times New Roman" w:hAnsi="Times New Roman"/>
                <w:color w:val="auto"/>
              </w:rPr>
            </w:pPr>
            <w:r>
              <w:rPr>
                <w:rFonts w:ascii="Times New Roman" w:hAnsi="Times New Roman"/>
                <w:color w:val="auto"/>
              </w:rPr>
              <w:t>①厂址选址和总图时应重视厂址的工程地质条件和环境条件；</w:t>
            </w:r>
          </w:p>
          <w:p w14:paraId="19805407">
            <w:pPr>
              <w:pStyle w:val="17"/>
              <w:bidi w:val="0"/>
              <w:jc w:val="both"/>
              <w:rPr>
                <w:rFonts w:ascii="Times New Roman" w:hAnsi="Times New Roman"/>
                <w:color w:val="auto"/>
              </w:rPr>
            </w:pPr>
            <w:r>
              <w:rPr>
                <w:rFonts w:ascii="Times New Roman" w:hAnsi="Times New Roman"/>
                <w:color w:val="auto"/>
              </w:rPr>
              <w:t>②设计阶段，重要建构筑物应进行工程地质勘察，落实基础条件，宜避开不良工程地质地段；</w:t>
            </w:r>
          </w:p>
          <w:p w14:paraId="6324AFCB">
            <w:pPr>
              <w:pStyle w:val="17"/>
              <w:bidi w:val="0"/>
              <w:jc w:val="both"/>
              <w:rPr>
                <w:rFonts w:ascii="Times New Roman" w:hAnsi="Times New Roman"/>
                <w:color w:val="auto"/>
              </w:rPr>
            </w:pPr>
            <w:r>
              <w:rPr>
                <w:rFonts w:ascii="Times New Roman" w:hAnsi="Times New Roman"/>
                <w:color w:val="auto"/>
              </w:rPr>
              <w:t>③设计、施工中应根据工程地质的变化情况，采取措施及时进行调整。</w:t>
            </w:r>
          </w:p>
        </w:tc>
      </w:tr>
      <w:tr w14:paraId="0A3400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86" w:type="pct"/>
            <w:tcBorders>
              <w:left w:val="single" w:color="auto" w:sz="4" w:space="0"/>
            </w:tcBorders>
            <w:noWrap w:val="0"/>
            <w:vAlign w:val="center"/>
          </w:tcPr>
          <w:p w14:paraId="2989F750">
            <w:pPr>
              <w:pStyle w:val="17"/>
              <w:bidi w:val="0"/>
              <w:rPr>
                <w:rFonts w:ascii="Times New Roman" w:hAnsi="Times New Roman"/>
                <w:color w:val="auto"/>
              </w:rPr>
            </w:pPr>
            <w:r>
              <w:rPr>
                <w:rFonts w:ascii="Times New Roman" w:hAnsi="Times New Roman"/>
                <w:color w:val="auto"/>
              </w:rPr>
              <w:t>滚石</w:t>
            </w:r>
            <w:r>
              <w:rPr>
                <w:rFonts w:hint="eastAsia" w:ascii="Times New Roman" w:hAnsi="Times New Roman"/>
                <w:color w:val="auto"/>
                <w:lang w:eastAsia="zh-CN"/>
              </w:rPr>
              <w:t>、</w:t>
            </w:r>
            <w:r>
              <w:rPr>
                <w:rFonts w:ascii="Times New Roman" w:hAnsi="Times New Roman"/>
                <w:color w:val="auto"/>
              </w:rPr>
              <w:t>滑坡</w:t>
            </w:r>
            <w:r>
              <w:rPr>
                <w:rFonts w:hint="eastAsia" w:ascii="Times New Roman" w:hAnsi="Times New Roman"/>
                <w:color w:val="auto"/>
                <w:lang w:eastAsia="zh-CN"/>
              </w:rPr>
              <w:t>、</w:t>
            </w:r>
            <w:r>
              <w:rPr>
                <w:rFonts w:ascii="Times New Roman" w:hAnsi="Times New Roman"/>
                <w:color w:val="auto"/>
              </w:rPr>
              <w:t>坍塌</w:t>
            </w:r>
          </w:p>
        </w:tc>
        <w:tc>
          <w:tcPr>
            <w:tcW w:w="1307" w:type="pct"/>
            <w:noWrap w:val="0"/>
            <w:vAlign w:val="center"/>
          </w:tcPr>
          <w:p w14:paraId="153C8796">
            <w:pPr>
              <w:pStyle w:val="17"/>
              <w:bidi w:val="0"/>
              <w:jc w:val="both"/>
              <w:rPr>
                <w:rFonts w:ascii="Times New Roman" w:hAnsi="Times New Roman"/>
                <w:color w:val="auto"/>
              </w:rPr>
            </w:pPr>
            <w:r>
              <w:rPr>
                <w:rFonts w:ascii="Times New Roman" w:hAnsi="Times New Roman"/>
                <w:color w:val="auto"/>
              </w:rPr>
              <w:t>①建构筑物区存在不良工程地质现象；②风化剥蚀和降雨影响，陡崖岩体脱落，斜坡上坡积滑动；③场地道路的开挖边坡陡、缺乏有效支护；④施工、生产废土缺乏有效的堆弃措施和管理。</w:t>
            </w:r>
          </w:p>
        </w:tc>
        <w:tc>
          <w:tcPr>
            <w:tcW w:w="718" w:type="pct"/>
            <w:noWrap w:val="0"/>
            <w:vAlign w:val="center"/>
          </w:tcPr>
          <w:p w14:paraId="6D2D9A92">
            <w:pPr>
              <w:pStyle w:val="17"/>
              <w:bidi w:val="0"/>
              <w:rPr>
                <w:rFonts w:ascii="Times New Roman" w:hAnsi="Times New Roman"/>
                <w:color w:val="auto"/>
              </w:rPr>
            </w:pPr>
            <w:r>
              <w:rPr>
                <w:rFonts w:ascii="Times New Roman" w:hAnsi="Times New Roman"/>
                <w:color w:val="auto"/>
              </w:rPr>
              <w:t>冲击、掩埋建构筑物、设施。滑坡</w:t>
            </w:r>
          </w:p>
        </w:tc>
        <w:tc>
          <w:tcPr>
            <w:tcW w:w="394" w:type="pct"/>
            <w:noWrap w:val="0"/>
            <w:vAlign w:val="center"/>
          </w:tcPr>
          <w:p w14:paraId="4D8C5346">
            <w:pPr>
              <w:pStyle w:val="17"/>
              <w:bidi w:val="0"/>
              <w:rPr>
                <w:rFonts w:ascii="Times New Roman" w:hAnsi="Times New Roman"/>
                <w:color w:val="auto"/>
              </w:rPr>
            </w:pPr>
            <w:r>
              <w:rPr>
                <w:rFonts w:ascii="Times New Roman" w:hAnsi="Times New Roman"/>
                <w:color w:val="auto"/>
              </w:rPr>
              <w:t>人员伤亡</w:t>
            </w:r>
          </w:p>
          <w:p w14:paraId="37AB4F54">
            <w:pPr>
              <w:pStyle w:val="17"/>
              <w:bidi w:val="0"/>
              <w:rPr>
                <w:rFonts w:ascii="Times New Roman" w:hAnsi="Times New Roman"/>
                <w:color w:val="auto"/>
              </w:rPr>
            </w:pPr>
            <w:r>
              <w:rPr>
                <w:rFonts w:ascii="Times New Roman" w:hAnsi="Times New Roman"/>
                <w:color w:val="auto"/>
              </w:rPr>
              <w:t>财产损失</w:t>
            </w:r>
          </w:p>
        </w:tc>
        <w:tc>
          <w:tcPr>
            <w:tcW w:w="394" w:type="pct"/>
            <w:noWrap w:val="0"/>
            <w:vAlign w:val="center"/>
          </w:tcPr>
          <w:p w14:paraId="16F85602">
            <w:pPr>
              <w:pStyle w:val="17"/>
              <w:bidi w:val="0"/>
              <w:rPr>
                <w:rFonts w:ascii="Times New Roman" w:hAnsi="Times New Roman"/>
                <w:color w:val="auto"/>
              </w:rPr>
            </w:pPr>
            <w:r>
              <w:rPr>
                <w:rFonts w:ascii="Times New Roman" w:hAnsi="Times New Roman"/>
                <w:color w:val="auto"/>
              </w:rPr>
              <w:t>IV</w:t>
            </w:r>
          </w:p>
        </w:tc>
        <w:tc>
          <w:tcPr>
            <w:tcW w:w="1698" w:type="pct"/>
            <w:tcBorders>
              <w:right w:val="single" w:color="auto" w:sz="4" w:space="0"/>
            </w:tcBorders>
            <w:noWrap w:val="0"/>
            <w:vAlign w:val="center"/>
          </w:tcPr>
          <w:p w14:paraId="03339A49">
            <w:pPr>
              <w:pStyle w:val="17"/>
              <w:bidi w:val="0"/>
              <w:jc w:val="both"/>
              <w:rPr>
                <w:rFonts w:ascii="Times New Roman" w:hAnsi="Times New Roman"/>
                <w:color w:val="auto"/>
              </w:rPr>
            </w:pPr>
            <w:r>
              <w:rPr>
                <w:rFonts w:ascii="Times New Roman" w:hAnsi="Times New Roman"/>
                <w:color w:val="auto"/>
              </w:rPr>
              <w:t>①建构筑物布置于工程地质及环境条件良好区段；</w:t>
            </w:r>
          </w:p>
          <w:p w14:paraId="12CCEE72">
            <w:pPr>
              <w:pStyle w:val="17"/>
              <w:bidi w:val="0"/>
              <w:jc w:val="both"/>
              <w:rPr>
                <w:rFonts w:ascii="Times New Roman" w:hAnsi="Times New Roman"/>
                <w:color w:val="auto"/>
              </w:rPr>
            </w:pPr>
            <w:r>
              <w:rPr>
                <w:rFonts w:ascii="Times New Roman" w:hAnsi="Times New Roman"/>
                <w:color w:val="auto"/>
              </w:rPr>
              <w:t>②各类场地、道路边坡采取加固措施，确保边坡稳固；</w:t>
            </w:r>
          </w:p>
          <w:p w14:paraId="7AA56B94">
            <w:pPr>
              <w:pStyle w:val="17"/>
              <w:bidi w:val="0"/>
              <w:jc w:val="both"/>
              <w:rPr>
                <w:rFonts w:ascii="Times New Roman" w:hAnsi="Times New Roman"/>
                <w:color w:val="auto"/>
              </w:rPr>
            </w:pPr>
            <w:r>
              <w:rPr>
                <w:rFonts w:ascii="Times New Roman" w:hAnsi="Times New Roman"/>
                <w:color w:val="auto"/>
              </w:rPr>
              <w:t>③加强施工和生产中废土、废石的规划堆存和管理。</w:t>
            </w:r>
          </w:p>
        </w:tc>
      </w:tr>
      <w:tr w14:paraId="6B87E2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86" w:type="pct"/>
            <w:tcBorders>
              <w:left w:val="single" w:color="auto" w:sz="4" w:space="0"/>
            </w:tcBorders>
            <w:noWrap w:val="0"/>
            <w:vAlign w:val="center"/>
          </w:tcPr>
          <w:p w14:paraId="6C14EB7D">
            <w:pPr>
              <w:pStyle w:val="17"/>
              <w:bidi w:val="0"/>
              <w:rPr>
                <w:rFonts w:ascii="Times New Roman" w:hAnsi="Times New Roman"/>
                <w:color w:val="auto"/>
              </w:rPr>
            </w:pPr>
            <w:r>
              <w:rPr>
                <w:rFonts w:ascii="Times New Roman" w:hAnsi="Times New Roman"/>
                <w:color w:val="auto"/>
              </w:rPr>
              <w:t>泥石流</w:t>
            </w:r>
          </w:p>
        </w:tc>
        <w:tc>
          <w:tcPr>
            <w:tcW w:w="1307" w:type="pct"/>
            <w:noWrap w:val="0"/>
            <w:vAlign w:val="center"/>
          </w:tcPr>
          <w:p w14:paraId="19A80F7F">
            <w:pPr>
              <w:pStyle w:val="17"/>
              <w:bidi w:val="0"/>
              <w:jc w:val="both"/>
              <w:rPr>
                <w:rFonts w:ascii="Times New Roman" w:hAnsi="Times New Roman"/>
                <w:color w:val="auto"/>
              </w:rPr>
            </w:pPr>
            <w:r>
              <w:rPr>
                <w:rFonts w:ascii="Times New Roman" w:hAnsi="Times New Roman"/>
                <w:color w:val="auto"/>
              </w:rPr>
              <w:t>①建构筑物设施置于汇水面较大的区域；</w:t>
            </w:r>
          </w:p>
          <w:p w14:paraId="270C2E6D">
            <w:pPr>
              <w:pStyle w:val="17"/>
              <w:bidi w:val="0"/>
              <w:jc w:val="both"/>
              <w:rPr>
                <w:rFonts w:ascii="Times New Roman" w:hAnsi="Times New Roman"/>
                <w:color w:val="auto"/>
              </w:rPr>
            </w:pPr>
            <w:r>
              <w:rPr>
                <w:rFonts w:ascii="Times New Roman" w:hAnsi="Times New Roman"/>
                <w:color w:val="auto"/>
              </w:rPr>
              <w:t>②气象条件不详实，截排水设施不完善或失效</w:t>
            </w:r>
          </w:p>
        </w:tc>
        <w:tc>
          <w:tcPr>
            <w:tcW w:w="718" w:type="pct"/>
            <w:noWrap w:val="0"/>
            <w:vAlign w:val="center"/>
          </w:tcPr>
          <w:p w14:paraId="4DE7F784">
            <w:pPr>
              <w:pStyle w:val="17"/>
              <w:bidi w:val="0"/>
              <w:rPr>
                <w:rFonts w:ascii="Times New Roman" w:hAnsi="Times New Roman"/>
                <w:color w:val="auto"/>
              </w:rPr>
            </w:pPr>
            <w:r>
              <w:rPr>
                <w:rFonts w:ascii="Times New Roman" w:hAnsi="Times New Roman"/>
                <w:color w:val="auto"/>
              </w:rPr>
              <w:t>建构筑物被冲刷、掩埋；溃决。</w:t>
            </w:r>
          </w:p>
        </w:tc>
        <w:tc>
          <w:tcPr>
            <w:tcW w:w="394" w:type="pct"/>
            <w:noWrap w:val="0"/>
            <w:vAlign w:val="center"/>
          </w:tcPr>
          <w:p w14:paraId="1E7DB271">
            <w:pPr>
              <w:pStyle w:val="17"/>
              <w:bidi w:val="0"/>
              <w:rPr>
                <w:rFonts w:ascii="Times New Roman" w:hAnsi="Times New Roman"/>
                <w:color w:val="auto"/>
              </w:rPr>
            </w:pPr>
            <w:r>
              <w:rPr>
                <w:rFonts w:ascii="Times New Roman" w:hAnsi="Times New Roman"/>
                <w:color w:val="auto"/>
              </w:rPr>
              <w:t>人员伤亡财产损失</w:t>
            </w:r>
          </w:p>
        </w:tc>
        <w:tc>
          <w:tcPr>
            <w:tcW w:w="394" w:type="pct"/>
            <w:noWrap w:val="0"/>
            <w:vAlign w:val="center"/>
          </w:tcPr>
          <w:p w14:paraId="0C3610E6">
            <w:pPr>
              <w:pStyle w:val="17"/>
              <w:bidi w:val="0"/>
              <w:rPr>
                <w:rFonts w:ascii="Times New Roman" w:hAnsi="Times New Roman"/>
                <w:color w:val="auto"/>
              </w:rPr>
            </w:pPr>
            <w:r>
              <w:rPr>
                <w:rFonts w:ascii="Times New Roman" w:hAnsi="Times New Roman"/>
                <w:color w:val="auto"/>
              </w:rPr>
              <w:t>III</w:t>
            </w:r>
          </w:p>
        </w:tc>
        <w:tc>
          <w:tcPr>
            <w:tcW w:w="1698" w:type="pct"/>
            <w:tcBorders>
              <w:right w:val="single" w:color="auto" w:sz="4" w:space="0"/>
            </w:tcBorders>
            <w:noWrap w:val="0"/>
            <w:vAlign w:val="center"/>
          </w:tcPr>
          <w:p w14:paraId="256242A5">
            <w:pPr>
              <w:pStyle w:val="17"/>
              <w:bidi w:val="0"/>
              <w:jc w:val="both"/>
              <w:rPr>
                <w:rFonts w:ascii="Times New Roman" w:hAnsi="Times New Roman"/>
                <w:color w:val="auto"/>
              </w:rPr>
            </w:pPr>
            <w:r>
              <w:rPr>
                <w:rFonts w:ascii="Times New Roman" w:hAnsi="Times New Roman"/>
                <w:color w:val="auto"/>
              </w:rPr>
              <w:t>①合理优化厂址选址；②根据矿区气象条件，③设置可靠的截排洪设施，并加强管理。</w:t>
            </w:r>
          </w:p>
        </w:tc>
      </w:tr>
      <w:tr w14:paraId="49C1AF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486" w:type="pct"/>
            <w:tcBorders>
              <w:left w:val="single" w:color="auto" w:sz="4" w:space="0"/>
            </w:tcBorders>
            <w:noWrap w:val="0"/>
            <w:vAlign w:val="center"/>
          </w:tcPr>
          <w:p w14:paraId="4201135A">
            <w:pPr>
              <w:pStyle w:val="17"/>
              <w:bidi w:val="0"/>
              <w:rPr>
                <w:rFonts w:ascii="Times New Roman" w:hAnsi="Times New Roman"/>
                <w:color w:val="auto"/>
              </w:rPr>
            </w:pPr>
            <w:r>
              <w:rPr>
                <w:rFonts w:ascii="Times New Roman" w:hAnsi="Times New Roman"/>
                <w:color w:val="auto"/>
              </w:rPr>
              <w:t>车辆伤害</w:t>
            </w:r>
          </w:p>
        </w:tc>
        <w:tc>
          <w:tcPr>
            <w:tcW w:w="1307" w:type="pct"/>
            <w:noWrap w:val="0"/>
            <w:vAlign w:val="center"/>
          </w:tcPr>
          <w:p w14:paraId="459748D2">
            <w:pPr>
              <w:pStyle w:val="17"/>
              <w:bidi w:val="0"/>
              <w:jc w:val="both"/>
              <w:rPr>
                <w:rFonts w:ascii="Times New Roman" w:hAnsi="Times New Roman"/>
                <w:color w:val="auto"/>
              </w:rPr>
            </w:pPr>
            <w:r>
              <w:rPr>
                <w:rFonts w:ascii="Times New Roman" w:hAnsi="Times New Roman"/>
                <w:color w:val="auto"/>
              </w:rPr>
              <w:t>①道路存在坡度大、弯道大、路面窄、缺乏安全防护及警示</w:t>
            </w:r>
          </w:p>
          <w:p w14:paraId="74E2C6B7">
            <w:pPr>
              <w:pStyle w:val="17"/>
              <w:bidi w:val="0"/>
              <w:jc w:val="both"/>
              <w:rPr>
                <w:rFonts w:ascii="Times New Roman" w:hAnsi="Times New Roman"/>
                <w:color w:val="auto"/>
              </w:rPr>
            </w:pPr>
            <w:r>
              <w:rPr>
                <w:rFonts w:ascii="Times New Roman" w:hAnsi="Times New Roman"/>
                <w:color w:val="auto"/>
              </w:rPr>
              <w:t>②车况差</w:t>
            </w:r>
          </w:p>
          <w:p w14:paraId="019A4CDF">
            <w:pPr>
              <w:pStyle w:val="17"/>
              <w:bidi w:val="0"/>
              <w:jc w:val="both"/>
              <w:rPr>
                <w:rFonts w:ascii="Times New Roman" w:hAnsi="Times New Roman"/>
                <w:color w:val="auto"/>
              </w:rPr>
            </w:pPr>
            <w:r>
              <w:rPr>
                <w:rFonts w:ascii="Times New Roman" w:hAnsi="Times New Roman"/>
                <w:color w:val="auto"/>
              </w:rPr>
              <w:t>③气候影响</w:t>
            </w:r>
          </w:p>
          <w:p w14:paraId="3F6AE9B0">
            <w:pPr>
              <w:pStyle w:val="17"/>
              <w:bidi w:val="0"/>
              <w:jc w:val="both"/>
              <w:rPr>
                <w:rFonts w:ascii="Times New Roman" w:hAnsi="Times New Roman"/>
                <w:color w:val="auto"/>
              </w:rPr>
            </w:pPr>
            <w:r>
              <w:rPr>
                <w:rFonts w:ascii="Times New Roman" w:hAnsi="Times New Roman"/>
                <w:color w:val="auto"/>
              </w:rPr>
              <w:t>④驾驶违章和操作失误</w:t>
            </w:r>
          </w:p>
        </w:tc>
        <w:tc>
          <w:tcPr>
            <w:tcW w:w="718" w:type="pct"/>
            <w:noWrap w:val="0"/>
            <w:vAlign w:val="center"/>
          </w:tcPr>
          <w:p w14:paraId="61A33BE0">
            <w:pPr>
              <w:pStyle w:val="17"/>
              <w:bidi w:val="0"/>
              <w:rPr>
                <w:rFonts w:ascii="Times New Roman" w:hAnsi="Times New Roman"/>
                <w:color w:val="auto"/>
              </w:rPr>
            </w:pPr>
            <w:r>
              <w:rPr>
                <w:rFonts w:ascii="Times New Roman" w:hAnsi="Times New Roman"/>
                <w:color w:val="auto"/>
              </w:rPr>
              <w:t>倾翻、坠落</w:t>
            </w:r>
          </w:p>
        </w:tc>
        <w:tc>
          <w:tcPr>
            <w:tcW w:w="394" w:type="pct"/>
            <w:noWrap w:val="0"/>
            <w:vAlign w:val="center"/>
          </w:tcPr>
          <w:p w14:paraId="72AEC504">
            <w:pPr>
              <w:pStyle w:val="17"/>
              <w:bidi w:val="0"/>
              <w:rPr>
                <w:rFonts w:ascii="Times New Roman" w:hAnsi="Times New Roman"/>
                <w:color w:val="auto"/>
              </w:rPr>
            </w:pPr>
            <w:r>
              <w:rPr>
                <w:rFonts w:ascii="Times New Roman" w:hAnsi="Times New Roman"/>
                <w:color w:val="auto"/>
              </w:rPr>
              <w:t>人员伤亡财产损失</w:t>
            </w:r>
          </w:p>
        </w:tc>
        <w:tc>
          <w:tcPr>
            <w:tcW w:w="394" w:type="pct"/>
            <w:noWrap w:val="0"/>
            <w:vAlign w:val="center"/>
          </w:tcPr>
          <w:p w14:paraId="2F3C98E3">
            <w:pPr>
              <w:pStyle w:val="17"/>
              <w:bidi w:val="0"/>
              <w:rPr>
                <w:rFonts w:ascii="Times New Roman" w:hAnsi="Times New Roman"/>
                <w:color w:val="auto"/>
              </w:rPr>
            </w:pPr>
            <w:r>
              <w:rPr>
                <w:rFonts w:ascii="Times New Roman" w:hAnsi="Times New Roman"/>
                <w:color w:val="auto"/>
              </w:rPr>
              <w:t>III</w:t>
            </w:r>
          </w:p>
        </w:tc>
        <w:tc>
          <w:tcPr>
            <w:tcW w:w="1698" w:type="pct"/>
            <w:tcBorders>
              <w:right w:val="single" w:color="auto" w:sz="4" w:space="0"/>
            </w:tcBorders>
            <w:noWrap w:val="0"/>
            <w:vAlign w:val="center"/>
          </w:tcPr>
          <w:p w14:paraId="11E5EB6E">
            <w:pPr>
              <w:pStyle w:val="17"/>
              <w:bidi w:val="0"/>
              <w:jc w:val="both"/>
              <w:rPr>
                <w:rFonts w:ascii="Times New Roman" w:hAnsi="Times New Roman"/>
                <w:color w:val="auto"/>
              </w:rPr>
            </w:pPr>
            <w:r>
              <w:rPr>
                <w:rFonts w:ascii="Times New Roman" w:hAnsi="Times New Roman"/>
                <w:color w:val="auto"/>
              </w:rPr>
              <w:t>①按厂矿道路设计规范进行道路设计；②设置防护设施及警示标牌；③加强车辆维护保养；④驾驶员持证操作，杜绝违章驾驶。</w:t>
            </w:r>
          </w:p>
        </w:tc>
      </w:tr>
      <w:tr w14:paraId="22F897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486" w:type="pct"/>
            <w:tcBorders>
              <w:left w:val="single" w:color="auto" w:sz="4" w:space="0"/>
            </w:tcBorders>
            <w:noWrap w:val="0"/>
            <w:vAlign w:val="center"/>
          </w:tcPr>
          <w:p w14:paraId="1CEFF680">
            <w:pPr>
              <w:pStyle w:val="17"/>
              <w:bidi w:val="0"/>
              <w:rPr>
                <w:rFonts w:ascii="Times New Roman" w:hAnsi="Times New Roman"/>
                <w:color w:val="auto"/>
              </w:rPr>
            </w:pPr>
            <w:r>
              <w:rPr>
                <w:rFonts w:ascii="Times New Roman" w:hAnsi="Times New Roman"/>
                <w:color w:val="auto"/>
              </w:rPr>
              <w:t>道路运输及消防联系</w:t>
            </w:r>
          </w:p>
        </w:tc>
        <w:tc>
          <w:tcPr>
            <w:tcW w:w="1307" w:type="pct"/>
            <w:noWrap w:val="0"/>
            <w:vAlign w:val="center"/>
          </w:tcPr>
          <w:p w14:paraId="059DA414">
            <w:pPr>
              <w:pStyle w:val="17"/>
              <w:bidi w:val="0"/>
              <w:jc w:val="both"/>
              <w:rPr>
                <w:rFonts w:ascii="Times New Roman" w:hAnsi="Times New Roman"/>
                <w:color w:val="auto"/>
              </w:rPr>
            </w:pPr>
            <w:r>
              <w:rPr>
                <w:rFonts w:ascii="Times New Roman" w:hAnsi="Times New Roman"/>
                <w:color w:val="auto"/>
              </w:rPr>
              <w:t>①各厂址间道路联系不完善或联系不畅；</w:t>
            </w:r>
          </w:p>
          <w:p w14:paraId="2F822AD4">
            <w:pPr>
              <w:pStyle w:val="17"/>
              <w:bidi w:val="0"/>
              <w:jc w:val="both"/>
              <w:rPr>
                <w:rFonts w:ascii="Times New Roman" w:hAnsi="Times New Roman"/>
                <w:color w:val="auto"/>
              </w:rPr>
            </w:pPr>
            <w:r>
              <w:rPr>
                <w:rFonts w:ascii="Times New Roman" w:hAnsi="Times New Roman"/>
                <w:color w:val="auto"/>
              </w:rPr>
              <w:t>②道路设施损坏。</w:t>
            </w:r>
          </w:p>
        </w:tc>
        <w:tc>
          <w:tcPr>
            <w:tcW w:w="718" w:type="pct"/>
            <w:noWrap w:val="0"/>
            <w:vAlign w:val="center"/>
          </w:tcPr>
          <w:p w14:paraId="03A6B74B">
            <w:pPr>
              <w:pStyle w:val="17"/>
              <w:bidi w:val="0"/>
              <w:rPr>
                <w:rFonts w:ascii="Times New Roman" w:hAnsi="Times New Roman"/>
                <w:color w:val="auto"/>
              </w:rPr>
            </w:pPr>
            <w:r>
              <w:rPr>
                <w:rFonts w:ascii="Times New Roman" w:hAnsi="Times New Roman"/>
                <w:color w:val="auto"/>
              </w:rPr>
              <w:t>①设备、材料运输中断；②消防救援联系不及时。</w:t>
            </w:r>
          </w:p>
        </w:tc>
        <w:tc>
          <w:tcPr>
            <w:tcW w:w="394" w:type="pct"/>
            <w:noWrap w:val="0"/>
            <w:vAlign w:val="center"/>
          </w:tcPr>
          <w:p w14:paraId="2FA070B6">
            <w:pPr>
              <w:pStyle w:val="17"/>
              <w:bidi w:val="0"/>
              <w:rPr>
                <w:rFonts w:ascii="Times New Roman" w:hAnsi="Times New Roman"/>
                <w:color w:val="auto"/>
              </w:rPr>
            </w:pPr>
            <w:r>
              <w:rPr>
                <w:rFonts w:ascii="Times New Roman" w:hAnsi="Times New Roman"/>
                <w:color w:val="auto"/>
              </w:rPr>
              <w:t>影响生产</w:t>
            </w:r>
          </w:p>
          <w:p w14:paraId="769FFB23">
            <w:pPr>
              <w:pStyle w:val="17"/>
              <w:bidi w:val="0"/>
              <w:rPr>
                <w:rFonts w:ascii="Times New Roman" w:hAnsi="Times New Roman"/>
                <w:color w:val="auto"/>
              </w:rPr>
            </w:pPr>
            <w:r>
              <w:rPr>
                <w:rFonts w:ascii="Times New Roman" w:hAnsi="Times New Roman"/>
                <w:color w:val="auto"/>
              </w:rPr>
              <w:t>财产损失</w:t>
            </w:r>
          </w:p>
        </w:tc>
        <w:tc>
          <w:tcPr>
            <w:tcW w:w="394" w:type="pct"/>
            <w:noWrap w:val="0"/>
            <w:vAlign w:val="center"/>
          </w:tcPr>
          <w:p w14:paraId="1DCDECB4">
            <w:pPr>
              <w:pStyle w:val="17"/>
              <w:bidi w:val="0"/>
              <w:rPr>
                <w:rFonts w:ascii="Times New Roman" w:hAnsi="Times New Roman"/>
                <w:color w:val="auto"/>
              </w:rPr>
            </w:pPr>
            <w:r>
              <w:rPr>
                <w:rFonts w:ascii="Times New Roman" w:hAnsi="Times New Roman"/>
                <w:color w:val="auto"/>
              </w:rPr>
              <w:t>II</w:t>
            </w:r>
          </w:p>
        </w:tc>
        <w:tc>
          <w:tcPr>
            <w:tcW w:w="1698" w:type="pct"/>
            <w:tcBorders>
              <w:right w:val="single" w:color="auto" w:sz="4" w:space="0"/>
            </w:tcBorders>
            <w:noWrap w:val="0"/>
            <w:vAlign w:val="center"/>
          </w:tcPr>
          <w:p w14:paraId="718FE6F4">
            <w:pPr>
              <w:pStyle w:val="17"/>
              <w:bidi w:val="0"/>
              <w:jc w:val="both"/>
              <w:rPr>
                <w:rFonts w:ascii="Times New Roman" w:hAnsi="Times New Roman"/>
                <w:color w:val="auto"/>
              </w:rPr>
            </w:pPr>
            <w:r>
              <w:rPr>
                <w:rFonts w:ascii="Times New Roman" w:hAnsi="Times New Roman"/>
                <w:color w:val="auto"/>
              </w:rPr>
              <w:t>完善各厂区道路联系，确保道路运输和消防救援联系通道。</w:t>
            </w:r>
          </w:p>
        </w:tc>
      </w:tr>
    </w:tbl>
    <w:p w14:paraId="0A92E86E">
      <w:pPr>
        <w:bidi w:val="0"/>
        <w:rPr>
          <w:rFonts w:hint="eastAsia" w:ascii="Times New Roman" w:hAnsi="Times New Roman"/>
          <w:color w:val="auto"/>
        </w:rPr>
      </w:pPr>
      <w:r>
        <w:rPr>
          <w:rFonts w:hint="eastAsia" w:ascii="Times New Roman" w:hAnsi="Times New Roman"/>
          <w:color w:val="auto"/>
        </w:rPr>
        <w:t>本系统应根据矿区工程地质、环境地质、气象、地形地貌等条件，应避免选址及布置过程中形成滚石、滑坡、泥石流等重大危险因素，对选址特殊，且条件限制的设施，应根据危险因素的诱发事故条件，采取措施，加以消除、预防和减弱；对运输可能造成的车辆伤害也应引起重视，加强预防和管理。</w:t>
      </w:r>
    </w:p>
    <w:p w14:paraId="22B18F2D">
      <w:pPr>
        <w:pStyle w:val="4"/>
        <w:bidi w:val="0"/>
        <w:rPr>
          <w:rFonts w:hint="eastAsia" w:ascii="Times New Roman" w:hAnsi="Times New Roman"/>
          <w:color w:val="auto"/>
        </w:rPr>
      </w:pPr>
      <w:bookmarkStart w:id="101" w:name="_Toc22674"/>
      <w:r>
        <w:rPr>
          <w:rFonts w:hint="eastAsia" w:ascii="Times New Roman" w:hAnsi="Times New Roman"/>
          <w:color w:val="auto"/>
        </w:rPr>
        <w:t>3.1.3</w:t>
      </w:r>
      <w:r>
        <w:rPr>
          <w:rFonts w:hint="eastAsia" w:ascii="Times New Roman" w:hAnsi="Times New Roman"/>
          <w:color w:val="auto"/>
          <w:lang w:val="en-US" w:eastAsia="zh-CN"/>
        </w:rPr>
        <w:t xml:space="preserve"> </w:t>
      </w:r>
      <w:r>
        <w:rPr>
          <w:rFonts w:hint="eastAsia" w:ascii="Times New Roman" w:hAnsi="Times New Roman"/>
          <w:color w:val="auto"/>
        </w:rPr>
        <w:t>厂址选择安全检查表</w:t>
      </w:r>
      <w:bookmarkEnd w:id="101"/>
    </w:p>
    <w:p w14:paraId="7B6EBA79">
      <w:pPr>
        <w:bidi w:val="0"/>
        <w:rPr>
          <w:rFonts w:hint="eastAsia" w:ascii="Times New Roman" w:hAnsi="Times New Roman"/>
          <w:color w:val="auto"/>
        </w:rPr>
      </w:pPr>
      <w:r>
        <w:rPr>
          <w:rFonts w:hint="eastAsia" w:ascii="Times New Roman" w:hAnsi="Times New Roman"/>
          <w:color w:val="auto"/>
        </w:rPr>
        <w:t>根据《工业企业总平面设计规范》</w:t>
      </w:r>
      <w:r>
        <w:rPr>
          <w:rFonts w:hint="eastAsia" w:ascii="Times New Roman" w:hAnsi="Times New Roman"/>
          <w:color w:val="auto"/>
          <w:lang w:eastAsia="zh-CN"/>
        </w:rPr>
        <w:t>（</w:t>
      </w:r>
      <w:r>
        <w:rPr>
          <w:rFonts w:hint="eastAsia" w:ascii="Times New Roman" w:hAnsi="Times New Roman"/>
          <w:color w:val="auto"/>
        </w:rPr>
        <w:t>GB50187-2012</w:t>
      </w:r>
      <w:r>
        <w:rPr>
          <w:rFonts w:hint="eastAsia" w:ascii="Times New Roman" w:hAnsi="Times New Roman"/>
          <w:color w:val="auto"/>
          <w:lang w:eastAsia="zh-CN"/>
        </w:rPr>
        <w:t>）</w:t>
      </w:r>
      <w:r>
        <w:rPr>
          <w:rFonts w:hint="eastAsia" w:ascii="Times New Roman" w:hAnsi="Times New Roman"/>
          <w:color w:val="auto"/>
        </w:rPr>
        <w:t>中的相关内容对该项目厂址选择进行对照检查。检查表见表3.1-3。</w:t>
      </w:r>
    </w:p>
    <w:p w14:paraId="33893841">
      <w:pPr>
        <w:pStyle w:val="16"/>
        <w:bidi w:val="0"/>
        <w:rPr>
          <w:rFonts w:hint="eastAsia" w:ascii="Times New Roman" w:hAnsi="Times New Roman"/>
          <w:color w:val="auto"/>
        </w:rPr>
      </w:pPr>
      <w:r>
        <w:rPr>
          <w:rFonts w:hint="eastAsia" w:ascii="Times New Roman" w:hAnsi="Times New Roman"/>
          <w:color w:val="auto"/>
        </w:rPr>
        <w:t>表3.1-3  厂址选择安全检查表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3855"/>
        <w:gridCol w:w="2488"/>
        <w:gridCol w:w="1663"/>
        <w:gridCol w:w="764"/>
      </w:tblGrid>
      <w:tr w14:paraId="0001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398F7EF8">
            <w:pPr>
              <w:pStyle w:val="17"/>
              <w:bidi w:val="0"/>
              <w:rPr>
                <w:rFonts w:ascii="Times New Roman" w:hAnsi="Times New Roman"/>
                <w:b/>
                <w:bCs/>
                <w:color w:val="auto"/>
              </w:rPr>
            </w:pPr>
            <w:r>
              <w:rPr>
                <w:rFonts w:ascii="Times New Roman" w:hAnsi="Times New Roman"/>
                <w:b/>
                <w:bCs/>
                <w:color w:val="auto"/>
              </w:rPr>
              <w:t>序号</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4F0A8029">
            <w:pPr>
              <w:pStyle w:val="17"/>
              <w:bidi w:val="0"/>
              <w:rPr>
                <w:rFonts w:ascii="Times New Roman" w:hAnsi="Times New Roman"/>
                <w:b/>
                <w:bCs/>
                <w:color w:val="auto"/>
              </w:rPr>
            </w:pPr>
            <w:r>
              <w:rPr>
                <w:rFonts w:ascii="Times New Roman" w:hAnsi="Times New Roman"/>
                <w:b/>
                <w:bCs/>
                <w:color w:val="auto"/>
              </w:rPr>
              <w:t>检查内容</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7B467BCB">
            <w:pPr>
              <w:pStyle w:val="17"/>
              <w:bidi w:val="0"/>
              <w:rPr>
                <w:rFonts w:ascii="Times New Roman" w:hAnsi="Times New Roman"/>
                <w:b/>
                <w:bCs/>
                <w:color w:val="auto"/>
              </w:rPr>
            </w:pPr>
            <w:r>
              <w:rPr>
                <w:rFonts w:ascii="Times New Roman" w:hAnsi="Times New Roman"/>
                <w:b/>
                <w:bCs/>
                <w:color w:val="auto"/>
              </w:rPr>
              <w:t>依据标准条款</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04397815">
            <w:pPr>
              <w:pStyle w:val="17"/>
              <w:bidi w:val="0"/>
              <w:rPr>
                <w:rFonts w:ascii="Times New Roman" w:hAnsi="Times New Roman"/>
                <w:b/>
                <w:bCs/>
                <w:color w:val="auto"/>
              </w:rPr>
            </w:pPr>
            <w:r>
              <w:rPr>
                <w:rFonts w:ascii="Times New Roman" w:hAnsi="Times New Roman"/>
                <w:b/>
                <w:bCs/>
                <w:color w:val="auto"/>
              </w:rPr>
              <w:t>检查情况</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5F728742">
            <w:pPr>
              <w:pStyle w:val="17"/>
              <w:bidi w:val="0"/>
              <w:rPr>
                <w:rFonts w:ascii="Times New Roman" w:hAnsi="Times New Roman"/>
                <w:b/>
                <w:bCs/>
                <w:color w:val="auto"/>
              </w:rPr>
            </w:pPr>
            <w:r>
              <w:rPr>
                <w:rFonts w:ascii="Times New Roman" w:hAnsi="Times New Roman"/>
                <w:b/>
                <w:bCs/>
                <w:color w:val="auto"/>
              </w:rPr>
              <w:t>检查结果</w:t>
            </w:r>
          </w:p>
        </w:tc>
      </w:tr>
      <w:tr w14:paraId="6CFB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4DF5BC37">
            <w:pPr>
              <w:pStyle w:val="17"/>
              <w:bidi w:val="0"/>
              <w:rPr>
                <w:rFonts w:ascii="Times New Roman" w:hAnsi="Times New Roman"/>
                <w:color w:val="auto"/>
              </w:rPr>
            </w:pPr>
            <w:r>
              <w:rPr>
                <w:rFonts w:ascii="Times New Roman" w:hAnsi="Times New Roman"/>
                <w:color w:val="auto"/>
              </w:rPr>
              <w:t>1</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4A61AF6D">
            <w:pPr>
              <w:pStyle w:val="17"/>
              <w:bidi w:val="0"/>
              <w:jc w:val="both"/>
              <w:rPr>
                <w:rFonts w:ascii="Times New Roman" w:hAnsi="Times New Roman"/>
                <w:color w:val="auto"/>
              </w:rPr>
            </w:pPr>
            <w:r>
              <w:rPr>
                <w:rFonts w:ascii="Times New Roman" w:hAnsi="Times New Roman"/>
                <w:color w:val="auto"/>
              </w:rPr>
              <w:t>配套和服务工业企业的居住区、交通运输、动力公用设施、废料场及环境保护工程、施工基地等用地，应与厂区用地同时选择。</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642AF4D7">
            <w:pPr>
              <w:pStyle w:val="17"/>
              <w:bidi w:val="0"/>
              <w:rPr>
                <w:rFonts w:ascii="Times New Roman" w:hAnsi="Times New Roman"/>
                <w:color w:val="auto"/>
              </w:rPr>
            </w:pPr>
            <w:r>
              <w:rPr>
                <w:rFonts w:ascii="Times New Roman" w:hAnsi="Times New Roman"/>
                <w:color w:val="auto"/>
              </w:rPr>
              <w:t>《工业企业总平面设计规范》（GB50187-2012）</w:t>
            </w:r>
          </w:p>
          <w:p w14:paraId="3052E2D4">
            <w:pPr>
              <w:pStyle w:val="17"/>
              <w:bidi w:val="0"/>
              <w:rPr>
                <w:rFonts w:ascii="Times New Roman" w:hAnsi="Times New Roman"/>
                <w:color w:val="auto"/>
              </w:rPr>
            </w:pPr>
            <w:r>
              <w:rPr>
                <w:rFonts w:ascii="Times New Roman" w:hAnsi="Times New Roman"/>
                <w:color w:val="auto"/>
              </w:rPr>
              <w:t>第3.0.2条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34943793">
            <w:pPr>
              <w:pStyle w:val="17"/>
              <w:bidi w:val="0"/>
              <w:rPr>
                <w:rFonts w:ascii="Times New Roman" w:hAnsi="Times New Roman"/>
                <w:color w:val="auto"/>
              </w:rPr>
            </w:pPr>
            <w:r>
              <w:rPr>
                <w:rFonts w:ascii="Times New Roman" w:hAnsi="Times New Roman"/>
                <w:color w:val="auto"/>
              </w:rPr>
              <w:t>居住区、交通运输、动力公用设施等用地已同时选择。</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23DCA547">
            <w:pPr>
              <w:pStyle w:val="17"/>
              <w:bidi w:val="0"/>
              <w:rPr>
                <w:rFonts w:ascii="Times New Roman" w:hAnsi="Times New Roman"/>
                <w:color w:val="auto"/>
              </w:rPr>
            </w:pPr>
            <w:r>
              <w:rPr>
                <w:rFonts w:ascii="Times New Roman" w:hAnsi="Times New Roman"/>
                <w:color w:val="auto"/>
              </w:rPr>
              <w:t>符合</w:t>
            </w:r>
          </w:p>
        </w:tc>
      </w:tr>
      <w:tr w14:paraId="2834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1A8AA459">
            <w:pPr>
              <w:pStyle w:val="17"/>
              <w:bidi w:val="0"/>
              <w:rPr>
                <w:rFonts w:ascii="Times New Roman" w:hAnsi="Times New Roman"/>
                <w:color w:val="auto"/>
              </w:rPr>
            </w:pPr>
            <w:r>
              <w:rPr>
                <w:rFonts w:ascii="Times New Roman" w:hAnsi="Times New Roman"/>
                <w:color w:val="auto"/>
              </w:rPr>
              <w:t>2</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665C44E6">
            <w:pPr>
              <w:pStyle w:val="17"/>
              <w:bidi w:val="0"/>
              <w:jc w:val="both"/>
              <w:rPr>
                <w:rFonts w:ascii="Times New Roman" w:hAnsi="Times New Roman"/>
                <w:color w:val="auto"/>
              </w:rPr>
            </w:pPr>
            <w:r>
              <w:rPr>
                <w:rFonts w:ascii="Times New Roman" w:hAnsi="Times New Roman"/>
                <w:color w:val="auto"/>
              </w:rPr>
              <w:t>厂址选择应对原料、燃料及辅助材料的来源、产品流向、建设条件、经济、社会、人文、城镇土地利用现状与规划、环境保护、文物古迹、占地拆迁、对外协作、施工条件等各种因素进行深入的调查研究，并应进行多方案技术经济比较后确定。</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25ADF5AB">
            <w:pPr>
              <w:pStyle w:val="17"/>
              <w:bidi w:val="0"/>
              <w:rPr>
                <w:rFonts w:ascii="Times New Roman" w:hAnsi="Times New Roman"/>
                <w:color w:val="auto"/>
              </w:rPr>
            </w:pPr>
            <w:r>
              <w:rPr>
                <w:rFonts w:ascii="Times New Roman" w:hAnsi="Times New Roman"/>
                <w:color w:val="auto"/>
              </w:rPr>
              <w:t>《工业企业总平面设计规范》（GB50187-2012）</w:t>
            </w:r>
          </w:p>
          <w:p w14:paraId="1A482BF3">
            <w:pPr>
              <w:pStyle w:val="17"/>
              <w:bidi w:val="0"/>
              <w:rPr>
                <w:rFonts w:ascii="Times New Roman" w:hAnsi="Times New Roman"/>
                <w:color w:val="auto"/>
              </w:rPr>
            </w:pPr>
            <w:r>
              <w:rPr>
                <w:rFonts w:ascii="Times New Roman" w:hAnsi="Times New Roman"/>
                <w:color w:val="auto"/>
              </w:rPr>
              <w:t>第3.0.3条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6C83F5E2">
            <w:pPr>
              <w:pStyle w:val="17"/>
              <w:bidi w:val="0"/>
              <w:rPr>
                <w:rFonts w:ascii="Times New Roman" w:hAnsi="Times New Roman"/>
                <w:color w:val="auto"/>
              </w:rPr>
            </w:pPr>
            <w:r>
              <w:rPr>
                <w:rFonts w:ascii="Times New Roman" w:hAnsi="Times New Roman"/>
                <w:color w:val="auto"/>
              </w:rPr>
              <w:t>厂址已择优选择。</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6FE7A569">
            <w:pPr>
              <w:pStyle w:val="17"/>
              <w:bidi w:val="0"/>
              <w:rPr>
                <w:rFonts w:ascii="Times New Roman" w:hAnsi="Times New Roman"/>
                <w:color w:val="auto"/>
              </w:rPr>
            </w:pPr>
            <w:r>
              <w:rPr>
                <w:rFonts w:ascii="Times New Roman" w:hAnsi="Times New Roman"/>
                <w:color w:val="auto"/>
              </w:rPr>
              <w:t>符合</w:t>
            </w:r>
          </w:p>
        </w:tc>
      </w:tr>
      <w:tr w14:paraId="3781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52C3BEC2">
            <w:pPr>
              <w:pStyle w:val="17"/>
              <w:bidi w:val="0"/>
              <w:rPr>
                <w:rFonts w:ascii="Times New Roman" w:hAnsi="Times New Roman"/>
                <w:color w:val="auto"/>
              </w:rPr>
            </w:pPr>
            <w:r>
              <w:rPr>
                <w:rFonts w:ascii="Times New Roman" w:hAnsi="Times New Roman"/>
                <w:color w:val="auto"/>
              </w:rPr>
              <w:t>3</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3AE05BB1">
            <w:pPr>
              <w:pStyle w:val="17"/>
              <w:bidi w:val="0"/>
              <w:jc w:val="both"/>
              <w:rPr>
                <w:rFonts w:ascii="Times New Roman" w:hAnsi="Times New Roman"/>
                <w:color w:val="auto"/>
              </w:rPr>
            </w:pPr>
            <w:r>
              <w:rPr>
                <w:rFonts w:ascii="Times New Roman" w:hAnsi="Times New Roman"/>
                <w:color w:val="auto"/>
              </w:rPr>
              <w:t>原料、燃料或产品运输量（特别）大的工业企业，厂址宜靠近原料、燃料基地或产品主要销售地及协作条件好的地区。</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2AC74B8A">
            <w:pPr>
              <w:pStyle w:val="17"/>
              <w:bidi w:val="0"/>
              <w:rPr>
                <w:rFonts w:ascii="Times New Roman" w:hAnsi="Times New Roman"/>
                <w:color w:val="auto"/>
              </w:rPr>
            </w:pPr>
            <w:r>
              <w:rPr>
                <w:rFonts w:ascii="Times New Roman" w:hAnsi="Times New Roman"/>
                <w:color w:val="auto"/>
              </w:rPr>
              <w:t>《工业企业总平面设计规范》（GB50187-2012）</w:t>
            </w:r>
          </w:p>
          <w:p w14:paraId="02FEC3D8">
            <w:pPr>
              <w:pStyle w:val="17"/>
              <w:bidi w:val="0"/>
              <w:rPr>
                <w:rFonts w:ascii="Times New Roman" w:hAnsi="Times New Roman"/>
                <w:color w:val="auto"/>
              </w:rPr>
            </w:pPr>
            <w:r>
              <w:rPr>
                <w:rFonts w:ascii="Times New Roman" w:hAnsi="Times New Roman"/>
                <w:color w:val="auto"/>
              </w:rPr>
              <w:t>第3.0.4条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406483DE">
            <w:pPr>
              <w:pStyle w:val="17"/>
              <w:bidi w:val="0"/>
              <w:rPr>
                <w:rFonts w:ascii="Times New Roman" w:hAnsi="Times New Roman"/>
                <w:color w:val="auto"/>
              </w:rPr>
            </w:pPr>
            <w:r>
              <w:rPr>
                <w:rFonts w:ascii="Times New Roman" w:hAnsi="Times New Roman"/>
                <w:color w:val="auto"/>
              </w:rPr>
              <w:t>矿区有矿区公路相通。</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4EBCC889">
            <w:pPr>
              <w:pStyle w:val="17"/>
              <w:bidi w:val="0"/>
              <w:rPr>
                <w:rFonts w:ascii="Times New Roman" w:hAnsi="Times New Roman"/>
                <w:color w:val="auto"/>
              </w:rPr>
            </w:pPr>
            <w:r>
              <w:rPr>
                <w:rFonts w:ascii="Times New Roman" w:hAnsi="Times New Roman"/>
                <w:color w:val="auto"/>
              </w:rPr>
              <w:t>符合</w:t>
            </w:r>
          </w:p>
        </w:tc>
      </w:tr>
      <w:tr w14:paraId="5BE3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4C229339">
            <w:pPr>
              <w:pStyle w:val="17"/>
              <w:bidi w:val="0"/>
              <w:rPr>
                <w:rFonts w:ascii="Times New Roman" w:hAnsi="Times New Roman"/>
                <w:color w:val="auto"/>
              </w:rPr>
            </w:pPr>
            <w:r>
              <w:rPr>
                <w:rFonts w:ascii="Times New Roman" w:hAnsi="Times New Roman"/>
                <w:color w:val="auto"/>
              </w:rPr>
              <w:t>4</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3168C752">
            <w:pPr>
              <w:pStyle w:val="17"/>
              <w:bidi w:val="0"/>
              <w:jc w:val="both"/>
              <w:rPr>
                <w:rFonts w:ascii="Times New Roman" w:hAnsi="Times New Roman"/>
                <w:color w:val="auto"/>
              </w:rPr>
            </w:pPr>
            <w:r>
              <w:rPr>
                <w:rFonts w:ascii="Times New Roman" w:hAnsi="Times New Roman"/>
                <w:color w:val="auto"/>
              </w:rPr>
              <w:t>厂址应具有满足生产、生活及发展所必需的水源和电源。水源和电源与厂址之间的管线连接应尽量短捷，且用水、用电量（特别）大的工业企业宜靠近水源及电源地。</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6F7F95B6">
            <w:pPr>
              <w:pStyle w:val="17"/>
              <w:bidi w:val="0"/>
              <w:rPr>
                <w:rFonts w:ascii="Times New Roman" w:hAnsi="Times New Roman"/>
                <w:color w:val="auto"/>
              </w:rPr>
            </w:pPr>
            <w:r>
              <w:rPr>
                <w:rFonts w:ascii="Times New Roman" w:hAnsi="Times New Roman"/>
                <w:color w:val="auto"/>
              </w:rPr>
              <w:t>《工业企业总平面设计规范》（GB50187-2012）</w:t>
            </w:r>
          </w:p>
          <w:p w14:paraId="34847941">
            <w:pPr>
              <w:pStyle w:val="17"/>
              <w:bidi w:val="0"/>
              <w:rPr>
                <w:rFonts w:ascii="Times New Roman" w:hAnsi="Times New Roman"/>
                <w:color w:val="auto"/>
              </w:rPr>
            </w:pPr>
            <w:r>
              <w:rPr>
                <w:rFonts w:ascii="Times New Roman" w:hAnsi="Times New Roman"/>
                <w:color w:val="auto"/>
              </w:rPr>
              <w:t>第3.0.6条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0BE43371">
            <w:pPr>
              <w:pStyle w:val="17"/>
              <w:bidi w:val="0"/>
              <w:rPr>
                <w:rFonts w:ascii="Times New Roman" w:hAnsi="Times New Roman"/>
                <w:color w:val="auto"/>
              </w:rPr>
            </w:pPr>
            <w:r>
              <w:rPr>
                <w:rFonts w:ascii="Times New Roman" w:hAnsi="Times New Roman"/>
                <w:color w:val="auto"/>
              </w:rPr>
              <w:t>有满足生产、生活及发展所必需的水源和电源。</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4B13570C">
            <w:pPr>
              <w:pStyle w:val="17"/>
              <w:bidi w:val="0"/>
              <w:rPr>
                <w:rFonts w:ascii="Times New Roman" w:hAnsi="Times New Roman"/>
                <w:color w:val="auto"/>
              </w:rPr>
            </w:pPr>
            <w:r>
              <w:rPr>
                <w:rFonts w:ascii="Times New Roman" w:hAnsi="Times New Roman"/>
                <w:color w:val="auto"/>
              </w:rPr>
              <w:t>符合</w:t>
            </w:r>
          </w:p>
        </w:tc>
      </w:tr>
      <w:tr w14:paraId="2DD1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7E25BA58">
            <w:pPr>
              <w:pStyle w:val="17"/>
              <w:bidi w:val="0"/>
              <w:rPr>
                <w:rFonts w:ascii="Times New Roman" w:hAnsi="Times New Roman"/>
                <w:color w:val="auto"/>
              </w:rPr>
            </w:pPr>
            <w:r>
              <w:rPr>
                <w:rFonts w:ascii="Times New Roman" w:hAnsi="Times New Roman"/>
                <w:color w:val="auto"/>
              </w:rPr>
              <w:t>5</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16DCF657">
            <w:pPr>
              <w:pStyle w:val="17"/>
              <w:bidi w:val="0"/>
              <w:jc w:val="both"/>
              <w:rPr>
                <w:rFonts w:ascii="Times New Roman" w:hAnsi="Times New Roman"/>
                <w:color w:val="auto"/>
              </w:rPr>
            </w:pPr>
            <w:r>
              <w:rPr>
                <w:rFonts w:ascii="Times New Roman" w:hAnsi="Times New Roman"/>
                <w:color w:val="auto"/>
              </w:rPr>
              <w:t>散发有害物质的工业企业厂址，应位于城镇、相邻工业企业和居住区全年最小频率风向的上风侧，不应位于窝风地段，并应满足有关防护距离的要求。</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74648426">
            <w:pPr>
              <w:pStyle w:val="17"/>
              <w:bidi w:val="0"/>
              <w:rPr>
                <w:rFonts w:ascii="Times New Roman" w:hAnsi="Times New Roman"/>
                <w:color w:val="auto"/>
              </w:rPr>
            </w:pPr>
            <w:r>
              <w:rPr>
                <w:rFonts w:ascii="Times New Roman" w:hAnsi="Times New Roman"/>
                <w:color w:val="auto"/>
              </w:rPr>
              <w:t>《工业企业总平面设计规范》（GB50187-2012）</w:t>
            </w:r>
          </w:p>
          <w:p w14:paraId="503AFB3E">
            <w:pPr>
              <w:pStyle w:val="17"/>
              <w:bidi w:val="0"/>
              <w:rPr>
                <w:rFonts w:ascii="Times New Roman" w:hAnsi="Times New Roman"/>
                <w:color w:val="auto"/>
              </w:rPr>
            </w:pPr>
            <w:r>
              <w:rPr>
                <w:rFonts w:ascii="Times New Roman" w:hAnsi="Times New Roman"/>
                <w:color w:val="auto"/>
              </w:rPr>
              <w:t>第3.0.7条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70C03FCA">
            <w:pPr>
              <w:pStyle w:val="17"/>
              <w:bidi w:val="0"/>
              <w:rPr>
                <w:rFonts w:ascii="Times New Roman" w:hAnsi="Times New Roman"/>
                <w:color w:val="auto"/>
              </w:rPr>
            </w:pPr>
            <w:r>
              <w:rPr>
                <w:rFonts w:ascii="Times New Roman" w:hAnsi="Times New Roman"/>
                <w:color w:val="auto"/>
              </w:rPr>
              <w:t>无有害物质。</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1AF681B4">
            <w:pPr>
              <w:pStyle w:val="17"/>
              <w:bidi w:val="0"/>
              <w:rPr>
                <w:rFonts w:ascii="Times New Roman" w:hAnsi="Times New Roman"/>
                <w:color w:val="auto"/>
              </w:rPr>
            </w:pPr>
            <w:r>
              <w:rPr>
                <w:rFonts w:ascii="Times New Roman" w:hAnsi="Times New Roman"/>
                <w:color w:val="auto"/>
              </w:rPr>
              <w:t>符合</w:t>
            </w:r>
          </w:p>
        </w:tc>
      </w:tr>
      <w:tr w14:paraId="0318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3C1B8F4E">
            <w:pPr>
              <w:pStyle w:val="17"/>
              <w:bidi w:val="0"/>
              <w:rPr>
                <w:rFonts w:ascii="Times New Roman" w:hAnsi="Times New Roman"/>
                <w:color w:val="auto"/>
              </w:rPr>
            </w:pPr>
            <w:r>
              <w:rPr>
                <w:rFonts w:ascii="Times New Roman" w:hAnsi="Times New Roman"/>
                <w:color w:val="auto"/>
              </w:rPr>
              <w:t>6</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45E5E568">
            <w:pPr>
              <w:pStyle w:val="17"/>
              <w:bidi w:val="0"/>
              <w:jc w:val="both"/>
              <w:rPr>
                <w:rFonts w:ascii="Times New Roman" w:hAnsi="Times New Roman"/>
                <w:color w:val="auto"/>
              </w:rPr>
            </w:pPr>
            <w:r>
              <w:rPr>
                <w:rFonts w:ascii="Times New Roman" w:hAnsi="Times New Roman"/>
                <w:color w:val="auto"/>
              </w:rPr>
              <w:t>厂址应具有满足建设工程需要的工程地质条件和水文地质条件。</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2A4D4458">
            <w:pPr>
              <w:pStyle w:val="17"/>
              <w:bidi w:val="0"/>
              <w:rPr>
                <w:rFonts w:ascii="Times New Roman" w:hAnsi="Times New Roman"/>
                <w:color w:val="auto"/>
              </w:rPr>
            </w:pPr>
            <w:r>
              <w:rPr>
                <w:rFonts w:ascii="Times New Roman" w:hAnsi="Times New Roman"/>
                <w:color w:val="auto"/>
              </w:rPr>
              <w:t>《工业企业总平面设计规范》（GB50187-2012）</w:t>
            </w:r>
          </w:p>
          <w:p w14:paraId="589C86DE">
            <w:pPr>
              <w:pStyle w:val="17"/>
              <w:bidi w:val="0"/>
              <w:rPr>
                <w:rFonts w:ascii="Times New Roman" w:hAnsi="Times New Roman"/>
                <w:color w:val="auto"/>
              </w:rPr>
            </w:pPr>
            <w:r>
              <w:rPr>
                <w:rFonts w:ascii="Times New Roman" w:hAnsi="Times New Roman"/>
                <w:color w:val="auto"/>
              </w:rPr>
              <w:t>第3.0.8条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3884AF8D">
            <w:pPr>
              <w:pStyle w:val="17"/>
              <w:bidi w:val="0"/>
              <w:rPr>
                <w:rFonts w:ascii="Times New Roman" w:hAnsi="Times New Roman"/>
                <w:color w:val="auto"/>
              </w:rPr>
            </w:pPr>
            <w:r>
              <w:rPr>
                <w:rFonts w:ascii="Times New Roman" w:hAnsi="Times New Roman"/>
                <w:color w:val="auto"/>
              </w:rPr>
              <w:t>工程地质及水文地质条件都满足。</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3BFEF032">
            <w:pPr>
              <w:pStyle w:val="17"/>
              <w:bidi w:val="0"/>
              <w:rPr>
                <w:rFonts w:ascii="Times New Roman" w:hAnsi="Times New Roman"/>
                <w:color w:val="auto"/>
              </w:rPr>
            </w:pPr>
            <w:r>
              <w:rPr>
                <w:rFonts w:ascii="Times New Roman" w:hAnsi="Times New Roman"/>
                <w:color w:val="auto"/>
              </w:rPr>
              <w:t>符合</w:t>
            </w:r>
          </w:p>
        </w:tc>
      </w:tr>
      <w:tr w14:paraId="5C34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46C40224">
            <w:pPr>
              <w:pStyle w:val="17"/>
              <w:bidi w:val="0"/>
              <w:rPr>
                <w:rFonts w:ascii="Times New Roman" w:hAnsi="Times New Roman"/>
                <w:color w:val="auto"/>
              </w:rPr>
            </w:pPr>
            <w:r>
              <w:rPr>
                <w:rFonts w:ascii="Times New Roman" w:hAnsi="Times New Roman"/>
                <w:color w:val="auto"/>
              </w:rPr>
              <w:t>7</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01736CD5">
            <w:pPr>
              <w:pStyle w:val="17"/>
              <w:bidi w:val="0"/>
              <w:jc w:val="both"/>
              <w:rPr>
                <w:rFonts w:ascii="Times New Roman" w:hAnsi="Times New Roman"/>
                <w:color w:val="auto"/>
              </w:rPr>
            </w:pPr>
            <w:r>
              <w:rPr>
                <w:rFonts w:ascii="Times New Roman" w:hAnsi="Times New Roman"/>
                <w:color w:val="auto"/>
              </w:rPr>
              <w:t>厂址应满足近期建设所必需的场地面积和适宜的建厂地形，并应根据工业企业远期发展规划的需要，留有适当的发展余地。</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7BD334C1">
            <w:pPr>
              <w:pStyle w:val="17"/>
              <w:bidi w:val="0"/>
              <w:rPr>
                <w:rFonts w:ascii="Times New Roman" w:hAnsi="Times New Roman"/>
                <w:color w:val="auto"/>
              </w:rPr>
            </w:pPr>
            <w:r>
              <w:rPr>
                <w:rFonts w:ascii="Times New Roman" w:hAnsi="Times New Roman"/>
                <w:color w:val="auto"/>
              </w:rPr>
              <w:t>《工业企业总平面设计规范》（GB50187-2012）</w:t>
            </w:r>
          </w:p>
          <w:p w14:paraId="127D129A">
            <w:pPr>
              <w:pStyle w:val="17"/>
              <w:bidi w:val="0"/>
              <w:rPr>
                <w:rFonts w:ascii="Times New Roman" w:hAnsi="Times New Roman"/>
                <w:color w:val="auto"/>
              </w:rPr>
            </w:pPr>
            <w:r>
              <w:rPr>
                <w:rFonts w:ascii="Times New Roman" w:hAnsi="Times New Roman"/>
                <w:color w:val="auto"/>
              </w:rPr>
              <w:t>第3.0.9条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1B75776B">
            <w:pPr>
              <w:pStyle w:val="17"/>
              <w:bidi w:val="0"/>
              <w:rPr>
                <w:rFonts w:ascii="Times New Roman" w:hAnsi="Times New Roman"/>
                <w:color w:val="auto"/>
              </w:rPr>
            </w:pPr>
            <w:r>
              <w:rPr>
                <w:rFonts w:ascii="Times New Roman" w:hAnsi="Times New Roman"/>
                <w:color w:val="auto"/>
              </w:rPr>
              <w:t>留有发展余地。</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7BF0A086">
            <w:pPr>
              <w:pStyle w:val="17"/>
              <w:bidi w:val="0"/>
              <w:rPr>
                <w:rFonts w:ascii="Times New Roman" w:hAnsi="Times New Roman"/>
                <w:color w:val="auto"/>
              </w:rPr>
            </w:pPr>
            <w:r>
              <w:rPr>
                <w:rFonts w:ascii="Times New Roman" w:hAnsi="Times New Roman"/>
                <w:color w:val="auto"/>
              </w:rPr>
              <w:t>符合</w:t>
            </w:r>
          </w:p>
        </w:tc>
      </w:tr>
      <w:tr w14:paraId="7E2C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32982209">
            <w:pPr>
              <w:pStyle w:val="17"/>
              <w:bidi w:val="0"/>
              <w:rPr>
                <w:rFonts w:ascii="Times New Roman" w:hAnsi="Times New Roman"/>
                <w:color w:val="auto"/>
              </w:rPr>
            </w:pPr>
            <w:r>
              <w:rPr>
                <w:rFonts w:ascii="Times New Roman" w:hAnsi="Times New Roman"/>
                <w:color w:val="auto"/>
              </w:rPr>
              <w:t>8</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233DD826">
            <w:pPr>
              <w:pStyle w:val="17"/>
              <w:bidi w:val="0"/>
              <w:jc w:val="both"/>
              <w:rPr>
                <w:rFonts w:ascii="Times New Roman" w:hAnsi="Times New Roman"/>
                <w:color w:val="auto"/>
              </w:rPr>
            </w:pPr>
            <w:r>
              <w:rPr>
                <w:rFonts w:ascii="Times New Roman" w:hAnsi="Times New Roman"/>
                <w:color w:val="auto"/>
              </w:rPr>
              <w:t>山区建厂，当厂址位于山坡或山脚处时，应采取防止山洪、泥石流等自然灾害的危害的加固措施，应对山坡的稳定性等作出地质灾害的危险性评估报告。</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59C3D15F">
            <w:pPr>
              <w:pStyle w:val="17"/>
              <w:bidi w:val="0"/>
              <w:rPr>
                <w:rFonts w:ascii="Times New Roman" w:hAnsi="Times New Roman"/>
                <w:color w:val="auto"/>
              </w:rPr>
            </w:pPr>
            <w:r>
              <w:rPr>
                <w:rFonts w:ascii="Times New Roman" w:hAnsi="Times New Roman"/>
                <w:color w:val="auto"/>
              </w:rPr>
              <w:t>《工业企业总平面设计规范》（GB50187-2012）</w:t>
            </w:r>
          </w:p>
          <w:p w14:paraId="24DA67BE">
            <w:pPr>
              <w:pStyle w:val="17"/>
              <w:bidi w:val="0"/>
              <w:rPr>
                <w:rFonts w:ascii="Times New Roman" w:hAnsi="Times New Roman"/>
                <w:color w:val="auto"/>
              </w:rPr>
            </w:pPr>
            <w:r>
              <w:rPr>
                <w:rFonts w:ascii="Times New Roman" w:hAnsi="Times New Roman"/>
                <w:color w:val="auto"/>
              </w:rPr>
              <w:t>第3.0.13条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367A480C">
            <w:pPr>
              <w:pStyle w:val="17"/>
              <w:bidi w:val="0"/>
              <w:rPr>
                <w:rFonts w:hint="eastAsia" w:ascii="Times New Roman" w:hAnsi="Times New Roman" w:eastAsia="宋体"/>
                <w:color w:val="auto"/>
                <w:lang w:eastAsia="zh-CN"/>
              </w:rPr>
            </w:pPr>
            <w:r>
              <w:rPr>
                <w:rFonts w:hint="eastAsia" w:ascii="Times New Roman" w:hAnsi="Times New Roman"/>
                <w:color w:val="auto"/>
                <w:lang w:val="en-US" w:eastAsia="zh-CN"/>
              </w:rPr>
              <w:t>开采标高为</w:t>
            </w:r>
            <w:r>
              <w:rPr>
                <w:rFonts w:hint="eastAsia" w:ascii="Times New Roman" w:hAnsi="Times New Roman"/>
                <w:color w:val="auto"/>
              </w:rPr>
              <w:t>2060m-1960m</w:t>
            </w:r>
            <w:r>
              <w:rPr>
                <w:rFonts w:hint="eastAsia" w:ascii="Times New Roman" w:hAnsi="Times New Roman"/>
                <w:color w:val="auto"/>
                <w:lang w:eastAsia="zh-CN"/>
              </w:rPr>
              <w:t>，</w:t>
            </w:r>
            <w:r>
              <w:rPr>
                <w:rFonts w:hint="eastAsia" w:ascii="Times New Roman" w:hAnsi="Times New Roman"/>
                <w:color w:val="auto"/>
              </w:rPr>
              <w:t>区域最低侵蚀基准面为矿区西部约550m的洒渔河河床，标高约为1900m。矿区开采范围的储量全部位于当地侵蚀基准面高程1900以上</w:t>
            </w:r>
            <w:r>
              <w:rPr>
                <w:rFonts w:hint="eastAsia" w:ascii="Times New Roman" w:hAnsi="Times New Roman"/>
                <w:color w:val="auto"/>
                <w:lang w:eastAsia="zh-CN"/>
              </w:rPr>
              <w:t>。</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6E7ADC4F">
            <w:pPr>
              <w:pStyle w:val="17"/>
              <w:bidi w:val="0"/>
              <w:rPr>
                <w:rFonts w:ascii="Times New Roman" w:hAnsi="Times New Roman"/>
                <w:color w:val="auto"/>
              </w:rPr>
            </w:pPr>
            <w:r>
              <w:rPr>
                <w:rFonts w:ascii="Times New Roman" w:hAnsi="Times New Roman"/>
                <w:color w:val="auto"/>
              </w:rPr>
              <w:t>符合</w:t>
            </w:r>
          </w:p>
        </w:tc>
      </w:tr>
      <w:tr w14:paraId="1224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49" w:type="pct"/>
            <w:tcBorders>
              <w:top w:val="single" w:color="auto" w:sz="4" w:space="0"/>
              <w:left w:val="single" w:color="auto" w:sz="4" w:space="0"/>
              <w:bottom w:val="single" w:color="auto" w:sz="4" w:space="0"/>
              <w:right w:val="single" w:color="auto" w:sz="4" w:space="0"/>
            </w:tcBorders>
            <w:noWrap w:val="0"/>
            <w:vAlign w:val="center"/>
          </w:tcPr>
          <w:p w14:paraId="792D18DE">
            <w:pPr>
              <w:pStyle w:val="17"/>
              <w:bidi w:val="0"/>
              <w:rPr>
                <w:rFonts w:ascii="Times New Roman" w:hAnsi="Times New Roman"/>
                <w:color w:val="auto"/>
              </w:rPr>
            </w:pPr>
            <w:r>
              <w:rPr>
                <w:rFonts w:ascii="Times New Roman" w:hAnsi="Times New Roman"/>
                <w:color w:val="auto"/>
              </w:rPr>
              <w:t>9</w:t>
            </w:r>
          </w:p>
        </w:tc>
        <w:tc>
          <w:tcPr>
            <w:tcW w:w="2069" w:type="pct"/>
            <w:tcBorders>
              <w:top w:val="single" w:color="auto" w:sz="4" w:space="0"/>
              <w:left w:val="single" w:color="auto" w:sz="4" w:space="0"/>
              <w:bottom w:val="single" w:color="auto" w:sz="4" w:space="0"/>
              <w:right w:val="single" w:color="auto" w:sz="4" w:space="0"/>
            </w:tcBorders>
            <w:noWrap w:val="0"/>
            <w:vAlign w:val="center"/>
          </w:tcPr>
          <w:p w14:paraId="11B3EA8A">
            <w:pPr>
              <w:pStyle w:val="17"/>
              <w:bidi w:val="0"/>
              <w:jc w:val="both"/>
              <w:rPr>
                <w:rFonts w:ascii="Times New Roman" w:hAnsi="Times New Roman"/>
                <w:color w:val="auto"/>
              </w:rPr>
            </w:pPr>
            <w:r>
              <w:rPr>
                <w:rFonts w:ascii="Times New Roman" w:hAnsi="Times New Roman"/>
                <w:color w:val="auto"/>
              </w:rPr>
              <w:t>下列地段和地区不应选为厂址：</w:t>
            </w:r>
          </w:p>
          <w:p w14:paraId="4F0CC35A">
            <w:pPr>
              <w:pStyle w:val="17"/>
              <w:bidi w:val="0"/>
              <w:jc w:val="both"/>
              <w:rPr>
                <w:rFonts w:ascii="Times New Roman" w:hAnsi="Times New Roman"/>
                <w:color w:val="auto"/>
              </w:rPr>
            </w:pPr>
            <w:r>
              <w:rPr>
                <w:rFonts w:ascii="Times New Roman" w:hAnsi="Times New Roman"/>
                <w:color w:val="auto"/>
              </w:rPr>
              <w:t>①发震断层和抗震设防烈度为9度及高于9度的地震区；</w:t>
            </w:r>
          </w:p>
          <w:p w14:paraId="0186C173">
            <w:pPr>
              <w:pStyle w:val="17"/>
              <w:bidi w:val="0"/>
              <w:jc w:val="both"/>
              <w:rPr>
                <w:rFonts w:ascii="Times New Roman" w:hAnsi="Times New Roman"/>
                <w:color w:val="auto"/>
              </w:rPr>
            </w:pPr>
            <w:r>
              <w:rPr>
                <w:rFonts w:ascii="Times New Roman" w:hAnsi="Times New Roman"/>
                <w:color w:val="auto"/>
              </w:rPr>
              <w:t>②有泥石流、滑坡、流沙、溶洞等直接危害的地段；</w:t>
            </w:r>
          </w:p>
          <w:p w14:paraId="7E21A6C9">
            <w:pPr>
              <w:pStyle w:val="17"/>
              <w:bidi w:val="0"/>
              <w:jc w:val="both"/>
              <w:rPr>
                <w:rFonts w:ascii="Times New Roman" w:hAnsi="Times New Roman"/>
                <w:color w:val="auto"/>
              </w:rPr>
            </w:pPr>
            <w:r>
              <w:rPr>
                <w:rFonts w:ascii="Times New Roman" w:hAnsi="Times New Roman"/>
                <w:color w:val="auto"/>
              </w:rPr>
              <w:t>③采矿陷落（错动）区地表界限内；</w:t>
            </w:r>
          </w:p>
          <w:p w14:paraId="5B844625">
            <w:pPr>
              <w:pStyle w:val="17"/>
              <w:bidi w:val="0"/>
              <w:jc w:val="both"/>
              <w:rPr>
                <w:rFonts w:ascii="Times New Roman" w:hAnsi="Times New Roman"/>
                <w:color w:val="auto"/>
              </w:rPr>
            </w:pPr>
            <w:r>
              <w:rPr>
                <w:rFonts w:ascii="Times New Roman" w:hAnsi="Times New Roman"/>
                <w:color w:val="auto"/>
              </w:rPr>
              <w:t>④爆破危险界限内；</w:t>
            </w:r>
          </w:p>
          <w:p w14:paraId="2ED064A3">
            <w:pPr>
              <w:pStyle w:val="17"/>
              <w:bidi w:val="0"/>
              <w:jc w:val="both"/>
              <w:rPr>
                <w:rFonts w:ascii="Times New Roman" w:hAnsi="Times New Roman"/>
                <w:color w:val="auto"/>
              </w:rPr>
            </w:pPr>
            <w:r>
              <w:rPr>
                <w:rFonts w:ascii="Times New Roman" w:hAnsi="Times New Roman"/>
                <w:color w:val="auto"/>
              </w:rPr>
              <w:t>⑤坝或堤决溃后可能淹没的地区；</w:t>
            </w:r>
          </w:p>
          <w:p w14:paraId="242B353F">
            <w:pPr>
              <w:pStyle w:val="17"/>
              <w:bidi w:val="0"/>
              <w:jc w:val="both"/>
              <w:rPr>
                <w:rFonts w:ascii="Times New Roman" w:hAnsi="Times New Roman"/>
                <w:color w:val="auto"/>
              </w:rPr>
            </w:pPr>
            <w:r>
              <w:rPr>
                <w:rFonts w:ascii="Times New Roman" w:hAnsi="Times New Roman"/>
                <w:color w:val="auto"/>
              </w:rPr>
              <w:t>⑥有严重放射性物质污染影响区；</w:t>
            </w:r>
          </w:p>
          <w:p w14:paraId="38622724">
            <w:pPr>
              <w:pStyle w:val="17"/>
              <w:bidi w:val="0"/>
              <w:jc w:val="both"/>
              <w:rPr>
                <w:rFonts w:ascii="Times New Roman" w:hAnsi="Times New Roman"/>
                <w:color w:val="auto"/>
              </w:rPr>
            </w:pPr>
            <w:r>
              <w:rPr>
                <w:rFonts w:ascii="Times New Roman" w:hAnsi="Times New Roman"/>
                <w:color w:val="auto"/>
              </w:rPr>
              <w:t>⑦生活居住区、文教区、水源保护区、名胜古迹、风景游览区、温泉、疗养区、自然保护区和其它需要特别保护的区域；</w:t>
            </w:r>
          </w:p>
          <w:p w14:paraId="2E10AA2C">
            <w:pPr>
              <w:pStyle w:val="17"/>
              <w:bidi w:val="0"/>
              <w:jc w:val="both"/>
              <w:rPr>
                <w:rFonts w:ascii="Times New Roman" w:hAnsi="Times New Roman"/>
                <w:color w:val="auto"/>
              </w:rPr>
            </w:pPr>
            <w:r>
              <w:rPr>
                <w:rFonts w:ascii="Times New Roman" w:hAnsi="Times New Roman"/>
                <w:color w:val="auto"/>
              </w:rPr>
              <w:t>⑧对飞机起落、电台通讯、电视转播、雷达导航和重要的天文、气象、地震观察以及军事设施等规定有影响的范围内；</w:t>
            </w:r>
          </w:p>
          <w:p w14:paraId="27DE81C3">
            <w:pPr>
              <w:pStyle w:val="17"/>
              <w:bidi w:val="0"/>
              <w:jc w:val="both"/>
              <w:rPr>
                <w:rFonts w:ascii="Times New Roman" w:hAnsi="Times New Roman"/>
                <w:color w:val="auto"/>
              </w:rPr>
            </w:pPr>
            <w:r>
              <w:rPr>
                <w:rFonts w:ascii="Times New Roman" w:hAnsi="Times New Roman"/>
                <w:color w:val="auto"/>
              </w:rPr>
              <w:t>⑨很严重的自重湿陷性黄土地段，厚度大的新近堆积黄土地段和高压缩性的饱和黄土地段等地质条件恶劣地段；</w:t>
            </w:r>
          </w:p>
          <w:p w14:paraId="50A04BCC">
            <w:pPr>
              <w:pStyle w:val="17"/>
              <w:bidi w:val="0"/>
              <w:jc w:val="both"/>
              <w:rPr>
                <w:rFonts w:ascii="Times New Roman" w:hAnsi="Times New Roman"/>
                <w:color w:val="auto"/>
              </w:rPr>
            </w:pPr>
            <w:r>
              <w:rPr>
                <w:rFonts w:ascii="Times New Roman" w:hAnsi="Times New Roman"/>
                <w:color w:val="auto"/>
              </w:rPr>
              <w:t>⑩具有开采价值的矿藏区；</w:t>
            </w:r>
          </w:p>
          <w:p w14:paraId="5581B435">
            <w:pPr>
              <w:pStyle w:val="17"/>
              <w:bidi w:val="0"/>
              <w:jc w:val="both"/>
              <w:rPr>
                <w:rFonts w:ascii="Times New Roman" w:hAnsi="Times New Roman"/>
                <w:color w:val="auto"/>
              </w:rPr>
            </w:pPr>
            <w:r>
              <w:rPr>
                <w:rFonts w:ascii="Times New Roman" w:hAnsi="Times New Roman"/>
                <w:color w:val="auto"/>
              </w:rPr>
              <w:t>⑪受海啸或湖涌危害的地区。</w:t>
            </w:r>
          </w:p>
        </w:tc>
        <w:tc>
          <w:tcPr>
            <w:tcW w:w="1341" w:type="pct"/>
            <w:tcBorders>
              <w:top w:val="single" w:color="auto" w:sz="4" w:space="0"/>
              <w:left w:val="single" w:color="auto" w:sz="4" w:space="0"/>
              <w:bottom w:val="single" w:color="auto" w:sz="4" w:space="0"/>
              <w:right w:val="single" w:color="auto" w:sz="4" w:space="0"/>
            </w:tcBorders>
            <w:noWrap w:val="0"/>
            <w:vAlign w:val="center"/>
          </w:tcPr>
          <w:p w14:paraId="64E844F0">
            <w:pPr>
              <w:pStyle w:val="17"/>
              <w:bidi w:val="0"/>
              <w:rPr>
                <w:rFonts w:ascii="Times New Roman" w:hAnsi="Times New Roman"/>
                <w:color w:val="auto"/>
              </w:rPr>
            </w:pPr>
            <w:r>
              <w:rPr>
                <w:rFonts w:ascii="Times New Roman" w:hAnsi="Times New Roman"/>
                <w:color w:val="auto"/>
              </w:rPr>
              <w:t>《工业企业总平面设计规范》（GB50187-2012）</w:t>
            </w:r>
          </w:p>
          <w:p w14:paraId="7B867AF6">
            <w:pPr>
              <w:pStyle w:val="17"/>
              <w:bidi w:val="0"/>
              <w:rPr>
                <w:rFonts w:ascii="Times New Roman" w:hAnsi="Times New Roman"/>
                <w:color w:val="auto"/>
              </w:rPr>
            </w:pPr>
            <w:r>
              <w:rPr>
                <w:rFonts w:ascii="Times New Roman" w:hAnsi="Times New Roman"/>
                <w:color w:val="auto"/>
              </w:rPr>
              <w:t>第3.0.14条</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3B9ADB1A">
            <w:pPr>
              <w:pStyle w:val="17"/>
              <w:bidi w:val="0"/>
              <w:rPr>
                <w:rFonts w:ascii="Times New Roman" w:hAnsi="Times New Roman"/>
                <w:color w:val="auto"/>
              </w:rPr>
            </w:pPr>
            <w:r>
              <w:rPr>
                <w:rFonts w:ascii="Times New Roman" w:hAnsi="Times New Roman"/>
                <w:color w:val="auto"/>
              </w:rPr>
              <w:t>厂址不存在上述地段。</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0C974056">
            <w:pPr>
              <w:pStyle w:val="17"/>
              <w:bidi w:val="0"/>
              <w:rPr>
                <w:rFonts w:ascii="Times New Roman" w:hAnsi="Times New Roman"/>
                <w:color w:val="auto"/>
              </w:rPr>
            </w:pPr>
            <w:r>
              <w:rPr>
                <w:rFonts w:ascii="Times New Roman" w:hAnsi="Times New Roman"/>
                <w:color w:val="auto"/>
              </w:rPr>
              <w:t>符合</w:t>
            </w:r>
          </w:p>
        </w:tc>
      </w:tr>
    </w:tbl>
    <w:p w14:paraId="61B99D83">
      <w:pPr>
        <w:pStyle w:val="4"/>
        <w:bidi w:val="0"/>
        <w:rPr>
          <w:rFonts w:hint="eastAsia" w:ascii="Times New Roman" w:hAnsi="Times New Roman"/>
          <w:color w:val="auto"/>
        </w:rPr>
      </w:pPr>
      <w:bookmarkStart w:id="102" w:name="_Toc21465"/>
      <w:r>
        <w:rPr>
          <w:rFonts w:hint="eastAsia" w:ascii="Times New Roman" w:hAnsi="Times New Roman"/>
          <w:color w:val="auto"/>
        </w:rPr>
        <w:t>3.1.4</w:t>
      </w:r>
      <w:r>
        <w:rPr>
          <w:rFonts w:hint="eastAsia" w:ascii="Times New Roman" w:hAnsi="Times New Roman"/>
          <w:color w:val="auto"/>
          <w:lang w:val="en-US" w:eastAsia="zh-CN"/>
        </w:rPr>
        <w:t xml:space="preserve"> </w:t>
      </w:r>
      <w:r>
        <w:rPr>
          <w:rFonts w:hint="eastAsia" w:ascii="Times New Roman" w:hAnsi="Times New Roman"/>
          <w:color w:val="auto"/>
        </w:rPr>
        <w:t>总平面布置安全检查表</w:t>
      </w:r>
      <w:bookmarkEnd w:id="102"/>
      <w:r>
        <w:rPr>
          <w:rFonts w:hint="eastAsia" w:ascii="Times New Roman" w:hAnsi="Times New Roman"/>
          <w:color w:val="auto"/>
        </w:rPr>
        <w:t xml:space="preserve"> </w:t>
      </w:r>
    </w:p>
    <w:p w14:paraId="08E8B5D7">
      <w:pPr>
        <w:bidi w:val="0"/>
        <w:rPr>
          <w:rFonts w:hint="eastAsia" w:ascii="Times New Roman" w:hAnsi="Times New Roman"/>
          <w:color w:val="auto"/>
        </w:rPr>
      </w:pPr>
      <w:r>
        <w:rPr>
          <w:rFonts w:hint="eastAsia" w:ascii="Times New Roman" w:hAnsi="Times New Roman"/>
          <w:color w:val="auto"/>
        </w:rPr>
        <w:t>根据《工业企业总平面设计规范》</w:t>
      </w:r>
      <w:r>
        <w:rPr>
          <w:rFonts w:hint="eastAsia" w:ascii="Times New Roman" w:hAnsi="Times New Roman"/>
          <w:color w:val="auto"/>
          <w:lang w:eastAsia="zh-CN"/>
        </w:rPr>
        <w:t>（</w:t>
      </w:r>
      <w:r>
        <w:rPr>
          <w:rFonts w:hint="eastAsia" w:ascii="Times New Roman" w:hAnsi="Times New Roman"/>
          <w:color w:val="auto"/>
        </w:rPr>
        <w:t>GB50187-2012</w:t>
      </w:r>
      <w:r>
        <w:rPr>
          <w:rFonts w:hint="eastAsia" w:ascii="Times New Roman" w:hAnsi="Times New Roman"/>
          <w:color w:val="auto"/>
          <w:lang w:eastAsia="zh-CN"/>
        </w:rPr>
        <w:t>）</w:t>
      </w:r>
      <w:r>
        <w:rPr>
          <w:rFonts w:hint="eastAsia" w:ascii="Times New Roman" w:hAnsi="Times New Roman"/>
          <w:color w:val="auto"/>
        </w:rPr>
        <w:t>、《工业企业设计卫生标准》</w:t>
      </w:r>
      <w:r>
        <w:rPr>
          <w:rFonts w:hint="eastAsia" w:ascii="Times New Roman" w:hAnsi="Times New Roman"/>
          <w:color w:val="auto"/>
          <w:lang w:eastAsia="zh-CN"/>
        </w:rPr>
        <w:t>（</w:t>
      </w:r>
      <w:r>
        <w:rPr>
          <w:rFonts w:hint="eastAsia" w:ascii="Times New Roman" w:hAnsi="Times New Roman"/>
          <w:color w:val="auto"/>
        </w:rPr>
        <w:t>GBZ1-2010</w:t>
      </w:r>
      <w:r>
        <w:rPr>
          <w:rFonts w:hint="eastAsia" w:ascii="Times New Roman" w:hAnsi="Times New Roman"/>
          <w:color w:val="auto"/>
          <w:lang w:eastAsia="zh-CN"/>
        </w:rPr>
        <w:t>）</w:t>
      </w:r>
      <w:r>
        <w:rPr>
          <w:rFonts w:hint="eastAsia" w:ascii="Times New Roman" w:hAnsi="Times New Roman"/>
          <w:color w:val="auto"/>
        </w:rPr>
        <w:t>及《厂矿道路设计规范》（GBJ22－1987）中的相关内容从总平面布置方面对该项目进行检查，见表3.1-4。</w:t>
      </w:r>
    </w:p>
    <w:p w14:paraId="618FE47F">
      <w:pPr>
        <w:pStyle w:val="16"/>
        <w:bidi w:val="0"/>
        <w:rPr>
          <w:rFonts w:hint="eastAsia" w:ascii="Times New Roman" w:hAnsi="Times New Roman"/>
          <w:color w:val="auto"/>
        </w:rPr>
      </w:pPr>
      <w:r>
        <w:rPr>
          <w:rFonts w:hint="eastAsia" w:ascii="Times New Roman" w:hAnsi="Times New Roman"/>
          <w:color w:val="auto"/>
        </w:rPr>
        <w:t>表3.1-4  总平面布置安全检查表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4106"/>
        <w:gridCol w:w="2521"/>
        <w:gridCol w:w="1380"/>
        <w:gridCol w:w="726"/>
      </w:tblGrid>
      <w:tr w14:paraId="467F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351" w:type="pct"/>
            <w:noWrap w:val="0"/>
            <w:vAlign w:val="center"/>
          </w:tcPr>
          <w:p w14:paraId="0BB24080">
            <w:pPr>
              <w:pStyle w:val="17"/>
              <w:bidi w:val="0"/>
              <w:rPr>
                <w:rFonts w:ascii="Times New Roman" w:hAnsi="Times New Roman"/>
                <w:b/>
                <w:bCs/>
                <w:color w:val="auto"/>
              </w:rPr>
            </w:pPr>
            <w:r>
              <w:rPr>
                <w:rFonts w:ascii="Times New Roman" w:hAnsi="Times New Roman"/>
                <w:b/>
                <w:bCs/>
                <w:color w:val="auto"/>
              </w:rPr>
              <w:t>序号</w:t>
            </w:r>
          </w:p>
        </w:tc>
        <w:tc>
          <w:tcPr>
            <w:tcW w:w="2185" w:type="pct"/>
            <w:noWrap w:val="0"/>
            <w:vAlign w:val="center"/>
          </w:tcPr>
          <w:p w14:paraId="3A206D27">
            <w:pPr>
              <w:pStyle w:val="17"/>
              <w:bidi w:val="0"/>
              <w:jc w:val="center"/>
              <w:rPr>
                <w:rFonts w:ascii="Times New Roman" w:hAnsi="Times New Roman"/>
                <w:b/>
                <w:bCs/>
                <w:color w:val="auto"/>
              </w:rPr>
            </w:pPr>
            <w:r>
              <w:rPr>
                <w:rFonts w:ascii="Times New Roman" w:hAnsi="Times New Roman"/>
                <w:b/>
                <w:bCs/>
                <w:color w:val="auto"/>
              </w:rPr>
              <w:t>检查内容</w:t>
            </w:r>
          </w:p>
        </w:tc>
        <w:tc>
          <w:tcPr>
            <w:tcW w:w="1341" w:type="pct"/>
            <w:noWrap w:val="0"/>
            <w:vAlign w:val="center"/>
          </w:tcPr>
          <w:p w14:paraId="7E25EEA8">
            <w:pPr>
              <w:pStyle w:val="17"/>
              <w:bidi w:val="0"/>
              <w:rPr>
                <w:rFonts w:ascii="Times New Roman" w:hAnsi="Times New Roman"/>
                <w:b/>
                <w:bCs/>
                <w:color w:val="auto"/>
              </w:rPr>
            </w:pPr>
            <w:r>
              <w:rPr>
                <w:rFonts w:ascii="Times New Roman" w:hAnsi="Times New Roman"/>
                <w:b/>
                <w:bCs/>
                <w:color w:val="auto"/>
              </w:rPr>
              <w:t>依据标准条款</w:t>
            </w:r>
          </w:p>
        </w:tc>
        <w:tc>
          <w:tcPr>
            <w:tcW w:w="734" w:type="pct"/>
            <w:noWrap w:val="0"/>
            <w:vAlign w:val="center"/>
          </w:tcPr>
          <w:p w14:paraId="357229A2">
            <w:pPr>
              <w:pStyle w:val="17"/>
              <w:bidi w:val="0"/>
              <w:rPr>
                <w:rFonts w:ascii="Times New Roman" w:hAnsi="Times New Roman"/>
                <w:b/>
                <w:bCs/>
                <w:color w:val="auto"/>
              </w:rPr>
            </w:pPr>
            <w:r>
              <w:rPr>
                <w:rFonts w:ascii="Times New Roman" w:hAnsi="Times New Roman"/>
                <w:b/>
                <w:bCs/>
                <w:color w:val="auto"/>
              </w:rPr>
              <w:t>检查情况</w:t>
            </w:r>
          </w:p>
        </w:tc>
        <w:tc>
          <w:tcPr>
            <w:tcW w:w="386" w:type="pct"/>
            <w:noWrap w:val="0"/>
            <w:vAlign w:val="center"/>
          </w:tcPr>
          <w:p w14:paraId="7FD1C1C0">
            <w:pPr>
              <w:pStyle w:val="17"/>
              <w:bidi w:val="0"/>
              <w:rPr>
                <w:rFonts w:ascii="Times New Roman" w:hAnsi="Times New Roman"/>
                <w:b/>
                <w:bCs/>
                <w:color w:val="auto"/>
              </w:rPr>
            </w:pPr>
            <w:r>
              <w:rPr>
                <w:rFonts w:ascii="Times New Roman" w:hAnsi="Times New Roman"/>
                <w:b/>
                <w:bCs/>
                <w:color w:val="auto"/>
              </w:rPr>
              <w:t>检查结果</w:t>
            </w:r>
          </w:p>
        </w:tc>
      </w:tr>
      <w:tr w14:paraId="0ABB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351" w:type="pct"/>
            <w:noWrap w:val="0"/>
            <w:vAlign w:val="center"/>
          </w:tcPr>
          <w:p w14:paraId="45FCF885">
            <w:pPr>
              <w:pStyle w:val="17"/>
              <w:bidi w:val="0"/>
              <w:rPr>
                <w:rFonts w:ascii="Times New Roman" w:hAnsi="Times New Roman"/>
                <w:color w:val="auto"/>
              </w:rPr>
            </w:pPr>
            <w:r>
              <w:rPr>
                <w:rFonts w:ascii="Times New Roman" w:hAnsi="Times New Roman"/>
                <w:color w:val="auto"/>
              </w:rPr>
              <w:t>1</w:t>
            </w:r>
          </w:p>
        </w:tc>
        <w:tc>
          <w:tcPr>
            <w:tcW w:w="2185" w:type="pct"/>
            <w:noWrap w:val="0"/>
            <w:vAlign w:val="center"/>
          </w:tcPr>
          <w:p w14:paraId="1DBADC58">
            <w:pPr>
              <w:pStyle w:val="17"/>
              <w:bidi w:val="0"/>
              <w:jc w:val="both"/>
              <w:rPr>
                <w:rFonts w:ascii="Times New Roman" w:hAnsi="Times New Roman"/>
                <w:color w:val="auto"/>
              </w:rPr>
            </w:pPr>
            <w:r>
              <w:rPr>
                <w:rFonts w:ascii="Times New Roman" w:hAnsi="Times New Roman"/>
                <w:color w:val="auto"/>
              </w:rPr>
              <w:t>总平面布置应节约集约用地，提高土地利用率。布置时并应符合下列要求：</w:t>
            </w:r>
          </w:p>
          <w:p w14:paraId="3A6E6AB8">
            <w:pPr>
              <w:pStyle w:val="17"/>
              <w:bidi w:val="0"/>
              <w:jc w:val="both"/>
              <w:rPr>
                <w:rFonts w:ascii="Times New Roman" w:hAnsi="Times New Roman"/>
                <w:color w:val="auto"/>
              </w:rPr>
            </w:pPr>
            <w:r>
              <w:rPr>
                <w:rFonts w:ascii="Times New Roman" w:hAnsi="Times New Roman"/>
                <w:color w:val="auto"/>
              </w:rPr>
              <w:t>1 在符合生产流程、操作要求和使用功能的前提下，建筑物、构筑物等设施，应采用联合、集中、多层布置；</w:t>
            </w:r>
          </w:p>
          <w:p w14:paraId="5495D403">
            <w:pPr>
              <w:pStyle w:val="17"/>
              <w:bidi w:val="0"/>
              <w:jc w:val="both"/>
              <w:rPr>
                <w:rFonts w:ascii="Times New Roman" w:hAnsi="Times New Roman"/>
                <w:color w:val="auto"/>
              </w:rPr>
            </w:pPr>
            <w:r>
              <w:rPr>
                <w:rFonts w:ascii="Times New Roman" w:hAnsi="Times New Roman"/>
                <w:color w:val="auto"/>
              </w:rPr>
              <w:t>2 应按企业规模和功能分区，合理地确定通道宽度；</w:t>
            </w:r>
          </w:p>
          <w:p w14:paraId="75DF5E29">
            <w:pPr>
              <w:pStyle w:val="17"/>
              <w:bidi w:val="0"/>
              <w:jc w:val="both"/>
              <w:rPr>
                <w:rFonts w:ascii="Times New Roman" w:hAnsi="Times New Roman"/>
                <w:color w:val="auto"/>
              </w:rPr>
            </w:pPr>
            <w:r>
              <w:rPr>
                <w:rFonts w:ascii="Times New Roman" w:hAnsi="Times New Roman"/>
                <w:color w:val="auto"/>
              </w:rPr>
              <w:t>3 厂区功能分区及建筑物、构筑物的外形宜规整；</w:t>
            </w:r>
          </w:p>
          <w:p w14:paraId="32047D05">
            <w:pPr>
              <w:pStyle w:val="17"/>
              <w:bidi w:val="0"/>
              <w:jc w:val="both"/>
              <w:rPr>
                <w:rFonts w:ascii="Times New Roman" w:hAnsi="Times New Roman"/>
                <w:color w:val="auto"/>
              </w:rPr>
            </w:pPr>
            <w:r>
              <w:rPr>
                <w:rFonts w:ascii="Times New Roman" w:hAnsi="Times New Roman"/>
                <w:color w:val="auto"/>
              </w:rPr>
              <w:t>4 功能分区内各项设施的布置，应紧凑、合理。</w:t>
            </w:r>
          </w:p>
        </w:tc>
        <w:tc>
          <w:tcPr>
            <w:tcW w:w="1341" w:type="pct"/>
            <w:noWrap w:val="0"/>
            <w:vAlign w:val="center"/>
          </w:tcPr>
          <w:p w14:paraId="4C0035B6">
            <w:pPr>
              <w:pStyle w:val="17"/>
              <w:bidi w:val="0"/>
              <w:rPr>
                <w:rFonts w:ascii="Times New Roman" w:hAnsi="Times New Roman"/>
                <w:color w:val="auto"/>
              </w:rPr>
            </w:pPr>
            <w:r>
              <w:rPr>
                <w:rFonts w:ascii="Times New Roman" w:hAnsi="Times New Roman"/>
                <w:color w:val="auto"/>
              </w:rPr>
              <w:t>《工业企业总平面设计规范》（GB50187-2012）</w:t>
            </w:r>
          </w:p>
          <w:p w14:paraId="45B69D65">
            <w:pPr>
              <w:pStyle w:val="17"/>
              <w:bidi w:val="0"/>
              <w:rPr>
                <w:rFonts w:ascii="Times New Roman" w:hAnsi="Times New Roman"/>
                <w:color w:val="auto"/>
              </w:rPr>
            </w:pPr>
            <w:r>
              <w:rPr>
                <w:rFonts w:ascii="Times New Roman" w:hAnsi="Times New Roman"/>
                <w:color w:val="auto"/>
              </w:rPr>
              <w:t>第5.1.2条</w:t>
            </w:r>
          </w:p>
        </w:tc>
        <w:tc>
          <w:tcPr>
            <w:tcW w:w="734" w:type="pct"/>
            <w:noWrap w:val="0"/>
            <w:vAlign w:val="center"/>
          </w:tcPr>
          <w:p w14:paraId="54B91B3C">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中总平面布置已按功能分区</w:t>
            </w:r>
          </w:p>
        </w:tc>
        <w:tc>
          <w:tcPr>
            <w:tcW w:w="386" w:type="pct"/>
            <w:noWrap w:val="0"/>
            <w:vAlign w:val="center"/>
          </w:tcPr>
          <w:p w14:paraId="54694842">
            <w:pPr>
              <w:pStyle w:val="17"/>
              <w:bidi w:val="0"/>
              <w:rPr>
                <w:rFonts w:ascii="Times New Roman" w:hAnsi="Times New Roman"/>
                <w:color w:val="auto"/>
              </w:rPr>
            </w:pPr>
            <w:r>
              <w:rPr>
                <w:rFonts w:ascii="Times New Roman" w:hAnsi="Times New Roman"/>
                <w:color w:val="auto"/>
              </w:rPr>
              <w:t>符合</w:t>
            </w:r>
          </w:p>
        </w:tc>
      </w:tr>
      <w:tr w14:paraId="1167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351" w:type="pct"/>
            <w:noWrap w:val="0"/>
            <w:vAlign w:val="center"/>
          </w:tcPr>
          <w:p w14:paraId="0FEA5774">
            <w:pPr>
              <w:pStyle w:val="17"/>
              <w:bidi w:val="0"/>
              <w:rPr>
                <w:rFonts w:ascii="Times New Roman" w:hAnsi="Times New Roman"/>
                <w:color w:val="auto"/>
              </w:rPr>
            </w:pPr>
            <w:r>
              <w:rPr>
                <w:rFonts w:ascii="Times New Roman" w:hAnsi="Times New Roman"/>
                <w:color w:val="auto"/>
              </w:rPr>
              <w:t>2</w:t>
            </w:r>
          </w:p>
        </w:tc>
        <w:tc>
          <w:tcPr>
            <w:tcW w:w="2185" w:type="pct"/>
            <w:noWrap w:val="0"/>
            <w:vAlign w:val="center"/>
          </w:tcPr>
          <w:p w14:paraId="3CFEC699">
            <w:pPr>
              <w:pStyle w:val="17"/>
              <w:bidi w:val="0"/>
              <w:jc w:val="both"/>
              <w:rPr>
                <w:rFonts w:ascii="Times New Roman" w:hAnsi="Times New Roman"/>
                <w:color w:val="auto"/>
              </w:rPr>
            </w:pPr>
            <w:r>
              <w:rPr>
                <w:rFonts w:ascii="Times New Roman" w:hAnsi="Times New Roman"/>
                <w:color w:val="auto"/>
              </w:rPr>
              <w:t>总平面布置，应充分利用地形、地势、工程地质及水文地质条件，布置建筑物、构筑物和有关设施，应减少土（石）方工程量和基础工程费用，并应符合下列要求：</w:t>
            </w:r>
          </w:p>
          <w:p w14:paraId="653E9E5E">
            <w:pPr>
              <w:pStyle w:val="17"/>
              <w:bidi w:val="0"/>
              <w:jc w:val="both"/>
              <w:rPr>
                <w:rFonts w:ascii="Times New Roman" w:hAnsi="Times New Roman"/>
                <w:color w:val="auto"/>
              </w:rPr>
            </w:pPr>
            <w:r>
              <w:rPr>
                <w:rFonts w:ascii="Times New Roman" w:hAnsi="Times New Roman"/>
                <w:color w:val="auto"/>
              </w:rPr>
              <w:t>1 当厂区地形坡度较大时，建筑物、构筑物的长轴宜顺等高线布置；</w:t>
            </w:r>
          </w:p>
          <w:p w14:paraId="688E0A60">
            <w:pPr>
              <w:pStyle w:val="17"/>
              <w:bidi w:val="0"/>
              <w:jc w:val="both"/>
              <w:rPr>
                <w:rFonts w:ascii="Times New Roman" w:hAnsi="Times New Roman"/>
                <w:color w:val="auto"/>
              </w:rPr>
            </w:pPr>
            <w:r>
              <w:rPr>
                <w:rFonts w:ascii="Times New Roman" w:hAnsi="Times New Roman"/>
                <w:color w:val="auto"/>
              </w:rPr>
              <w:t>2 应结合地形及竖向设计，为物料采用自流管道及高站台、低货位等设施创造条件。</w:t>
            </w:r>
          </w:p>
        </w:tc>
        <w:tc>
          <w:tcPr>
            <w:tcW w:w="1341" w:type="pct"/>
            <w:noWrap w:val="0"/>
            <w:vAlign w:val="center"/>
          </w:tcPr>
          <w:p w14:paraId="50FE48D4">
            <w:pPr>
              <w:pStyle w:val="17"/>
              <w:bidi w:val="0"/>
              <w:rPr>
                <w:rFonts w:ascii="Times New Roman" w:hAnsi="Times New Roman"/>
                <w:color w:val="auto"/>
              </w:rPr>
            </w:pPr>
            <w:r>
              <w:rPr>
                <w:rFonts w:ascii="Times New Roman" w:hAnsi="Times New Roman"/>
                <w:color w:val="auto"/>
              </w:rPr>
              <w:t>《工业企业总平面设计规范》（GB50187-2012）</w:t>
            </w:r>
          </w:p>
          <w:p w14:paraId="249B0255">
            <w:pPr>
              <w:pStyle w:val="17"/>
              <w:bidi w:val="0"/>
              <w:rPr>
                <w:rFonts w:ascii="Times New Roman" w:hAnsi="Times New Roman"/>
                <w:color w:val="auto"/>
              </w:rPr>
            </w:pPr>
            <w:r>
              <w:rPr>
                <w:rFonts w:ascii="Times New Roman" w:hAnsi="Times New Roman"/>
                <w:color w:val="auto"/>
              </w:rPr>
              <w:t>第5.1.5条</w:t>
            </w:r>
          </w:p>
        </w:tc>
        <w:tc>
          <w:tcPr>
            <w:tcW w:w="734" w:type="pct"/>
            <w:noWrap w:val="0"/>
            <w:vAlign w:val="center"/>
          </w:tcPr>
          <w:p w14:paraId="7C5E9C6C">
            <w:pPr>
              <w:pStyle w:val="17"/>
              <w:bidi w:val="0"/>
              <w:rPr>
                <w:rFonts w:ascii="Times New Roman" w:hAnsi="Times New Roman"/>
                <w:color w:val="auto"/>
              </w:rPr>
            </w:pPr>
            <w:r>
              <w:rPr>
                <w:rFonts w:ascii="Times New Roman" w:hAnsi="Times New Roman"/>
                <w:color w:val="auto"/>
              </w:rPr>
              <w:t>矿山各构筑物布置基本合理，设计时充分考虑了地形条件。</w:t>
            </w:r>
          </w:p>
        </w:tc>
        <w:tc>
          <w:tcPr>
            <w:tcW w:w="386" w:type="pct"/>
            <w:noWrap w:val="0"/>
            <w:vAlign w:val="center"/>
          </w:tcPr>
          <w:p w14:paraId="4BBF49B7">
            <w:pPr>
              <w:pStyle w:val="17"/>
              <w:bidi w:val="0"/>
              <w:rPr>
                <w:rFonts w:ascii="Times New Roman" w:hAnsi="Times New Roman"/>
                <w:color w:val="auto"/>
              </w:rPr>
            </w:pPr>
            <w:r>
              <w:rPr>
                <w:rFonts w:ascii="Times New Roman" w:hAnsi="Times New Roman"/>
                <w:color w:val="auto"/>
              </w:rPr>
              <w:t>符合</w:t>
            </w:r>
          </w:p>
        </w:tc>
      </w:tr>
      <w:tr w14:paraId="42F2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noWrap w:val="0"/>
            <w:vAlign w:val="center"/>
          </w:tcPr>
          <w:p w14:paraId="0042ABEC">
            <w:pPr>
              <w:pStyle w:val="17"/>
              <w:bidi w:val="0"/>
              <w:rPr>
                <w:rFonts w:ascii="Times New Roman" w:hAnsi="Times New Roman"/>
                <w:color w:val="auto"/>
              </w:rPr>
            </w:pPr>
            <w:r>
              <w:rPr>
                <w:rFonts w:ascii="Times New Roman" w:hAnsi="Times New Roman"/>
                <w:color w:val="auto"/>
              </w:rPr>
              <w:t>3</w:t>
            </w:r>
          </w:p>
        </w:tc>
        <w:tc>
          <w:tcPr>
            <w:tcW w:w="2185" w:type="pct"/>
            <w:noWrap w:val="0"/>
            <w:vAlign w:val="center"/>
          </w:tcPr>
          <w:p w14:paraId="42F351BE">
            <w:pPr>
              <w:pStyle w:val="17"/>
              <w:bidi w:val="0"/>
              <w:jc w:val="both"/>
              <w:rPr>
                <w:rFonts w:ascii="Times New Roman" w:hAnsi="Times New Roman"/>
                <w:color w:val="auto"/>
              </w:rPr>
            </w:pPr>
            <w:r>
              <w:rPr>
                <w:rFonts w:ascii="Times New Roman" w:hAnsi="Times New Roman"/>
                <w:color w:val="auto"/>
              </w:rPr>
              <w:t>行政办公及生活服务设施的布置，应位于厂区全年最小频率风向的下风侧，并应符合下列要求：1.应布置在便于行政办公、环境洁净、靠近主要人流出入口、与城镇和居住区联系方便的位置；2.行政办公及生活服务设施的用地面积，不得超过工业项目总用地面积的7%。</w:t>
            </w:r>
          </w:p>
        </w:tc>
        <w:tc>
          <w:tcPr>
            <w:tcW w:w="1341" w:type="pct"/>
            <w:noWrap w:val="0"/>
            <w:vAlign w:val="center"/>
          </w:tcPr>
          <w:p w14:paraId="167E659F">
            <w:pPr>
              <w:pStyle w:val="17"/>
              <w:bidi w:val="0"/>
              <w:rPr>
                <w:rFonts w:ascii="Times New Roman" w:hAnsi="Times New Roman"/>
                <w:color w:val="auto"/>
              </w:rPr>
            </w:pPr>
            <w:r>
              <w:rPr>
                <w:rFonts w:ascii="Times New Roman" w:hAnsi="Times New Roman"/>
                <w:color w:val="auto"/>
              </w:rPr>
              <w:t>《工业企业总平面设计规范》（GB50187-2012）</w:t>
            </w:r>
          </w:p>
          <w:p w14:paraId="41709238">
            <w:pPr>
              <w:pStyle w:val="17"/>
              <w:bidi w:val="0"/>
              <w:rPr>
                <w:rFonts w:ascii="Times New Roman" w:hAnsi="Times New Roman"/>
                <w:color w:val="auto"/>
              </w:rPr>
            </w:pPr>
            <w:r>
              <w:rPr>
                <w:rFonts w:ascii="Times New Roman" w:hAnsi="Times New Roman"/>
                <w:color w:val="auto"/>
              </w:rPr>
              <w:t>第5.7.1条</w:t>
            </w:r>
          </w:p>
        </w:tc>
        <w:tc>
          <w:tcPr>
            <w:tcW w:w="734" w:type="pct"/>
            <w:noWrap w:val="0"/>
            <w:vAlign w:val="center"/>
          </w:tcPr>
          <w:p w14:paraId="444C1E33">
            <w:pPr>
              <w:pStyle w:val="17"/>
              <w:bidi w:val="0"/>
              <w:rPr>
                <w:rFonts w:ascii="Times New Roman" w:hAnsi="Times New Roman"/>
                <w:color w:val="auto"/>
              </w:rPr>
            </w:pPr>
            <w:r>
              <w:rPr>
                <w:rFonts w:hint="eastAsia" w:ascii="Times New Roman" w:hAnsi="Times New Roman"/>
                <w:color w:val="auto"/>
                <w:lang w:val="en-US" w:eastAsia="zh-CN"/>
              </w:rPr>
              <w:t>矿山配套破碎站位于矿区界内西北侧，矿山工业场地、办公生活区位于破碎站旁</w:t>
            </w:r>
            <w:r>
              <w:rPr>
                <w:rFonts w:hint="eastAsia"/>
                <w:color w:val="auto"/>
                <w:lang w:val="en-US" w:eastAsia="zh-CN"/>
              </w:rPr>
              <w:t>，位于厂区全年最小频率风向的下风侧</w:t>
            </w:r>
            <w:r>
              <w:rPr>
                <w:rFonts w:hint="eastAsia" w:ascii="Times New Roman" w:hAnsi="Times New Roman"/>
                <w:color w:val="auto"/>
                <w:lang w:val="en-US" w:eastAsia="zh-CN"/>
              </w:rPr>
              <w:t>。</w:t>
            </w:r>
          </w:p>
        </w:tc>
        <w:tc>
          <w:tcPr>
            <w:tcW w:w="386" w:type="pct"/>
            <w:noWrap w:val="0"/>
            <w:vAlign w:val="center"/>
          </w:tcPr>
          <w:p w14:paraId="29070CDC">
            <w:pPr>
              <w:pStyle w:val="17"/>
              <w:bidi w:val="0"/>
              <w:rPr>
                <w:rFonts w:ascii="Times New Roman" w:hAnsi="Times New Roman"/>
                <w:color w:val="auto"/>
              </w:rPr>
            </w:pPr>
            <w:r>
              <w:rPr>
                <w:rFonts w:ascii="Times New Roman" w:hAnsi="Times New Roman"/>
                <w:color w:val="auto"/>
              </w:rPr>
              <w:t>符合</w:t>
            </w:r>
          </w:p>
        </w:tc>
      </w:tr>
      <w:tr w14:paraId="072C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351" w:type="pct"/>
            <w:noWrap w:val="0"/>
            <w:vAlign w:val="center"/>
          </w:tcPr>
          <w:p w14:paraId="56F07741">
            <w:pPr>
              <w:pStyle w:val="17"/>
              <w:bidi w:val="0"/>
              <w:rPr>
                <w:rFonts w:ascii="Times New Roman" w:hAnsi="Times New Roman"/>
                <w:color w:val="auto"/>
              </w:rPr>
            </w:pPr>
            <w:r>
              <w:rPr>
                <w:rFonts w:ascii="Times New Roman" w:hAnsi="Times New Roman"/>
                <w:color w:val="auto"/>
              </w:rPr>
              <w:t>4</w:t>
            </w:r>
          </w:p>
        </w:tc>
        <w:tc>
          <w:tcPr>
            <w:tcW w:w="2185" w:type="pct"/>
            <w:noWrap w:val="0"/>
            <w:vAlign w:val="center"/>
          </w:tcPr>
          <w:p w14:paraId="5C29413F">
            <w:pPr>
              <w:pStyle w:val="17"/>
              <w:bidi w:val="0"/>
              <w:jc w:val="both"/>
              <w:rPr>
                <w:rFonts w:ascii="Times New Roman" w:hAnsi="Times New Roman"/>
                <w:color w:val="auto"/>
              </w:rPr>
            </w:pPr>
            <w:r>
              <w:rPr>
                <w:rFonts w:ascii="Times New Roman" w:hAnsi="Times New Roman"/>
                <w:color w:val="auto"/>
              </w:rPr>
              <w:t>总平面布置应采取防止高温、有害气体、烟、雾、粉尘、强烈振动和高噪声对周围环境和人身安全的危害的安全保障措施，并应符合现行国家有关工业企业卫生设计标准的规定。</w:t>
            </w:r>
          </w:p>
        </w:tc>
        <w:tc>
          <w:tcPr>
            <w:tcW w:w="1341" w:type="pct"/>
            <w:noWrap w:val="0"/>
            <w:vAlign w:val="center"/>
          </w:tcPr>
          <w:p w14:paraId="3BC2B8A4">
            <w:pPr>
              <w:pStyle w:val="17"/>
              <w:bidi w:val="0"/>
              <w:rPr>
                <w:rFonts w:ascii="Times New Roman" w:hAnsi="Times New Roman"/>
                <w:color w:val="auto"/>
              </w:rPr>
            </w:pPr>
            <w:r>
              <w:rPr>
                <w:rFonts w:ascii="Times New Roman" w:hAnsi="Times New Roman"/>
                <w:color w:val="auto"/>
              </w:rPr>
              <w:t>《工业企业总平面设计规范》（GB50187-2012）</w:t>
            </w:r>
          </w:p>
          <w:p w14:paraId="415D2417">
            <w:pPr>
              <w:pStyle w:val="17"/>
              <w:bidi w:val="0"/>
              <w:rPr>
                <w:rFonts w:ascii="Times New Roman" w:hAnsi="Times New Roman"/>
                <w:color w:val="auto"/>
              </w:rPr>
            </w:pPr>
            <w:r>
              <w:rPr>
                <w:rFonts w:ascii="Times New Roman" w:hAnsi="Times New Roman"/>
                <w:color w:val="auto"/>
              </w:rPr>
              <w:t>第5.1.7条</w:t>
            </w:r>
          </w:p>
        </w:tc>
        <w:tc>
          <w:tcPr>
            <w:tcW w:w="734" w:type="pct"/>
            <w:noWrap w:val="0"/>
            <w:vAlign w:val="center"/>
          </w:tcPr>
          <w:p w14:paraId="107721AD">
            <w:pPr>
              <w:pStyle w:val="17"/>
              <w:bidi w:val="0"/>
              <w:rPr>
                <w:rFonts w:ascii="Times New Roman" w:hAnsi="Times New Roman"/>
                <w:color w:val="auto"/>
              </w:rPr>
            </w:pPr>
            <w:r>
              <w:rPr>
                <w:rFonts w:ascii="Times New Roman" w:hAnsi="Times New Roman"/>
                <w:color w:val="auto"/>
              </w:rPr>
              <w:t>总平面布置符合相关规定。</w:t>
            </w:r>
          </w:p>
        </w:tc>
        <w:tc>
          <w:tcPr>
            <w:tcW w:w="386" w:type="pct"/>
            <w:noWrap w:val="0"/>
            <w:vAlign w:val="center"/>
          </w:tcPr>
          <w:p w14:paraId="0A7FD7C2">
            <w:pPr>
              <w:pStyle w:val="17"/>
              <w:bidi w:val="0"/>
              <w:rPr>
                <w:rFonts w:ascii="Times New Roman" w:hAnsi="Times New Roman"/>
                <w:color w:val="auto"/>
              </w:rPr>
            </w:pPr>
            <w:r>
              <w:rPr>
                <w:rFonts w:ascii="Times New Roman" w:hAnsi="Times New Roman"/>
                <w:color w:val="auto"/>
              </w:rPr>
              <w:t>符合</w:t>
            </w:r>
          </w:p>
        </w:tc>
      </w:tr>
      <w:tr w14:paraId="3309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351" w:type="pct"/>
            <w:noWrap w:val="0"/>
            <w:vAlign w:val="center"/>
          </w:tcPr>
          <w:p w14:paraId="22463D1D">
            <w:pPr>
              <w:pStyle w:val="17"/>
              <w:bidi w:val="0"/>
              <w:rPr>
                <w:rFonts w:ascii="Times New Roman" w:hAnsi="Times New Roman"/>
                <w:color w:val="auto"/>
              </w:rPr>
            </w:pPr>
            <w:r>
              <w:rPr>
                <w:rFonts w:ascii="Times New Roman" w:hAnsi="Times New Roman"/>
                <w:color w:val="auto"/>
              </w:rPr>
              <w:t>5</w:t>
            </w:r>
          </w:p>
        </w:tc>
        <w:tc>
          <w:tcPr>
            <w:tcW w:w="2185" w:type="pct"/>
            <w:noWrap w:val="0"/>
            <w:vAlign w:val="center"/>
          </w:tcPr>
          <w:p w14:paraId="2FB0E87B">
            <w:pPr>
              <w:pStyle w:val="17"/>
              <w:bidi w:val="0"/>
              <w:jc w:val="both"/>
              <w:rPr>
                <w:rFonts w:ascii="Times New Roman" w:hAnsi="Times New Roman"/>
                <w:color w:val="auto"/>
              </w:rPr>
            </w:pPr>
            <w:r>
              <w:rPr>
                <w:rFonts w:ascii="Times New Roman" w:hAnsi="Times New Roman"/>
                <w:color w:val="auto"/>
              </w:rPr>
              <w:t>公用设施的布置，宜位于其负荷中心或靠近主要用户。</w:t>
            </w:r>
          </w:p>
        </w:tc>
        <w:tc>
          <w:tcPr>
            <w:tcW w:w="1341" w:type="pct"/>
            <w:noWrap w:val="0"/>
            <w:vAlign w:val="center"/>
          </w:tcPr>
          <w:p w14:paraId="71F57D7D">
            <w:pPr>
              <w:pStyle w:val="17"/>
              <w:bidi w:val="0"/>
              <w:rPr>
                <w:rFonts w:ascii="Times New Roman" w:hAnsi="Times New Roman"/>
                <w:color w:val="auto"/>
              </w:rPr>
            </w:pPr>
            <w:r>
              <w:rPr>
                <w:rFonts w:ascii="Times New Roman" w:hAnsi="Times New Roman"/>
                <w:color w:val="auto"/>
              </w:rPr>
              <w:t>《工业企业总平面设计规范》（GB50187-2012）</w:t>
            </w:r>
          </w:p>
          <w:p w14:paraId="6BB7BDB0">
            <w:pPr>
              <w:pStyle w:val="17"/>
              <w:bidi w:val="0"/>
              <w:rPr>
                <w:rFonts w:ascii="Times New Roman" w:hAnsi="Times New Roman"/>
                <w:color w:val="auto"/>
              </w:rPr>
            </w:pPr>
            <w:r>
              <w:rPr>
                <w:rFonts w:ascii="Times New Roman" w:hAnsi="Times New Roman"/>
                <w:color w:val="auto"/>
              </w:rPr>
              <w:t>第5.3.1条</w:t>
            </w:r>
          </w:p>
        </w:tc>
        <w:tc>
          <w:tcPr>
            <w:tcW w:w="734" w:type="pct"/>
            <w:noWrap w:val="0"/>
            <w:vAlign w:val="top"/>
          </w:tcPr>
          <w:p w14:paraId="3297C2B3">
            <w:pPr>
              <w:pStyle w:val="17"/>
              <w:bidi w:val="0"/>
              <w:rPr>
                <w:rFonts w:ascii="Times New Roman" w:hAnsi="Times New Roman"/>
                <w:color w:val="auto"/>
              </w:rPr>
            </w:pPr>
            <w:r>
              <w:rPr>
                <w:rFonts w:ascii="Times New Roman" w:hAnsi="Times New Roman"/>
                <w:color w:val="auto"/>
              </w:rPr>
              <w:t>公用设施的布置靠近主要用户。</w:t>
            </w:r>
          </w:p>
        </w:tc>
        <w:tc>
          <w:tcPr>
            <w:tcW w:w="386" w:type="pct"/>
            <w:noWrap w:val="0"/>
            <w:vAlign w:val="center"/>
          </w:tcPr>
          <w:p w14:paraId="00105278">
            <w:pPr>
              <w:pStyle w:val="17"/>
              <w:bidi w:val="0"/>
              <w:rPr>
                <w:rFonts w:ascii="Times New Roman" w:hAnsi="Times New Roman"/>
                <w:color w:val="auto"/>
              </w:rPr>
            </w:pPr>
            <w:r>
              <w:rPr>
                <w:rFonts w:ascii="Times New Roman" w:hAnsi="Times New Roman"/>
                <w:color w:val="auto"/>
              </w:rPr>
              <w:t>符合</w:t>
            </w:r>
          </w:p>
        </w:tc>
      </w:tr>
      <w:tr w14:paraId="6267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351" w:type="pct"/>
            <w:noWrap w:val="0"/>
            <w:vAlign w:val="center"/>
          </w:tcPr>
          <w:p w14:paraId="009CFB2B">
            <w:pPr>
              <w:pStyle w:val="17"/>
              <w:bidi w:val="0"/>
              <w:rPr>
                <w:rFonts w:ascii="Times New Roman" w:hAnsi="Times New Roman"/>
                <w:color w:val="auto"/>
              </w:rPr>
            </w:pPr>
            <w:r>
              <w:rPr>
                <w:rFonts w:ascii="Times New Roman" w:hAnsi="Times New Roman"/>
                <w:color w:val="auto"/>
              </w:rPr>
              <w:t>6</w:t>
            </w:r>
          </w:p>
        </w:tc>
        <w:tc>
          <w:tcPr>
            <w:tcW w:w="2185" w:type="pct"/>
            <w:noWrap w:val="0"/>
            <w:vAlign w:val="center"/>
          </w:tcPr>
          <w:p w14:paraId="5FDC88FA">
            <w:pPr>
              <w:pStyle w:val="17"/>
              <w:bidi w:val="0"/>
              <w:jc w:val="both"/>
              <w:rPr>
                <w:rFonts w:ascii="Times New Roman" w:hAnsi="Times New Roman"/>
                <w:color w:val="auto"/>
              </w:rPr>
            </w:pPr>
            <w:r>
              <w:rPr>
                <w:rFonts w:ascii="Times New Roman" w:hAnsi="Times New Roman"/>
                <w:color w:val="auto"/>
              </w:rPr>
              <w:t>厂矿道路设计，应适合厂矿企业生产（包括检修、安装）和其它交通运输的需要。对厂矿基本建设期间的超限货物（大件、重件）运输，可根据具体情况，予以适当考虑。</w:t>
            </w:r>
          </w:p>
          <w:p w14:paraId="1FA289C8">
            <w:pPr>
              <w:pStyle w:val="17"/>
              <w:bidi w:val="0"/>
              <w:jc w:val="both"/>
              <w:rPr>
                <w:rFonts w:ascii="Times New Roman" w:hAnsi="Times New Roman"/>
                <w:color w:val="auto"/>
              </w:rPr>
            </w:pPr>
            <w:r>
              <w:rPr>
                <w:rFonts w:ascii="Times New Roman" w:hAnsi="Times New Roman"/>
                <w:color w:val="auto"/>
              </w:rPr>
              <w:t>厂矿道路路线设计，应符合厂矿企业总体规划或总平面布置的要求，并应根据道路性质和使用要求，合理利用地形，正确运用技术指标。</w:t>
            </w:r>
          </w:p>
        </w:tc>
        <w:tc>
          <w:tcPr>
            <w:tcW w:w="1341" w:type="pct"/>
            <w:noWrap w:val="0"/>
            <w:vAlign w:val="center"/>
          </w:tcPr>
          <w:p w14:paraId="328CAFC9">
            <w:pPr>
              <w:pStyle w:val="17"/>
              <w:bidi w:val="0"/>
              <w:rPr>
                <w:rFonts w:ascii="Times New Roman" w:hAnsi="Times New Roman"/>
                <w:color w:val="auto"/>
              </w:rPr>
            </w:pPr>
            <w:r>
              <w:rPr>
                <w:rFonts w:ascii="Times New Roman" w:hAnsi="Times New Roman"/>
                <w:color w:val="auto"/>
              </w:rPr>
              <w:t>《厂矿道路设计规范》GBJ22-1987</w:t>
            </w:r>
          </w:p>
          <w:p w14:paraId="78C19401">
            <w:pPr>
              <w:pStyle w:val="17"/>
              <w:bidi w:val="0"/>
              <w:rPr>
                <w:rFonts w:ascii="Times New Roman" w:hAnsi="Times New Roman"/>
                <w:color w:val="auto"/>
              </w:rPr>
            </w:pPr>
            <w:r>
              <w:rPr>
                <w:rFonts w:ascii="Times New Roman" w:hAnsi="Times New Roman"/>
                <w:color w:val="auto"/>
              </w:rPr>
              <w:t>第1.0.5条</w:t>
            </w:r>
          </w:p>
        </w:tc>
        <w:tc>
          <w:tcPr>
            <w:tcW w:w="734" w:type="pct"/>
            <w:noWrap w:val="0"/>
            <w:vAlign w:val="top"/>
          </w:tcPr>
          <w:p w14:paraId="108C50EE">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已对矿山道路路线进行了简单说明，符合总平面布置要求。</w:t>
            </w:r>
          </w:p>
        </w:tc>
        <w:tc>
          <w:tcPr>
            <w:tcW w:w="386" w:type="pct"/>
            <w:noWrap w:val="0"/>
            <w:vAlign w:val="center"/>
          </w:tcPr>
          <w:p w14:paraId="39105360">
            <w:pPr>
              <w:pStyle w:val="17"/>
              <w:bidi w:val="0"/>
              <w:rPr>
                <w:rFonts w:ascii="Times New Roman" w:hAnsi="Times New Roman"/>
                <w:color w:val="auto"/>
              </w:rPr>
            </w:pPr>
            <w:r>
              <w:rPr>
                <w:rFonts w:ascii="Times New Roman" w:hAnsi="Times New Roman"/>
                <w:color w:val="auto"/>
              </w:rPr>
              <w:t>符合</w:t>
            </w:r>
          </w:p>
        </w:tc>
      </w:tr>
      <w:tr w14:paraId="39F2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51" w:type="pct"/>
            <w:noWrap w:val="0"/>
            <w:vAlign w:val="center"/>
          </w:tcPr>
          <w:p w14:paraId="303F2C5E">
            <w:pPr>
              <w:pStyle w:val="17"/>
              <w:bidi w:val="0"/>
              <w:rPr>
                <w:rFonts w:ascii="Times New Roman" w:hAnsi="Times New Roman"/>
                <w:color w:val="auto"/>
              </w:rPr>
            </w:pPr>
            <w:r>
              <w:rPr>
                <w:rFonts w:ascii="Times New Roman" w:hAnsi="Times New Roman"/>
                <w:color w:val="auto"/>
              </w:rPr>
              <w:t>7</w:t>
            </w:r>
          </w:p>
        </w:tc>
        <w:tc>
          <w:tcPr>
            <w:tcW w:w="2185" w:type="pct"/>
            <w:noWrap w:val="0"/>
            <w:vAlign w:val="center"/>
          </w:tcPr>
          <w:p w14:paraId="004E7B33">
            <w:pPr>
              <w:pStyle w:val="17"/>
              <w:bidi w:val="0"/>
              <w:jc w:val="both"/>
              <w:rPr>
                <w:rFonts w:ascii="Times New Roman" w:hAnsi="Times New Roman"/>
                <w:color w:val="auto"/>
              </w:rPr>
            </w:pPr>
            <w:r>
              <w:rPr>
                <w:rFonts w:ascii="Times New Roman" w:hAnsi="Times New Roman"/>
                <w:color w:val="auto"/>
              </w:rPr>
              <w:t>反映工业企业建筑群体的总平面图应包括总平面布置的建</w:t>
            </w:r>
            <w:r>
              <w:rPr>
                <w:rFonts w:hint="eastAsia" w:ascii="Times New Roman" w:hAnsi="Times New Roman"/>
                <w:color w:val="auto"/>
                <w:lang w:eastAsia="zh-CN"/>
              </w:rPr>
              <w:t>（</w:t>
            </w:r>
            <w:r>
              <w:rPr>
                <w:rFonts w:ascii="Times New Roman" w:hAnsi="Times New Roman"/>
                <w:color w:val="auto"/>
              </w:rPr>
              <w:t>构</w:t>
            </w:r>
            <w:r>
              <w:rPr>
                <w:rFonts w:hint="eastAsia" w:ascii="Times New Roman" w:hAnsi="Times New Roman"/>
                <w:color w:val="auto"/>
                <w:lang w:eastAsia="zh-CN"/>
              </w:rPr>
              <w:t>）</w:t>
            </w:r>
            <w:r>
              <w:rPr>
                <w:rFonts w:ascii="Times New Roman" w:hAnsi="Times New Roman"/>
                <w:color w:val="auto"/>
              </w:rPr>
              <w:t>筑物现状，拟建建筑物位置、道路、卫生防护、绿化等内容，必须满足职业卫生评价要求。</w:t>
            </w:r>
          </w:p>
        </w:tc>
        <w:tc>
          <w:tcPr>
            <w:tcW w:w="1341" w:type="pct"/>
            <w:noWrap w:val="0"/>
            <w:vAlign w:val="center"/>
          </w:tcPr>
          <w:p w14:paraId="07265A67">
            <w:pPr>
              <w:pStyle w:val="17"/>
              <w:bidi w:val="0"/>
              <w:rPr>
                <w:rFonts w:ascii="Times New Roman" w:hAnsi="Times New Roman"/>
                <w:color w:val="auto"/>
              </w:rPr>
            </w:pPr>
            <w:r>
              <w:rPr>
                <w:rFonts w:ascii="Times New Roman" w:hAnsi="Times New Roman"/>
                <w:color w:val="auto"/>
              </w:rPr>
              <w:t>《工业企业设计卫生标准》GBZ1-2010</w:t>
            </w:r>
          </w:p>
          <w:p w14:paraId="60523618">
            <w:pPr>
              <w:pStyle w:val="17"/>
              <w:bidi w:val="0"/>
              <w:rPr>
                <w:rFonts w:ascii="Times New Roman" w:hAnsi="Times New Roman"/>
                <w:color w:val="auto"/>
              </w:rPr>
            </w:pPr>
            <w:r>
              <w:rPr>
                <w:rFonts w:ascii="Times New Roman" w:hAnsi="Times New Roman"/>
                <w:color w:val="auto"/>
              </w:rPr>
              <w:t>第5.2.1.2条</w:t>
            </w:r>
          </w:p>
        </w:tc>
        <w:tc>
          <w:tcPr>
            <w:tcW w:w="734" w:type="pct"/>
            <w:noWrap w:val="0"/>
            <w:vAlign w:val="top"/>
          </w:tcPr>
          <w:p w14:paraId="6CCF05CC">
            <w:pPr>
              <w:pStyle w:val="17"/>
              <w:bidi w:val="0"/>
              <w:rPr>
                <w:rFonts w:ascii="Times New Roman" w:hAnsi="Times New Roman"/>
                <w:color w:val="auto"/>
              </w:rPr>
            </w:pPr>
            <w:r>
              <w:rPr>
                <w:rFonts w:ascii="Times New Roman" w:hAnsi="Times New Roman"/>
                <w:color w:val="auto"/>
              </w:rPr>
              <w:t>总平面图满足职业卫生评价要求。</w:t>
            </w:r>
          </w:p>
        </w:tc>
        <w:tc>
          <w:tcPr>
            <w:tcW w:w="386" w:type="pct"/>
            <w:noWrap w:val="0"/>
            <w:vAlign w:val="center"/>
          </w:tcPr>
          <w:p w14:paraId="45579FDC">
            <w:pPr>
              <w:pStyle w:val="17"/>
              <w:bidi w:val="0"/>
              <w:rPr>
                <w:rFonts w:ascii="Times New Roman" w:hAnsi="Times New Roman"/>
                <w:color w:val="auto"/>
              </w:rPr>
            </w:pPr>
            <w:r>
              <w:rPr>
                <w:rFonts w:ascii="Times New Roman" w:hAnsi="Times New Roman"/>
                <w:color w:val="auto"/>
              </w:rPr>
              <w:t>符合</w:t>
            </w:r>
          </w:p>
        </w:tc>
      </w:tr>
      <w:tr w14:paraId="5D58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noWrap w:val="0"/>
            <w:vAlign w:val="center"/>
          </w:tcPr>
          <w:p w14:paraId="5511573B">
            <w:pPr>
              <w:pStyle w:val="17"/>
              <w:bidi w:val="0"/>
              <w:rPr>
                <w:rFonts w:ascii="Times New Roman" w:hAnsi="Times New Roman"/>
                <w:color w:val="auto"/>
              </w:rPr>
            </w:pPr>
            <w:r>
              <w:rPr>
                <w:rFonts w:ascii="Times New Roman" w:hAnsi="Times New Roman"/>
                <w:color w:val="auto"/>
              </w:rPr>
              <w:t>8</w:t>
            </w:r>
          </w:p>
        </w:tc>
        <w:tc>
          <w:tcPr>
            <w:tcW w:w="2185" w:type="pct"/>
            <w:noWrap w:val="0"/>
            <w:vAlign w:val="center"/>
          </w:tcPr>
          <w:p w14:paraId="317E77D4">
            <w:pPr>
              <w:pStyle w:val="17"/>
              <w:bidi w:val="0"/>
              <w:jc w:val="both"/>
              <w:rPr>
                <w:rFonts w:ascii="Times New Roman" w:hAnsi="Times New Roman"/>
                <w:color w:val="auto"/>
              </w:rPr>
            </w:pPr>
            <w:r>
              <w:rPr>
                <w:rFonts w:ascii="Times New Roman" w:hAnsi="Times New Roman"/>
                <w:color w:val="auto"/>
              </w:rPr>
              <w:t>厂内道路路面宽度应根据车辆、行人通行和消防需要确定，并宜按现行国家标准《厂矿道路设计规范》GBJ 22 的有关规定执行。</w:t>
            </w:r>
          </w:p>
        </w:tc>
        <w:tc>
          <w:tcPr>
            <w:tcW w:w="1341" w:type="pct"/>
            <w:noWrap w:val="0"/>
            <w:vAlign w:val="center"/>
          </w:tcPr>
          <w:p w14:paraId="4F955C91">
            <w:pPr>
              <w:pStyle w:val="17"/>
              <w:bidi w:val="0"/>
              <w:rPr>
                <w:rFonts w:ascii="Times New Roman" w:hAnsi="Times New Roman"/>
                <w:color w:val="auto"/>
              </w:rPr>
            </w:pPr>
            <w:r>
              <w:rPr>
                <w:rFonts w:ascii="Times New Roman" w:hAnsi="Times New Roman"/>
                <w:color w:val="auto"/>
              </w:rPr>
              <w:t>《工业企业总平面设计规范》（GB50187-2012）</w:t>
            </w:r>
          </w:p>
          <w:p w14:paraId="3B77FAB3">
            <w:pPr>
              <w:pStyle w:val="17"/>
              <w:bidi w:val="0"/>
              <w:rPr>
                <w:rFonts w:ascii="Times New Roman" w:hAnsi="Times New Roman"/>
                <w:color w:val="auto"/>
              </w:rPr>
            </w:pPr>
            <w:r>
              <w:rPr>
                <w:rFonts w:ascii="Times New Roman" w:hAnsi="Times New Roman"/>
                <w:color w:val="auto"/>
              </w:rPr>
              <w:t>第6.4.5条</w:t>
            </w:r>
          </w:p>
        </w:tc>
        <w:tc>
          <w:tcPr>
            <w:tcW w:w="734" w:type="pct"/>
            <w:noWrap w:val="0"/>
            <w:vAlign w:val="center"/>
          </w:tcPr>
          <w:p w14:paraId="77EC3DBA">
            <w:pPr>
              <w:pStyle w:val="17"/>
              <w:bidi w:val="0"/>
              <w:rPr>
                <w:rFonts w:ascii="Times New Roman" w:hAnsi="Times New Roman"/>
                <w:color w:val="auto"/>
              </w:rPr>
            </w:pPr>
            <w:r>
              <w:rPr>
                <w:rFonts w:ascii="Times New Roman" w:hAnsi="Times New Roman"/>
                <w:color w:val="auto"/>
              </w:rPr>
              <w:t>总平面图中进行了简单的厂矿道路设计。</w:t>
            </w:r>
          </w:p>
        </w:tc>
        <w:tc>
          <w:tcPr>
            <w:tcW w:w="386" w:type="pct"/>
            <w:noWrap w:val="0"/>
            <w:vAlign w:val="center"/>
          </w:tcPr>
          <w:p w14:paraId="7E68867A">
            <w:pPr>
              <w:pStyle w:val="17"/>
              <w:bidi w:val="0"/>
              <w:rPr>
                <w:rFonts w:ascii="Times New Roman" w:hAnsi="Times New Roman"/>
                <w:color w:val="auto"/>
              </w:rPr>
            </w:pPr>
            <w:r>
              <w:rPr>
                <w:rFonts w:ascii="Times New Roman" w:hAnsi="Times New Roman"/>
                <w:color w:val="auto"/>
              </w:rPr>
              <w:t>符合</w:t>
            </w:r>
          </w:p>
        </w:tc>
      </w:tr>
      <w:tr w14:paraId="3220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51" w:type="pct"/>
            <w:noWrap w:val="0"/>
            <w:vAlign w:val="center"/>
          </w:tcPr>
          <w:p w14:paraId="67F9C25F">
            <w:pPr>
              <w:pStyle w:val="17"/>
              <w:bidi w:val="0"/>
              <w:rPr>
                <w:rFonts w:ascii="Times New Roman" w:hAnsi="Times New Roman"/>
                <w:color w:val="auto"/>
              </w:rPr>
            </w:pPr>
            <w:r>
              <w:rPr>
                <w:rFonts w:ascii="Times New Roman" w:hAnsi="Times New Roman"/>
                <w:color w:val="auto"/>
              </w:rPr>
              <w:t>9</w:t>
            </w:r>
          </w:p>
        </w:tc>
        <w:tc>
          <w:tcPr>
            <w:tcW w:w="2185" w:type="pct"/>
            <w:noWrap w:val="0"/>
            <w:vAlign w:val="center"/>
          </w:tcPr>
          <w:p w14:paraId="39C0EF3A">
            <w:pPr>
              <w:pStyle w:val="17"/>
              <w:bidi w:val="0"/>
              <w:jc w:val="both"/>
              <w:rPr>
                <w:rFonts w:ascii="Times New Roman" w:hAnsi="Times New Roman"/>
                <w:color w:val="auto"/>
              </w:rPr>
            </w:pPr>
            <w:r>
              <w:rPr>
                <w:rFonts w:ascii="Times New Roman" w:hAnsi="Times New Roman"/>
                <w:color w:val="auto"/>
              </w:rPr>
              <w:t>产生高噪声的生产设施，总图宜符合下列要求：1.宜相对集中布置在远离人员集中和有安静要求的场所；2.产生高噪声的车间应与低噪声的车间分开布置；</w:t>
            </w:r>
          </w:p>
          <w:p w14:paraId="4A480FB1">
            <w:pPr>
              <w:pStyle w:val="17"/>
              <w:bidi w:val="0"/>
              <w:jc w:val="both"/>
              <w:rPr>
                <w:rFonts w:ascii="Times New Roman" w:hAnsi="Times New Roman"/>
                <w:color w:val="auto"/>
              </w:rPr>
            </w:pPr>
            <w:r>
              <w:rPr>
                <w:rFonts w:ascii="Times New Roman" w:hAnsi="Times New Roman"/>
                <w:color w:val="auto"/>
              </w:rPr>
              <w:t>3.产生噪声生产设施的周围宜布置对噪声较不敏感、高大、朝向有利于隔声的建筑物、构筑物和堆场等。</w:t>
            </w:r>
          </w:p>
        </w:tc>
        <w:tc>
          <w:tcPr>
            <w:tcW w:w="1341" w:type="pct"/>
            <w:noWrap w:val="0"/>
            <w:vAlign w:val="center"/>
          </w:tcPr>
          <w:p w14:paraId="6FB8DCA1">
            <w:pPr>
              <w:pStyle w:val="17"/>
              <w:bidi w:val="0"/>
              <w:rPr>
                <w:rFonts w:ascii="Times New Roman" w:hAnsi="Times New Roman"/>
                <w:color w:val="auto"/>
              </w:rPr>
            </w:pPr>
            <w:r>
              <w:rPr>
                <w:rFonts w:ascii="Times New Roman" w:hAnsi="Times New Roman"/>
                <w:color w:val="auto"/>
              </w:rPr>
              <w:t>《工业企业总平面设计规范》（GB50187-2012）</w:t>
            </w:r>
          </w:p>
          <w:p w14:paraId="36A84804">
            <w:pPr>
              <w:pStyle w:val="17"/>
              <w:bidi w:val="0"/>
              <w:rPr>
                <w:rFonts w:ascii="Times New Roman" w:hAnsi="Times New Roman"/>
                <w:color w:val="auto"/>
              </w:rPr>
            </w:pPr>
            <w:r>
              <w:rPr>
                <w:rFonts w:ascii="Times New Roman" w:hAnsi="Times New Roman"/>
                <w:color w:val="auto"/>
              </w:rPr>
              <w:t>第5.2.5条</w:t>
            </w:r>
          </w:p>
        </w:tc>
        <w:tc>
          <w:tcPr>
            <w:tcW w:w="734" w:type="pct"/>
            <w:noWrap w:val="0"/>
            <w:vAlign w:val="center"/>
          </w:tcPr>
          <w:p w14:paraId="627F4CBB">
            <w:pPr>
              <w:pStyle w:val="17"/>
              <w:bidi w:val="0"/>
              <w:rPr>
                <w:rFonts w:ascii="Times New Roman" w:hAnsi="Times New Roman"/>
                <w:color w:val="auto"/>
              </w:rPr>
            </w:pPr>
            <w:r>
              <w:rPr>
                <w:rFonts w:ascii="Times New Roman" w:hAnsi="Times New Roman"/>
                <w:color w:val="auto"/>
              </w:rPr>
              <w:t>按要求布置，远离人员，高低噪声车间分开布置。</w:t>
            </w:r>
          </w:p>
        </w:tc>
        <w:tc>
          <w:tcPr>
            <w:tcW w:w="386" w:type="pct"/>
            <w:noWrap w:val="0"/>
            <w:vAlign w:val="center"/>
          </w:tcPr>
          <w:p w14:paraId="18439C51">
            <w:pPr>
              <w:pStyle w:val="17"/>
              <w:bidi w:val="0"/>
              <w:rPr>
                <w:rFonts w:ascii="Times New Roman" w:hAnsi="Times New Roman"/>
                <w:color w:val="auto"/>
              </w:rPr>
            </w:pPr>
            <w:r>
              <w:rPr>
                <w:rFonts w:ascii="Times New Roman" w:hAnsi="Times New Roman"/>
                <w:color w:val="auto"/>
              </w:rPr>
              <w:t>符合</w:t>
            </w:r>
          </w:p>
        </w:tc>
      </w:tr>
      <w:tr w14:paraId="6A86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351" w:type="pct"/>
            <w:noWrap w:val="0"/>
            <w:vAlign w:val="center"/>
          </w:tcPr>
          <w:p w14:paraId="0BBE149B">
            <w:pPr>
              <w:pStyle w:val="17"/>
              <w:bidi w:val="0"/>
              <w:rPr>
                <w:rFonts w:ascii="Times New Roman" w:hAnsi="Times New Roman"/>
                <w:color w:val="auto"/>
              </w:rPr>
            </w:pPr>
            <w:r>
              <w:rPr>
                <w:rFonts w:ascii="Times New Roman" w:hAnsi="Times New Roman"/>
                <w:color w:val="auto"/>
              </w:rPr>
              <w:t>10</w:t>
            </w:r>
          </w:p>
        </w:tc>
        <w:tc>
          <w:tcPr>
            <w:tcW w:w="2185" w:type="pct"/>
            <w:noWrap w:val="0"/>
            <w:vAlign w:val="center"/>
          </w:tcPr>
          <w:p w14:paraId="520D0A8A">
            <w:pPr>
              <w:pStyle w:val="17"/>
              <w:bidi w:val="0"/>
              <w:jc w:val="both"/>
              <w:rPr>
                <w:rFonts w:ascii="Times New Roman" w:hAnsi="Times New Roman"/>
                <w:color w:val="auto"/>
              </w:rPr>
            </w:pPr>
            <w:r>
              <w:rPr>
                <w:rFonts w:ascii="Times New Roman" w:hAnsi="Times New Roman"/>
                <w:color w:val="auto"/>
              </w:rPr>
              <w:t>产生粉尘、毒物的工作场所，其发生源的布置，应符合下列要求：放散不同有毒物质的生产过程布置在同一建筑物内时，毒性大与毒性小的应隔开；粉尘、毒物的发生源，应布置在工作地点的自然通风的下风侧；如布置在多层建筑物内时，放散有害气体的生产过程应布置在建筑物的上层。如必须布置在下层时，应采取有效措施防止污染上层的空气。</w:t>
            </w:r>
          </w:p>
        </w:tc>
        <w:tc>
          <w:tcPr>
            <w:tcW w:w="1341" w:type="pct"/>
            <w:noWrap w:val="0"/>
            <w:vAlign w:val="center"/>
          </w:tcPr>
          <w:p w14:paraId="75B6FD93">
            <w:pPr>
              <w:pStyle w:val="17"/>
              <w:bidi w:val="0"/>
              <w:rPr>
                <w:rFonts w:ascii="Times New Roman" w:hAnsi="Times New Roman"/>
                <w:color w:val="auto"/>
              </w:rPr>
            </w:pPr>
            <w:r>
              <w:rPr>
                <w:rFonts w:ascii="Times New Roman" w:hAnsi="Times New Roman"/>
                <w:color w:val="auto"/>
              </w:rPr>
              <w:t>《工业企业设计卫生标准》GBZ1-2010</w:t>
            </w:r>
          </w:p>
          <w:p w14:paraId="4A2A0A35">
            <w:pPr>
              <w:pStyle w:val="17"/>
              <w:bidi w:val="0"/>
              <w:rPr>
                <w:rFonts w:ascii="Times New Roman" w:hAnsi="Times New Roman"/>
                <w:color w:val="auto"/>
              </w:rPr>
            </w:pPr>
            <w:r>
              <w:rPr>
                <w:rFonts w:ascii="Times New Roman" w:hAnsi="Times New Roman"/>
                <w:color w:val="auto"/>
              </w:rPr>
              <w:t>第6.1.1.2条</w:t>
            </w:r>
          </w:p>
        </w:tc>
        <w:tc>
          <w:tcPr>
            <w:tcW w:w="734" w:type="pct"/>
            <w:noWrap w:val="0"/>
            <w:vAlign w:val="center"/>
          </w:tcPr>
          <w:p w14:paraId="1165B99B">
            <w:pPr>
              <w:pStyle w:val="17"/>
              <w:bidi w:val="0"/>
              <w:rPr>
                <w:rFonts w:ascii="Times New Roman" w:hAnsi="Times New Roman"/>
                <w:color w:val="auto"/>
              </w:rPr>
            </w:pPr>
            <w:r>
              <w:rPr>
                <w:rFonts w:ascii="Times New Roman" w:hAnsi="Times New Roman"/>
                <w:color w:val="auto"/>
              </w:rPr>
              <w:t>粉尘无毒，影响在矿区范围内。</w:t>
            </w:r>
          </w:p>
        </w:tc>
        <w:tc>
          <w:tcPr>
            <w:tcW w:w="386" w:type="pct"/>
            <w:noWrap w:val="0"/>
            <w:vAlign w:val="center"/>
          </w:tcPr>
          <w:p w14:paraId="7F44853D">
            <w:pPr>
              <w:pStyle w:val="17"/>
              <w:bidi w:val="0"/>
              <w:rPr>
                <w:rFonts w:ascii="Times New Roman" w:hAnsi="Times New Roman"/>
                <w:color w:val="auto"/>
              </w:rPr>
            </w:pPr>
            <w:r>
              <w:rPr>
                <w:rFonts w:ascii="Times New Roman" w:hAnsi="Times New Roman"/>
                <w:color w:val="auto"/>
              </w:rPr>
              <w:t>符合</w:t>
            </w:r>
          </w:p>
        </w:tc>
      </w:tr>
    </w:tbl>
    <w:p w14:paraId="5BE0FC10">
      <w:pPr>
        <w:pStyle w:val="4"/>
        <w:bidi w:val="0"/>
        <w:rPr>
          <w:rFonts w:hint="eastAsia" w:ascii="Times New Roman" w:hAnsi="Times New Roman"/>
          <w:color w:val="auto"/>
        </w:rPr>
      </w:pPr>
      <w:bookmarkStart w:id="103" w:name="_Toc14339"/>
      <w:r>
        <w:rPr>
          <w:rFonts w:hint="eastAsia" w:ascii="Times New Roman" w:hAnsi="Times New Roman"/>
          <w:color w:val="auto"/>
        </w:rPr>
        <w:t>3.1.5</w:t>
      </w:r>
      <w:r>
        <w:rPr>
          <w:rFonts w:hint="eastAsia" w:ascii="Times New Roman" w:hAnsi="Times New Roman"/>
          <w:color w:val="auto"/>
          <w:lang w:val="en-US" w:eastAsia="zh-CN"/>
        </w:rPr>
        <w:t xml:space="preserve"> </w:t>
      </w:r>
      <w:r>
        <w:rPr>
          <w:rFonts w:hint="eastAsia" w:ascii="Times New Roman" w:hAnsi="Times New Roman"/>
          <w:color w:val="auto"/>
        </w:rPr>
        <w:t>矿山开采和周边环境的相互影响</w:t>
      </w:r>
      <w:bookmarkEnd w:id="103"/>
    </w:p>
    <w:p w14:paraId="0C6406A1">
      <w:pPr>
        <w:bidi w:val="0"/>
        <w:rPr>
          <w:rFonts w:hint="eastAsia" w:ascii="Times New Roman" w:hAnsi="Times New Roman"/>
          <w:color w:val="auto"/>
        </w:rPr>
      </w:pPr>
      <w:r>
        <w:rPr>
          <w:rFonts w:hint="eastAsia" w:ascii="Times New Roman" w:hAnsi="Times New Roman"/>
          <w:color w:val="auto"/>
        </w:rPr>
        <w:t>东北侧村组道路距离设计露天境界最近为82m</w:t>
      </w:r>
      <w:r>
        <w:rPr>
          <w:rFonts w:hint="eastAsia" w:ascii="Times New Roman" w:hAnsi="Times New Roman"/>
          <w:color w:val="auto"/>
          <w:lang w:eastAsia="zh-CN"/>
        </w:rPr>
        <w:t>，</w:t>
      </w:r>
      <w:r>
        <w:rPr>
          <w:rFonts w:hint="eastAsia" w:ascii="Times New Roman" w:hAnsi="Times New Roman"/>
          <w:color w:val="auto"/>
        </w:rPr>
        <w:t>西侧村组道路距离设计露天境界最近为78m</w:t>
      </w:r>
      <w:r>
        <w:rPr>
          <w:rFonts w:hint="eastAsia" w:ascii="Times New Roman" w:hAnsi="Times New Roman"/>
          <w:color w:val="auto"/>
          <w:lang w:eastAsia="zh-CN"/>
        </w:rPr>
        <w:t>，</w:t>
      </w:r>
      <w:r>
        <w:rPr>
          <w:rFonts w:hint="eastAsia" w:ascii="Times New Roman" w:hAnsi="Times New Roman"/>
          <w:color w:val="auto"/>
        </w:rPr>
        <w:t>农耕道路局部在矿区范围内穿过，在爆破前应安排人员在爆破范围300m的道路两端设置警戒岗，避免无关人员进入，安全风险可控。</w:t>
      </w:r>
    </w:p>
    <w:p w14:paraId="2AE96636">
      <w:pPr>
        <w:bidi w:val="0"/>
        <w:rPr>
          <w:rFonts w:hint="eastAsia" w:ascii="Times New Roman" w:hAnsi="Times New Roman" w:eastAsia="宋体"/>
          <w:color w:val="auto"/>
          <w:lang w:eastAsia="zh-CN"/>
        </w:rPr>
      </w:pPr>
      <w:r>
        <w:rPr>
          <w:rFonts w:hint="eastAsia" w:ascii="Times New Roman" w:hAnsi="Times New Roman"/>
          <w:color w:val="auto"/>
        </w:rPr>
        <w:t>矿区南东部有500kV永甘甲线、500kV永甘乙线两档高压输电设施经过，其中，500kV永甘甲线（电力线路、杆塔）与昭阳区文辉矿业有限公司洒渔大桥石灰岩矿距离最近距离为207m；500kV永甘乙线（电力线路、杆塔）与昭阳区文辉矿业有限公司洒渔大桥石灰岩矿距离最近距离为120m，昭通市昭阳区文辉矿业有限公司已与电力产权部门签订相关电力设施的安全保护协议</w:t>
      </w:r>
      <w:r>
        <w:rPr>
          <w:rFonts w:hint="eastAsia" w:ascii="Times New Roman" w:hAnsi="Times New Roman"/>
          <w:color w:val="auto"/>
          <w:lang w:eastAsia="zh-CN"/>
        </w:rPr>
        <w:t>，</w:t>
      </w:r>
      <w:r>
        <w:rPr>
          <w:rFonts w:hint="eastAsia"/>
          <w:color w:val="auto"/>
          <w:lang w:val="en-US" w:eastAsia="zh-CN"/>
        </w:rPr>
        <w:t>并采取安全措施，</w:t>
      </w:r>
      <w:r>
        <w:rPr>
          <w:rFonts w:hint="eastAsia" w:ascii="Times New Roman" w:hAnsi="Times New Roman"/>
          <w:color w:val="auto"/>
          <w:lang w:val="en-US" w:eastAsia="zh-CN"/>
        </w:rPr>
        <w:t>风险可控</w:t>
      </w:r>
      <w:r>
        <w:rPr>
          <w:rFonts w:hint="eastAsia" w:ascii="Times New Roman" w:hAnsi="Times New Roman"/>
          <w:color w:val="auto"/>
        </w:rPr>
        <w:t>。</w:t>
      </w:r>
    </w:p>
    <w:p w14:paraId="0B8695FA">
      <w:pPr>
        <w:bidi w:val="0"/>
        <w:rPr>
          <w:rFonts w:hint="eastAsia" w:ascii="Times New Roman" w:hAnsi="Times New Roman"/>
          <w:color w:val="auto"/>
        </w:rPr>
      </w:pPr>
      <w:r>
        <w:rPr>
          <w:rFonts w:hint="eastAsia" w:ascii="Times New Roman" w:hAnsi="Times New Roman"/>
          <w:color w:val="auto"/>
        </w:rPr>
        <w:t>中小湾子村位于矿区西部，距矿区短距离为193m；下小湾子村位于矿区西北部，距矿区短距离为129m。设计对两个村子预留了300m的安全距离作为禁采区</w:t>
      </w:r>
      <w:r>
        <w:rPr>
          <w:rFonts w:hint="eastAsia" w:ascii="Times New Roman" w:hAnsi="Times New Roman"/>
          <w:color w:val="auto"/>
          <w:lang w:eastAsia="zh-CN"/>
        </w:rPr>
        <w:t>，</w:t>
      </w:r>
      <w:r>
        <w:rPr>
          <w:rFonts w:hint="eastAsia" w:ascii="Times New Roman" w:hAnsi="Times New Roman"/>
          <w:color w:val="auto"/>
          <w:lang w:val="en-US" w:eastAsia="zh-CN"/>
        </w:rPr>
        <w:t>风险可控</w:t>
      </w:r>
      <w:r>
        <w:rPr>
          <w:rFonts w:hint="eastAsia" w:ascii="Times New Roman" w:hAnsi="Times New Roman"/>
          <w:color w:val="auto"/>
        </w:rPr>
        <w:t>。</w:t>
      </w:r>
    </w:p>
    <w:p w14:paraId="57E45BC1">
      <w:pPr>
        <w:pStyle w:val="4"/>
        <w:bidi w:val="0"/>
        <w:rPr>
          <w:rFonts w:hint="default"/>
          <w:color w:val="auto"/>
          <w:lang w:val="en-US" w:eastAsia="zh-CN"/>
        </w:rPr>
      </w:pPr>
      <w:bookmarkStart w:id="104" w:name="_Toc32505"/>
      <w:r>
        <w:rPr>
          <w:rFonts w:hint="eastAsia"/>
          <w:color w:val="auto"/>
          <w:lang w:val="en-US" w:eastAsia="zh-CN"/>
        </w:rPr>
        <w:t>3.1.6 排土场影响分析</w:t>
      </w:r>
      <w:bookmarkEnd w:id="104"/>
    </w:p>
    <w:p w14:paraId="3F31AE26">
      <w:pPr>
        <w:bidi w:val="0"/>
        <w:rPr>
          <w:rFonts w:hint="eastAsia"/>
          <w:color w:val="auto"/>
        </w:rPr>
      </w:pPr>
      <w:r>
        <w:rPr>
          <w:rFonts w:hint="eastAsia"/>
          <w:color w:val="auto"/>
        </w:rPr>
        <w:t>该矿山采空区面积较大，设计在矿区内西北侧采空区设置回填式临时表土堆场，回填面积为8356m</w:t>
      </w:r>
      <w:r>
        <w:rPr>
          <w:rFonts w:hint="eastAsia"/>
          <w:color w:val="auto"/>
          <w:vertAlign w:val="superscript"/>
        </w:rPr>
        <w:t>2</w:t>
      </w:r>
      <w:r>
        <w:rPr>
          <w:rFonts w:hint="eastAsia"/>
          <w:color w:val="auto"/>
        </w:rPr>
        <w:t>，堆高12m，自然安息角为34°，表土容积约为8万m³。本排土场为采空区回填式堆置场，回填坑局部存在缺口，为防止废土从缺口处溢出及边坡滑移，后期废料堆满时，应在缺口位置设置连续式拦渣挡墙。拦渣挡墙底宽3m，顶宽1m，高度1m。因排土场周围已存在台阶排水沟及道路排水沟，排土场周围不另设排水沟。为防止车辆卸料时坠入坑内，在回填坑边缘卸料平台外侧设置梯形安全车挡，车挡高度为1.0m，顶宽0.6m，底宽1.2m。风险可控。</w:t>
      </w:r>
    </w:p>
    <w:p w14:paraId="6B509585">
      <w:pPr>
        <w:pStyle w:val="4"/>
        <w:bidi w:val="0"/>
        <w:rPr>
          <w:rFonts w:hint="eastAsia" w:ascii="Times New Roman" w:hAnsi="Times New Roman"/>
          <w:color w:val="auto"/>
        </w:rPr>
      </w:pPr>
      <w:bookmarkStart w:id="105" w:name="_Toc12138"/>
      <w:r>
        <w:rPr>
          <w:rFonts w:hint="eastAsia" w:ascii="Times New Roman" w:hAnsi="Times New Roman"/>
          <w:color w:val="auto"/>
        </w:rPr>
        <w:t>3.1.</w:t>
      </w:r>
      <w:r>
        <w:rPr>
          <w:rFonts w:hint="eastAsia"/>
          <w:color w:val="auto"/>
          <w:lang w:val="en-US" w:eastAsia="zh-CN"/>
        </w:rPr>
        <w:t>7</w:t>
      </w:r>
      <w:r>
        <w:rPr>
          <w:rFonts w:hint="eastAsia" w:ascii="Times New Roman" w:hAnsi="Times New Roman"/>
          <w:color w:val="auto"/>
          <w:lang w:val="en-US" w:eastAsia="zh-CN"/>
        </w:rPr>
        <w:t xml:space="preserve"> </w:t>
      </w:r>
      <w:r>
        <w:rPr>
          <w:rFonts w:hint="eastAsia" w:ascii="Times New Roman" w:hAnsi="Times New Roman"/>
          <w:color w:val="auto"/>
        </w:rPr>
        <w:t>单元小结</w:t>
      </w:r>
      <w:bookmarkEnd w:id="105"/>
    </w:p>
    <w:p w14:paraId="4C905923">
      <w:pPr>
        <w:bidi w:val="0"/>
        <w:rPr>
          <w:rFonts w:hint="eastAsia" w:ascii="Times New Roman" w:hAnsi="Times New Roman"/>
          <w:color w:val="auto"/>
        </w:rPr>
      </w:pPr>
      <w:r>
        <w:rPr>
          <w:rFonts w:hint="eastAsia" w:ascii="Times New Roman" w:hAnsi="Times New Roman"/>
          <w:color w:val="auto"/>
        </w:rPr>
        <w:t>依据该项目</w:t>
      </w:r>
      <w:r>
        <w:rPr>
          <w:rFonts w:hint="eastAsia" w:ascii="Times New Roman" w:hAnsi="Times New Roman"/>
          <w:color w:val="auto"/>
          <w:lang w:eastAsia="zh-CN"/>
        </w:rPr>
        <w:t>初步设计（代可研）</w:t>
      </w:r>
      <w:r>
        <w:rPr>
          <w:rFonts w:hint="eastAsia" w:ascii="Times New Roman" w:hAnsi="Times New Roman"/>
          <w:color w:val="auto"/>
        </w:rPr>
        <w:t>方案，通过查对本工程厂址选择及总平面布置与相关法律、法规、标准和规范的符合程度，厂址选择及总平面布置符合有关法律、法规、标准和规范要求。该矿山在今后设计及开采过程中应重点注意以下问题：</w:t>
      </w:r>
    </w:p>
    <w:p w14:paraId="35B1145B">
      <w:pPr>
        <w:bidi w:val="0"/>
        <w:rPr>
          <w:rFonts w:hint="eastAsia" w:ascii="Times New Roman" w:hAnsi="Times New Roman"/>
          <w:color w:val="auto"/>
        </w:rPr>
      </w:pPr>
      <w:r>
        <w:rPr>
          <w:rFonts w:hint="eastAsia" w:ascii="Times New Roman" w:hAnsi="Times New Roman"/>
          <w:color w:val="auto"/>
        </w:rPr>
        <w:t>（1）露天开采会形成较高边坡，下一步安全设施设计应考虑在采场边界危险性大的区域设置护栏等安全设施。</w:t>
      </w:r>
    </w:p>
    <w:p w14:paraId="54435490">
      <w:pPr>
        <w:bidi w:val="0"/>
        <w:rPr>
          <w:rFonts w:ascii="Times New Roman" w:hAnsi="Times New Roman"/>
          <w:color w:val="auto"/>
        </w:rPr>
      </w:pPr>
      <w:r>
        <w:rPr>
          <w:rFonts w:hint="eastAsia" w:ascii="Times New Roman" w:hAnsi="Times New Roman"/>
          <w:color w:val="auto"/>
        </w:rPr>
        <w:t>（2）矿山应按设计要求进行开采，并严格按照设计要求爆破警戒线按上坡方向200m下坡300m圈定，所有无关人员撤出300m外安全地点，并在路口设置岗警戒。</w:t>
      </w:r>
    </w:p>
    <w:p w14:paraId="3093B07A">
      <w:pPr>
        <w:bidi w:val="0"/>
        <w:rPr>
          <w:rFonts w:hint="default" w:eastAsia="宋体"/>
          <w:color w:val="auto"/>
          <w:lang w:val="en-US" w:eastAsia="zh-CN"/>
        </w:rPr>
      </w:pPr>
      <w:r>
        <w:rPr>
          <w:rFonts w:hint="eastAsia"/>
          <w:color w:val="auto"/>
          <w:lang w:eastAsia="zh-CN"/>
        </w:rPr>
        <w:t>（</w:t>
      </w:r>
      <w:r>
        <w:rPr>
          <w:rFonts w:hint="eastAsia"/>
          <w:color w:val="auto"/>
          <w:lang w:val="en-US" w:eastAsia="zh-CN"/>
        </w:rPr>
        <w:t>3</w:t>
      </w:r>
      <w:r>
        <w:rPr>
          <w:rFonts w:hint="eastAsia"/>
          <w:color w:val="auto"/>
          <w:lang w:eastAsia="zh-CN"/>
        </w:rPr>
        <w:t>）下一步</w:t>
      </w:r>
      <w:r>
        <w:rPr>
          <w:rFonts w:hint="eastAsia"/>
          <w:color w:val="auto"/>
          <w:lang w:val="en-US" w:eastAsia="zh-CN"/>
        </w:rPr>
        <w:t>安全设施设计</w:t>
      </w:r>
      <w:r>
        <w:rPr>
          <w:rFonts w:hint="eastAsia"/>
          <w:color w:val="auto"/>
          <w:lang w:eastAsia="zh-CN"/>
        </w:rPr>
        <w:t>应当补充爆破警戒范围内的村组道路、未征用土地、电力设施等安全防护措施。</w:t>
      </w:r>
    </w:p>
    <w:p w14:paraId="7ACDBB17">
      <w:pPr>
        <w:pStyle w:val="3"/>
        <w:bidi w:val="0"/>
        <w:rPr>
          <w:rFonts w:hint="eastAsia" w:ascii="Times New Roman" w:hAnsi="Times New Roman"/>
          <w:color w:val="auto"/>
        </w:rPr>
      </w:pPr>
      <w:bookmarkStart w:id="106" w:name="_Toc12043"/>
      <w:r>
        <w:rPr>
          <w:rFonts w:hint="eastAsia" w:ascii="Times New Roman" w:hAnsi="Times New Roman"/>
          <w:color w:val="auto"/>
        </w:rPr>
        <w:t>3.2</w:t>
      </w:r>
      <w:r>
        <w:rPr>
          <w:rFonts w:hint="eastAsia" w:ascii="Times New Roman" w:hAnsi="Times New Roman"/>
          <w:color w:val="auto"/>
          <w:lang w:val="en-US" w:eastAsia="zh-CN"/>
        </w:rPr>
        <w:t xml:space="preserve"> </w:t>
      </w:r>
      <w:r>
        <w:rPr>
          <w:rFonts w:hint="eastAsia" w:ascii="Times New Roman" w:hAnsi="Times New Roman"/>
          <w:color w:val="auto"/>
        </w:rPr>
        <w:t>开拓运输单元</w:t>
      </w:r>
      <w:bookmarkEnd w:id="106"/>
    </w:p>
    <w:p w14:paraId="31D4633C">
      <w:pPr>
        <w:pStyle w:val="4"/>
        <w:bidi w:val="0"/>
        <w:rPr>
          <w:rFonts w:hint="eastAsia" w:ascii="Times New Roman" w:hAnsi="Times New Roman"/>
          <w:color w:val="auto"/>
        </w:rPr>
      </w:pPr>
      <w:bookmarkStart w:id="107" w:name="_Toc23161"/>
      <w:r>
        <w:rPr>
          <w:rFonts w:hint="eastAsia" w:ascii="Times New Roman" w:hAnsi="Times New Roman"/>
          <w:color w:val="auto"/>
        </w:rPr>
        <w:t>3.2.1</w:t>
      </w:r>
      <w:r>
        <w:rPr>
          <w:rFonts w:hint="eastAsia" w:ascii="Times New Roman" w:hAnsi="Times New Roman"/>
          <w:color w:val="auto"/>
          <w:lang w:val="en-US" w:eastAsia="zh-CN"/>
        </w:rPr>
        <w:t xml:space="preserve"> </w:t>
      </w:r>
      <w:r>
        <w:rPr>
          <w:rFonts w:hint="eastAsia" w:ascii="Times New Roman" w:hAnsi="Times New Roman"/>
          <w:color w:val="auto"/>
        </w:rPr>
        <w:t>开拓运输单元危险有害因素辨识</w:t>
      </w:r>
      <w:bookmarkEnd w:id="107"/>
    </w:p>
    <w:p w14:paraId="5DF18ECE">
      <w:pPr>
        <w:bidi w:val="0"/>
        <w:rPr>
          <w:rFonts w:hint="eastAsia" w:ascii="Times New Roman" w:hAnsi="Times New Roman"/>
          <w:color w:val="auto"/>
        </w:rPr>
      </w:pPr>
      <w:r>
        <w:rPr>
          <w:rFonts w:hint="eastAsia" w:ascii="Times New Roman" w:hAnsi="Times New Roman"/>
          <w:color w:val="auto"/>
        </w:rPr>
        <w:t>（1）车辆伤害</w:t>
      </w:r>
    </w:p>
    <w:p w14:paraId="672FE613">
      <w:pPr>
        <w:bidi w:val="0"/>
        <w:rPr>
          <w:rFonts w:hint="eastAsia" w:ascii="Times New Roman" w:hAnsi="Times New Roman"/>
          <w:color w:val="auto"/>
        </w:rPr>
      </w:pPr>
      <w:r>
        <w:rPr>
          <w:rFonts w:hint="eastAsia" w:ascii="Times New Roman" w:hAnsi="Times New Roman"/>
          <w:color w:val="auto"/>
        </w:rPr>
        <w:t>车辆伤害是指企业机动车辆在行驶中引起的人体坠落和物体倒塌、下落、挤压伤亡事故。</w:t>
      </w:r>
    </w:p>
    <w:p w14:paraId="3D949B3A">
      <w:pPr>
        <w:bidi w:val="0"/>
        <w:rPr>
          <w:rFonts w:hint="eastAsia" w:ascii="Times New Roman" w:hAnsi="Times New Roman"/>
          <w:color w:val="auto"/>
        </w:rPr>
      </w:pPr>
      <w:r>
        <w:rPr>
          <w:rFonts w:hint="eastAsia" w:ascii="Times New Roman" w:hAnsi="Times New Roman"/>
          <w:color w:val="auto"/>
        </w:rPr>
        <w:t>场内运输、装载设备有故障、操作失误或指挥不当，有造成车辆伤害的危险；矿山使用汽车进行运输，由于驾驶员违章驾驶等造成车辆伤害。本单元车辆伤害在本项目中包括汽车等车辆的伤害。</w:t>
      </w:r>
    </w:p>
    <w:p w14:paraId="657FE81C">
      <w:pPr>
        <w:bidi w:val="0"/>
        <w:rPr>
          <w:rFonts w:hint="eastAsia" w:ascii="Times New Roman" w:hAnsi="Times New Roman"/>
          <w:color w:val="auto"/>
        </w:rPr>
      </w:pPr>
      <w:r>
        <w:rPr>
          <w:rFonts w:hint="eastAsia" w:ascii="Times New Roman" w:hAnsi="Times New Roman"/>
          <w:color w:val="auto"/>
        </w:rPr>
        <w:t>1）露天铲装运输过程中，由于违章载人、违章作业或作业场地狭窄而导致人员坠落或铲装设备倾翻引发的伤亡事故；</w:t>
      </w:r>
    </w:p>
    <w:p w14:paraId="155AD8E2">
      <w:pPr>
        <w:bidi w:val="0"/>
        <w:rPr>
          <w:rFonts w:hint="eastAsia" w:ascii="Times New Roman" w:hAnsi="Times New Roman"/>
          <w:color w:val="auto"/>
        </w:rPr>
      </w:pPr>
      <w:r>
        <w:rPr>
          <w:rFonts w:hint="eastAsia" w:ascii="Times New Roman" w:hAnsi="Times New Roman"/>
          <w:color w:val="auto"/>
        </w:rPr>
        <w:t>2）车辆在行驶过程中，由于道路坡陡弯急、行车速度快、车辆故障、制动失灵、信号标志缺失、运输线路及路面设计不合理、道路局部坍塌、下沉、路况质量差、狭窄、路不平、雨季冲刷严重等，易发生翻车、撞坏设备和撞伤人员等车辆伤害事故；</w:t>
      </w:r>
    </w:p>
    <w:p w14:paraId="62CB0D3E">
      <w:pPr>
        <w:bidi w:val="0"/>
        <w:rPr>
          <w:rFonts w:hint="eastAsia" w:ascii="Times New Roman" w:hAnsi="Times New Roman"/>
          <w:color w:val="auto"/>
        </w:rPr>
      </w:pPr>
      <w:r>
        <w:rPr>
          <w:rFonts w:hint="eastAsia" w:ascii="Times New Roman" w:hAnsi="Times New Roman"/>
          <w:color w:val="auto"/>
        </w:rPr>
        <w:t>3）疲劳驾驶、酒后驾驶、无证驾驶、人货混装驾驶等违章作业；</w:t>
      </w:r>
    </w:p>
    <w:p w14:paraId="6B61490B">
      <w:pPr>
        <w:bidi w:val="0"/>
        <w:rPr>
          <w:rFonts w:hint="eastAsia" w:ascii="Times New Roman" w:hAnsi="Times New Roman"/>
          <w:color w:val="auto"/>
        </w:rPr>
      </w:pPr>
      <w:r>
        <w:rPr>
          <w:rFonts w:hint="eastAsia" w:ascii="Times New Roman" w:hAnsi="Times New Roman"/>
          <w:color w:val="auto"/>
        </w:rPr>
        <w:t>4）雨天运输车辆未采取防滑措施，导致车辆失控而引起车辆伤害；</w:t>
      </w:r>
    </w:p>
    <w:p w14:paraId="3E393016">
      <w:pPr>
        <w:bidi w:val="0"/>
        <w:rPr>
          <w:rFonts w:hint="eastAsia" w:ascii="Times New Roman" w:hAnsi="Times New Roman"/>
          <w:color w:val="auto"/>
        </w:rPr>
      </w:pPr>
      <w:r>
        <w:rPr>
          <w:rFonts w:hint="eastAsia" w:ascii="Times New Roman" w:hAnsi="Times New Roman"/>
          <w:color w:val="auto"/>
        </w:rPr>
        <w:t>5）采场台阶作业平台宽度不够，平台边沿岩土松散、不稳固，铲装设备沿平台边缘行驶作业，易发生设备倾翻、坠落，导致人员伤害、设备损坏；</w:t>
      </w:r>
    </w:p>
    <w:p w14:paraId="005E157C">
      <w:pPr>
        <w:bidi w:val="0"/>
        <w:rPr>
          <w:rFonts w:hint="eastAsia" w:ascii="Times New Roman" w:hAnsi="Times New Roman"/>
          <w:color w:val="auto"/>
        </w:rPr>
      </w:pPr>
      <w:r>
        <w:rPr>
          <w:rFonts w:hint="eastAsia" w:ascii="Times New Roman" w:hAnsi="Times New Roman"/>
          <w:color w:val="auto"/>
        </w:rPr>
        <w:t>6）卸载点未设置车挡或形成反坡，易发生卸载车辆倾翻、坠落，导致人员伤害、车辆损坏等。</w:t>
      </w:r>
    </w:p>
    <w:p w14:paraId="53C939FC">
      <w:pPr>
        <w:bidi w:val="0"/>
        <w:rPr>
          <w:rFonts w:hint="eastAsia" w:ascii="Times New Roman" w:hAnsi="Times New Roman"/>
          <w:color w:val="auto"/>
        </w:rPr>
      </w:pPr>
      <w:r>
        <w:rPr>
          <w:rFonts w:hint="eastAsia" w:ascii="Times New Roman" w:hAnsi="Times New Roman"/>
          <w:color w:val="auto"/>
        </w:rPr>
        <w:t>可能存在的部位：运输过程中的各种车辆设备、铲装作业平台、运输公路等。</w:t>
      </w:r>
    </w:p>
    <w:p w14:paraId="562EA071">
      <w:pPr>
        <w:bidi w:val="0"/>
        <w:rPr>
          <w:rFonts w:hint="eastAsia" w:ascii="Times New Roman" w:hAnsi="Times New Roman"/>
          <w:color w:val="auto"/>
        </w:rPr>
      </w:pPr>
      <w:r>
        <w:rPr>
          <w:rFonts w:hint="eastAsia" w:ascii="Times New Roman" w:hAnsi="Times New Roman"/>
          <w:color w:val="auto"/>
        </w:rPr>
        <w:t>（2）高处坠落</w:t>
      </w:r>
    </w:p>
    <w:p w14:paraId="496F38DA">
      <w:pPr>
        <w:bidi w:val="0"/>
        <w:rPr>
          <w:rFonts w:hint="eastAsia" w:ascii="Times New Roman" w:hAnsi="Times New Roman"/>
          <w:color w:val="auto"/>
        </w:rPr>
      </w:pPr>
      <w:r>
        <w:rPr>
          <w:rFonts w:hint="eastAsia" w:ascii="Times New Roman" w:hAnsi="Times New Roman"/>
          <w:color w:val="auto"/>
        </w:rPr>
        <w:t>高处坠落在本单元主要存在于边坡作业、各类相对于坠落基准面2m及以上的作业平台等处，易发生高处坠落伤亡事故。</w:t>
      </w:r>
    </w:p>
    <w:p w14:paraId="7ECEC06A">
      <w:pPr>
        <w:bidi w:val="0"/>
        <w:rPr>
          <w:rFonts w:hint="eastAsia" w:ascii="Times New Roman" w:hAnsi="Times New Roman"/>
          <w:color w:val="auto"/>
        </w:rPr>
      </w:pPr>
      <w:r>
        <w:rPr>
          <w:rFonts w:hint="eastAsia" w:ascii="Times New Roman" w:hAnsi="Times New Roman"/>
          <w:color w:val="auto"/>
        </w:rPr>
        <w:t>产生高处坠落的诱因为：</w:t>
      </w:r>
    </w:p>
    <w:p w14:paraId="0F157CCE">
      <w:pPr>
        <w:bidi w:val="0"/>
        <w:rPr>
          <w:rFonts w:hint="eastAsia" w:ascii="Times New Roman" w:hAnsi="Times New Roman"/>
          <w:color w:val="auto"/>
        </w:rPr>
      </w:pPr>
      <w:r>
        <w:rPr>
          <w:rFonts w:hint="eastAsia" w:ascii="Times New Roman" w:hAnsi="Times New Roman"/>
          <w:color w:val="auto"/>
        </w:rPr>
        <w:t>1）在边坡上进行高处作业人员没有按要求使用安全带或安全绳、安全带未正确、牢靠固定即进行作业，由于失重、高温、大风或作业人员生理因素差等导致作业人员坠落，而造成伤亡事故；通往采场的人行通道，坡度太陡；</w:t>
      </w:r>
    </w:p>
    <w:p w14:paraId="027410A5">
      <w:pPr>
        <w:bidi w:val="0"/>
        <w:rPr>
          <w:rFonts w:hint="eastAsia" w:ascii="Times New Roman" w:hAnsi="Times New Roman"/>
          <w:color w:val="auto"/>
        </w:rPr>
      </w:pPr>
      <w:r>
        <w:rPr>
          <w:rFonts w:hint="eastAsia" w:ascii="Times New Roman" w:hAnsi="Times New Roman"/>
          <w:color w:val="auto"/>
        </w:rPr>
        <w:t>2）采场工作平台宽度不足，平台边沿矿岩松散、不稳固，设备在平台边缘作业，导致设备坠落、倾翻造成人员伤害、设备损坏；</w:t>
      </w:r>
    </w:p>
    <w:p w14:paraId="351BD4B1">
      <w:pPr>
        <w:bidi w:val="0"/>
        <w:rPr>
          <w:rFonts w:hint="eastAsia" w:ascii="Times New Roman" w:hAnsi="Times New Roman"/>
          <w:color w:val="auto"/>
        </w:rPr>
      </w:pPr>
      <w:r>
        <w:rPr>
          <w:rFonts w:hint="eastAsia" w:ascii="Times New Roman" w:hAnsi="Times New Roman"/>
          <w:color w:val="auto"/>
        </w:rPr>
        <w:t>3）高处作业未制定作业规程，现场安全管理不到位；或作业人员疏忽大意，疲劳过度；</w:t>
      </w:r>
    </w:p>
    <w:p w14:paraId="0AA0017B">
      <w:pPr>
        <w:bidi w:val="0"/>
        <w:rPr>
          <w:rFonts w:hint="eastAsia" w:ascii="Times New Roman" w:hAnsi="Times New Roman"/>
          <w:color w:val="auto"/>
        </w:rPr>
      </w:pPr>
      <w:r>
        <w:rPr>
          <w:rFonts w:hint="eastAsia" w:ascii="Times New Roman" w:hAnsi="Times New Roman"/>
          <w:color w:val="auto"/>
        </w:rPr>
        <w:t>4）因采场危险区域内、采场顶部等未设置安全警示标志，外来人员、牲畜进入采场上部危险区域；</w:t>
      </w:r>
    </w:p>
    <w:p w14:paraId="418177B7">
      <w:pPr>
        <w:bidi w:val="0"/>
        <w:rPr>
          <w:rFonts w:hint="eastAsia" w:ascii="Times New Roman" w:hAnsi="Times New Roman"/>
          <w:color w:val="auto"/>
        </w:rPr>
      </w:pPr>
      <w:r>
        <w:rPr>
          <w:rFonts w:hint="eastAsia" w:ascii="Times New Roman" w:hAnsi="Times New Roman"/>
          <w:color w:val="auto"/>
        </w:rPr>
        <w:t>5）高处作业时安全防护设施损坏或高处作业时无人监护或主观判断失误等；</w:t>
      </w:r>
    </w:p>
    <w:p w14:paraId="69500B4E">
      <w:pPr>
        <w:bidi w:val="0"/>
        <w:rPr>
          <w:rFonts w:hint="eastAsia" w:ascii="Times New Roman" w:hAnsi="Times New Roman"/>
          <w:color w:val="auto"/>
        </w:rPr>
      </w:pPr>
      <w:r>
        <w:rPr>
          <w:rFonts w:hint="eastAsia" w:ascii="Times New Roman" w:hAnsi="Times New Roman"/>
          <w:color w:val="auto"/>
        </w:rPr>
        <w:t>6）运输道路路基高于2m的地段及转弯地段未按设计要求设置道路安全挡墙，运输车辆车速过快会导致高处坠落。</w:t>
      </w:r>
    </w:p>
    <w:p w14:paraId="322B5FE6">
      <w:pPr>
        <w:bidi w:val="0"/>
        <w:rPr>
          <w:rFonts w:hint="eastAsia" w:ascii="Times New Roman" w:hAnsi="Times New Roman"/>
          <w:color w:val="auto"/>
        </w:rPr>
      </w:pPr>
      <w:r>
        <w:rPr>
          <w:rFonts w:hint="eastAsia" w:ascii="Times New Roman" w:hAnsi="Times New Roman"/>
          <w:color w:val="auto"/>
        </w:rPr>
        <w:t>可能存在的部位：运输公路、采场边坡等。</w:t>
      </w:r>
    </w:p>
    <w:p w14:paraId="255A7877">
      <w:pPr>
        <w:bidi w:val="0"/>
        <w:rPr>
          <w:rFonts w:hint="eastAsia" w:ascii="Times New Roman" w:hAnsi="Times New Roman"/>
          <w:color w:val="auto"/>
        </w:rPr>
      </w:pPr>
      <w:r>
        <w:rPr>
          <w:rFonts w:hint="eastAsia" w:ascii="Times New Roman" w:hAnsi="Times New Roman"/>
          <w:color w:val="auto"/>
        </w:rPr>
        <w:t>（3）物体打击</w:t>
      </w:r>
    </w:p>
    <w:p w14:paraId="0B787ACB">
      <w:pPr>
        <w:bidi w:val="0"/>
        <w:rPr>
          <w:rFonts w:hint="eastAsia" w:ascii="Times New Roman" w:hAnsi="Times New Roman"/>
          <w:color w:val="auto"/>
        </w:rPr>
      </w:pPr>
      <w:r>
        <w:rPr>
          <w:rFonts w:hint="eastAsia" w:ascii="Times New Roman" w:hAnsi="Times New Roman"/>
          <w:color w:val="auto"/>
        </w:rPr>
        <w:t>物体打击是指物体在重力或其它外力的作用下产生运动，打击人体造成人身伤亡事故。造成物体打击伤害的原因多种多样，主要有：</w:t>
      </w:r>
    </w:p>
    <w:p w14:paraId="73ACBEEC">
      <w:pPr>
        <w:bidi w:val="0"/>
        <w:rPr>
          <w:rFonts w:hint="eastAsia" w:ascii="Times New Roman" w:hAnsi="Times New Roman"/>
          <w:color w:val="auto"/>
        </w:rPr>
      </w:pPr>
      <w:r>
        <w:rPr>
          <w:rFonts w:hint="eastAsia" w:ascii="Times New Roman" w:hAnsi="Times New Roman"/>
          <w:color w:val="auto"/>
        </w:rPr>
        <w:t>1）安全帽等劳保用品穿戴不齐或未按照规范佩戴等；</w:t>
      </w:r>
    </w:p>
    <w:p w14:paraId="513D47DD">
      <w:pPr>
        <w:bidi w:val="0"/>
        <w:rPr>
          <w:rFonts w:hint="eastAsia" w:ascii="Times New Roman" w:hAnsi="Times New Roman"/>
          <w:color w:val="auto"/>
        </w:rPr>
      </w:pPr>
      <w:r>
        <w:rPr>
          <w:rFonts w:hint="eastAsia" w:ascii="Times New Roman" w:hAnsi="Times New Roman"/>
          <w:color w:val="auto"/>
        </w:rPr>
        <w:t>2）矿区岩石节理裂隙较发育，开拓运输边坡浮石处理不及时，易引起物体打击；</w:t>
      </w:r>
    </w:p>
    <w:p w14:paraId="153479DE">
      <w:pPr>
        <w:bidi w:val="0"/>
        <w:rPr>
          <w:rFonts w:hint="eastAsia" w:ascii="Times New Roman" w:hAnsi="Times New Roman"/>
          <w:color w:val="auto"/>
        </w:rPr>
      </w:pPr>
      <w:r>
        <w:rPr>
          <w:rFonts w:hint="eastAsia" w:ascii="Times New Roman" w:hAnsi="Times New Roman"/>
          <w:color w:val="auto"/>
        </w:rPr>
        <w:t>3）铲装作业过程中，铲装设备操作失误或违章作业；铲装作业时铲斗经过自卸汽车驾驶室，矿岩掉落；在边坡、挖掘半径内坐卧、停留；</w:t>
      </w:r>
    </w:p>
    <w:p w14:paraId="1FD6D68F">
      <w:pPr>
        <w:bidi w:val="0"/>
        <w:rPr>
          <w:rFonts w:hint="eastAsia" w:ascii="Times New Roman" w:hAnsi="Times New Roman"/>
          <w:color w:val="auto"/>
        </w:rPr>
      </w:pPr>
      <w:r>
        <w:rPr>
          <w:rFonts w:hint="eastAsia" w:ascii="Times New Roman" w:hAnsi="Times New Roman"/>
          <w:color w:val="auto"/>
        </w:rPr>
        <w:t>4）人员在边坡脚底停留或通过；</w:t>
      </w:r>
    </w:p>
    <w:p w14:paraId="16A4C14E">
      <w:pPr>
        <w:bidi w:val="0"/>
        <w:rPr>
          <w:rFonts w:hint="eastAsia" w:ascii="Times New Roman" w:hAnsi="Times New Roman"/>
          <w:color w:val="auto"/>
        </w:rPr>
      </w:pPr>
      <w:r>
        <w:rPr>
          <w:rFonts w:hint="eastAsia" w:ascii="Times New Roman" w:hAnsi="Times New Roman"/>
          <w:color w:val="auto"/>
        </w:rPr>
        <w:t>5）上、下台阶同时作业时，上部台阶坠物及滚石对下部台阶作业人员造成伤害。</w:t>
      </w:r>
    </w:p>
    <w:p w14:paraId="2FED1267">
      <w:pPr>
        <w:bidi w:val="0"/>
        <w:rPr>
          <w:rFonts w:hint="eastAsia" w:ascii="Times New Roman" w:hAnsi="Times New Roman"/>
          <w:color w:val="auto"/>
        </w:rPr>
      </w:pPr>
      <w:r>
        <w:rPr>
          <w:rFonts w:hint="eastAsia" w:ascii="Times New Roman" w:hAnsi="Times New Roman"/>
          <w:color w:val="auto"/>
        </w:rPr>
        <w:t>可能存在的部位：运输道路、采场边坡等。</w:t>
      </w:r>
    </w:p>
    <w:p w14:paraId="7F2FD176">
      <w:pPr>
        <w:bidi w:val="0"/>
        <w:rPr>
          <w:rFonts w:hint="eastAsia" w:ascii="Times New Roman" w:hAnsi="Times New Roman"/>
          <w:color w:val="auto"/>
        </w:rPr>
      </w:pPr>
      <w:r>
        <w:rPr>
          <w:rFonts w:hint="eastAsia" w:ascii="Times New Roman" w:hAnsi="Times New Roman"/>
          <w:color w:val="auto"/>
        </w:rPr>
        <w:t>（4）机械伤害</w:t>
      </w:r>
    </w:p>
    <w:p w14:paraId="1CA5F9CE">
      <w:pPr>
        <w:bidi w:val="0"/>
        <w:rPr>
          <w:rFonts w:hint="eastAsia" w:ascii="Times New Roman" w:hAnsi="Times New Roman"/>
          <w:color w:val="auto"/>
        </w:rPr>
      </w:pPr>
      <w:r>
        <w:rPr>
          <w:rFonts w:hint="eastAsia" w:ascii="Times New Roman" w:hAnsi="Times New Roman"/>
          <w:color w:val="auto"/>
        </w:rPr>
        <w:t>矿山的开拓运输中使用机械设备，因机械的运转部位防护缺失、操作人员的操作失误可能发生机械伤害。本单元发生机械伤害事故的原因有：</w:t>
      </w:r>
    </w:p>
    <w:p w14:paraId="506035CD">
      <w:pPr>
        <w:bidi w:val="0"/>
        <w:rPr>
          <w:rFonts w:hint="eastAsia" w:ascii="Times New Roman" w:hAnsi="Times New Roman"/>
          <w:color w:val="auto"/>
        </w:rPr>
      </w:pPr>
      <w:r>
        <w:rPr>
          <w:rFonts w:hint="eastAsia" w:ascii="Times New Roman" w:hAnsi="Times New Roman"/>
          <w:color w:val="auto"/>
        </w:rPr>
        <w:t>1）所选用设备在设计上存在先天不足</w:t>
      </w:r>
      <w:r>
        <w:rPr>
          <w:rFonts w:hint="eastAsia" w:ascii="Times New Roman" w:hAnsi="Times New Roman"/>
          <w:color w:val="auto"/>
          <w:lang w:eastAsia="zh-CN"/>
        </w:rPr>
        <w:t>（</w:t>
      </w:r>
      <w:r>
        <w:rPr>
          <w:rFonts w:hint="eastAsia" w:ascii="Times New Roman" w:hAnsi="Times New Roman"/>
          <w:color w:val="auto"/>
        </w:rPr>
        <w:t>如强度不够、设计缺陷等</w:t>
      </w:r>
      <w:r>
        <w:rPr>
          <w:rFonts w:hint="eastAsia" w:ascii="Times New Roman" w:hAnsi="Times New Roman"/>
          <w:color w:val="auto"/>
          <w:lang w:eastAsia="zh-CN"/>
        </w:rPr>
        <w:t>）</w:t>
      </w:r>
      <w:r>
        <w:rPr>
          <w:rFonts w:hint="eastAsia" w:ascii="Times New Roman" w:hAnsi="Times New Roman"/>
          <w:color w:val="auto"/>
        </w:rPr>
        <w:t>；</w:t>
      </w:r>
    </w:p>
    <w:p w14:paraId="0239F47F">
      <w:pPr>
        <w:bidi w:val="0"/>
        <w:rPr>
          <w:rFonts w:hint="eastAsia" w:ascii="Times New Roman" w:hAnsi="Times New Roman"/>
          <w:color w:val="auto"/>
        </w:rPr>
      </w:pPr>
      <w:r>
        <w:rPr>
          <w:rFonts w:hint="eastAsia" w:ascii="Times New Roman" w:hAnsi="Times New Roman"/>
          <w:color w:val="auto"/>
        </w:rPr>
        <w:t>2）设备设施没有按规定进行维护或特种设备没有定期检测检验；</w:t>
      </w:r>
    </w:p>
    <w:p w14:paraId="5E9D8893">
      <w:pPr>
        <w:bidi w:val="0"/>
        <w:rPr>
          <w:rFonts w:hint="eastAsia" w:ascii="Times New Roman" w:hAnsi="Times New Roman"/>
          <w:color w:val="auto"/>
        </w:rPr>
      </w:pPr>
      <w:r>
        <w:rPr>
          <w:rFonts w:hint="eastAsia" w:ascii="Times New Roman" w:hAnsi="Times New Roman"/>
          <w:color w:val="auto"/>
        </w:rPr>
        <w:t>3）设备安全防护装置缺乏或损坏或被拆除等，导致事故发生；</w:t>
      </w:r>
    </w:p>
    <w:p w14:paraId="62143249">
      <w:pPr>
        <w:bidi w:val="0"/>
        <w:rPr>
          <w:rFonts w:hint="eastAsia" w:ascii="Times New Roman" w:hAnsi="Times New Roman"/>
          <w:color w:val="auto"/>
        </w:rPr>
      </w:pPr>
      <w:r>
        <w:rPr>
          <w:rFonts w:hint="eastAsia" w:ascii="Times New Roman" w:hAnsi="Times New Roman"/>
          <w:color w:val="auto"/>
        </w:rPr>
        <w:t>4）运输作业人员违章操作或穿戴不符合安全规定的劳动防护用品进行操作，操作过程中衣物、头发、工具进入运转机械导致身体被运动机械拖带伤害；</w:t>
      </w:r>
    </w:p>
    <w:p w14:paraId="6022C929">
      <w:pPr>
        <w:bidi w:val="0"/>
        <w:rPr>
          <w:rFonts w:hint="eastAsia" w:ascii="Times New Roman" w:hAnsi="Times New Roman"/>
          <w:color w:val="auto"/>
        </w:rPr>
      </w:pPr>
      <w:r>
        <w:rPr>
          <w:rFonts w:hint="eastAsia" w:ascii="Times New Roman" w:hAnsi="Times New Roman"/>
          <w:color w:val="auto"/>
        </w:rPr>
        <w:t>5）操作人员疏忽大意，身体进入机械危险部位；</w:t>
      </w:r>
    </w:p>
    <w:p w14:paraId="3B8148B0">
      <w:pPr>
        <w:bidi w:val="0"/>
        <w:rPr>
          <w:rFonts w:hint="eastAsia" w:ascii="Times New Roman" w:hAnsi="Times New Roman"/>
          <w:color w:val="auto"/>
        </w:rPr>
      </w:pPr>
      <w:r>
        <w:rPr>
          <w:rFonts w:hint="eastAsia" w:ascii="Times New Roman" w:hAnsi="Times New Roman"/>
          <w:color w:val="auto"/>
        </w:rPr>
        <w:t>6）在检修和正常工作时，机器突然被别人随意启动，导致事故发生；</w:t>
      </w:r>
    </w:p>
    <w:p w14:paraId="48454E2E">
      <w:pPr>
        <w:bidi w:val="0"/>
        <w:rPr>
          <w:rFonts w:hint="eastAsia" w:ascii="Times New Roman" w:hAnsi="Times New Roman"/>
          <w:color w:val="auto"/>
        </w:rPr>
      </w:pPr>
      <w:r>
        <w:rPr>
          <w:rFonts w:hint="eastAsia" w:ascii="Times New Roman" w:hAnsi="Times New Roman"/>
          <w:color w:val="auto"/>
        </w:rPr>
        <w:t>7）在不安全的机械上停留、休息，导致事故发生。</w:t>
      </w:r>
    </w:p>
    <w:p w14:paraId="612E58E1">
      <w:pPr>
        <w:bidi w:val="0"/>
        <w:rPr>
          <w:rFonts w:hint="eastAsia" w:ascii="Times New Roman" w:hAnsi="Times New Roman"/>
          <w:color w:val="auto"/>
        </w:rPr>
      </w:pPr>
      <w:r>
        <w:rPr>
          <w:rFonts w:hint="eastAsia" w:ascii="Times New Roman" w:hAnsi="Times New Roman"/>
          <w:color w:val="auto"/>
        </w:rPr>
        <w:t>可能存在的部位：采场。</w:t>
      </w:r>
    </w:p>
    <w:p w14:paraId="423CA591">
      <w:pPr>
        <w:bidi w:val="0"/>
        <w:rPr>
          <w:rFonts w:hint="eastAsia" w:ascii="Times New Roman" w:hAnsi="Times New Roman"/>
          <w:color w:val="auto"/>
        </w:rPr>
      </w:pPr>
      <w:r>
        <w:rPr>
          <w:rFonts w:hint="eastAsia" w:ascii="Times New Roman" w:hAnsi="Times New Roman"/>
          <w:color w:val="auto"/>
        </w:rPr>
        <w:t>（5）粉尘</w:t>
      </w:r>
    </w:p>
    <w:p w14:paraId="1BFDFB5B">
      <w:pPr>
        <w:bidi w:val="0"/>
        <w:rPr>
          <w:rFonts w:hint="eastAsia" w:ascii="Times New Roman" w:hAnsi="Times New Roman"/>
          <w:color w:val="auto"/>
        </w:rPr>
      </w:pPr>
      <w:r>
        <w:rPr>
          <w:rFonts w:hint="eastAsia" w:ascii="Times New Roman" w:hAnsi="Times New Roman"/>
          <w:color w:val="auto"/>
        </w:rPr>
        <w:t>矿山开采作业及运输过程，粉尘主要发生在铲装、运输等环节，以及大风扬尘，铲装工作面和运输道路未进行洒水，路面或采场干燥，车过易扬尘。</w:t>
      </w:r>
    </w:p>
    <w:p w14:paraId="6C41E8C3">
      <w:pPr>
        <w:pStyle w:val="4"/>
        <w:bidi w:val="0"/>
        <w:rPr>
          <w:rFonts w:hint="eastAsia" w:ascii="Times New Roman" w:hAnsi="Times New Roman"/>
          <w:color w:val="auto"/>
        </w:rPr>
      </w:pPr>
      <w:bookmarkStart w:id="108" w:name="_Toc431"/>
      <w:r>
        <w:rPr>
          <w:rFonts w:hint="eastAsia" w:ascii="Times New Roman" w:hAnsi="Times New Roman"/>
          <w:color w:val="auto"/>
        </w:rPr>
        <w:t>3.2.2</w:t>
      </w:r>
      <w:r>
        <w:rPr>
          <w:rFonts w:hint="eastAsia" w:ascii="Times New Roman" w:hAnsi="Times New Roman"/>
          <w:color w:val="auto"/>
          <w:lang w:val="en-US" w:eastAsia="zh-CN"/>
        </w:rPr>
        <w:t xml:space="preserve"> </w:t>
      </w:r>
      <w:r>
        <w:rPr>
          <w:rFonts w:hint="eastAsia" w:ascii="Times New Roman" w:hAnsi="Times New Roman"/>
          <w:color w:val="auto"/>
        </w:rPr>
        <w:t>预先危险性分析</w:t>
      </w:r>
      <w:bookmarkEnd w:id="108"/>
    </w:p>
    <w:p w14:paraId="67ADEE13">
      <w:pPr>
        <w:pStyle w:val="16"/>
        <w:bidi w:val="0"/>
        <w:rPr>
          <w:rFonts w:hint="eastAsia" w:ascii="Times New Roman" w:hAnsi="Times New Roman"/>
          <w:color w:val="auto"/>
        </w:rPr>
      </w:pPr>
      <w:r>
        <w:rPr>
          <w:rFonts w:hint="eastAsia" w:ascii="Times New Roman" w:hAnsi="Times New Roman"/>
          <w:color w:val="auto"/>
        </w:rPr>
        <w:t>表3.2-1  开拓运输单元预先危险性分析表</w:t>
      </w:r>
    </w:p>
    <w:tbl>
      <w:tblPr>
        <w:tblStyle w:val="12"/>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4390"/>
        <w:gridCol w:w="874"/>
        <w:gridCol w:w="591"/>
        <w:gridCol w:w="2842"/>
      </w:tblGrid>
      <w:tr w14:paraId="5F68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8" w:type="pct"/>
            <w:noWrap w:val="0"/>
            <w:tcMar>
              <w:left w:w="0" w:type="dxa"/>
              <w:right w:w="0" w:type="dxa"/>
            </w:tcMar>
            <w:vAlign w:val="center"/>
          </w:tcPr>
          <w:p w14:paraId="23FD6E24">
            <w:pPr>
              <w:pStyle w:val="17"/>
              <w:bidi w:val="0"/>
              <w:rPr>
                <w:rFonts w:ascii="Times New Roman" w:hAnsi="Times New Roman"/>
                <w:b/>
                <w:bCs/>
                <w:color w:val="auto"/>
              </w:rPr>
            </w:pPr>
            <w:r>
              <w:rPr>
                <w:rFonts w:ascii="Times New Roman" w:hAnsi="Times New Roman"/>
                <w:b/>
                <w:bCs/>
                <w:color w:val="auto"/>
              </w:rPr>
              <w:t>危险因素</w:t>
            </w:r>
          </w:p>
        </w:tc>
        <w:tc>
          <w:tcPr>
            <w:tcW w:w="2377" w:type="pct"/>
            <w:noWrap w:val="0"/>
            <w:tcMar>
              <w:left w:w="0" w:type="dxa"/>
              <w:right w:w="0" w:type="dxa"/>
            </w:tcMar>
            <w:vAlign w:val="center"/>
          </w:tcPr>
          <w:p w14:paraId="2EA9C9EE">
            <w:pPr>
              <w:pStyle w:val="17"/>
              <w:bidi w:val="0"/>
              <w:jc w:val="center"/>
              <w:rPr>
                <w:rFonts w:ascii="Times New Roman" w:hAnsi="Times New Roman"/>
                <w:b/>
                <w:bCs/>
                <w:color w:val="auto"/>
              </w:rPr>
            </w:pPr>
            <w:r>
              <w:rPr>
                <w:rFonts w:ascii="Times New Roman" w:hAnsi="Times New Roman"/>
                <w:b/>
                <w:bCs/>
                <w:color w:val="auto"/>
              </w:rPr>
              <w:t>诱发事故原因</w:t>
            </w:r>
          </w:p>
        </w:tc>
        <w:tc>
          <w:tcPr>
            <w:tcW w:w="473" w:type="pct"/>
            <w:noWrap w:val="0"/>
            <w:tcMar>
              <w:left w:w="0" w:type="dxa"/>
              <w:right w:w="0" w:type="dxa"/>
            </w:tcMar>
            <w:vAlign w:val="center"/>
          </w:tcPr>
          <w:p w14:paraId="4DF6D9EC">
            <w:pPr>
              <w:pStyle w:val="17"/>
              <w:bidi w:val="0"/>
              <w:rPr>
                <w:rFonts w:ascii="Times New Roman" w:hAnsi="Times New Roman"/>
                <w:b/>
                <w:bCs/>
                <w:color w:val="auto"/>
              </w:rPr>
            </w:pPr>
            <w:r>
              <w:rPr>
                <w:rFonts w:ascii="Times New Roman" w:hAnsi="Times New Roman"/>
                <w:b/>
                <w:bCs/>
                <w:color w:val="auto"/>
              </w:rPr>
              <w:t>事故模式及后果</w:t>
            </w:r>
          </w:p>
        </w:tc>
        <w:tc>
          <w:tcPr>
            <w:tcW w:w="320" w:type="pct"/>
            <w:noWrap w:val="0"/>
            <w:tcMar>
              <w:left w:w="0" w:type="dxa"/>
              <w:right w:w="0" w:type="dxa"/>
            </w:tcMar>
            <w:vAlign w:val="center"/>
          </w:tcPr>
          <w:p w14:paraId="41AA0C8F">
            <w:pPr>
              <w:pStyle w:val="17"/>
              <w:bidi w:val="0"/>
              <w:rPr>
                <w:rFonts w:ascii="Times New Roman" w:hAnsi="Times New Roman"/>
                <w:b/>
                <w:bCs/>
                <w:color w:val="auto"/>
              </w:rPr>
            </w:pPr>
            <w:r>
              <w:rPr>
                <w:rFonts w:ascii="Times New Roman" w:hAnsi="Times New Roman"/>
                <w:b/>
                <w:bCs/>
                <w:color w:val="auto"/>
              </w:rPr>
              <w:t>危险等级</w:t>
            </w:r>
          </w:p>
        </w:tc>
        <w:tc>
          <w:tcPr>
            <w:tcW w:w="1539" w:type="pct"/>
            <w:noWrap w:val="0"/>
            <w:tcMar>
              <w:left w:w="0" w:type="dxa"/>
              <w:right w:w="0" w:type="dxa"/>
            </w:tcMar>
            <w:vAlign w:val="center"/>
          </w:tcPr>
          <w:p w14:paraId="11CB1D6D">
            <w:pPr>
              <w:pStyle w:val="17"/>
              <w:bidi w:val="0"/>
              <w:jc w:val="center"/>
              <w:rPr>
                <w:rFonts w:ascii="Times New Roman" w:hAnsi="Times New Roman"/>
                <w:b/>
                <w:bCs/>
                <w:color w:val="auto"/>
              </w:rPr>
            </w:pPr>
            <w:r>
              <w:rPr>
                <w:rFonts w:ascii="Times New Roman" w:hAnsi="Times New Roman"/>
                <w:b/>
                <w:bCs/>
                <w:color w:val="auto"/>
              </w:rPr>
              <w:t>安全对策措施</w:t>
            </w:r>
          </w:p>
        </w:tc>
      </w:tr>
      <w:tr w14:paraId="5BB0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noWrap w:val="0"/>
            <w:tcMar>
              <w:left w:w="0" w:type="dxa"/>
              <w:right w:w="0" w:type="dxa"/>
            </w:tcMar>
            <w:vAlign w:val="center"/>
          </w:tcPr>
          <w:p w14:paraId="0F19573D">
            <w:pPr>
              <w:pStyle w:val="17"/>
              <w:bidi w:val="0"/>
              <w:rPr>
                <w:rFonts w:ascii="Times New Roman" w:hAnsi="Times New Roman"/>
                <w:color w:val="auto"/>
              </w:rPr>
            </w:pPr>
            <w:r>
              <w:rPr>
                <w:rFonts w:ascii="Times New Roman" w:hAnsi="Times New Roman"/>
                <w:color w:val="auto"/>
              </w:rPr>
              <w:t>车辆伤害</w:t>
            </w:r>
          </w:p>
        </w:tc>
        <w:tc>
          <w:tcPr>
            <w:tcW w:w="2377" w:type="pct"/>
            <w:noWrap w:val="0"/>
            <w:tcMar>
              <w:left w:w="0" w:type="dxa"/>
              <w:right w:w="0" w:type="dxa"/>
            </w:tcMar>
            <w:vAlign w:val="center"/>
          </w:tcPr>
          <w:p w14:paraId="3104C097">
            <w:pPr>
              <w:pStyle w:val="17"/>
              <w:bidi w:val="0"/>
              <w:jc w:val="both"/>
              <w:rPr>
                <w:rFonts w:ascii="Times New Roman" w:hAnsi="Times New Roman"/>
                <w:color w:val="auto"/>
              </w:rPr>
            </w:pPr>
            <w:r>
              <w:rPr>
                <w:rFonts w:ascii="Times New Roman" w:hAnsi="Times New Roman"/>
                <w:color w:val="auto"/>
              </w:rPr>
              <w:t>1）露天铲装运输过程中，由于违章载人、违章作业或作业场地狭窄而导致人员坠落或铲装设备倾翻引发的伤亡事故；</w:t>
            </w:r>
          </w:p>
          <w:p w14:paraId="56052466">
            <w:pPr>
              <w:pStyle w:val="17"/>
              <w:bidi w:val="0"/>
              <w:jc w:val="both"/>
              <w:rPr>
                <w:rFonts w:ascii="Times New Roman" w:hAnsi="Times New Roman"/>
                <w:color w:val="auto"/>
              </w:rPr>
            </w:pPr>
            <w:r>
              <w:rPr>
                <w:rFonts w:ascii="Times New Roman" w:hAnsi="Times New Roman"/>
                <w:color w:val="auto"/>
              </w:rPr>
              <w:t>2）车辆在行驶过程中，由于道路坡陡弯急、行车速度快、车辆故障、制动失灵、信号标志缺失、运输线路及路面设计不合理、道路局部坍塌、下沉、路况质量差、狭窄、路不平、雨季冲刷严重等，易发生翻车、撞坏设备和撞伤人员等车辆伤害事故；</w:t>
            </w:r>
          </w:p>
          <w:p w14:paraId="34D533CA">
            <w:pPr>
              <w:pStyle w:val="17"/>
              <w:bidi w:val="0"/>
              <w:jc w:val="both"/>
              <w:rPr>
                <w:rFonts w:ascii="Times New Roman" w:hAnsi="Times New Roman"/>
                <w:color w:val="auto"/>
              </w:rPr>
            </w:pPr>
            <w:r>
              <w:rPr>
                <w:rFonts w:ascii="Times New Roman" w:hAnsi="Times New Roman"/>
                <w:color w:val="auto"/>
              </w:rPr>
              <w:t>3）疲劳驾驶、酒后驾驶、无证驾驶、人货混装驾驶等违章作业；</w:t>
            </w:r>
          </w:p>
          <w:p w14:paraId="08DD8616">
            <w:pPr>
              <w:pStyle w:val="17"/>
              <w:bidi w:val="0"/>
              <w:jc w:val="both"/>
              <w:rPr>
                <w:rFonts w:ascii="Times New Roman" w:hAnsi="Times New Roman"/>
                <w:color w:val="auto"/>
              </w:rPr>
            </w:pPr>
            <w:r>
              <w:rPr>
                <w:rFonts w:ascii="Times New Roman" w:hAnsi="Times New Roman"/>
                <w:color w:val="auto"/>
              </w:rPr>
              <w:t>4）雨天运输车辆未采取防滑措施，导致车辆失控而引起车辆伤害；</w:t>
            </w:r>
          </w:p>
          <w:p w14:paraId="2A456E9C">
            <w:pPr>
              <w:pStyle w:val="17"/>
              <w:bidi w:val="0"/>
              <w:jc w:val="both"/>
              <w:rPr>
                <w:rFonts w:ascii="Times New Roman" w:hAnsi="Times New Roman"/>
                <w:color w:val="auto"/>
              </w:rPr>
            </w:pPr>
            <w:r>
              <w:rPr>
                <w:rFonts w:ascii="Times New Roman" w:hAnsi="Times New Roman"/>
                <w:color w:val="auto"/>
              </w:rPr>
              <w:t>5）采场台阶作业平台宽度不够，平台边沿岩土松散、不稳固，铲装设备沿平台边缘行驶作业，易发生设备倾翻、坠落，导致人员伤害、设备损坏；</w:t>
            </w:r>
          </w:p>
          <w:p w14:paraId="5CFAEB95">
            <w:pPr>
              <w:pStyle w:val="17"/>
              <w:bidi w:val="0"/>
              <w:jc w:val="both"/>
              <w:rPr>
                <w:rFonts w:ascii="Times New Roman" w:hAnsi="Times New Roman"/>
                <w:color w:val="auto"/>
              </w:rPr>
            </w:pPr>
            <w:r>
              <w:rPr>
                <w:rFonts w:ascii="Times New Roman" w:hAnsi="Times New Roman"/>
                <w:color w:val="auto"/>
              </w:rPr>
              <w:t>6）卸载点未设置车挡或形成反坡，易发生卸载车辆倾翻、坠落，导致人员伤害、车辆损坏等。</w:t>
            </w:r>
          </w:p>
        </w:tc>
        <w:tc>
          <w:tcPr>
            <w:tcW w:w="473" w:type="pct"/>
            <w:noWrap w:val="0"/>
            <w:tcMar>
              <w:left w:w="0" w:type="dxa"/>
              <w:right w:w="0" w:type="dxa"/>
            </w:tcMar>
            <w:vAlign w:val="center"/>
          </w:tcPr>
          <w:p w14:paraId="46393004">
            <w:pPr>
              <w:pStyle w:val="17"/>
              <w:bidi w:val="0"/>
              <w:rPr>
                <w:rFonts w:ascii="Times New Roman" w:hAnsi="Times New Roman"/>
                <w:color w:val="auto"/>
              </w:rPr>
            </w:pPr>
            <w:r>
              <w:rPr>
                <w:rFonts w:ascii="Times New Roman" w:hAnsi="Times New Roman"/>
                <w:color w:val="auto"/>
              </w:rPr>
              <w:t>车辆损毁、人员伤亡</w:t>
            </w:r>
          </w:p>
        </w:tc>
        <w:tc>
          <w:tcPr>
            <w:tcW w:w="320" w:type="pct"/>
            <w:noWrap w:val="0"/>
            <w:tcMar>
              <w:left w:w="0" w:type="dxa"/>
              <w:right w:w="0" w:type="dxa"/>
            </w:tcMar>
            <w:vAlign w:val="center"/>
          </w:tcPr>
          <w:p w14:paraId="6DECD2EF">
            <w:pPr>
              <w:pStyle w:val="17"/>
              <w:bidi w:val="0"/>
              <w:rPr>
                <w:rFonts w:ascii="Times New Roman" w:hAnsi="Times New Roman"/>
                <w:color w:val="auto"/>
              </w:rPr>
            </w:pPr>
            <w:r>
              <w:rPr>
                <w:rFonts w:ascii="Times New Roman" w:hAnsi="Times New Roman"/>
                <w:color w:val="auto"/>
              </w:rPr>
              <w:t>Ⅲ</w:t>
            </w:r>
          </w:p>
        </w:tc>
        <w:tc>
          <w:tcPr>
            <w:tcW w:w="1539" w:type="pct"/>
            <w:noWrap w:val="0"/>
            <w:tcMar>
              <w:left w:w="0" w:type="dxa"/>
              <w:right w:w="0" w:type="dxa"/>
            </w:tcMar>
            <w:vAlign w:val="center"/>
          </w:tcPr>
          <w:p w14:paraId="3C9A3514">
            <w:pPr>
              <w:pStyle w:val="17"/>
              <w:bidi w:val="0"/>
              <w:jc w:val="both"/>
              <w:rPr>
                <w:rFonts w:hint="eastAsia" w:ascii="Times New Roman" w:hAnsi="Times New Roman"/>
                <w:color w:val="auto"/>
              </w:rPr>
            </w:pPr>
            <w:r>
              <w:rPr>
                <w:rFonts w:ascii="Times New Roman" w:hAnsi="Times New Roman"/>
                <w:color w:val="auto"/>
              </w:rPr>
              <w:t>设计按露天矿山三级道路标准设计碎石铺面</w:t>
            </w:r>
            <w:r>
              <w:rPr>
                <w:rFonts w:hint="eastAsia" w:ascii="Times New Roman" w:hAnsi="Times New Roman"/>
                <w:color w:val="auto"/>
              </w:rPr>
              <w:t>，</w:t>
            </w:r>
            <w:r>
              <w:rPr>
                <w:rFonts w:ascii="Times New Roman" w:hAnsi="Times New Roman"/>
                <w:color w:val="auto"/>
              </w:rPr>
              <w:t>及时更换磨损严重的轮胎</w:t>
            </w:r>
            <w:r>
              <w:rPr>
                <w:rFonts w:hint="eastAsia" w:ascii="Times New Roman" w:hAnsi="Times New Roman"/>
                <w:color w:val="auto"/>
              </w:rPr>
              <w:t>；</w:t>
            </w:r>
          </w:p>
          <w:p w14:paraId="307F91AF">
            <w:pPr>
              <w:pStyle w:val="17"/>
              <w:bidi w:val="0"/>
              <w:jc w:val="both"/>
              <w:rPr>
                <w:rFonts w:hint="eastAsia" w:ascii="Times New Roman" w:hAnsi="Times New Roman"/>
                <w:color w:val="auto"/>
              </w:rPr>
            </w:pPr>
            <w:r>
              <w:rPr>
                <w:rFonts w:ascii="Times New Roman" w:hAnsi="Times New Roman"/>
                <w:color w:val="auto"/>
              </w:rPr>
              <w:t>就汽车载重合理匹配装载机斗容；矿山领导和安全员强化安全生产意识、加强工人安全生产教育</w:t>
            </w:r>
            <w:r>
              <w:rPr>
                <w:rFonts w:hint="eastAsia" w:ascii="Times New Roman" w:hAnsi="Times New Roman"/>
                <w:color w:val="auto"/>
              </w:rPr>
              <w:t>；</w:t>
            </w:r>
          </w:p>
          <w:p w14:paraId="290845A8">
            <w:pPr>
              <w:pStyle w:val="17"/>
              <w:bidi w:val="0"/>
              <w:jc w:val="both"/>
              <w:rPr>
                <w:rFonts w:hint="eastAsia" w:ascii="Times New Roman" w:hAnsi="Times New Roman"/>
                <w:color w:val="auto"/>
              </w:rPr>
            </w:pPr>
            <w:r>
              <w:rPr>
                <w:rFonts w:ascii="Times New Roman" w:hAnsi="Times New Roman"/>
                <w:color w:val="auto"/>
              </w:rPr>
              <w:t>按设计要求建设矿山公路并加强养护；严禁超载、超速等违规驾驶；定期检修车辆制动系统</w:t>
            </w:r>
            <w:r>
              <w:rPr>
                <w:rFonts w:hint="eastAsia" w:ascii="Times New Roman" w:hAnsi="Times New Roman"/>
                <w:color w:val="auto"/>
              </w:rPr>
              <w:t>；</w:t>
            </w:r>
          </w:p>
          <w:p w14:paraId="1280C277">
            <w:pPr>
              <w:pStyle w:val="17"/>
              <w:bidi w:val="0"/>
              <w:jc w:val="both"/>
              <w:rPr>
                <w:rFonts w:ascii="Times New Roman" w:hAnsi="Times New Roman"/>
                <w:color w:val="auto"/>
              </w:rPr>
            </w:pPr>
            <w:r>
              <w:rPr>
                <w:rFonts w:ascii="Times New Roman" w:hAnsi="Times New Roman"/>
                <w:color w:val="auto"/>
              </w:rPr>
              <w:t>严禁超载、超速等违规驾驶；设计按露天矿山三级道路标准设计泥结碎石路面；做好路面日常养护。</w:t>
            </w:r>
          </w:p>
        </w:tc>
      </w:tr>
      <w:tr w14:paraId="3C31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noWrap w:val="0"/>
            <w:tcMar>
              <w:left w:w="0" w:type="dxa"/>
              <w:right w:w="0" w:type="dxa"/>
            </w:tcMar>
            <w:vAlign w:val="center"/>
          </w:tcPr>
          <w:p w14:paraId="74C73AD0">
            <w:pPr>
              <w:pStyle w:val="17"/>
              <w:bidi w:val="0"/>
              <w:rPr>
                <w:rFonts w:ascii="Times New Roman" w:hAnsi="Times New Roman"/>
                <w:color w:val="auto"/>
              </w:rPr>
            </w:pPr>
            <w:r>
              <w:rPr>
                <w:rFonts w:ascii="Times New Roman" w:hAnsi="Times New Roman"/>
                <w:color w:val="auto"/>
              </w:rPr>
              <w:t>高处坠落</w:t>
            </w:r>
          </w:p>
        </w:tc>
        <w:tc>
          <w:tcPr>
            <w:tcW w:w="2377" w:type="pct"/>
            <w:noWrap w:val="0"/>
            <w:tcMar>
              <w:left w:w="0" w:type="dxa"/>
              <w:right w:w="0" w:type="dxa"/>
            </w:tcMar>
            <w:vAlign w:val="center"/>
          </w:tcPr>
          <w:p w14:paraId="20279331">
            <w:pPr>
              <w:pStyle w:val="17"/>
              <w:bidi w:val="0"/>
              <w:jc w:val="both"/>
              <w:rPr>
                <w:rFonts w:ascii="Times New Roman" w:hAnsi="Times New Roman"/>
                <w:color w:val="auto"/>
              </w:rPr>
            </w:pPr>
            <w:r>
              <w:rPr>
                <w:rFonts w:ascii="Times New Roman" w:hAnsi="Times New Roman"/>
                <w:color w:val="auto"/>
              </w:rPr>
              <w:t>1）在边坡上进行高处作业人员没有按要求使用安全带或安全绳、安全带未正确、牢靠固定即进行作业，由于失重、高温、大风或作业人员生理因素差等导致作业人员坠落，而造成伤亡事故；通往采场的人行通道，坡度太陡；</w:t>
            </w:r>
          </w:p>
          <w:p w14:paraId="5B906BE5">
            <w:pPr>
              <w:pStyle w:val="17"/>
              <w:bidi w:val="0"/>
              <w:jc w:val="both"/>
              <w:rPr>
                <w:rFonts w:ascii="Times New Roman" w:hAnsi="Times New Roman"/>
                <w:color w:val="auto"/>
              </w:rPr>
            </w:pPr>
            <w:r>
              <w:rPr>
                <w:rFonts w:ascii="Times New Roman" w:hAnsi="Times New Roman"/>
                <w:color w:val="auto"/>
              </w:rPr>
              <w:t>2）采场工作平台宽度不足，平台边沿矿岩松散、不稳固，设备在平台边缘作业，导致设备坠落、倾翻造成人员伤害、设备损坏；</w:t>
            </w:r>
          </w:p>
          <w:p w14:paraId="77AFAE12">
            <w:pPr>
              <w:pStyle w:val="17"/>
              <w:bidi w:val="0"/>
              <w:jc w:val="both"/>
              <w:rPr>
                <w:rFonts w:ascii="Times New Roman" w:hAnsi="Times New Roman"/>
                <w:color w:val="auto"/>
              </w:rPr>
            </w:pPr>
            <w:r>
              <w:rPr>
                <w:rFonts w:ascii="Times New Roman" w:hAnsi="Times New Roman"/>
                <w:color w:val="auto"/>
              </w:rPr>
              <w:t>3）高处作业未制定作业规程，现场安全管理不到位；或作业人员疏忽大意，疲劳过度；</w:t>
            </w:r>
          </w:p>
          <w:p w14:paraId="50CE8692">
            <w:pPr>
              <w:pStyle w:val="17"/>
              <w:bidi w:val="0"/>
              <w:jc w:val="both"/>
              <w:rPr>
                <w:rFonts w:ascii="Times New Roman" w:hAnsi="Times New Roman"/>
                <w:color w:val="auto"/>
              </w:rPr>
            </w:pPr>
            <w:r>
              <w:rPr>
                <w:rFonts w:ascii="Times New Roman" w:hAnsi="Times New Roman"/>
                <w:color w:val="auto"/>
              </w:rPr>
              <w:t>4）因采场危险区域内、采场顶部等未设置安全警示标志，外来人员、牲畜进入采场上部危险区域；</w:t>
            </w:r>
          </w:p>
          <w:p w14:paraId="701819BC">
            <w:pPr>
              <w:pStyle w:val="17"/>
              <w:bidi w:val="0"/>
              <w:jc w:val="both"/>
              <w:rPr>
                <w:rFonts w:ascii="Times New Roman" w:hAnsi="Times New Roman"/>
                <w:color w:val="auto"/>
              </w:rPr>
            </w:pPr>
            <w:r>
              <w:rPr>
                <w:rFonts w:ascii="Times New Roman" w:hAnsi="Times New Roman"/>
                <w:color w:val="auto"/>
              </w:rPr>
              <w:t>5）高处作业时安全防护设施损坏或高处作业时无人监护或主观判断失误等；</w:t>
            </w:r>
          </w:p>
          <w:p w14:paraId="2B71F26D">
            <w:pPr>
              <w:pStyle w:val="17"/>
              <w:bidi w:val="0"/>
              <w:jc w:val="both"/>
              <w:rPr>
                <w:rFonts w:ascii="Times New Roman" w:hAnsi="Times New Roman"/>
                <w:color w:val="auto"/>
              </w:rPr>
            </w:pPr>
            <w:r>
              <w:rPr>
                <w:rFonts w:ascii="Times New Roman" w:hAnsi="Times New Roman"/>
                <w:color w:val="auto"/>
              </w:rPr>
              <w:t>6）运输道路路基高于2m的地段及转弯地段未按设要求设置边坡护栏，运输车辆车速过快会导致高处坠落。</w:t>
            </w:r>
          </w:p>
        </w:tc>
        <w:tc>
          <w:tcPr>
            <w:tcW w:w="473" w:type="pct"/>
            <w:noWrap w:val="0"/>
            <w:tcMar>
              <w:left w:w="0" w:type="dxa"/>
              <w:right w:w="0" w:type="dxa"/>
            </w:tcMar>
            <w:vAlign w:val="center"/>
          </w:tcPr>
          <w:p w14:paraId="6247B4D3">
            <w:pPr>
              <w:pStyle w:val="17"/>
              <w:bidi w:val="0"/>
              <w:rPr>
                <w:rFonts w:ascii="Times New Roman" w:hAnsi="Times New Roman"/>
                <w:color w:val="auto"/>
              </w:rPr>
            </w:pPr>
            <w:r>
              <w:rPr>
                <w:rFonts w:ascii="Times New Roman" w:hAnsi="Times New Roman"/>
                <w:color w:val="auto"/>
              </w:rPr>
              <w:t>设备损坏、人员伤亡</w:t>
            </w:r>
          </w:p>
        </w:tc>
        <w:tc>
          <w:tcPr>
            <w:tcW w:w="320" w:type="pct"/>
            <w:noWrap w:val="0"/>
            <w:tcMar>
              <w:left w:w="0" w:type="dxa"/>
              <w:right w:w="0" w:type="dxa"/>
            </w:tcMar>
            <w:vAlign w:val="center"/>
          </w:tcPr>
          <w:p w14:paraId="34267541">
            <w:pPr>
              <w:pStyle w:val="17"/>
              <w:bidi w:val="0"/>
              <w:rPr>
                <w:rFonts w:ascii="Times New Roman" w:hAnsi="Times New Roman"/>
                <w:color w:val="auto"/>
              </w:rPr>
            </w:pPr>
            <w:r>
              <w:rPr>
                <w:rFonts w:ascii="Times New Roman" w:hAnsi="Times New Roman"/>
                <w:color w:val="auto"/>
              </w:rPr>
              <w:t>Ⅲ</w:t>
            </w:r>
          </w:p>
        </w:tc>
        <w:tc>
          <w:tcPr>
            <w:tcW w:w="1539" w:type="pct"/>
            <w:noWrap w:val="0"/>
            <w:tcMar>
              <w:left w:w="0" w:type="dxa"/>
              <w:right w:w="0" w:type="dxa"/>
            </w:tcMar>
            <w:vAlign w:val="center"/>
          </w:tcPr>
          <w:p w14:paraId="6E4BB9C1">
            <w:pPr>
              <w:pStyle w:val="17"/>
              <w:bidi w:val="0"/>
              <w:jc w:val="both"/>
              <w:rPr>
                <w:rFonts w:ascii="Times New Roman" w:hAnsi="Times New Roman"/>
                <w:color w:val="auto"/>
              </w:rPr>
            </w:pPr>
            <w:r>
              <w:rPr>
                <w:rFonts w:ascii="Times New Roman" w:hAnsi="Times New Roman"/>
                <w:color w:val="auto"/>
              </w:rPr>
              <w:t>做好路面日常养护和边坡检查维护；在弯道等危险路段设计并建设挡墙等安全防护设施；</w:t>
            </w:r>
          </w:p>
          <w:p w14:paraId="0E2D5A39">
            <w:pPr>
              <w:pStyle w:val="17"/>
              <w:bidi w:val="0"/>
              <w:jc w:val="both"/>
              <w:rPr>
                <w:rFonts w:ascii="Times New Roman" w:hAnsi="Times New Roman"/>
                <w:color w:val="auto"/>
              </w:rPr>
            </w:pPr>
            <w:r>
              <w:rPr>
                <w:rFonts w:ascii="Times New Roman" w:hAnsi="Times New Roman"/>
                <w:color w:val="auto"/>
              </w:rPr>
              <w:t>严禁驾驶员疲劳驾驶或酒后驾车；严禁超载、超速；</w:t>
            </w:r>
          </w:p>
          <w:p w14:paraId="6258A684">
            <w:pPr>
              <w:pStyle w:val="17"/>
              <w:bidi w:val="0"/>
              <w:jc w:val="both"/>
              <w:rPr>
                <w:rFonts w:ascii="Times New Roman" w:hAnsi="Times New Roman"/>
                <w:color w:val="auto"/>
              </w:rPr>
            </w:pPr>
            <w:r>
              <w:rPr>
                <w:rFonts w:ascii="Times New Roman" w:hAnsi="Times New Roman"/>
                <w:color w:val="auto"/>
              </w:rPr>
              <w:t>开夜车需降低行驶速度并保证车灯正常发亮。</w:t>
            </w:r>
          </w:p>
        </w:tc>
      </w:tr>
      <w:tr w14:paraId="4F76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noWrap w:val="0"/>
            <w:tcMar>
              <w:left w:w="0" w:type="dxa"/>
              <w:right w:w="0" w:type="dxa"/>
            </w:tcMar>
            <w:vAlign w:val="center"/>
          </w:tcPr>
          <w:p w14:paraId="3D3A599C">
            <w:pPr>
              <w:pStyle w:val="17"/>
              <w:bidi w:val="0"/>
              <w:rPr>
                <w:rFonts w:ascii="Times New Roman" w:hAnsi="Times New Roman"/>
                <w:color w:val="auto"/>
              </w:rPr>
            </w:pPr>
            <w:r>
              <w:rPr>
                <w:rFonts w:ascii="Times New Roman" w:hAnsi="Times New Roman"/>
                <w:color w:val="auto"/>
              </w:rPr>
              <w:t>物体打击</w:t>
            </w:r>
          </w:p>
        </w:tc>
        <w:tc>
          <w:tcPr>
            <w:tcW w:w="2377" w:type="pct"/>
            <w:noWrap w:val="0"/>
            <w:tcMar>
              <w:left w:w="0" w:type="dxa"/>
              <w:right w:w="0" w:type="dxa"/>
            </w:tcMar>
            <w:vAlign w:val="center"/>
          </w:tcPr>
          <w:p w14:paraId="428D8F72">
            <w:pPr>
              <w:pStyle w:val="17"/>
              <w:bidi w:val="0"/>
              <w:jc w:val="both"/>
              <w:rPr>
                <w:rFonts w:ascii="Times New Roman" w:hAnsi="Times New Roman"/>
                <w:color w:val="auto"/>
              </w:rPr>
            </w:pPr>
            <w:r>
              <w:rPr>
                <w:rFonts w:ascii="Times New Roman" w:hAnsi="Times New Roman"/>
                <w:color w:val="auto"/>
              </w:rPr>
              <w:t>1）安全帽等劳保用品穿戴不齐或未按照规范佩戴等；</w:t>
            </w:r>
          </w:p>
          <w:p w14:paraId="3FE68FC1">
            <w:pPr>
              <w:pStyle w:val="17"/>
              <w:bidi w:val="0"/>
              <w:jc w:val="both"/>
              <w:rPr>
                <w:rFonts w:ascii="Times New Roman" w:hAnsi="Times New Roman"/>
                <w:color w:val="auto"/>
              </w:rPr>
            </w:pPr>
            <w:r>
              <w:rPr>
                <w:rFonts w:ascii="Times New Roman" w:hAnsi="Times New Roman"/>
                <w:color w:val="auto"/>
              </w:rPr>
              <w:t>2）矿区岩石节理裂隙较发育，开拓运输边坡浮石处理不及时，易引起物体打击；</w:t>
            </w:r>
          </w:p>
          <w:p w14:paraId="02CD3F43">
            <w:pPr>
              <w:pStyle w:val="17"/>
              <w:bidi w:val="0"/>
              <w:jc w:val="both"/>
              <w:rPr>
                <w:rFonts w:ascii="Times New Roman" w:hAnsi="Times New Roman"/>
                <w:color w:val="auto"/>
              </w:rPr>
            </w:pPr>
            <w:r>
              <w:rPr>
                <w:rFonts w:ascii="Times New Roman" w:hAnsi="Times New Roman"/>
                <w:color w:val="auto"/>
              </w:rPr>
              <w:t>3）铲装作业过程中，铲装设备操作失误或违章作业；铲装作业时铲斗经过自卸汽车驾驶室，矿岩掉落；在边坡、挖掘半径内坐卧、停留；</w:t>
            </w:r>
          </w:p>
          <w:p w14:paraId="18AC554D">
            <w:pPr>
              <w:pStyle w:val="17"/>
              <w:bidi w:val="0"/>
              <w:jc w:val="both"/>
              <w:rPr>
                <w:rFonts w:ascii="Times New Roman" w:hAnsi="Times New Roman"/>
                <w:color w:val="auto"/>
              </w:rPr>
            </w:pPr>
            <w:r>
              <w:rPr>
                <w:rFonts w:ascii="Times New Roman" w:hAnsi="Times New Roman"/>
                <w:color w:val="auto"/>
              </w:rPr>
              <w:t>4）人员在边坡脚底停留或通过；</w:t>
            </w:r>
          </w:p>
          <w:p w14:paraId="51A1D3C3">
            <w:pPr>
              <w:pStyle w:val="17"/>
              <w:bidi w:val="0"/>
              <w:jc w:val="both"/>
              <w:rPr>
                <w:rFonts w:ascii="Times New Roman" w:hAnsi="Times New Roman"/>
                <w:color w:val="auto"/>
              </w:rPr>
            </w:pPr>
            <w:r>
              <w:rPr>
                <w:rFonts w:ascii="Times New Roman" w:hAnsi="Times New Roman"/>
                <w:color w:val="auto"/>
              </w:rPr>
              <w:t>5）上、下台阶同时作业时，上部台阶坠物及滚石对下部台阶作业人员造成伤害。</w:t>
            </w:r>
          </w:p>
        </w:tc>
        <w:tc>
          <w:tcPr>
            <w:tcW w:w="473" w:type="pct"/>
            <w:noWrap w:val="0"/>
            <w:tcMar>
              <w:left w:w="0" w:type="dxa"/>
              <w:right w:w="0" w:type="dxa"/>
            </w:tcMar>
            <w:vAlign w:val="center"/>
          </w:tcPr>
          <w:p w14:paraId="7BFD5C02">
            <w:pPr>
              <w:pStyle w:val="17"/>
              <w:bidi w:val="0"/>
              <w:rPr>
                <w:rFonts w:ascii="Times New Roman" w:hAnsi="Times New Roman"/>
                <w:color w:val="auto"/>
              </w:rPr>
            </w:pPr>
            <w:r>
              <w:rPr>
                <w:rFonts w:ascii="Times New Roman" w:hAnsi="Times New Roman"/>
                <w:color w:val="auto"/>
              </w:rPr>
              <w:t>人员伤亡</w:t>
            </w:r>
          </w:p>
        </w:tc>
        <w:tc>
          <w:tcPr>
            <w:tcW w:w="320" w:type="pct"/>
            <w:noWrap w:val="0"/>
            <w:tcMar>
              <w:left w:w="0" w:type="dxa"/>
              <w:right w:w="0" w:type="dxa"/>
            </w:tcMar>
            <w:vAlign w:val="center"/>
          </w:tcPr>
          <w:p w14:paraId="48D18188">
            <w:pPr>
              <w:pStyle w:val="17"/>
              <w:bidi w:val="0"/>
              <w:rPr>
                <w:rFonts w:ascii="Times New Roman" w:hAnsi="Times New Roman"/>
                <w:color w:val="auto"/>
              </w:rPr>
            </w:pPr>
            <w:r>
              <w:rPr>
                <w:rFonts w:ascii="Times New Roman" w:hAnsi="Times New Roman"/>
                <w:color w:val="auto"/>
              </w:rPr>
              <w:t>Ⅲ</w:t>
            </w:r>
          </w:p>
        </w:tc>
        <w:tc>
          <w:tcPr>
            <w:tcW w:w="1539" w:type="pct"/>
            <w:noWrap w:val="0"/>
            <w:tcMar>
              <w:left w:w="0" w:type="dxa"/>
              <w:right w:w="0" w:type="dxa"/>
            </w:tcMar>
            <w:vAlign w:val="center"/>
          </w:tcPr>
          <w:p w14:paraId="1D7A6DBA">
            <w:pPr>
              <w:pStyle w:val="17"/>
              <w:bidi w:val="0"/>
              <w:jc w:val="both"/>
              <w:rPr>
                <w:rFonts w:hint="eastAsia" w:ascii="Times New Roman" w:hAnsi="Times New Roman"/>
                <w:color w:val="auto"/>
              </w:rPr>
            </w:pPr>
            <w:r>
              <w:rPr>
                <w:rFonts w:ascii="Times New Roman" w:hAnsi="Times New Roman"/>
                <w:color w:val="auto"/>
              </w:rPr>
              <w:t>正确佩戴安全防护用品</w:t>
            </w:r>
            <w:r>
              <w:rPr>
                <w:rFonts w:hint="eastAsia" w:ascii="Times New Roman" w:hAnsi="Times New Roman"/>
                <w:color w:val="auto"/>
              </w:rPr>
              <w:t>；</w:t>
            </w:r>
          </w:p>
          <w:p w14:paraId="2C2A0C7A">
            <w:pPr>
              <w:pStyle w:val="17"/>
              <w:bidi w:val="0"/>
              <w:jc w:val="both"/>
              <w:rPr>
                <w:rFonts w:hint="eastAsia" w:ascii="Times New Roman" w:hAnsi="Times New Roman"/>
                <w:color w:val="auto"/>
              </w:rPr>
            </w:pPr>
            <w:r>
              <w:rPr>
                <w:rFonts w:ascii="Times New Roman" w:hAnsi="Times New Roman"/>
                <w:color w:val="auto"/>
              </w:rPr>
              <w:t>实施危险区域安全隔离‌：在高空、起重、吊装等作业区域划定作业区域，设置警示标志和隔离护栏，严防无关人员进入</w:t>
            </w:r>
            <w:r>
              <w:rPr>
                <w:rFonts w:hint="eastAsia" w:ascii="Times New Roman" w:hAnsi="Times New Roman"/>
                <w:color w:val="auto"/>
              </w:rPr>
              <w:t>；</w:t>
            </w:r>
          </w:p>
          <w:p w14:paraId="2B5E52FC">
            <w:pPr>
              <w:pStyle w:val="17"/>
              <w:bidi w:val="0"/>
              <w:jc w:val="both"/>
              <w:rPr>
                <w:rFonts w:hint="eastAsia" w:ascii="Times New Roman" w:hAnsi="Times New Roman"/>
                <w:color w:val="auto"/>
              </w:rPr>
            </w:pPr>
            <w:r>
              <w:rPr>
                <w:rFonts w:hint="eastAsia" w:ascii="Times New Roman" w:hAnsi="Times New Roman"/>
                <w:color w:val="auto"/>
              </w:rPr>
              <w:t>严格遵守安全操作规程；</w:t>
            </w:r>
          </w:p>
          <w:p w14:paraId="7723FAB4">
            <w:pPr>
              <w:pStyle w:val="17"/>
              <w:bidi w:val="0"/>
              <w:jc w:val="both"/>
              <w:rPr>
                <w:rFonts w:ascii="Times New Roman" w:hAnsi="Times New Roman"/>
                <w:color w:val="auto"/>
              </w:rPr>
            </w:pPr>
            <w:r>
              <w:rPr>
                <w:rFonts w:hint="eastAsia" w:ascii="Times New Roman" w:hAnsi="Times New Roman"/>
                <w:color w:val="auto"/>
              </w:rPr>
              <w:t>尽量避免上下交叉作业，如需上下同时作业时，须将上下水平距离保持50m。</w:t>
            </w:r>
          </w:p>
        </w:tc>
      </w:tr>
      <w:tr w14:paraId="58B4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noWrap w:val="0"/>
            <w:tcMar>
              <w:left w:w="0" w:type="dxa"/>
              <w:right w:w="0" w:type="dxa"/>
            </w:tcMar>
            <w:vAlign w:val="center"/>
          </w:tcPr>
          <w:p w14:paraId="439A6FA2">
            <w:pPr>
              <w:pStyle w:val="17"/>
              <w:bidi w:val="0"/>
              <w:rPr>
                <w:rFonts w:ascii="Times New Roman" w:hAnsi="Times New Roman"/>
                <w:color w:val="auto"/>
              </w:rPr>
            </w:pPr>
            <w:r>
              <w:rPr>
                <w:rFonts w:ascii="Times New Roman" w:hAnsi="Times New Roman"/>
                <w:color w:val="auto"/>
              </w:rPr>
              <w:t>机械伤害</w:t>
            </w:r>
          </w:p>
        </w:tc>
        <w:tc>
          <w:tcPr>
            <w:tcW w:w="2377" w:type="pct"/>
            <w:noWrap w:val="0"/>
            <w:tcMar>
              <w:left w:w="0" w:type="dxa"/>
              <w:right w:w="0" w:type="dxa"/>
            </w:tcMar>
            <w:vAlign w:val="center"/>
          </w:tcPr>
          <w:p w14:paraId="1357E21F">
            <w:pPr>
              <w:pStyle w:val="17"/>
              <w:bidi w:val="0"/>
              <w:jc w:val="both"/>
              <w:rPr>
                <w:rFonts w:ascii="Times New Roman" w:hAnsi="Times New Roman"/>
                <w:color w:val="auto"/>
              </w:rPr>
            </w:pPr>
            <w:r>
              <w:rPr>
                <w:rFonts w:ascii="Times New Roman" w:hAnsi="Times New Roman"/>
                <w:color w:val="auto"/>
              </w:rPr>
              <w:t>1）所选用设备在设计上存在先天不足</w:t>
            </w:r>
            <w:r>
              <w:rPr>
                <w:rFonts w:hint="eastAsia" w:ascii="Times New Roman" w:hAnsi="Times New Roman"/>
                <w:color w:val="auto"/>
                <w:lang w:eastAsia="zh-CN"/>
              </w:rPr>
              <w:t>（</w:t>
            </w:r>
            <w:r>
              <w:rPr>
                <w:rFonts w:ascii="Times New Roman" w:hAnsi="Times New Roman"/>
                <w:color w:val="auto"/>
              </w:rPr>
              <w:t>如强度不够、设计缺陷等</w:t>
            </w:r>
            <w:r>
              <w:rPr>
                <w:rFonts w:hint="eastAsia" w:ascii="Times New Roman" w:hAnsi="Times New Roman"/>
                <w:color w:val="auto"/>
                <w:lang w:eastAsia="zh-CN"/>
              </w:rPr>
              <w:t>）</w:t>
            </w:r>
            <w:r>
              <w:rPr>
                <w:rFonts w:ascii="Times New Roman" w:hAnsi="Times New Roman"/>
                <w:color w:val="auto"/>
              </w:rPr>
              <w:t>；</w:t>
            </w:r>
          </w:p>
          <w:p w14:paraId="59965E35">
            <w:pPr>
              <w:pStyle w:val="17"/>
              <w:bidi w:val="0"/>
              <w:jc w:val="both"/>
              <w:rPr>
                <w:rFonts w:ascii="Times New Roman" w:hAnsi="Times New Roman"/>
                <w:color w:val="auto"/>
              </w:rPr>
            </w:pPr>
            <w:r>
              <w:rPr>
                <w:rFonts w:ascii="Times New Roman" w:hAnsi="Times New Roman"/>
                <w:color w:val="auto"/>
              </w:rPr>
              <w:t>2）设备设施没有按规定进行维护或特种设备没有定期检测检验；</w:t>
            </w:r>
          </w:p>
          <w:p w14:paraId="56FF7F34">
            <w:pPr>
              <w:pStyle w:val="17"/>
              <w:bidi w:val="0"/>
              <w:jc w:val="both"/>
              <w:rPr>
                <w:rFonts w:ascii="Times New Roman" w:hAnsi="Times New Roman"/>
                <w:color w:val="auto"/>
              </w:rPr>
            </w:pPr>
            <w:r>
              <w:rPr>
                <w:rFonts w:ascii="Times New Roman" w:hAnsi="Times New Roman"/>
                <w:color w:val="auto"/>
              </w:rPr>
              <w:t>3）设备安全防护装置缺乏或损坏或被拆除等，导致事故发生；</w:t>
            </w:r>
          </w:p>
          <w:p w14:paraId="536A9540">
            <w:pPr>
              <w:pStyle w:val="17"/>
              <w:bidi w:val="0"/>
              <w:jc w:val="both"/>
              <w:rPr>
                <w:rFonts w:ascii="Times New Roman" w:hAnsi="Times New Roman"/>
                <w:color w:val="auto"/>
              </w:rPr>
            </w:pPr>
            <w:r>
              <w:rPr>
                <w:rFonts w:ascii="Times New Roman" w:hAnsi="Times New Roman"/>
                <w:color w:val="auto"/>
              </w:rPr>
              <w:t>4）运输作业人员违章操作或穿戴不符合安全规定的劳动防护用品进行操作，操作过程中衣物、头发、工具进入运转机械导致身体被运动机械拖带伤害；</w:t>
            </w:r>
          </w:p>
          <w:p w14:paraId="49BEB9D6">
            <w:pPr>
              <w:pStyle w:val="17"/>
              <w:bidi w:val="0"/>
              <w:jc w:val="both"/>
              <w:rPr>
                <w:rFonts w:ascii="Times New Roman" w:hAnsi="Times New Roman"/>
                <w:color w:val="auto"/>
              </w:rPr>
            </w:pPr>
            <w:r>
              <w:rPr>
                <w:rFonts w:ascii="Times New Roman" w:hAnsi="Times New Roman"/>
                <w:color w:val="auto"/>
              </w:rPr>
              <w:t>5）操作人员疏忽大意，身体进入机械危险部位；</w:t>
            </w:r>
          </w:p>
          <w:p w14:paraId="63193677">
            <w:pPr>
              <w:pStyle w:val="17"/>
              <w:bidi w:val="0"/>
              <w:jc w:val="both"/>
              <w:rPr>
                <w:rFonts w:ascii="Times New Roman" w:hAnsi="Times New Roman"/>
                <w:color w:val="auto"/>
              </w:rPr>
            </w:pPr>
            <w:r>
              <w:rPr>
                <w:rFonts w:ascii="Times New Roman" w:hAnsi="Times New Roman"/>
                <w:color w:val="auto"/>
              </w:rPr>
              <w:t>6）在检修和正常工作时，机器突然被别人随意启动，导致事故发生；</w:t>
            </w:r>
          </w:p>
          <w:p w14:paraId="0305DECA">
            <w:pPr>
              <w:pStyle w:val="17"/>
              <w:bidi w:val="0"/>
              <w:jc w:val="both"/>
              <w:rPr>
                <w:rFonts w:ascii="Times New Roman" w:hAnsi="Times New Roman"/>
                <w:color w:val="auto"/>
              </w:rPr>
            </w:pPr>
            <w:r>
              <w:rPr>
                <w:rFonts w:ascii="Times New Roman" w:hAnsi="Times New Roman"/>
                <w:color w:val="auto"/>
              </w:rPr>
              <w:t>7）在不安全的机械上停留、休息，导致事故发生。</w:t>
            </w:r>
          </w:p>
        </w:tc>
        <w:tc>
          <w:tcPr>
            <w:tcW w:w="473" w:type="pct"/>
            <w:noWrap w:val="0"/>
            <w:tcMar>
              <w:left w:w="0" w:type="dxa"/>
              <w:right w:w="0" w:type="dxa"/>
            </w:tcMar>
            <w:vAlign w:val="center"/>
          </w:tcPr>
          <w:p w14:paraId="515C8B35">
            <w:pPr>
              <w:pStyle w:val="17"/>
              <w:bidi w:val="0"/>
              <w:rPr>
                <w:rFonts w:ascii="Times New Roman" w:hAnsi="Times New Roman"/>
                <w:color w:val="auto"/>
              </w:rPr>
            </w:pPr>
            <w:r>
              <w:rPr>
                <w:rFonts w:ascii="Times New Roman" w:hAnsi="Times New Roman"/>
                <w:color w:val="auto"/>
              </w:rPr>
              <w:t>人员伤亡</w:t>
            </w:r>
          </w:p>
        </w:tc>
        <w:tc>
          <w:tcPr>
            <w:tcW w:w="320" w:type="pct"/>
            <w:noWrap w:val="0"/>
            <w:tcMar>
              <w:left w:w="0" w:type="dxa"/>
              <w:right w:w="0" w:type="dxa"/>
            </w:tcMar>
            <w:vAlign w:val="center"/>
          </w:tcPr>
          <w:p w14:paraId="4D3183FF">
            <w:pPr>
              <w:pStyle w:val="17"/>
              <w:bidi w:val="0"/>
              <w:rPr>
                <w:rFonts w:ascii="Times New Roman" w:hAnsi="Times New Roman"/>
                <w:color w:val="auto"/>
              </w:rPr>
            </w:pPr>
            <w:r>
              <w:rPr>
                <w:rFonts w:ascii="Times New Roman" w:hAnsi="Times New Roman"/>
                <w:color w:val="auto"/>
              </w:rPr>
              <w:t>Ⅲ</w:t>
            </w:r>
          </w:p>
        </w:tc>
        <w:tc>
          <w:tcPr>
            <w:tcW w:w="1539" w:type="pct"/>
            <w:noWrap w:val="0"/>
            <w:tcMar>
              <w:left w:w="0" w:type="dxa"/>
              <w:right w:w="0" w:type="dxa"/>
            </w:tcMar>
            <w:vAlign w:val="center"/>
          </w:tcPr>
          <w:p w14:paraId="085C9425">
            <w:pPr>
              <w:pStyle w:val="17"/>
              <w:bidi w:val="0"/>
              <w:jc w:val="both"/>
              <w:rPr>
                <w:rFonts w:hint="eastAsia" w:ascii="Times New Roman" w:hAnsi="Times New Roman"/>
                <w:color w:val="auto"/>
              </w:rPr>
            </w:pPr>
            <w:r>
              <w:rPr>
                <w:rFonts w:hint="eastAsia" w:ascii="Times New Roman" w:hAnsi="Times New Roman"/>
                <w:color w:val="auto"/>
              </w:rPr>
              <w:t>选购合格产品，并有产品合格证；</w:t>
            </w:r>
          </w:p>
          <w:p w14:paraId="003131CF">
            <w:pPr>
              <w:pStyle w:val="17"/>
              <w:bidi w:val="0"/>
              <w:jc w:val="both"/>
              <w:rPr>
                <w:rFonts w:hint="eastAsia" w:ascii="Times New Roman" w:hAnsi="Times New Roman"/>
                <w:color w:val="auto"/>
              </w:rPr>
            </w:pPr>
            <w:r>
              <w:rPr>
                <w:rFonts w:hint="eastAsia" w:ascii="Times New Roman" w:hAnsi="Times New Roman"/>
                <w:color w:val="auto"/>
              </w:rPr>
              <w:t>对于有检验检测要求的设备需定期进行检验，并保留结果；</w:t>
            </w:r>
          </w:p>
          <w:p w14:paraId="3D717214">
            <w:pPr>
              <w:pStyle w:val="17"/>
              <w:bidi w:val="0"/>
              <w:jc w:val="both"/>
              <w:rPr>
                <w:rFonts w:hint="eastAsia" w:ascii="Times New Roman" w:hAnsi="Times New Roman"/>
                <w:color w:val="auto"/>
              </w:rPr>
            </w:pPr>
            <w:r>
              <w:rPr>
                <w:rFonts w:hint="eastAsia" w:ascii="Times New Roman" w:hAnsi="Times New Roman"/>
                <w:color w:val="auto"/>
              </w:rPr>
              <w:t>检验检测结束后，需恢复被拆除的防护装置；</w:t>
            </w:r>
          </w:p>
          <w:p w14:paraId="1CABDC7C">
            <w:pPr>
              <w:pStyle w:val="17"/>
              <w:bidi w:val="0"/>
              <w:jc w:val="both"/>
              <w:rPr>
                <w:rFonts w:hint="eastAsia" w:ascii="Times New Roman" w:hAnsi="Times New Roman"/>
                <w:color w:val="auto"/>
              </w:rPr>
            </w:pPr>
            <w:r>
              <w:rPr>
                <w:rFonts w:ascii="Times New Roman" w:hAnsi="Times New Roman"/>
                <w:color w:val="auto"/>
              </w:rPr>
              <w:t>正确佩戴安全防护用品</w:t>
            </w:r>
            <w:r>
              <w:rPr>
                <w:rFonts w:hint="eastAsia" w:ascii="Times New Roman" w:hAnsi="Times New Roman"/>
                <w:color w:val="auto"/>
              </w:rPr>
              <w:t>，遵守安全操作规程；</w:t>
            </w:r>
          </w:p>
          <w:p w14:paraId="52AB0451">
            <w:pPr>
              <w:pStyle w:val="17"/>
              <w:bidi w:val="0"/>
              <w:jc w:val="both"/>
              <w:rPr>
                <w:rFonts w:ascii="Times New Roman" w:hAnsi="Times New Roman"/>
                <w:color w:val="auto"/>
              </w:rPr>
            </w:pPr>
            <w:r>
              <w:rPr>
                <w:rFonts w:hint="eastAsia" w:ascii="Times New Roman" w:hAnsi="Times New Roman"/>
                <w:color w:val="auto"/>
              </w:rPr>
              <w:t>对于人手直接接触的设备，在检修时</w:t>
            </w:r>
            <w:r>
              <w:rPr>
                <w:rFonts w:ascii="Times New Roman" w:hAnsi="Times New Roman"/>
                <w:color w:val="auto"/>
              </w:rPr>
              <w:t>必须配备紧急制动装置，并在检修时严格执行断电挂警示牌制度</w:t>
            </w:r>
            <w:r>
              <w:rPr>
                <w:rFonts w:hint="eastAsia" w:ascii="Times New Roman" w:hAnsi="Times New Roman"/>
                <w:color w:val="auto"/>
              </w:rPr>
              <w:t>。</w:t>
            </w:r>
            <w:r>
              <w:rPr>
                <w:rFonts w:ascii="Times New Roman" w:hAnsi="Times New Roman"/>
                <w:color w:val="auto"/>
              </w:rPr>
              <w:t>‌</w:t>
            </w:r>
          </w:p>
        </w:tc>
      </w:tr>
      <w:tr w14:paraId="53CA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 w:type="pct"/>
            <w:noWrap w:val="0"/>
            <w:tcMar>
              <w:left w:w="0" w:type="dxa"/>
              <w:right w:w="0" w:type="dxa"/>
            </w:tcMar>
            <w:vAlign w:val="center"/>
          </w:tcPr>
          <w:p w14:paraId="31A8DE67">
            <w:pPr>
              <w:pStyle w:val="17"/>
              <w:bidi w:val="0"/>
              <w:rPr>
                <w:rFonts w:ascii="Times New Roman" w:hAnsi="Times New Roman"/>
                <w:color w:val="auto"/>
              </w:rPr>
            </w:pPr>
            <w:r>
              <w:rPr>
                <w:rFonts w:ascii="Times New Roman" w:hAnsi="Times New Roman"/>
                <w:color w:val="auto"/>
              </w:rPr>
              <w:t>粉尘</w:t>
            </w:r>
          </w:p>
        </w:tc>
        <w:tc>
          <w:tcPr>
            <w:tcW w:w="2377" w:type="pct"/>
            <w:noWrap w:val="0"/>
            <w:tcMar>
              <w:left w:w="0" w:type="dxa"/>
              <w:right w:w="0" w:type="dxa"/>
            </w:tcMar>
            <w:vAlign w:val="center"/>
          </w:tcPr>
          <w:p w14:paraId="70D34C35">
            <w:pPr>
              <w:pStyle w:val="17"/>
              <w:bidi w:val="0"/>
              <w:jc w:val="both"/>
              <w:rPr>
                <w:rFonts w:ascii="Times New Roman" w:hAnsi="Times New Roman"/>
                <w:color w:val="auto"/>
              </w:rPr>
            </w:pPr>
            <w:r>
              <w:rPr>
                <w:rFonts w:ascii="Times New Roman" w:hAnsi="Times New Roman"/>
                <w:color w:val="auto"/>
              </w:rPr>
              <w:t>矿山开采作业及运输过程；以及大风扬尘，铲装工作面和运输道路未进行洒水，路面或采场干燥，车过易扬尘</w:t>
            </w:r>
          </w:p>
        </w:tc>
        <w:tc>
          <w:tcPr>
            <w:tcW w:w="473" w:type="pct"/>
            <w:noWrap w:val="0"/>
            <w:tcMar>
              <w:left w:w="0" w:type="dxa"/>
              <w:right w:w="0" w:type="dxa"/>
            </w:tcMar>
            <w:vAlign w:val="center"/>
          </w:tcPr>
          <w:p w14:paraId="269CA502">
            <w:pPr>
              <w:pStyle w:val="17"/>
              <w:bidi w:val="0"/>
              <w:rPr>
                <w:rFonts w:ascii="Times New Roman" w:hAnsi="Times New Roman"/>
                <w:color w:val="auto"/>
              </w:rPr>
            </w:pPr>
            <w:r>
              <w:rPr>
                <w:rFonts w:ascii="Times New Roman" w:hAnsi="Times New Roman"/>
                <w:color w:val="auto"/>
              </w:rPr>
              <w:t>职业健康危害、矽肺病</w:t>
            </w:r>
          </w:p>
        </w:tc>
        <w:tc>
          <w:tcPr>
            <w:tcW w:w="320" w:type="pct"/>
            <w:noWrap w:val="0"/>
            <w:tcMar>
              <w:left w:w="0" w:type="dxa"/>
              <w:right w:w="0" w:type="dxa"/>
            </w:tcMar>
            <w:vAlign w:val="center"/>
          </w:tcPr>
          <w:p w14:paraId="115F76AE">
            <w:pPr>
              <w:pStyle w:val="17"/>
              <w:bidi w:val="0"/>
              <w:rPr>
                <w:rFonts w:ascii="Times New Roman" w:hAnsi="Times New Roman"/>
                <w:color w:val="auto"/>
              </w:rPr>
            </w:pPr>
            <w:r>
              <w:rPr>
                <w:rFonts w:ascii="Times New Roman" w:hAnsi="Times New Roman"/>
                <w:color w:val="auto"/>
              </w:rPr>
              <w:t>Ⅳ</w:t>
            </w:r>
          </w:p>
        </w:tc>
        <w:tc>
          <w:tcPr>
            <w:tcW w:w="1539" w:type="pct"/>
            <w:noWrap w:val="0"/>
            <w:tcMar>
              <w:left w:w="0" w:type="dxa"/>
              <w:right w:w="0" w:type="dxa"/>
            </w:tcMar>
            <w:vAlign w:val="center"/>
          </w:tcPr>
          <w:p w14:paraId="0D6D4F21">
            <w:pPr>
              <w:pStyle w:val="17"/>
              <w:bidi w:val="0"/>
              <w:jc w:val="both"/>
              <w:rPr>
                <w:rFonts w:ascii="Times New Roman" w:hAnsi="Times New Roman"/>
                <w:color w:val="auto"/>
              </w:rPr>
            </w:pPr>
            <w:r>
              <w:rPr>
                <w:rFonts w:ascii="Times New Roman" w:hAnsi="Times New Roman"/>
                <w:color w:val="auto"/>
              </w:rPr>
              <w:t>定期检修、保养汽车。</w:t>
            </w:r>
          </w:p>
          <w:p w14:paraId="1A988668">
            <w:pPr>
              <w:pStyle w:val="17"/>
              <w:bidi w:val="0"/>
              <w:jc w:val="both"/>
              <w:rPr>
                <w:rFonts w:ascii="Times New Roman" w:hAnsi="Times New Roman"/>
                <w:color w:val="auto"/>
              </w:rPr>
            </w:pPr>
            <w:r>
              <w:rPr>
                <w:rFonts w:ascii="Times New Roman" w:hAnsi="Times New Roman"/>
                <w:color w:val="auto"/>
              </w:rPr>
              <w:t>洒水降尘、个体防护。</w:t>
            </w:r>
          </w:p>
        </w:tc>
      </w:tr>
    </w:tbl>
    <w:p w14:paraId="37DD69FB">
      <w:pPr>
        <w:pStyle w:val="4"/>
        <w:bidi w:val="0"/>
        <w:rPr>
          <w:rFonts w:hint="eastAsia" w:ascii="Times New Roman" w:hAnsi="Times New Roman"/>
          <w:color w:val="auto"/>
        </w:rPr>
      </w:pPr>
      <w:bookmarkStart w:id="109" w:name="_Toc22072"/>
      <w:r>
        <w:rPr>
          <w:rFonts w:hint="eastAsia" w:ascii="Times New Roman" w:hAnsi="Times New Roman"/>
          <w:color w:val="auto"/>
        </w:rPr>
        <w:t>3.2.3</w:t>
      </w:r>
      <w:r>
        <w:rPr>
          <w:rFonts w:hint="eastAsia" w:ascii="Times New Roman" w:hAnsi="Times New Roman"/>
          <w:color w:val="auto"/>
          <w:lang w:val="en-US" w:eastAsia="zh-CN"/>
        </w:rPr>
        <w:t xml:space="preserve"> </w:t>
      </w:r>
      <w:r>
        <w:rPr>
          <w:rFonts w:hint="eastAsia" w:ascii="Times New Roman" w:hAnsi="Times New Roman"/>
          <w:color w:val="auto"/>
        </w:rPr>
        <w:t>安全检查表</w:t>
      </w:r>
      <w:bookmarkEnd w:id="109"/>
    </w:p>
    <w:p w14:paraId="1AB42661">
      <w:pPr>
        <w:bidi w:val="0"/>
        <w:rPr>
          <w:rFonts w:hint="eastAsia" w:ascii="Times New Roman" w:hAnsi="Times New Roman"/>
          <w:color w:val="auto"/>
        </w:rPr>
      </w:pPr>
      <w:r>
        <w:rPr>
          <w:rFonts w:hint="eastAsia" w:ascii="Times New Roman" w:hAnsi="Times New Roman"/>
          <w:color w:val="auto"/>
        </w:rPr>
        <w:t>依据《厂矿道路设计规范》（GBJ22－87）及《金属非金属矿山安全规程》</w:t>
      </w:r>
      <w:r>
        <w:rPr>
          <w:rFonts w:hint="eastAsia" w:ascii="Times New Roman" w:hAnsi="Times New Roman"/>
          <w:color w:val="auto"/>
          <w:lang w:eastAsia="zh-CN"/>
        </w:rPr>
        <w:t>（</w:t>
      </w:r>
      <w:r>
        <w:rPr>
          <w:rFonts w:hint="eastAsia" w:ascii="Times New Roman" w:hAnsi="Times New Roman"/>
          <w:color w:val="auto"/>
        </w:rPr>
        <w:t>GB16423-2020</w:t>
      </w:r>
      <w:r>
        <w:rPr>
          <w:rFonts w:hint="eastAsia" w:ascii="Times New Roman" w:hAnsi="Times New Roman"/>
          <w:color w:val="auto"/>
          <w:lang w:eastAsia="zh-CN"/>
        </w:rPr>
        <w:t>）</w:t>
      </w:r>
      <w:r>
        <w:rPr>
          <w:rFonts w:hint="eastAsia" w:ascii="Times New Roman" w:hAnsi="Times New Roman"/>
          <w:color w:val="auto"/>
        </w:rPr>
        <w:t>的相关条款对建设项目</w:t>
      </w:r>
      <w:r>
        <w:rPr>
          <w:rFonts w:hint="eastAsia" w:ascii="Times New Roman" w:hAnsi="Times New Roman"/>
          <w:color w:val="auto"/>
          <w:lang w:eastAsia="zh-CN"/>
        </w:rPr>
        <w:t>初步设计（代可研）</w:t>
      </w:r>
      <w:r>
        <w:rPr>
          <w:rFonts w:hint="eastAsia" w:ascii="Times New Roman" w:hAnsi="Times New Roman"/>
          <w:color w:val="auto"/>
        </w:rPr>
        <w:t>中的开拓运输进行安全检查，见表3.2-2。</w:t>
      </w:r>
    </w:p>
    <w:p w14:paraId="4F170274">
      <w:pPr>
        <w:pStyle w:val="17"/>
        <w:bidi w:val="0"/>
        <w:rPr>
          <w:rFonts w:hint="eastAsia" w:ascii="Times New Roman" w:hAnsi="Times New Roman"/>
          <w:color w:val="auto"/>
        </w:rPr>
      </w:pPr>
      <w:r>
        <w:rPr>
          <w:rFonts w:hint="eastAsia" w:ascii="Times New Roman" w:hAnsi="Times New Roman"/>
          <w:color w:val="auto"/>
        </w:rPr>
        <w:t>表3.2-2  开拓运输安全检查表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3126"/>
        <w:gridCol w:w="1944"/>
        <w:gridCol w:w="2757"/>
        <w:gridCol w:w="1002"/>
      </w:tblGrid>
      <w:tr w14:paraId="22EE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00" w:type="pct"/>
            <w:noWrap w:val="0"/>
            <w:vAlign w:val="center"/>
          </w:tcPr>
          <w:p w14:paraId="66652034">
            <w:pPr>
              <w:pStyle w:val="17"/>
              <w:bidi w:val="0"/>
              <w:rPr>
                <w:rFonts w:ascii="Times New Roman" w:hAnsi="Times New Roman"/>
                <w:b/>
                <w:bCs/>
                <w:color w:val="auto"/>
              </w:rPr>
            </w:pPr>
            <w:r>
              <w:rPr>
                <w:rFonts w:ascii="Times New Roman" w:hAnsi="Times New Roman"/>
                <w:b/>
                <w:bCs/>
                <w:color w:val="auto"/>
              </w:rPr>
              <w:t>序号</w:t>
            </w:r>
          </w:p>
        </w:tc>
        <w:tc>
          <w:tcPr>
            <w:tcW w:w="1663" w:type="pct"/>
            <w:noWrap w:val="0"/>
            <w:vAlign w:val="center"/>
          </w:tcPr>
          <w:p w14:paraId="502DE08C">
            <w:pPr>
              <w:pStyle w:val="17"/>
              <w:bidi w:val="0"/>
              <w:rPr>
                <w:rFonts w:ascii="Times New Roman" w:hAnsi="Times New Roman"/>
                <w:b/>
                <w:bCs/>
                <w:color w:val="auto"/>
              </w:rPr>
            </w:pPr>
            <w:r>
              <w:rPr>
                <w:rFonts w:ascii="Times New Roman" w:hAnsi="Times New Roman"/>
                <w:b/>
                <w:bCs/>
                <w:color w:val="auto"/>
              </w:rPr>
              <w:t>检查内容</w:t>
            </w:r>
          </w:p>
        </w:tc>
        <w:tc>
          <w:tcPr>
            <w:tcW w:w="1034" w:type="pct"/>
            <w:noWrap w:val="0"/>
            <w:vAlign w:val="center"/>
          </w:tcPr>
          <w:p w14:paraId="5179D773">
            <w:pPr>
              <w:pStyle w:val="17"/>
              <w:bidi w:val="0"/>
              <w:rPr>
                <w:rFonts w:ascii="Times New Roman" w:hAnsi="Times New Roman"/>
                <w:b/>
                <w:bCs/>
                <w:color w:val="auto"/>
              </w:rPr>
            </w:pPr>
            <w:r>
              <w:rPr>
                <w:rFonts w:ascii="Times New Roman" w:hAnsi="Times New Roman"/>
                <w:b/>
                <w:bCs/>
                <w:color w:val="auto"/>
              </w:rPr>
              <w:t>检查标准条款</w:t>
            </w:r>
          </w:p>
        </w:tc>
        <w:tc>
          <w:tcPr>
            <w:tcW w:w="1467" w:type="pct"/>
            <w:noWrap w:val="0"/>
            <w:vAlign w:val="center"/>
          </w:tcPr>
          <w:p w14:paraId="7934A4FA">
            <w:pPr>
              <w:pStyle w:val="17"/>
              <w:bidi w:val="0"/>
              <w:rPr>
                <w:rFonts w:ascii="Times New Roman" w:hAnsi="Times New Roman"/>
                <w:b/>
                <w:bCs/>
                <w:color w:val="auto"/>
              </w:rPr>
            </w:pPr>
            <w:r>
              <w:rPr>
                <w:rFonts w:ascii="Times New Roman" w:hAnsi="Times New Roman"/>
                <w:b/>
                <w:bCs/>
                <w:color w:val="auto"/>
              </w:rPr>
              <w:t>检查情况</w:t>
            </w:r>
          </w:p>
        </w:tc>
        <w:tc>
          <w:tcPr>
            <w:tcW w:w="533" w:type="pct"/>
            <w:noWrap w:val="0"/>
            <w:vAlign w:val="center"/>
          </w:tcPr>
          <w:p w14:paraId="7DF7670E">
            <w:pPr>
              <w:pStyle w:val="17"/>
              <w:bidi w:val="0"/>
              <w:rPr>
                <w:rFonts w:ascii="Times New Roman" w:hAnsi="Times New Roman"/>
                <w:b/>
                <w:bCs/>
                <w:color w:val="auto"/>
              </w:rPr>
            </w:pPr>
            <w:r>
              <w:rPr>
                <w:rFonts w:ascii="Times New Roman" w:hAnsi="Times New Roman"/>
                <w:b/>
                <w:bCs/>
                <w:color w:val="auto"/>
              </w:rPr>
              <w:t>检查</w:t>
            </w:r>
          </w:p>
          <w:p w14:paraId="42D2D531">
            <w:pPr>
              <w:pStyle w:val="17"/>
              <w:bidi w:val="0"/>
              <w:rPr>
                <w:rFonts w:ascii="Times New Roman" w:hAnsi="Times New Roman"/>
                <w:b/>
                <w:bCs/>
                <w:color w:val="auto"/>
              </w:rPr>
            </w:pPr>
            <w:r>
              <w:rPr>
                <w:rFonts w:ascii="Times New Roman" w:hAnsi="Times New Roman"/>
                <w:b/>
                <w:bCs/>
                <w:color w:val="auto"/>
              </w:rPr>
              <w:t>结果</w:t>
            </w:r>
          </w:p>
        </w:tc>
      </w:tr>
      <w:tr w14:paraId="7626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pct"/>
            <w:noWrap w:val="0"/>
            <w:vAlign w:val="center"/>
          </w:tcPr>
          <w:p w14:paraId="41F03869">
            <w:pPr>
              <w:pStyle w:val="17"/>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1</w:t>
            </w:r>
          </w:p>
        </w:tc>
        <w:tc>
          <w:tcPr>
            <w:tcW w:w="1663" w:type="pct"/>
            <w:noWrap w:val="0"/>
            <w:vAlign w:val="center"/>
          </w:tcPr>
          <w:p w14:paraId="18D9414F">
            <w:pPr>
              <w:pStyle w:val="17"/>
              <w:bidi w:val="0"/>
              <w:rPr>
                <w:rFonts w:ascii="Times New Roman" w:hAnsi="Times New Roman"/>
                <w:color w:val="auto"/>
              </w:rPr>
            </w:pPr>
            <w:r>
              <w:rPr>
                <w:rFonts w:ascii="Times New Roman" w:hAnsi="Times New Roman"/>
                <w:color w:val="auto"/>
              </w:rPr>
              <w:t>露天矿山道路的计算行车速度宜按表2.4.3 的规定采用，三级露天矿山道路的计算行车速度为20km/h。</w:t>
            </w:r>
          </w:p>
        </w:tc>
        <w:tc>
          <w:tcPr>
            <w:tcW w:w="1034" w:type="pct"/>
            <w:noWrap w:val="0"/>
            <w:vAlign w:val="center"/>
          </w:tcPr>
          <w:p w14:paraId="4432F481">
            <w:pPr>
              <w:pStyle w:val="17"/>
              <w:bidi w:val="0"/>
              <w:rPr>
                <w:rFonts w:ascii="Times New Roman" w:hAnsi="Times New Roman"/>
                <w:color w:val="auto"/>
              </w:rPr>
            </w:pPr>
            <w:r>
              <w:rPr>
                <w:rFonts w:ascii="Times New Roman" w:hAnsi="Times New Roman"/>
                <w:color w:val="auto"/>
              </w:rPr>
              <w:t>《厂矿道路设计规范》（GBJ22－87）第2.4.3条</w:t>
            </w:r>
          </w:p>
        </w:tc>
        <w:tc>
          <w:tcPr>
            <w:tcW w:w="1467" w:type="pct"/>
            <w:noWrap w:val="0"/>
            <w:vAlign w:val="center"/>
          </w:tcPr>
          <w:p w14:paraId="19E23005">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中设计三级道路的行车速度</w:t>
            </w:r>
            <w:r>
              <w:rPr>
                <w:rFonts w:hint="eastAsia" w:ascii="Times New Roman" w:hAnsi="Times New Roman"/>
                <w:color w:val="auto"/>
              </w:rPr>
              <w:t>空车</w:t>
            </w:r>
            <w:r>
              <w:rPr>
                <w:rFonts w:ascii="Times New Roman" w:hAnsi="Times New Roman"/>
                <w:color w:val="auto"/>
              </w:rPr>
              <w:t>为</w:t>
            </w:r>
            <w:r>
              <w:rPr>
                <w:rFonts w:hint="eastAsia" w:ascii="Times New Roman" w:hAnsi="Times New Roman"/>
                <w:color w:val="auto"/>
              </w:rPr>
              <w:t>20</w:t>
            </w:r>
            <w:r>
              <w:rPr>
                <w:rFonts w:ascii="Times New Roman" w:hAnsi="Times New Roman"/>
                <w:color w:val="auto"/>
              </w:rPr>
              <w:t>km/h</w:t>
            </w:r>
            <w:r>
              <w:rPr>
                <w:rFonts w:hint="eastAsia" w:ascii="Times New Roman" w:hAnsi="Times New Roman"/>
                <w:color w:val="auto"/>
              </w:rPr>
              <w:t>，重车为15</w:t>
            </w:r>
            <w:r>
              <w:rPr>
                <w:rFonts w:ascii="Times New Roman" w:hAnsi="Times New Roman"/>
                <w:color w:val="auto"/>
              </w:rPr>
              <w:t>km/h。</w:t>
            </w:r>
          </w:p>
        </w:tc>
        <w:tc>
          <w:tcPr>
            <w:tcW w:w="533" w:type="pct"/>
            <w:noWrap w:val="0"/>
            <w:vAlign w:val="center"/>
          </w:tcPr>
          <w:p w14:paraId="5F022124">
            <w:pPr>
              <w:pStyle w:val="17"/>
              <w:bidi w:val="0"/>
              <w:rPr>
                <w:rFonts w:ascii="Times New Roman" w:hAnsi="Times New Roman"/>
                <w:color w:val="auto"/>
              </w:rPr>
            </w:pPr>
            <w:r>
              <w:rPr>
                <w:rFonts w:ascii="Times New Roman" w:hAnsi="Times New Roman"/>
                <w:color w:val="auto"/>
              </w:rPr>
              <w:t>符合</w:t>
            </w:r>
          </w:p>
        </w:tc>
      </w:tr>
      <w:tr w14:paraId="1130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pct"/>
            <w:noWrap w:val="0"/>
            <w:vAlign w:val="center"/>
          </w:tcPr>
          <w:p w14:paraId="2F4D0D2E">
            <w:pPr>
              <w:pStyle w:val="17"/>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2</w:t>
            </w:r>
          </w:p>
        </w:tc>
        <w:tc>
          <w:tcPr>
            <w:tcW w:w="1663" w:type="pct"/>
            <w:noWrap w:val="0"/>
            <w:vAlign w:val="center"/>
          </w:tcPr>
          <w:p w14:paraId="25463609">
            <w:pPr>
              <w:pStyle w:val="17"/>
              <w:bidi w:val="0"/>
              <w:rPr>
                <w:rFonts w:ascii="Times New Roman" w:hAnsi="Times New Roman"/>
                <w:color w:val="auto"/>
              </w:rPr>
            </w:pPr>
            <w:r>
              <w:rPr>
                <w:rFonts w:ascii="Times New Roman" w:hAnsi="Times New Roman"/>
                <w:color w:val="auto"/>
              </w:rPr>
              <w:t>露天矿山道路宜采用较大的圆曲线半径当受地形或其它条件限制时可采用表2.4.6所列最小圆曲线半径。三级露天矿山道路的最小圆曲线半径为15m。</w:t>
            </w:r>
          </w:p>
        </w:tc>
        <w:tc>
          <w:tcPr>
            <w:tcW w:w="1034" w:type="pct"/>
            <w:noWrap w:val="0"/>
            <w:vAlign w:val="center"/>
          </w:tcPr>
          <w:p w14:paraId="2ECDD98E">
            <w:pPr>
              <w:pStyle w:val="17"/>
              <w:bidi w:val="0"/>
              <w:rPr>
                <w:rFonts w:ascii="Times New Roman" w:hAnsi="Times New Roman"/>
                <w:color w:val="auto"/>
              </w:rPr>
            </w:pPr>
            <w:r>
              <w:rPr>
                <w:rFonts w:ascii="Times New Roman" w:hAnsi="Times New Roman"/>
                <w:color w:val="auto"/>
              </w:rPr>
              <w:t>《厂矿道路设计规范》（GBJ22－87）第2.4.6条</w:t>
            </w:r>
          </w:p>
        </w:tc>
        <w:tc>
          <w:tcPr>
            <w:tcW w:w="1467" w:type="pct"/>
            <w:noWrap w:val="0"/>
            <w:vAlign w:val="center"/>
          </w:tcPr>
          <w:p w14:paraId="1F2EA48A">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中设计该矿山最小</w:t>
            </w:r>
            <w:r>
              <w:rPr>
                <w:rFonts w:hint="eastAsia" w:ascii="Times New Roman" w:hAnsi="Times New Roman"/>
                <w:color w:val="auto"/>
                <w:lang w:val="en-US" w:eastAsia="zh-CN"/>
              </w:rPr>
              <w:t>圆</w:t>
            </w:r>
            <w:r>
              <w:rPr>
                <w:rFonts w:ascii="Times New Roman" w:hAnsi="Times New Roman"/>
                <w:color w:val="auto"/>
              </w:rPr>
              <w:t>曲线半径15m。</w:t>
            </w:r>
          </w:p>
        </w:tc>
        <w:tc>
          <w:tcPr>
            <w:tcW w:w="533" w:type="pct"/>
            <w:noWrap w:val="0"/>
            <w:vAlign w:val="center"/>
          </w:tcPr>
          <w:p w14:paraId="47CE87AA">
            <w:pPr>
              <w:pStyle w:val="17"/>
              <w:bidi w:val="0"/>
              <w:rPr>
                <w:rFonts w:ascii="Times New Roman" w:hAnsi="Times New Roman"/>
                <w:color w:val="auto"/>
              </w:rPr>
            </w:pPr>
            <w:r>
              <w:rPr>
                <w:rFonts w:ascii="Times New Roman" w:hAnsi="Times New Roman"/>
                <w:color w:val="auto"/>
              </w:rPr>
              <w:t>符合</w:t>
            </w:r>
          </w:p>
        </w:tc>
      </w:tr>
      <w:tr w14:paraId="4120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pct"/>
            <w:noWrap w:val="0"/>
            <w:vAlign w:val="center"/>
          </w:tcPr>
          <w:p w14:paraId="774851CE">
            <w:pPr>
              <w:pStyle w:val="17"/>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3</w:t>
            </w:r>
          </w:p>
        </w:tc>
        <w:tc>
          <w:tcPr>
            <w:tcW w:w="1663" w:type="pct"/>
            <w:noWrap w:val="0"/>
            <w:vAlign w:val="center"/>
          </w:tcPr>
          <w:p w14:paraId="5F2E0A09">
            <w:pPr>
              <w:pStyle w:val="17"/>
              <w:bidi w:val="0"/>
              <w:rPr>
                <w:rFonts w:ascii="Times New Roman" w:hAnsi="Times New Roman"/>
                <w:color w:val="auto"/>
              </w:rPr>
            </w:pPr>
            <w:r>
              <w:rPr>
                <w:rFonts w:ascii="Times New Roman" w:hAnsi="Times New Roman"/>
                <w:color w:val="auto"/>
              </w:rPr>
              <w:t>露天矿山道路的纵坡不应大于表2.4.13 的规定，三级露天矿山道路的纵坡不应大于9%。重车上坡的二三级露天矿山道路的生产干线及支线的最大纵坡可增加1%。</w:t>
            </w:r>
          </w:p>
        </w:tc>
        <w:tc>
          <w:tcPr>
            <w:tcW w:w="1034" w:type="pct"/>
            <w:noWrap w:val="0"/>
            <w:vAlign w:val="center"/>
          </w:tcPr>
          <w:p w14:paraId="14398B2E">
            <w:pPr>
              <w:pStyle w:val="17"/>
              <w:bidi w:val="0"/>
              <w:rPr>
                <w:rFonts w:ascii="Times New Roman" w:hAnsi="Times New Roman"/>
                <w:color w:val="auto"/>
              </w:rPr>
            </w:pPr>
            <w:r>
              <w:rPr>
                <w:rFonts w:ascii="Times New Roman" w:hAnsi="Times New Roman"/>
                <w:color w:val="auto"/>
              </w:rPr>
              <w:t>《厂矿道路设计规范》（GBJ22－87）第2.4.13条</w:t>
            </w:r>
          </w:p>
        </w:tc>
        <w:tc>
          <w:tcPr>
            <w:tcW w:w="1467" w:type="pct"/>
            <w:noWrap w:val="0"/>
            <w:vAlign w:val="center"/>
          </w:tcPr>
          <w:p w14:paraId="5F750091">
            <w:pPr>
              <w:pStyle w:val="17"/>
              <w:bidi w:val="0"/>
              <w:rPr>
                <w:rFonts w:hint="eastAsia" w:ascii="Times New Roman" w:hAnsi="Times New Roman"/>
                <w:color w:val="auto"/>
                <w:lang w:eastAsia="zh-CN"/>
              </w:rPr>
            </w:pPr>
            <w:r>
              <w:rPr>
                <w:rFonts w:hint="eastAsia" w:ascii="Times New Roman" w:hAnsi="Times New Roman"/>
                <w:color w:val="auto"/>
                <w:lang w:eastAsia="zh-CN"/>
              </w:rPr>
              <w:t>初步设计（代可研）</w:t>
            </w:r>
            <w:r>
              <w:rPr>
                <w:rFonts w:ascii="Times New Roman" w:hAnsi="Times New Roman"/>
                <w:color w:val="auto"/>
              </w:rPr>
              <w:t>方案中</w:t>
            </w:r>
            <w:r>
              <w:rPr>
                <w:rFonts w:hint="eastAsia" w:ascii="Times New Roman" w:hAnsi="Times New Roman"/>
                <w:color w:val="auto"/>
              </w:rPr>
              <w:t>说明：运输公路按露天矿山三级道路标准设计，泥结碎石路面，单车道，路面宽4m，道路最大纵坡9%，平均纵坡不大于7.5%，最小转弯半径15m。</w:t>
            </w:r>
          </w:p>
        </w:tc>
        <w:tc>
          <w:tcPr>
            <w:tcW w:w="533" w:type="pct"/>
            <w:noWrap w:val="0"/>
            <w:vAlign w:val="center"/>
          </w:tcPr>
          <w:p w14:paraId="30533629">
            <w:pPr>
              <w:pStyle w:val="17"/>
              <w:bidi w:val="0"/>
              <w:rPr>
                <w:rFonts w:ascii="Times New Roman" w:hAnsi="Times New Roman"/>
                <w:color w:val="auto"/>
              </w:rPr>
            </w:pPr>
            <w:r>
              <w:rPr>
                <w:rFonts w:ascii="Times New Roman" w:hAnsi="Times New Roman"/>
                <w:color w:val="auto"/>
              </w:rPr>
              <w:t>符合</w:t>
            </w:r>
          </w:p>
        </w:tc>
      </w:tr>
      <w:tr w14:paraId="1685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pct"/>
            <w:noWrap w:val="0"/>
            <w:vAlign w:val="center"/>
          </w:tcPr>
          <w:p w14:paraId="2F8D6726">
            <w:pPr>
              <w:pStyle w:val="17"/>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4</w:t>
            </w:r>
          </w:p>
        </w:tc>
        <w:tc>
          <w:tcPr>
            <w:tcW w:w="1663" w:type="pct"/>
            <w:noWrap w:val="0"/>
            <w:vAlign w:val="center"/>
          </w:tcPr>
          <w:p w14:paraId="0DFD86CE">
            <w:pPr>
              <w:pStyle w:val="17"/>
              <w:bidi w:val="0"/>
              <w:rPr>
                <w:rFonts w:ascii="Times New Roman" w:hAnsi="Times New Roman"/>
                <w:color w:val="auto"/>
              </w:rPr>
            </w:pPr>
            <w:r>
              <w:rPr>
                <w:rFonts w:ascii="Times New Roman" w:hAnsi="Times New Roman"/>
                <w:color w:val="auto"/>
              </w:rPr>
              <w:t>一级露天矿山道路可采用高级或次高级路面亦可采用中级路面，二级露天矿山道路可采用次高级或中级路面，三级露天矿山道路可采用中级路面，二三级露天矿山道路，如该道路服务年限较长时，亦可采用高级次高级路面。</w:t>
            </w:r>
          </w:p>
        </w:tc>
        <w:tc>
          <w:tcPr>
            <w:tcW w:w="1034" w:type="pct"/>
            <w:noWrap w:val="0"/>
            <w:vAlign w:val="center"/>
          </w:tcPr>
          <w:p w14:paraId="750477E3">
            <w:pPr>
              <w:pStyle w:val="17"/>
              <w:bidi w:val="0"/>
              <w:rPr>
                <w:rFonts w:ascii="Times New Roman" w:hAnsi="Times New Roman"/>
                <w:color w:val="auto"/>
              </w:rPr>
            </w:pPr>
            <w:r>
              <w:rPr>
                <w:rFonts w:ascii="Times New Roman" w:hAnsi="Times New Roman"/>
                <w:color w:val="auto"/>
              </w:rPr>
              <w:t>《厂矿道路设计规范》（GBJ22－87）第4.1.3条</w:t>
            </w:r>
          </w:p>
        </w:tc>
        <w:tc>
          <w:tcPr>
            <w:tcW w:w="1467" w:type="pct"/>
            <w:noWrap w:val="0"/>
            <w:vAlign w:val="center"/>
          </w:tcPr>
          <w:p w14:paraId="7FB95103">
            <w:pPr>
              <w:pStyle w:val="17"/>
              <w:bidi w:val="0"/>
              <w:rPr>
                <w:rFonts w:ascii="Times New Roman" w:hAnsi="Times New Roman"/>
                <w:color w:val="auto"/>
              </w:rPr>
            </w:pPr>
            <w:r>
              <w:rPr>
                <w:rFonts w:ascii="Times New Roman" w:hAnsi="Times New Roman"/>
                <w:color w:val="auto"/>
              </w:rPr>
              <w:t>在</w:t>
            </w:r>
            <w:r>
              <w:rPr>
                <w:rFonts w:hint="eastAsia" w:ascii="Times New Roman" w:hAnsi="Times New Roman"/>
                <w:color w:val="auto"/>
                <w:lang w:eastAsia="zh-CN"/>
              </w:rPr>
              <w:t>初步设计（代可研）</w:t>
            </w:r>
            <w:r>
              <w:rPr>
                <w:rFonts w:ascii="Times New Roman" w:hAnsi="Times New Roman"/>
                <w:color w:val="auto"/>
              </w:rPr>
              <w:t>说明道路为</w:t>
            </w:r>
            <w:r>
              <w:rPr>
                <w:rFonts w:hint="eastAsia" w:ascii="Times New Roman" w:hAnsi="Times New Roman"/>
                <w:color w:val="auto"/>
              </w:rPr>
              <w:t>三级露天矿道路</w:t>
            </w:r>
            <w:r>
              <w:rPr>
                <w:rFonts w:ascii="Times New Roman" w:hAnsi="Times New Roman"/>
                <w:color w:val="auto"/>
              </w:rPr>
              <w:t>。</w:t>
            </w:r>
          </w:p>
        </w:tc>
        <w:tc>
          <w:tcPr>
            <w:tcW w:w="533" w:type="pct"/>
            <w:noWrap w:val="0"/>
            <w:vAlign w:val="center"/>
          </w:tcPr>
          <w:p w14:paraId="639DDFEA">
            <w:pPr>
              <w:pStyle w:val="17"/>
              <w:bidi w:val="0"/>
              <w:rPr>
                <w:rFonts w:ascii="Times New Roman" w:hAnsi="Times New Roman"/>
                <w:color w:val="auto"/>
              </w:rPr>
            </w:pPr>
            <w:r>
              <w:rPr>
                <w:rFonts w:ascii="Times New Roman" w:hAnsi="Times New Roman"/>
                <w:color w:val="auto"/>
              </w:rPr>
              <w:t>符合</w:t>
            </w:r>
          </w:p>
        </w:tc>
      </w:tr>
      <w:tr w14:paraId="398B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pct"/>
            <w:noWrap w:val="0"/>
            <w:vAlign w:val="center"/>
          </w:tcPr>
          <w:p w14:paraId="2CFF67E3">
            <w:pPr>
              <w:pStyle w:val="17"/>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5</w:t>
            </w:r>
          </w:p>
        </w:tc>
        <w:tc>
          <w:tcPr>
            <w:tcW w:w="1663" w:type="pct"/>
            <w:noWrap w:val="0"/>
            <w:vAlign w:val="center"/>
          </w:tcPr>
          <w:p w14:paraId="20D40488">
            <w:pPr>
              <w:pStyle w:val="17"/>
              <w:bidi w:val="0"/>
              <w:rPr>
                <w:rFonts w:ascii="Times New Roman" w:hAnsi="Times New Roman"/>
                <w:color w:val="auto"/>
              </w:rPr>
            </w:pPr>
            <w:r>
              <w:rPr>
                <w:rFonts w:ascii="Times New Roman" w:hAnsi="Times New Roman"/>
                <w:color w:val="auto"/>
              </w:rPr>
              <w:t>路面等级及其所属的面层类型可按表4.1.2划分，中级路面可采用沥青灰土表面处治、泥结碎（砾）石、级配砾（碎）石、工业废渣及其它粒料、不整齐块石。</w:t>
            </w:r>
          </w:p>
        </w:tc>
        <w:tc>
          <w:tcPr>
            <w:tcW w:w="1034" w:type="pct"/>
            <w:noWrap w:val="0"/>
            <w:vAlign w:val="center"/>
          </w:tcPr>
          <w:p w14:paraId="4F0DF1E2">
            <w:pPr>
              <w:pStyle w:val="17"/>
              <w:bidi w:val="0"/>
              <w:rPr>
                <w:rFonts w:ascii="Times New Roman" w:hAnsi="Times New Roman"/>
                <w:color w:val="auto"/>
              </w:rPr>
            </w:pPr>
            <w:r>
              <w:rPr>
                <w:rFonts w:ascii="Times New Roman" w:hAnsi="Times New Roman"/>
                <w:color w:val="auto"/>
              </w:rPr>
              <w:t>《厂矿道路设计规范》（GBJ22－87）第4.1.2条</w:t>
            </w:r>
          </w:p>
        </w:tc>
        <w:tc>
          <w:tcPr>
            <w:tcW w:w="1467" w:type="pct"/>
            <w:noWrap w:val="0"/>
            <w:vAlign w:val="center"/>
          </w:tcPr>
          <w:p w14:paraId="3230186B">
            <w:pPr>
              <w:pStyle w:val="17"/>
              <w:bidi w:val="0"/>
              <w:rPr>
                <w:rFonts w:ascii="Times New Roman" w:hAnsi="Times New Roman"/>
                <w:color w:val="auto"/>
              </w:rPr>
            </w:pPr>
            <w:r>
              <w:rPr>
                <w:rFonts w:ascii="Times New Roman" w:hAnsi="Times New Roman"/>
                <w:color w:val="auto"/>
              </w:rPr>
              <w:t>在</w:t>
            </w:r>
            <w:r>
              <w:rPr>
                <w:rFonts w:hint="eastAsia" w:ascii="Times New Roman" w:hAnsi="Times New Roman"/>
                <w:color w:val="auto"/>
                <w:lang w:eastAsia="zh-CN"/>
              </w:rPr>
              <w:t>初步设计（代可研）</w:t>
            </w:r>
            <w:r>
              <w:rPr>
                <w:rFonts w:ascii="Times New Roman" w:hAnsi="Times New Roman"/>
                <w:color w:val="auto"/>
              </w:rPr>
              <w:t>中运输公路为泥结碎石路面。</w:t>
            </w:r>
          </w:p>
        </w:tc>
        <w:tc>
          <w:tcPr>
            <w:tcW w:w="533" w:type="pct"/>
            <w:noWrap w:val="0"/>
            <w:vAlign w:val="center"/>
          </w:tcPr>
          <w:p w14:paraId="72BC0A50">
            <w:pPr>
              <w:pStyle w:val="17"/>
              <w:bidi w:val="0"/>
              <w:rPr>
                <w:rFonts w:ascii="Times New Roman" w:hAnsi="Times New Roman"/>
                <w:color w:val="auto"/>
              </w:rPr>
            </w:pPr>
            <w:r>
              <w:rPr>
                <w:rFonts w:ascii="Times New Roman" w:hAnsi="Times New Roman"/>
                <w:color w:val="auto"/>
              </w:rPr>
              <w:t>符合</w:t>
            </w:r>
          </w:p>
        </w:tc>
      </w:tr>
      <w:tr w14:paraId="437C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0" w:type="pct"/>
            <w:noWrap w:val="0"/>
            <w:vAlign w:val="center"/>
          </w:tcPr>
          <w:p w14:paraId="7CA43E08">
            <w:pPr>
              <w:pStyle w:val="17"/>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6</w:t>
            </w:r>
          </w:p>
        </w:tc>
        <w:tc>
          <w:tcPr>
            <w:tcW w:w="1663" w:type="pct"/>
            <w:noWrap w:val="0"/>
            <w:vAlign w:val="center"/>
          </w:tcPr>
          <w:p w14:paraId="1DA9523D">
            <w:pPr>
              <w:pStyle w:val="17"/>
              <w:bidi w:val="0"/>
              <w:rPr>
                <w:rFonts w:ascii="Times New Roman" w:hAnsi="Times New Roman"/>
                <w:color w:val="auto"/>
              </w:rPr>
            </w:pPr>
            <w:r>
              <w:rPr>
                <w:rFonts w:ascii="Times New Roman" w:hAnsi="Times New Roman"/>
                <w:color w:val="auto"/>
              </w:rPr>
              <w:t>露天矿山道路采用回头曲线时，其主要技术指标应按表2.4.12的规定采用，并设置限制速度标志和在其外侧设置挡车堆等安全设施。</w:t>
            </w:r>
          </w:p>
        </w:tc>
        <w:tc>
          <w:tcPr>
            <w:tcW w:w="1034" w:type="pct"/>
            <w:noWrap w:val="0"/>
            <w:vAlign w:val="center"/>
          </w:tcPr>
          <w:p w14:paraId="05A88E61">
            <w:pPr>
              <w:pStyle w:val="17"/>
              <w:bidi w:val="0"/>
              <w:rPr>
                <w:rFonts w:ascii="Times New Roman" w:hAnsi="Times New Roman"/>
                <w:color w:val="auto"/>
              </w:rPr>
            </w:pPr>
            <w:r>
              <w:rPr>
                <w:rFonts w:ascii="Times New Roman" w:hAnsi="Times New Roman"/>
                <w:color w:val="auto"/>
              </w:rPr>
              <w:t>《厂矿道路设计规范》（GBJ22－87）第4.1.12条</w:t>
            </w:r>
          </w:p>
        </w:tc>
        <w:tc>
          <w:tcPr>
            <w:tcW w:w="1467" w:type="pct"/>
            <w:noWrap w:val="0"/>
            <w:vAlign w:val="center"/>
          </w:tcPr>
          <w:p w14:paraId="67E766A1">
            <w:pPr>
              <w:pStyle w:val="17"/>
              <w:bidi w:val="0"/>
              <w:rPr>
                <w:rFonts w:ascii="Times New Roman" w:hAnsi="Times New Roman"/>
                <w:color w:val="auto"/>
              </w:rPr>
            </w:pPr>
            <w:r>
              <w:rPr>
                <w:rFonts w:ascii="Times New Roman" w:hAnsi="Times New Roman"/>
                <w:color w:val="auto"/>
              </w:rPr>
              <w:t>在</w:t>
            </w:r>
            <w:r>
              <w:rPr>
                <w:rFonts w:hint="eastAsia" w:ascii="Times New Roman" w:hAnsi="Times New Roman"/>
                <w:color w:val="auto"/>
                <w:lang w:eastAsia="zh-CN"/>
              </w:rPr>
              <w:t>初步设计（代可研）</w:t>
            </w:r>
            <w:r>
              <w:rPr>
                <w:rFonts w:ascii="Times New Roman" w:hAnsi="Times New Roman"/>
                <w:color w:val="auto"/>
              </w:rPr>
              <w:t>中</w:t>
            </w:r>
            <w:r>
              <w:rPr>
                <w:rFonts w:hint="eastAsia" w:ascii="Times New Roman" w:hAnsi="Times New Roman"/>
                <w:color w:val="auto"/>
              </w:rPr>
              <w:t>进行了简要说明</w:t>
            </w:r>
            <w:r>
              <w:rPr>
                <w:rFonts w:ascii="Times New Roman" w:hAnsi="Times New Roman"/>
                <w:color w:val="auto"/>
              </w:rPr>
              <w:t>。</w:t>
            </w:r>
          </w:p>
        </w:tc>
        <w:tc>
          <w:tcPr>
            <w:tcW w:w="533" w:type="pct"/>
            <w:noWrap w:val="0"/>
            <w:vAlign w:val="center"/>
          </w:tcPr>
          <w:p w14:paraId="3C2A7E54">
            <w:pPr>
              <w:pStyle w:val="17"/>
              <w:bidi w:val="0"/>
              <w:rPr>
                <w:rFonts w:ascii="Times New Roman" w:hAnsi="Times New Roman"/>
                <w:color w:val="auto"/>
              </w:rPr>
            </w:pPr>
            <w:r>
              <w:rPr>
                <w:rFonts w:ascii="Times New Roman" w:hAnsi="Times New Roman"/>
                <w:color w:val="auto"/>
              </w:rPr>
              <w:t>符合</w:t>
            </w:r>
          </w:p>
        </w:tc>
      </w:tr>
      <w:tr w14:paraId="323E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4" w:type="dxa"/>
            <w:noWrap w:val="0"/>
            <w:vAlign w:val="center"/>
          </w:tcPr>
          <w:p w14:paraId="6A65594E">
            <w:pPr>
              <w:pStyle w:val="17"/>
              <w:bidi w:val="0"/>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7</w:t>
            </w:r>
          </w:p>
        </w:tc>
        <w:tc>
          <w:tcPr>
            <w:tcW w:w="3125" w:type="dxa"/>
            <w:noWrap w:val="0"/>
            <w:vAlign w:val="center"/>
          </w:tcPr>
          <w:p w14:paraId="3A66E402">
            <w:pPr>
              <w:pStyle w:val="17"/>
              <w:bidi w:val="0"/>
              <w:rPr>
                <w:rFonts w:ascii="Times New Roman" w:hAnsi="Times New Roman" w:eastAsia="宋体"/>
                <w:color w:val="auto"/>
              </w:rPr>
            </w:pPr>
            <w:r>
              <w:rPr>
                <w:rFonts w:ascii="Times New Roman" w:hAnsi="Times New Roman" w:eastAsia="宋体"/>
                <w:color w:val="auto"/>
              </w:rPr>
              <w:t>运输道路的高陡路基路段，或者弯道、坡度较大的填方地段，远离山体一侧应设置高度不小于车轮轮胎直径1/2的护栏、挡车墙等安全设施及醒目的警示标志。</w:t>
            </w:r>
          </w:p>
        </w:tc>
        <w:tc>
          <w:tcPr>
            <w:tcW w:w="1943" w:type="dxa"/>
            <w:noWrap w:val="0"/>
            <w:vAlign w:val="center"/>
          </w:tcPr>
          <w:p w14:paraId="21D63914">
            <w:pPr>
              <w:pStyle w:val="17"/>
              <w:bidi w:val="0"/>
              <w:rPr>
                <w:rFonts w:ascii="Times New Roman" w:hAnsi="Times New Roman" w:eastAsia="宋体"/>
                <w:color w:val="auto"/>
              </w:rPr>
            </w:pPr>
            <w:r>
              <w:rPr>
                <w:rFonts w:ascii="Times New Roman" w:hAnsi="Times New Roman" w:eastAsia="宋体"/>
                <w:color w:val="auto"/>
              </w:rPr>
              <w:t>《金属非金属矿山安全规程》(GB16423-2020)第5.4.2.4条</w:t>
            </w:r>
          </w:p>
        </w:tc>
        <w:tc>
          <w:tcPr>
            <w:tcW w:w="2757" w:type="dxa"/>
            <w:noWrap w:val="0"/>
            <w:vAlign w:val="center"/>
          </w:tcPr>
          <w:p w14:paraId="04343735">
            <w:pPr>
              <w:pStyle w:val="17"/>
              <w:bidi w:val="0"/>
              <w:rPr>
                <w:rFonts w:ascii="Times New Roman" w:hAnsi="Times New Roman" w:eastAsia="宋体"/>
                <w:color w:val="auto"/>
              </w:rPr>
            </w:pPr>
            <w:r>
              <w:rPr>
                <w:rFonts w:hint="eastAsia" w:ascii="Times New Roman" w:hAnsi="Times New Roman" w:eastAsia="宋体"/>
                <w:color w:val="auto"/>
              </w:rPr>
              <w:t>道路邻边坡一侧，设置土质安全车挡，车挡设置为梯形，高度为1.0m。</w:t>
            </w:r>
          </w:p>
        </w:tc>
        <w:tc>
          <w:tcPr>
            <w:tcW w:w="1003" w:type="dxa"/>
            <w:noWrap w:val="0"/>
            <w:vAlign w:val="center"/>
          </w:tcPr>
          <w:p w14:paraId="57564AC8">
            <w:pPr>
              <w:pStyle w:val="17"/>
              <w:bidi w:val="0"/>
              <w:rPr>
                <w:rFonts w:ascii="Times New Roman" w:hAnsi="Times New Roman" w:eastAsia="宋体"/>
                <w:color w:val="auto"/>
              </w:rPr>
            </w:pPr>
            <w:r>
              <w:rPr>
                <w:rFonts w:ascii="Times New Roman" w:hAnsi="Times New Roman" w:eastAsia="宋体"/>
                <w:color w:val="auto"/>
              </w:rPr>
              <w:t>符合</w:t>
            </w:r>
          </w:p>
        </w:tc>
      </w:tr>
    </w:tbl>
    <w:p w14:paraId="76223530">
      <w:pPr>
        <w:pStyle w:val="4"/>
        <w:bidi w:val="0"/>
        <w:rPr>
          <w:rFonts w:hint="eastAsia" w:ascii="Times New Roman" w:hAnsi="Times New Roman"/>
          <w:color w:val="auto"/>
        </w:rPr>
      </w:pPr>
      <w:bookmarkStart w:id="110" w:name="_Toc26126"/>
      <w:r>
        <w:rPr>
          <w:rFonts w:hint="eastAsia" w:ascii="Times New Roman" w:hAnsi="Times New Roman"/>
          <w:color w:val="auto"/>
        </w:rPr>
        <w:t>3.2.4</w:t>
      </w:r>
      <w:r>
        <w:rPr>
          <w:rFonts w:hint="eastAsia" w:ascii="Times New Roman" w:hAnsi="Times New Roman"/>
          <w:color w:val="auto"/>
          <w:lang w:val="en-US" w:eastAsia="zh-CN"/>
        </w:rPr>
        <w:t xml:space="preserve"> </w:t>
      </w:r>
      <w:r>
        <w:rPr>
          <w:rFonts w:hint="eastAsia" w:ascii="Times New Roman" w:hAnsi="Times New Roman"/>
          <w:color w:val="auto"/>
        </w:rPr>
        <w:t>单元小结</w:t>
      </w:r>
      <w:bookmarkEnd w:id="110"/>
    </w:p>
    <w:p w14:paraId="21717FBF">
      <w:pPr>
        <w:bidi w:val="0"/>
        <w:rPr>
          <w:rFonts w:hint="eastAsia" w:ascii="Times New Roman" w:hAnsi="Times New Roman"/>
          <w:color w:val="auto"/>
        </w:rPr>
      </w:pPr>
      <w:r>
        <w:rPr>
          <w:rFonts w:hint="eastAsia" w:ascii="Times New Roman" w:hAnsi="Times New Roman"/>
          <w:color w:val="auto"/>
        </w:rPr>
        <w:t>本工程拟定道路采用单车道+错车道，道路宽度4m，缓坡段兼做错车道，错车道宽6.5m。</w:t>
      </w:r>
    </w:p>
    <w:p w14:paraId="5F6B6AC3">
      <w:pPr>
        <w:bidi w:val="0"/>
        <w:rPr>
          <w:rFonts w:hint="eastAsia" w:ascii="Times New Roman" w:hAnsi="Times New Roman"/>
          <w:color w:val="auto"/>
        </w:rPr>
      </w:pPr>
      <w:r>
        <w:rPr>
          <w:rFonts w:hint="eastAsia" w:ascii="Times New Roman" w:hAnsi="Times New Roman"/>
          <w:color w:val="auto"/>
        </w:rPr>
        <w:t>基建时将原有运输道路整改后连接至2020m平台，作为2020m基建平台的运输道路，路面宽4m，运输道路长1163m，最大纵坡9%，平均纵坡7.6%，最小转弯半径15m。道路邻边坡一侧，设置土质安全车挡，车挡设置为梯形，高度为1.0m，顶宽0.6m，底宽1.2m。</w:t>
      </w:r>
    </w:p>
    <w:p w14:paraId="5E9E6E29">
      <w:pPr>
        <w:bidi w:val="0"/>
        <w:rPr>
          <w:rFonts w:hint="eastAsia" w:ascii="Times New Roman" w:hAnsi="Times New Roman"/>
          <w:color w:val="auto"/>
        </w:rPr>
      </w:pPr>
      <w:r>
        <w:rPr>
          <w:rFonts w:hint="eastAsia" w:ascii="Times New Roman" w:hAnsi="Times New Roman"/>
          <w:color w:val="auto"/>
        </w:rPr>
        <w:t>因基建运输道路局部通过采空区边坡，为保证边坡及行车安全，需对局部边坡进行削坡处理，运输道路穿过的边坡区域最大高度为15m，拟对边坡进行降坡处理。边坡高度15m及以下，可采用一次性放坡，不设置分级平台。设计放坡坡率为1:0.3，削坡过程中采用浅孔小药量松动爆破，严禁放大炮扰动采空区岩体，削坡完成后自上而下全面清除坡面浮石、危石及松动岩体。详见附图中的开拓系统图、运输道路横断面图。</w:t>
      </w:r>
    </w:p>
    <w:p w14:paraId="25FAA006">
      <w:pPr>
        <w:bidi w:val="0"/>
        <w:rPr>
          <w:rFonts w:hint="eastAsia" w:ascii="Times New Roman" w:hAnsi="Times New Roman"/>
          <w:color w:val="auto"/>
        </w:rPr>
      </w:pPr>
      <w:r>
        <w:rPr>
          <w:rFonts w:hint="eastAsia" w:ascii="Times New Roman" w:hAnsi="Times New Roman"/>
          <w:color w:val="auto"/>
        </w:rPr>
        <w:t>1975m平台矿石运输通过后期整修矿区南部现有道路运输，仅70m路段需新修，具备修建条件。该路面宽4m，道路长797m，最大纵坡9%，平均纵坡5.2%，最小转弯半径15m，能满足矿山运输要求。</w:t>
      </w:r>
    </w:p>
    <w:p w14:paraId="5A16300A">
      <w:pPr>
        <w:bidi w:val="0"/>
        <w:rPr>
          <w:rFonts w:hint="eastAsia" w:ascii="Times New Roman" w:hAnsi="Times New Roman"/>
          <w:color w:val="auto"/>
        </w:rPr>
      </w:pPr>
      <w:r>
        <w:rPr>
          <w:rFonts w:hint="eastAsia" w:ascii="Times New Roman" w:hAnsi="Times New Roman"/>
          <w:color w:val="auto"/>
        </w:rPr>
        <w:t>1960m平台通过平台联络道运输，修建1960m平台至1975m平台联络道，该联络道总长167m，路面宽8m，平均坡度为9%，最大纵坡为9%。</w:t>
      </w:r>
    </w:p>
    <w:p w14:paraId="12F8E40C">
      <w:pPr>
        <w:bidi w:val="0"/>
        <w:rPr>
          <w:rFonts w:hint="eastAsia" w:ascii="Times New Roman" w:hAnsi="Times New Roman"/>
          <w:color w:val="auto"/>
        </w:rPr>
      </w:pPr>
      <w:r>
        <w:rPr>
          <w:rFonts w:hint="eastAsia" w:ascii="Times New Roman" w:hAnsi="Times New Roman"/>
          <w:color w:val="auto"/>
        </w:rPr>
        <w:t>本单元存在主要问题：</w:t>
      </w:r>
    </w:p>
    <w:p w14:paraId="4699C5F3">
      <w:pPr>
        <w:bidi w:val="0"/>
        <w:rPr>
          <w:rFonts w:hint="eastAsia" w:ascii="Times New Roman" w:hAnsi="Times New Roman"/>
          <w:color w:val="auto"/>
        </w:rPr>
      </w:pPr>
      <w:r>
        <w:rPr>
          <w:rFonts w:hint="eastAsia" w:ascii="Times New Roman" w:hAnsi="Times New Roman"/>
          <w:color w:val="auto"/>
        </w:rPr>
        <w:t>（1）矿区道路边坡需加强支护并设置安全警示牌，在下一步安全设施设计中应补充、完善。同时，矿山应建立道路安全管理制度，定期对运输设备进行检查维护；</w:t>
      </w:r>
    </w:p>
    <w:p w14:paraId="0C6368FC">
      <w:pPr>
        <w:bidi w:val="0"/>
        <w:rPr>
          <w:rFonts w:ascii="Times New Roman" w:hAnsi="Times New Roman"/>
          <w:color w:val="auto"/>
        </w:rPr>
      </w:pPr>
      <w:r>
        <w:rPr>
          <w:rFonts w:hint="eastAsia" w:ascii="Times New Roman" w:hAnsi="Times New Roman"/>
          <w:color w:val="auto"/>
        </w:rPr>
        <w:t>（2）根据预选危险性分析，开拓运输环节存在众多危险有害因素，危害程度为Ⅱ~Ⅳ级，危害程度较高，在今后的矿山建设和矿山生产过程中，矿山应当从主观上高度重视矿山内外部视运输环节中的危害，充分落实上述安全对策措施，确保矿山安全生产</w:t>
      </w:r>
      <w:r>
        <w:rPr>
          <w:rFonts w:hint="eastAsia" w:ascii="Times New Roman" w:hAnsi="Times New Roman"/>
          <w:color w:val="auto"/>
          <w:lang w:eastAsia="zh-CN"/>
        </w:rPr>
        <w:t>。</w:t>
      </w:r>
    </w:p>
    <w:p w14:paraId="70084C49">
      <w:pPr>
        <w:bidi w:val="0"/>
        <w:rPr>
          <w:rFonts w:hint="eastAsia"/>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）下一步</w:t>
      </w:r>
      <w:r>
        <w:rPr>
          <w:rFonts w:hint="eastAsia"/>
          <w:color w:val="auto"/>
          <w:lang w:val="en-US" w:eastAsia="zh-CN"/>
        </w:rPr>
        <w:t>安全设施设计</w:t>
      </w:r>
      <w:r>
        <w:rPr>
          <w:rFonts w:hint="eastAsia"/>
          <w:color w:val="auto"/>
          <w:lang w:eastAsia="zh-CN"/>
        </w:rPr>
        <w:t>应当完善道路错车道及缓坡段的内容。</w:t>
      </w:r>
    </w:p>
    <w:p w14:paraId="547B3C61">
      <w:pPr>
        <w:pStyle w:val="3"/>
        <w:bidi w:val="0"/>
        <w:rPr>
          <w:rFonts w:hint="eastAsia" w:ascii="Times New Roman" w:hAnsi="Times New Roman"/>
          <w:color w:val="auto"/>
        </w:rPr>
      </w:pPr>
      <w:bookmarkStart w:id="111" w:name="_Toc2665"/>
      <w:r>
        <w:rPr>
          <w:rFonts w:hint="eastAsia" w:ascii="Times New Roman" w:hAnsi="Times New Roman"/>
          <w:color w:val="auto"/>
        </w:rPr>
        <w:t>3.3</w:t>
      </w:r>
      <w:r>
        <w:rPr>
          <w:rFonts w:hint="eastAsia" w:ascii="Times New Roman" w:hAnsi="Times New Roman"/>
          <w:color w:val="auto"/>
          <w:lang w:val="en-US" w:eastAsia="zh-CN"/>
        </w:rPr>
        <w:t xml:space="preserve"> </w:t>
      </w:r>
      <w:r>
        <w:rPr>
          <w:rFonts w:hint="eastAsia" w:ascii="Times New Roman" w:hAnsi="Times New Roman"/>
          <w:color w:val="auto"/>
        </w:rPr>
        <w:t>采剥单元</w:t>
      </w:r>
      <w:bookmarkEnd w:id="111"/>
    </w:p>
    <w:p w14:paraId="5F27FE23">
      <w:pPr>
        <w:pStyle w:val="4"/>
        <w:bidi w:val="0"/>
        <w:rPr>
          <w:rFonts w:hint="eastAsia" w:ascii="Times New Roman" w:hAnsi="Times New Roman"/>
          <w:color w:val="auto"/>
        </w:rPr>
      </w:pPr>
      <w:bookmarkStart w:id="112" w:name="_Toc27956"/>
      <w:r>
        <w:rPr>
          <w:rFonts w:hint="eastAsia" w:ascii="Times New Roman" w:hAnsi="Times New Roman"/>
          <w:color w:val="auto"/>
        </w:rPr>
        <w:t>3.3.1</w:t>
      </w:r>
      <w:r>
        <w:rPr>
          <w:rFonts w:hint="eastAsia" w:ascii="Times New Roman" w:hAnsi="Times New Roman"/>
          <w:color w:val="auto"/>
          <w:lang w:val="en-US" w:eastAsia="zh-CN"/>
        </w:rPr>
        <w:t xml:space="preserve"> </w:t>
      </w:r>
      <w:r>
        <w:rPr>
          <w:rFonts w:hint="eastAsia" w:ascii="Times New Roman" w:hAnsi="Times New Roman"/>
          <w:color w:val="auto"/>
        </w:rPr>
        <w:t>采剥单元危险有害因素辨识</w:t>
      </w:r>
      <w:bookmarkEnd w:id="112"/>
    </w:p>
    <w:p w14:paraId="72AE18A2">
      <w:pPr>
        <w:bidi w:val="0"/>
        <w:rPr>
          <w:rFonts w:hint="eastAsia" w:ascii="Times New Roman" w:hAnsi="Times New Roman"/>
          <w:color w:val="auto"/>
        </w:rPr>
      </w:pPr>
      <w:r>
        <w:rPr>
          <w:rFonts w:hint="eastAsia" w:ascii="Times New Roman" w:hAnsi="Times New Roman"/>
          <w:color w:val="auto"/>
        </w:rPr>
        <w:t>（1）滑坡、坍塌、泥石流</w:t>
      </w:r>
    </w:p>
    <w:p w14:paraId="24A2CCAC">
      <w:pPr>
        <w:bidi w:val="0"/>
        <w:rPr>
          <w:rFonts w:hint="eastAsia" w:ascii="Times New Roman" w:hAnsi="Times New Roman"/>
          <w:color w:val="auto"/>
        </w:rPr>
      </w:pPr>
      <w:r>
        <w:rPr>
          <w:rFonts w:hint="eastAsia" w:ascii="Times New Roman" w:hAnsi="Times New Roman"/>
          <w:color w:val="auto"/>
        </w:rPr>
        <w:t>边坡滑坡、坍塌事故是最常见的露天矿山安全事故之一，主要原因是进行采剥作业破坏了原矿（岩）石的初始平衡状态，导致矿（岩）体内部应力集中，当重新分布的应力超过矿（岩）体或其构造的强度时，将会发生矿（岩）体失稳，如果不及时采取措施或措施方法不当，就会发生边坡坍塌、滑坡。</w:t>
      </w:r>
    </w:p>
    <w:p w14:paraId="0B5A4C8C">
      <w:pPr>
        <w:bidi w:val="0"/>
        <w:rPr>
          <w:rFonts w:hint="eastAsia" w:ascii="Times New Roman" w:hAnsi="Times New Roman"/>
          <w:color w:val="auto"/>
        </w:rPr>
      </w:pPr>
      <w:r>
        <w:rPr>
          <w:rFonts w:hint="eastAsia" w:ascii="Times New Roman" w:hAnsi="Times New Roman"/>
          <w:color w:val="auto"/>
        </w:rPr>
        <w:t>造成边坡滑坡、坍塌事故的主要因素：</w:t>
      </w:r>
    </w:p>
    <w:p w14:paraId="14F5982A">
      <w:pPr>
        <w:bidi w:val="0"/>
        <w:rPr>
          <w:rFonts w:hint="eastAsia" w:ascii="Times New Roman" w:hAnsi="Times New Roman"/>
          <w:color w:val="auto"/>
        </w:rPr>
      </w:pPr>
      <w:r>
        <w:rPr>
          <w:rFonts w:hint="eastAsia" w:ascii="Times New Roman" w:hAnsi="Times New Roman"/>
          <w:color w:val="auto"/>
        </w:rPr>
        <w:t>1）受地质构造变化的影响，使岩体结构强度降低，导致岩体本身稳定性差，矿山开采过程中对岩体的二次破坏，致使岩体失稳加烈；</w:t>
      </w:r>
    </w:p>
    <w:p w14:paraId="7D009CC5">
      <w:pPr>
        <w:bidi w:val="0"/>
        <w:rPr>
          <w:rFonts w:hint="eastAsia" w:ascii="Times New Roman" w:hAnsi="Times New Roman"/>
          <w:color w:val="auto"/>
        </w:rPr>
      </w:pPr>
      <w:r>
        <w:rPr>
          <w:rFonts w:hint="eastAsia" w:ascii="Times New Roman" w:hAnsi="Times New Roman"/>
          <w:color w:val="auto"/>
        </w:rPr>
        <w:t>2）采矿顺序或采剥工艺不合理，改变了岩体应力的分布体失稳产生滑坡、坍塌等事故；</w:t>
      </w:r>
    </w:p>
    <w:p w14:paraId="6CEB4421">
      <w:pPr>
        <w:bidi w:val="0"/>
        <w:rPr>
          <w:rFonts w:hint="eastAsia" w:ascii="Times New Roman" w:hAnsi="Times New Roman"/>
          <w:color w:val="auto"/>
        </w:rPr>
      </w:pPr>
      <w:r>
        <w:rPr>
          <w:rFonts w:hint="eastAsia" w:ascii="Times New Roman" w:hAnsi="Times New Roman"/>
          <w:color w:val="auto"/>
        </w:rPr>
        <w:t>3）未严格按设计施工，致使台阶超高，坡面角和台阶宽度与设计不符合，致使形成高陡边坡；</w:t>
      </w:r>
    </w:p>
    <w:p w14:paraId="63B79DD7">
      <w:pPr>
        <w:bidi w:val="0"/>
        <w:rPr>
          <w:rFonts w:hint="eastAsia" w:ascii="Times New Roman" w:hAnsi="Times New Roman"/>
          <w:color w:val="auto"/>
        </w:rPr>
      </w:pPr>
      <w:r>
        <w:rPr>
          <w:rFonts w:hint="eastAsia" w:ascii="Times New Roman" w:hAnsi="Times New Roman"/>
          <w:color w:val="auto"/>
        </w:rPr>
        <w:t>4）矿山未按设计进行开采，出现超挖、超采、掏采、边坡角过陡等，均可能发生坍塌；</w:t>
      </w:r>
    </w:p>
    <w:p w14:paraId="2251A634">
      <w:pPr>
        <w:bidi w:val="0"/>
        <w:rPr>
          <w:rFonts w:hint="eastAsia" w:ascii="Times New Roman" w:hAnsi="Times New Roman"/>
          <w:color w:val="auto"/>
        </w:rPr>
      </w:pPr>
      <w:r>
        <w:rPr>
          <w:rFonts w:hint="eastAsia" w:ascii="Times New Roman" w:hAnsi="Times New Roman"/>
          <w:color w:val="auto"/>
        </w:rPr>
        <w:t>5）随着采空区的日益扩大，边坡应力平衡会逐渐被打破，采空区崩塌加剧进而诱发较大滑坡的可能性逐渐增大</w:t>
      </w:r>
    </w:p>
    <w:p w14:paraId="25B1E4D9">
      <w:pPr>
        <w:bidi w:val="0"/>
        <w:rPr>
          <w:rFonts w:hint="eastAsia" w:ascii="Times New Roman" w:hAnsi="Times New Roman"/>
          <w:color w:val="auto"/>
        </w:rPr>
      </w:pPr>
      <w:r>
        <w:rPr>
          <w:rFonts w:hint="eastAsia" w:ascii="Times New Roman" w:hAnsi="Times New Roman"/>
          <w:color w:val="auto"/>
        </w:rPr>
        <w:t>6）采场内、外未设置相应的排水设施，排水设施不完善，疏于管理、导致大气降水冲刷边坡，发生泥石流。</w:t>
      </w:r>
    </w:p>
    <w:p w14:paraId="35B5FC8B">
      <w:pPr>
        <w:bidi w:val="0"/>
        <w:rPr>
          <w:rFonts w:hint="eastAsia" w:ascii="Times New Roman" w:hAnsi="Times New Roman"/>
          <w:color w:val="auto"/>
        </w:rPr>
      </w:pPr>
      <w:r>
        <w:rPr>
          <w:rFonts w:hint="eastAsia" w:ascii="Times New Roman" w:hAnsi="Times New Roman"/>
          <w:color w:val="auto"/>
        </w:rPr>
        <w:t>易发生滑坡、坍塌、泥石流事故的场所：露天采场边坡、运输道路边坡。</w:t>
      </w:r>
    </w:p>
    <w:p w14:paraId="1DE109C1">
      <w:pPr>
        <w:bidi w:val="0"/>
        <w:rPr>
          <w:rFonts w:hint="eastAsia" w:ascii="Times New Roman" w:hAnsi="Times New Roman"/>
          <w:color w:val="auto"/>
        </w:rPr>
      </w:pPr>
      <w:r>
        <w:rPr>
          <w:rFonts w:hint="eastAsia" w:ascii="Times New Roman" w:hAnsi="Times New Roman"/>
          <w:color w:val="auto"/>
        </w:rPr>
        <w:t>（2）物体打击</w:t>
      </w:r>
    </w:p>
    <w:p w14:paraId="4FBBCC35">
      <w:pPr>
        <w:bidi w:val="0"/>
        <w:rPr>
          <w:rFonts w:hint="eastAsia" w:ascii="Times New Roman" w:hAnsi="Times New Roman"/>
          <w:color w:val="auto"/>
        </w:rPr>
      </w:pPr>
      <w:r>
        <w:rPr>
          <w:rFonts w:hint="eastAsia" w:ascii="Times New Roman" w:hAnsi="Times New Roman"/>
          <w:color w:val="auto"/>
        </w:rPr>
        <w:t>矿山的剥离及铲装作业过程中，人员处于会坠落、掉落物体下方，会发生物体打击事故。</w:t>
      </w:r>
    </w:p>
    <w:p w14:paraId="5050C821">
      <w:pPr>
        <w:bidi w:val="0"/>
        <w:rPr>
          <w:rFonts w:hint="eastAsia" w:ascii="Times New Roman" w:hAnsi="Times New Roman"/>
          <w:color w:val="auto"/>
        </w:rPr>
      </w:pPr>
      <w:r>
        <w:rPr>
          <w:rFonts w:hint="eastAsia" w:ascii="Times New Roman" w:hAnsi="Times New Roman"/>
          <w:color w:val="auto"/>
        </w:rPr>
        <w:t>引起物体打击的原因主要包括：</w:t>
      </w:r>
    </w:p>
    <w:p w14:paraId="65E3C754">
      <w:pPr>
        <w:bidi w:val="0"/>
        <w:rPr>
          <w:rFonts w:hint="eastAsia" w:ascii="Times New Roman" w:hAnsi="Times New Roman"/>
          <w:color w:val="auto"/>
        </w:rPr>
      </w:pPr>
      <w:r>
        <w:rPr>
          <w:rFonts w:hint="eastAsia" w:ascii="Times New Roman" w:hAnsi="Times New Roman"/>
          <w:color w:val="auto"/>
        </w:rPr>
        <w:t>1）矿区地形坡度陡，植被破坏后难以恢复，地表岩石松散，剥离期间易导致滚石伤害；</w:t>
      </w:r>
    </w:p>
    <w:p w14:paraId="4BEF8A68">
      <w:pPr>
        <w:bidi w:val="0"/>
        <w:rPr>
          <w:rFonts w:hint="eastAsia" w:ascii="Times New Roman" w:hAnsi="Times New Roman"/>
          <w:color w:val="auto"/>
        </w:rPr>
      </w:pPr>
      <w:r>
        <w:rPr>
          <w:rFonts w:hint="eastAsia" w:ascii="Times New Roman" w:hAnsi="Times New Roman"/>
          <w:color w:val="auto"/>
        </w:rPr>
        <w:t>2）地表岩石裸露，矿山雨季生产期间易发生滚石伤害；</w:t>
      </w:r>
    </w:p>
    <w:p w14:paraId="677301E0">
      <w:pPr>
        <w:bidi w:val="0"/>
        <w:rPr>
          <w:rFonts w:hint="eastAsia" w:ascii="Times New Roman" w:hAnsi="Times New Roman"/>
          <w:color w:val="auto"/>
        </w:rPr>
      </w:pPr>
      <w:r>
        <w:rPr>
          <w:rFonts w:hint="eastAsia" w:ascii="Times New Roman" w:hAnsi="Times New Roman"/>
          <w:color w:val="auto"/>
        </w:rPr>
        <w:t>3）引起物体打击的主要原因：</w:t>
      </w:r>
    </w:p>
    <w:p w14:paraId="40A52828">
      <w:pPr>
        <w:bidi w:val="0"/>
        <w:rPr>
          <w:rFonts w:hint="eastAsia" w:ascii="Times New Roman" w:hAnsi="Times New Roman"/>
          <w:color w:val="auto"/>
        </w:rPr>
      </w:pPr>
      <w:r>
        <w:rPr>
          <w:rFonts w:hint="eastAsia" w:ascii="Times New Roman" w:hAnsi="Times New Roman"/>
          <w:color w:val="auto"/>
        </w:rPr>
        <w:t>①在松散断裂带边坡脚作业。</w:t>
      </w:r>
    </w:p>
    <w:p w14:paraId="35D11680">
      <w:pPr>
        <w:bidi w:val="0"/>
        <w:rPr>
          <w:rFonts w:hint="eastAsia" w:ascii="Times New Roman" w:hAnsi="Times New Roman"/>
          <w:color w:val="auto"/>
        </w:rPr>
      </w:pPr>
      <w:r>
        <w:rPr>
          <w:rFonts w:hint="eastAsia" w:ascii="Times New Roman" w:hAnsi="Times New Roman"/>
          <w:color w:val="auto"/>
        </w:rPr>
        <w:t>②坡面上的浮石危石未及时清除或清除不彻底。</w:t>
      </w:r>
    </w:p>
    <w:p w14:paraId="7EC96AFA">
      <w:pPr>
        <w:bidi w:val="0"/>
        <w:rPr>
          <w:rFonts w:hint="eastAsia" w:ascii="Times New Roman" w:hAnsi="Times New Roman"/>
          <w:color w:val="auto"/>
        </w:rPr>
      </w:pPr>
      <w:r>
        <w:rPr>
          <w:rFonts w:hint="eastAsia" w:ascii="Times New Roman" w:hAnsi="Times New Roman"/>
          <w:color w:val="auto"/>
        </w:rPr>
        <w:t>③在高处作业的人员不小心碰掉工具、材料，浮石等。</w:t>
      </w:r>
    </w:p>
    <w:p w14:paraId="6CFA31C3">
      <w:pPr>
        <w:bidi w:val="0"/>
        <w:rPr>
          <w:rFonts w:hint="eastAsia" w:ascii="Times New Roman" w:hAnsi="Times New Roman"/>
          <w:color w:val="auto"/>
        </w:rPr>
      </w:pPr>
      <w:r>
        <w:rPr>
          <w:rFonts w:hint="eastAsia" w:ascii="Times New Roman" w:hAnsi="Times New Roman"/>
          <w:color w:val="auto"/>
        </w:rPr>
        <w:t>④安全帽等劳动防护用品穿戴不齐全。</w:t>
      </w:r>
    </w:p>
    <w:p w14:paraId="19B8F4D4">
      <w:pPr>
        <w:bidi w:val="0"/>
        <w:rPr>
          <w:rFonts w:hint="eastAsia" w:ascii="Times New Roman" w:hAnsi="Times New Roman"/>
          <w:color w:val="auto"/>
        </w:rPr>
      </w:pPr>
      <w:r>
        <w:rPr>
          <w:rFonts w:hint="eastAsia" w:ascii="Times New Roman" w:hAnsi="Times New Roman"/>
          <w:color w:val="auto"/>
        </w:rPr>
        <w:t>⑤思想不集中，对出现的危险不能及时做出反应。</w:t>
      </w:r>
    </w:p>
    <w:p w14:paraId="3C1586B0">
      <w:pPr>
        <w:bidi w:val="0"/>
        <w:rPr>
          <w:rFonts w:hint="eastAsia" w:ascii="Times New Roman" w:hAnsi="Times New Roman"/>
          <w:color w:val="auto"/>
        </w:rPr>
      </w:pPr>
      <w:r>
        <w:rPr>
          <w:rFonts w:hint="eastAsia" w:ascii="Times New Roman" w:hAnsi="Times New Roman"/>
          <w:color w:val="auto"/>
        </w:rPr>
        <w:t>易发生物体打击的场所：剥离工作面、物料装卸场所及设备、设施检修场所。</w:t>
      </w:r>
    </w:p>
    <w:p w14:paraId="51B2CB88">
      <w:pPr>
        <w:bidi w:val="0"/>
        <w:rPr>
          <w:rFonts w:hint="eastAsia" w:ascii="Times New Roman" w:hAnsi="Times New Roman"/>
          <w:color w:val="auto"/>
        </w:rPr>
      </w:pPr>
      <w:r>
        <w:rPr>
          <w:rFonts w:hint="eastAsia" w:ascii="Times New Roman" w:hAnsi="Times New Roman"/>
          <w:color w:val="auto"/>
        </w:rPr>
        <w:t>（3）高处坠落</w:t>
      </w:r>
    </w:p>
    <w:p w14:paraId="127C9AE6">
      <w:pPr>
        <w:bidi w:val="0"/>
        <w:rPr>
          <w:rFonts w:hint="eastAsia" w:ascii="Times New Roman" w:hAnsi="Times New Roman"/>
          <w:color w:val="auto"/>
        </w:rPr>
      </w:pPr>
      <w:r>
        <w:rPr>
          <w:rFonts w:hint="eastAsia" w:ascii="Times New Roman" w:hAnsi="Times New Roman"/>
          <w:color w:val="auto"/>
        </w:rPr>
        <w:t>人员、车辆等设备在采场作业，人员及设备处于会坠落的场所或位置，如台阶上面、人员位于设备、场所高度大于2m的地方，会发生高处坠落事故。</w:t>
      </w:r>
    </w:p>
    <w:p w14:paraId="3FD5D9A1">
      <w:pPr>
        <w:bidi w:val="0"/>
        <w:rPr>
          <w:rFonts w:hint="eastAsia" w:ascii="Times New Roman" w:hAnsi="Times New Roman"/>
          <w:color w:val="auto"/>
        </w:rPr>
      </w:pPr>
      <w:r>
        <w:rPr>
          <w:rFonts w:hint="eastAsia" w:ascii="Times New Roman" w:hAnsi="Times New Roman"/>
          <w:color w:val="auto"/>
        </w:rPr>
        <w:t>引起高处坠落的原因主要包括：</w:t>
      </w:r>
    </w:p>
    <w:p w14:paraId="48F50871">
      <w:pPr>
        <w:bidi w:val="0"/>
        <w:rPr>
          <w:rFonts w:hint="eastAsia" w:ascii="Times New Roman" w:hAnsi="Times New Roman"/>
          <w:color w:val="auto"/>
        </w:rPr>
      </w:pPr>
      <w:r>
        <w:rPr>
          <w:rFonts w:hint="eastAsia" w:ascii="Times New Roman" w:hAnsi="Times New Roman"/>
          <w:color w:val="auto"/>
        </w:rPr>
        <w:t>1）在采掘、铲装过程中，由于违章载人、违章作业或而导致人员坠落或挖掘机和装载机倾翻引发伤亡事故；</w:t>
      </w:r>
    </w:p>
    <w:p w14:paraId="5958CA7D">
      <w:pPr>
        <w:bidi w:val="0"/>
        <w:rPr>
          <w:rFonts w:hint="eastAsia" w:ascii="Times New Roman" w:hAnsi="Times New Roman"/>
          <w:color w:val="auto"/>
        </w:rPr>
      </w:pPr>
      <w:r>
        <w:rPr>
          <w:rFonts w:hint="eastAsia" w:ascii="Times New Roman" w:hAnsi="Times New Roman"/>
          <w:color w:val="auto"/>
        </w:rPr>
        <w:t>2）采场工作平台及铲装平台宽度不足，平台边沿矿岩松散、不稳固，导致设备坠落、倾翻造成人员伤害、设备损坏；</w:t>
      </w:r>
    </w:p>
    <w:p w14:paraId="48A5E6B7">
      <w:pPr>
        <w:bidi w:val="0"/>
        <w:rPr>
          <w:rFonts w:hint="eastAsia" w:ascii="Times New Roman" w:hAnsi="Times New Roman"/>
          <w:color w:val="auto"/>
        </w:rPr>
      </w:pPr>
      <w:r>
        <w:rPr>
          <w:rFonts w:hint="eastAsia" w:ascii="Times New Roman" w:hAnsi="Times New Roman"/>
          <w:color w:val="auto"/>
        </w:rPr>
        <w:t>3）在临近边坡作业时，挖掘机、装载机及自卸汽车的作业应严格按照操作规程作业，挖掘机、装载机及自卸汽车超出作业平台边缘，极有可能发生作业人员及车辆坠落事故；</w:t>
      </w:r>
    </w:p>
    <w:p w14:paraId="21772D54">
      <w:pPr>
        <w:bidi w:val="0"/>
        <w:rPr>
          <w:rFonts w:hint="eastAsia" w:ascii="Times New Roman" w:hAnsi="Times New Roman"/>
          <w:color w:val="auto"/>
        </w:rPr>
      </w:pPr>
      <w:r>
        <w:rPr>
          <w:rFonts w:hint="eastAsia" w:ascii="Times New Roman" w:hAnsi="Times New Roman"/>
          <w:color w:val="auto"/>
        </w:rPr>
        <w:t>4）矿山采场工作台阶较高，因此整个采剥作业地点均属于高差大于2m的作业场所，一旦人跌倒，就有可能发生坠落或跌落，轻则骨裂腰断，重则死亡；</w:t>
      </w:r>
    </w:p>
    <w:p w14:paraId="01BDB8FE">
      <w:pPr>
        <w:bidi w:val="0"/>
        <w:rPr>
          <w:rFonts w:hint="eastAsia" w:ascii="Times New Roman" w:hAnsi="Times New Roman"/>
          <w:color w:val="auto"/>
        </w:rPr>
      </w:pPr>
      <w:r>
        <w:rPr>
          <w:rFonts w:hint="eastAsia" w:ascii="Times New Roman" w:hAnsi="Times New Roman"/>
          <w:color w:val="auto"/>
        </w:rPr>
        <w:t>5）作业人员因平台边缘岩土松散不稳固，或因脚底打滑而发生高处坠落；</w:t>
      </w:r>
    </w:p>
    <w:p w14:paraId="5E791B53">
      <w:pPr>
        <w:bidi w:val="0"/>
        <w:rPr>
          <w:rFonts w:hint="eastAsia" w:ascii="Times New Roman" w:hAnsi="Times New Roman"/>
          <w:color w:val="auto"/>
        </w:rPr>
      </w:pPr>
      <w:r>
        <w:rPr>
          <w:rFonts w:hint="eastAsia" w:ascii="Times New Roman" w:hAnsi="Times New Roman"/>
          <w:color w:val="auto"/>
        </w:rPr>
        <w:t>6）装车时不听信号、高速倒车上坡、强抢进位、卸排作业时无人指挥，安全车挡高度、宽度达不到要求，强行用倒车冲撞排弃废石土以清理平整场地等造成的高处坠落事故和车辆事故；</w:t>
      </w:r>
    </w:p>
    <w:p w14:paraId="784CF892">
      <w:pPr>
        <w:bidi w:val="0"/>
        <w:rPr>
          <w:rFonts w:hint="eastAsia" w:ascii="Times New Roman" w:hAnsi="Times New Roman"/>
          <w:color w:val="auto"/>
        </w:rPr>
      </w:pPr>
      <w:r>
        <w:rPr>
          <w:rFonts w:hint="eastAsia" w:ascii="Times New Roman" w:hAnsi="Times New Roman"/>
          <w:color w:val="auto"/>
        </w:rPr>
        <w:t>7）无证驾驶、疲劳驾驶、身体不适、路况不熟、麻痹大意等均会造成高处坠落事故和车辆事故；</w:t>
      </w:r>
    </w:p>
    <w:p w14:paraId="2E8E0444">
      <w:pPr>
        <w:bidi w:val="0"/>
        <w:rPr>
          <w:rFonts w:hint="eastAsia" w:ascii="Times New Roman" w:hAnsi="Times New Roman"/>
          <w:color w:val="auto"/>
        </w:rPr>
      </w:pPr>
      <w:r>
        <w:rPr>
          <w:rFonts w:hint="eastAsia" w:ascii="Times New Roman" w:hAnsi="Times New Roman"/>
          <w:color w:val="auto"/>
        </w:rPr>
        <w:t>8）作业人员违章操作，穿戴不合规定的防护用品进行操作。</w:t>
      </w:r>
    </w:p>
    <w:p w14:paraId="11B800BC">
      <w:pPr>
        <w:bidi w:val="0"/>
        <w:rPr>
          <w:rFonts w:hint="eastAsia" w:ascii="Times New Roman" w:hAnsi="Times New Roman"/>
          <w:color w:val="auto"/>
        </w:rPr>
      </w:pPr>
      <w:r>
        <w:rPr>
          <w:rFonts w:hint="eastAsia" w:ascii="Times New Roman" w:hAnsi="Times New Roman"/>
          <w:color w:val="auto"/>
        </w:rPr>
        <w:t>易发生高处坠落的场所：高于2m的工作平台、维修平台及坡面角大于30°的边坡工作面。</w:t>
      </w:r>
    </w:p>
    <w:p w14:paraId="6C2A3F12">
      <w:pPr>
        <w:bidi w:val="0"/>
        <w:rPr>
          <w:rFonts w:hint="eastAsia" w:ascii="Times New Roman" w:hAnsi="Times New Roman"/>
          <w:color w:val="auto"/>
        </w:rPr>
      </w:pPr>
      <w:r>
        <w:rPr>
          <w:rFonts w:hint="eastAsia" w:ascii="Times New Roman" w:hAnsi="Times New Roman"/>
          <w:color w:val="auto"/>
        </w:rPr>
        <w:t>（4）机械伤害</w:t>
      </w:r>
    </w:p>
    <w:p w14:paraId="3E6031BB">
      <w:pPr>
        <w:bidi w:val="0"/>
        <w:rPr>
          <w:rFonts w:hint="eastAsia" w:ascii="Times New Roman" w:hAnsi="Times New Roman"/>
          <w:color w:val="auto"/>
        </w:rPr>
      </w:pPr>
      <w:r>
        <w:rPr>
          <w:rFonts w:hint="eastAsia" w:ascii="Times New Roman" w:hAnsi="Times New Roman"/>
          <w:color w:val="auto"/>
        </w:rPr>
        <w:t>机械伤害是指机械设备运动</w:t>
      </w:r>
      <w:r>
        <w:rPr>
          <w:rFonts w:hint="eastAsia" w:ascii="Times New Roman" w:hAnsi="Times New Roman"/>
          <w:color w:val="auto"/>
          <w:lang w:eastAsia="zh-CN"/>
        </w:rPr>
        <w:t>（</w:t>
      </w:r>
      <w:r>
        <w:rPr>
          <w:rFonts w:hint="eastAsia" w:ascii="Times New Roman" w:hAnsi="Times New Roman"/>
          <w:color w:val="auto"/>
        </w:rPr>
        <w:t>静止</w:t>
      </w:r>
      <w:r>
        <w:rPr>
          <w:rFonts w:hint="eastAsia" w:ascii="Times New Roman" w:hAnsi="Times New Roman"/>
          <w:color w:val="auto"/>
          <w:lang w:eastAsia="zh-CN"/>
        </w:rPr>
        <w:t>）</w:t>
      </w:r>
      <w:r>
        <w:rPr>
          <w:rFonts w:hint="eastAsia" w:ascii="Times New Roman" w:hAnsi="Times New Roman"/>
          <w:color w:val="auto"/>
        </w:rPr>
        <w:t>部件、工具、加工件直接与人体接触引起的夹击、碰撞、剪切、卷入、绞、碾、割、刺等伤害，不包括车辆、起重机械引起的机械伤害。</w:t>
      </w:r>
    </w:p>
    <w:p w14:paraId="19B1DF5D">
      <w:pPr>
        <w:bidi w:val="0"/>
        <w:rPr>
          <w:rFonts w:hint="eastAsia" w:ascii="Times New Roman" w:hAnsi="Times New Roman"/>
          <w:color w:val="auto"/>
        </w:rPr>
      </w:pPr>
      <w:r>
        <w:rPr>
          <w:rFonts w:hint="eastAsia" w:ascii="Times New Roman" w:hAnsi="Times New Roman"/>
          <w:color w:val="auto"/>
        </w:rPr>
        <w:t>矿山设计采用挖掘机或装载机铲装，汽车运输矿石；剥离的废土石由挖掘机或装载机进行装车，自卸汽车进行运输。</w:t>
      </w:r>
    </w:p>
    <w:p w14:paraId="5AFF7C71">
      <w:pPr>
        <w:bidi w:val="0"/>
        <w:rPr>
          <w:rFonts w:hint="eastAsia" w:ascii="Times New Roman" w:hAnsi="Times New Roman"/>
          <w:color w:val="auto"/>
        </w:rPr>
      </w:pPr>
      <w:r>
        <w:rPr>
          <w:rFonts w:hint="eastAsia" w:ascii="Times New Roman" w:hAnsi="Times New Roman"/>
          <w:color w:val="auto"/>
        </w:rPr>
        <w:t>发生机械伤害事故的原因有：</w:t>
      </w:r>
    </w:p>
    <w:p w14:paraId="6148A18D">
      <w:pPr>
        <w:bidi w:val="0"/>
        <w:rPr>
          <w:rFonts w:hint="eastAsia" w:ascii="Times New Roman" w:hAnsi="Times New Roman"/>
          <w:color w:val="auto"/>
        </w:rPr>
      </w:pPr>
      <w:r>
        <w:rPr>
          <w:rFonts w:hint="eastAsia" w:ascii="Times New Roman" w:hAnsi="Times New Roman"/>
          <w:color w:val="auto"/>
        </w:rPr>
        <w:t>1）作业人员违章操作，穿戴不合规定的防护用品进行操作；</w:t>
      </w:r>
    </w:p>
    <w:p w14:paraId="6A9C079F">
      <w:pPr>
        <w:bidi w:val="0"/>
        <w:rPr>
          <w:rFonts w:hint="eastAsia" w:ascii="Times New Roman" w:hAnsi="Times New Roman"/>
          <w:color w:val="auto"/>
        </w:rPr>
      </w:pPr>
      <w:r>
        <w:rPr>
          <w:rFonts w:hint="eastAsia" w:ascii="Times New Roman" w:hAnsi="Times New Roman"/>
          <w:color w:val="auto"/>
        </w:rPr>
        <w:t>2）作业人员疏忽大意，身体进入机械危险部位；</w:t>
      </w:r>
    </w:p>
    <w:p w14:paraId="1476C08F">
      <w:pPr>
        <w:bidi w:val="0"/>
        <w:rPr>
          <w:rFonts w:hint="eastAsia" w:ascii="Times New Roman" w:hAnsi="Times New Roman"/>
          <w:color w:val="auto"/>
        </w:rPr>
      </w:pPr>
      <w:r>
        <w:rPr>
          <w:rFonts w:hint="eastAsia" w:ascii="Times New Roman" w:hAnsi="Times New Roman"/>
          <w:color w:val="auto"/>
        </w:rPr>
        <w:t>3）破碎设备的安全防护装置缺乏或不完善；</w:t>
      </w:r>
    </w:p>
    <w:p w14:paraId="42420E02">
      <w:pPr>
        <w:bidi w:val="0"/>
        <w:rPr>
          <w:rFonts w:hint="eastAsia" w:ascii="Times New Roman" w:hAnsi="Times New Roman"/>
          <w:color w:val="auto"/>
        </w:rPr>
      </w:pPr>
      <w:r>
        <w:rPr>
          <w:rFonts w:hint="eastAsia" w:ascii="Times New Roman" w:hAnsi="Times New Roman"/>
          <w:color w:val="auto"/>
        </w:rPr>
        <w:t>4）跨越或接触运转的机械设备部份；</w:t>
      </w:r>
    </w:p>
    <w:p w14:paraId="1DBAA7EA">
      <w:pPr>
        <w:bidi w:val="0"/>
        <w:rPr>
          <w:rFonts w:hint="eastAsia" w:ascii="Times New Roman" w:hAnsi="Times New Roman"/>
          <w:color w:val="auto"/>
        </w:rPr>
      </w:pPr>
      <w:r>
        <w:rPr>
          <w:rFonts w:hint="eastAsia" w:ascii="Times New Roman" w:hAnsi="Times New Roman"/>
          <w:color w:val="auto"/>
        </w:rPr>
        <w:t>5）在不安全的机械上停留、休息，导致事故发生。</w:t>
      </w:r>
    </w:p>
    <w:p w14:paraId="461191CA">
      <w:pPr>
        <w:bidi w:val="0"/>
        <w:rPr>
          <w:rFonts w:hint="eastAsia" w:ascii="Times New Roman" w:hAnsi="Times New Roman"/>
          <w:color w:val="auto"/>
        </w:rPr>
      </w:pPr>
      <w:r>
        <w:rPr>
          <w:rFonts w:hint="eastAsia" w:ascii="Times New Roman" w:hAnsi="Times New Roman"/>
          <w:color w:val="auto"/>
        </w:rPr>
        <w:t>6）安全管理存在不足、现场管理混乱、操作人员未经上岗培训。</w:t>
      </w:r>
    </w:p>
    <w:p w14:paraId="385E47BB">
      <w:pPr>
        <w:bidi w:val="0"/>
        <w:rPr>
          <w:rFonts w:hint="eastAsia" w:ascii="Times New Roman" w:hAnsi="Times New Roman"/>
          <w:color w:val="auto"/>
        </w:rPr>
      </w:pPr>
      <w:r>
        <w:rPr>
          <w:rFonts w:hint="eastAsia" w:ascii="Times New Roman" w:hAnsi="Times New Roman"/>
          <w:color w:val="auto"/>
        </w:rPr>
        <w:t>易发生机械伤害的场所：操作、维修运转的挖掘机、装载机、运输车辆等设备。</w:t>
      </w:r>
    </w:p>
    <w:p w14:paraId="7F3FF1E6">
      <w:pPr>
        <w:bidi w:val="0"/>
        <w:rPr>
          <w:rFonts w:hint="eastAsia" w:ascii="Times New Roman" w:hAnsi="Times New Roman"/>
          <w:color w:val="auto"/>
        </w:rPr>
      </w:pPr>
      <w:r>
        <w:rPr>
          <w:rFonts w:hint="eastAsia" w:ascii="Times New Roman" w:hAnsi="Times New Roman"/>
          <w:color w:val="auto"/>
        </w:rPr>
        <w:t>（5）车辆伤害</w:t>
      </w:r>
    </w:p>
    <w:p w14:paraId="5F809F63">
      <w:pPr>
        <w:bidi w:val="0"/>
        <w:rPr>
          <w:rFonts w:hint="eastAsia" w:ascii="Times New Roman" w:hAnsi="Times New Roman"/>
          <w:color w:val="auto"/>
        </w:rPr>
      </w:pPr>
      <w:r>
        <w:rPr>
          <w:rFonts w:hint="eastAsia" w:ascii="Times New Roman" w:hAnsi="Times New Roman"/>
          <w:color w:val="auto"/>
        </w:rPr>
        <w:t>矿山的铲装作业会发生车辆伤害事故，车辆伤害事故发生与路况、车况、驾驶技术、天气条件等有关。</w:t>
      </w:r>
    </w:p>
    <w:p w14:paraId="1BCB1B94">
      <w:pPr>
        <w:bidi w:val="0"/>
        <w:rPr>
          <w:rFonts w:hint="eastAsia" w:ascii="Times New Roman" w:hAnsi="Times New Roman"/>
          <w:color w:val="auto"/>
        </w:rPr>
      </w:pPr>
      <w:r>
        <w:rPr>
          <w:rFonts w:hint="eastAsia" w:ascii="Times New Roman" w:hAnsi="Times New Roman"/>
          <w:color w:val="auto"/>
        </w:rPr>
        <w:t>发生车辆伤害事故的原因有：</w:t>
      </w:r>
    </w:p>
    <w:p w14:paraId="32B2A881">
      <w:pPr>
        <w:bidi w:val="0"/>
        <w:rPr>
          <w:rFonts w:hint="eastAsia" w:ascii="Times New Roman" w:hAnsi="Times New Roman"/>
          <w:color w:val="auto"/>
        </w:rPr>
      </w:pPr>
      <w:r>
        <w:rPr>
          <w:rFonts w:hint="eastAsia" w:ascii="Times New Roman" w:hAnsi="Times New Roman"/>
          <w:color w:val="auto"/>
        </w:rPr>
        <w:t>1）作业平台路面凹凸不平、坡度较大，导致装载机及自卸汽车自动下滑而导致车辆伤害；</w:t>
      </w:r>
    </w:p>
    <w:p w14:paraId="74E55D98">
      <w:pPr>
        <w:bidi w:val="0"/>
        <w:rPr>
          <w:rFonts w:hint="eastAsia" w:ascii="Times New Roman" w:hAnsi="Times New Roman"/>
          <w:color w:val="auto"/>
        </w:rPr>
      </w:pPr>
      <w:r>
        <w:rPr>
          <w:rFonts w:hint="eastAsia" w:ascii="Times New Roman" w:hAnsi="Times New Roman"/>
          <w:color w:val="auto"/>
        </w:rPr>
        <w:t>2）挖掘机、装载机在作业平台上挖装矿石，如果作业平台宽度不足，边坡高度过高，未严格按操作规程操作，均有可能导致车辆伤害事故发生。</w:t>
      </w:r>
    </w:p>
    <w:p w14:paraId="45B4223F">
      <w:pPr>
        <w:bidi w:val="0"/>
        <w:rPr>
          <w:rFonts w:hint="eastAsia" w:ascii="Times New Roman" w:hAnsi="Times New Roman"/>
          <w:color w:val="auto"/>
        </w:rPr>
      </w:pPr>
      <w:r>
        <w:rPr>
          <w:rFonts w:hint="eastAsia" w:ascii="Times New Roman" w:hAnsi="Times New Roman"/>
          <w:color w:val="auto"/>
        </w:rPr>
        <w:t>3）装载机驾驶员疲劳驾驶、酒后驾驶、无证驾驶、人货混装驾驶等违章作业将导致车辆伤害；</w:t>
      </w:r>
    </w:p>
    <w:p w14:paraId="105DB3EE">
      <w:pPr>
        <w:bidi w:val="0"/>
        <w:rPr>
          <w:rFonts w:hint="eastAsia" w:ascii="Times New Roman" w:hAnsi="Times New Roman"/>
          <w:color w:val="auto"/>
        </w:rPr>
      </w:pPr>
      <w:r>
        <w:rPr>
          <w:rFonts w:hint="eastAsia" w:ascii="Times New Roman" w:hAnsi="Times New Roman"/>
          <w:color w:val="auto"/>
        </w:rPr>
        <w:t>4）雨天及下雪天未采取防滑措施导致车辆伤害事故。</w:t>
      </w:r>
    </w:p>
    <w:p w14:paraId="2C06BF4E">
      <w:pPr>
        <w:bidi w:val="0"/>
        <w:rPr>
          <w:rFonts w:hint="eastAsia" w:ascii="Times New Roman" w:hAnsi="Times New Roman"/>
          <w:color w:val="auto"/>
        </w:rPr>
      </w:pPr>
      <w:r>
        <w:rPr>
          <w:rFonts w:hint="eastAsia" w:ascii="Times New Roman" w:hAnsi="Times New Roman"/>
          <w:color w:val="auto"/>
        </w:rPr>
        <w:t>引起车辆伤害的主要原因：</w:t>
      </w:r>
    </w:p>
    <w:p w14:paraId="1B92C5F2">
      <w:pPr>
        <w:bidi w:val="0"/>
        <w:rPr>
          <w:rFonts w:hint="eastAsia" w:ascii="Times New Roman" w:hAnsi="Times New Roman"/>
          <w:color w:val="auto"/>
        </w:rPr>
      </w:pPr>
      <w:r>
        <w:rPr>
          <w:rFonts w:hint="eastAsia" w:ascii="Times New Roman" w:hAnsi="Times New Roman"/>
          <w:color w:val="auto"/>
        </w:rPr>
        <w:t>①违章驾驶、违章作业；</w:t>
      </w:r>
    </w:p>
    <w:p w14:paraId="4221E7B6">
      <w:pPr>
        <w:bidi w:val="0"/>
        <w:rPr>
          <w:rFonts w:hint="eastAsia" w:ascii="Times New Roman" w:hAnsi="Times New Roman"/>
          <w:color w:val="auto"/>
        </w:rPr>
      </w:pPr>
      <w:r>
        <w:rPr>
          <w:rFonts w:hint="eastAsia" w:ascii="Times New Roman" w:hAnsi="Times New Roman"/>
          <w:color w:val="auto"/>
        </w:rPr>
        <w:t>②运输设备和工具、器具有缺陷；</w:t>
      </w:r>
    </w:p>
    <w:p w14:paraId="07A57C39">
      <w:pPr>
        <w:bidi w:val="0"/>
        <w:rPr>
          <w:rFonts w:hint="eastAsia" w:ascii="Times New Roman" w:hAnsi="Times New Roman"/>
          <w:color w:val="auto"/>
        </w:rPr>
      </w:pPr>
      <w:r>
        <w:rPr>
          <w:rFonts w:hint="eastAsia" w:ascii="Times New Roman" w:hAnsi="Times New Roman"/>
          <w:color w:val="auto"/>
        </w:rPr>
        <w:t>③安全防护装置失效；</w:t>
      </w:r>
    </w:p>
    <w:p w14:paraId="15ECB038">
      <w:pPr>
        <w:bidi w:val="0"/>
        <w:rPr>
          <w:rFonts w:hint="eastAsia" w:ascii="Times New Roman" w:hAnsi="Times New Roman"/>
          <w:color w:val="auto"/>
        </w:rPr>
      </w:pPr>
      <w:r>
        <w:rPr>
          <w:rFonts w:hint="eastAsia" w:ascii="Times New Roman" w:hAnsi="Times New Roman"/>
          <w:color w:val="auto"/>
        </w:rPr>
        <w:t>易发生车辆伤害的场所：采场内矿石装卸、运输场所。</w:t>
      </w:r>
    </w:p>
    <w:p w14:paraId="03418447">
      <w:pPr>
        <w:bidi w:val="0"/>
        <w:rPr>
          <w:rFonts w:hint="eastAsia" w:ascii="Times New Roman" w:hAnsi="Times New Roman"/>
          <w:color w:val="auto"/>
        </w:rPr>
      </w:pPr>
      <w:r>
        <w:rPr>
          <w:rFonts w:hint="eastAsia" w:ascii="Times New Roman" w:hAnsi="Times New Roman"/>
          <w:color w:val="auto"/>
        </w:rPr>
        <w:t>（6）爆破伤害</w:t>
      </w:r>
    </w:p>
    <w:p w14:paraId="11F30133">
      <w:pPr>
        <w:bidi w:val="0"/>
        <w:rPr>
          <w:rFonts w:hint="eastAsia" w:ascii="Times New Roman" w:hAnsi="Times New Roman"/>
          <w:color w:val="auto"/>
        </w:rPr>
      </w:pPr>
      <w:r>
        <w:rPr>
          <w:rFonts w:hint="eastAsia" w:ascii="Times New Roman" w:hAnsi="Times New Roman"/>
          <w:color w:val="auto"/>
        </w:rPr>
        <w:t>1）爆破飞石伤害：炮孔参数设计不当、地质条件复杂、堵塞质量差、起爆顺序错误、覆盖防护不足及外部环境等均可能造成爆破飞石伤害；</w:t>
      </w:r>
    </w:p>
    <w:p w14:paraId="1369AE27">
      <w:pPr>
        <w:bidi w:val="0"/>
        <w:rPr>
          <w:rFonts w:hint="eastAsia" w:ascii="Times New Roman" w:hAnsi="Times New Roman"/>
          <w:color w:val="auto"/>
        </w:rPr>
      </w:pPr>
      <w:r>
        <w:rPr>
          <w:rFonts w:hint="eastAsia" w:ascii="Times New Roman" w:hAnsi="Times New Roman"/>
          <w:color w:val="auto"/>
        </w:rPr>
        <w:t>2）爆破振动伤害：单段药量过大、爆心距过近、地质条件、爆破参数设计不合理及起爆网路设计不当；</w:t>
      </w:r>
    </w:p>
    <w:p w14:paraId="33F627C3">
      <w:pPr>
        <w:bidi w:val="0"/>
        <w:rPr>
          <w:rFonts w:hint="eastAsia" w:ascii="Times New Roman" w:hAnsi="Times New Roman"/>
          <w:color w:val="auto"/>
        </w:rPr>
      </w:pPr>
      <w:r>
        <w:rPr>
          <w:rFonts w:hint="eastAsia" w:ascii="Times New Roman" w:hAnsi="Times New Roman"/>
          <w:color w:val="auto"/>
        </w:rPr>
        <w:t>3）爆破冲击波伤害：裸露药包或半裸露爆破、药量过大且空间受限及冲击波叠加；</w:t>
      </w:r>
    </w:p>
    <w:p w14:paraId="7C2A1102">
      <w:pPr>
        <w:bidi w:val="0"/>
        <w:rPr>
          <w:rFonts w:hint="eastAsia" w:ascii="Times New Roman" w:hAnsi="Times New Roman"/>
          <w:color w:val="auto"/>
        </w:rPr>
      </w:pPr>
      <w:r>
        <w:rPr>
          <w:rFonts w:hint="eastAsia" w:ascii="Times New Roman" w:hAnsi="Times New Roman"/>
          <w:color w:val="auto"/>
        </w:rPr>
        <w:t>4）早爆与迟爆伤害：外来电流、起爆器材质量问题、违规操作和误操作是引发早爆的因素，起爆器材质量问题、起爆网路故障和炸药变质是造成迟爆的因素；</w:t>
      </w:r>
    </w:p>
    <w:p w14:paraId="09FAE4CE">
      <w:pPr>
        <w:bidi w:val="0"/>
        <w:rPr>
          <w:rFonts w:hint="eastAsia" w:ascii="Times New Roman" w:hAnsi="Times New Roman"/>
          <w:color w:val="auto"/>
        </w:rPr>
      </w:pPr>
      <w:r>
        <w:rPr>
          <w:rFonts w:hint="eastAsia" w:ascii="Times New Roman" w:hAnsi="Times New Roman"/>
          <w:color w:val="auto"/>
        </w:rPr>
        <w:t>5）爆破引发的次生灾害：可能发生边坡失稳/滑坡、滚石/坍塌、粉尘危害、引爆危险物质、破坏设施。</w:t>
      </w:r>
    </w:p>
    <w:p w14:paraId="608CDF71">
      <w:pPr>
        <w:pStyle w:val="4"/>
        <w:bidi w:val="0"/>
        <w:rPr>
          <w:rFonts w:hint="eastAsia" w:ascii="Times New Roman" w:hAnsi="Times New Roman"/>
          <w:color w:val="auto"/>
        </w:rPr>
      </w:pPr>
      <w:bookmarkStart w:id="113" w:name="_Toc13041"/>
      <w:r>
        <w:rPr>
          <w:rFonts w:hint="eastAsia" w:ascii="Times New Roman" w:hAnsi="Times New Roman"/>
          <w:color w:val="auto"/>
        </w:rPr>
        <w:t>3.3.2</w:t>
      </w:r>
      <w:r>
        <w:rPr>
          <w:rFonts w:hint="eastAsia" w:ascii="Times New Roman" w:hAnsi="Times New Roman"/>
          <w:color w:val="auto"/>
          <w:lang w:val="en-US" w:eastAsia="zh-CN"/>
        </w:rPr>
        <w:t xml:space="preserve"> </w:t>
      </w:r>
      <w:r>
        <w:rPr>
          <w:rFonts w:hint="eastAsia" w:ascii="Times New Roman" w:hAnsi="Times New Roman"/>
          <w:color w:val="auto"/>
        </w:rPr>
        <w:t>采场子单元</w:t>
      </w:r>
      <w:bookmarkEnd w:id="113"/>
    </w:p>
    <w:p w14:paraId="7E3A6699">
      <w:pPr>
        <w:pStyle w:val="5"/>
        <w:bidi w:val="0"/>
        <w:rPr>
          <w:rFonts w:hint="eastAsia" w:ascii="Times New Roman" w:hAnsi="Times New Roman" w:eastAsia="宋体"/>
          <w:color w:val="auto"/>
          <w:lang w:eastAsia="zh-CN"/>
        </w:rPr>
      </w:pPr>
      <w:r>
        <w:rPr>
          <w:rFonts w:hint="eastAsia" w:ascii="Times New Roman" w:hAnsi="Times New Roman"/>
          <w:color w:val="auto"/>
        </w:rPr>
        <w:t>3.3.2.1</w:t>
      </w:r>
      <w:r>
        <w:rPr>
          <w:rFonts w:hint="eastAsia" w:ascii="Times New Roman" w:hAnsi="Times New Roman"/>
          <w:color w:val="auto"/>
          <w:lang w:val="en-US" w:eastAsia="zh-CN"/>
        </w:rPr>
        <w:t xml:space="preserve"> </w:t>
      </w:r>
      <w:r>
        <w:rPr>
          <w:rFonts w:hint="eastAsia" w:ascii="Times New Roman" w:hAnsi="Times New Roman"/>
          <w:color w:val="auto"/>
        </w:rPr>
        <w:t>预先危险性分析</w:t>
      </w:r>
      <w:r>
        <w:rPr>
          <w:rFonts w:hint="eastAsia" w:ascii="Times New Roman" w:hAnsi="Times New Roman"/>
          <w:color w:val="auto"/>
          <w:lang w:eastAsia="zh-CN"/>
        </w:rPr>
        <w:t>（</w:t>
      </w:r>
      <w:r>
        <w:rPr>
          <w:rFonts w:hint="eastAsia" w:ascii="Times New Roman" w:hAnsi="Times New Roman"/>
          <w:color w:val="auto"/>
        </w:rPr>
        <w:t>PHA</w:t>
      </w:r>
      <w:r>
        <w:rPr>
          <w:rFonts w:hint="eastAsia" w:ascii="Times New Roman" w:hAnsi="Times New Roman"/>
          <w:color w:val="auto"/>
          <w:lang w:eastAsia="zh-CN"/>
        </w:rPr>
        <w:t>）</w:t>
      </w:r>
    </w:p>
    <w:p w14:paraId="49963B4D">
      <w:pPr>
        <w:bidi w:val="0"/>
        <w:rPr>
          <w:rFonts w:hint="eastAsia" w:ascii="Times New Roman" w:hAnsi="Times New Roman"/>
          <w:color w:val="auto"/>
        </w:rPr>
      </w:pPr>
      <w:r>
        <w:rPr>
          <w:rFonts w:hint="eastAsia" w:ascii="Times New Roman" w:hAnsi="Times New Roman"/>
          <w:color w:val="auto"/>
        </w:rPr>
        <w:t>采剥单元危险、有害因素有：边坡失稳、滚石、高处坠落、机械伤害、车辆伤害、爆破伤害</w:t>
      </w:r>
      <w:r>
        <w:rPr>
          <w:rFonts w:hint="eastAsia" w:ascii="Times New Roman" w:hAnsi="Times New Roman"/>
          <w:color w:val="auto"/>
          <w:lang w:eastAsia="zh-CN"/>
        </w:rPr>
        <w:t>（</w:t>
      </w:r>
      <w:r>
        <w:rPr>
          <w:rFonts w:hint="eastAsia" w:ascii="Times New Roman" w:hAnsi="Times New Roman"/>
          <w:color w:val="auto"/>
        </w:rPr>
        <w:t>早爆、延爆、拒爆、爆破飞石、爆破冲击波、爆破振动</w:t>
      </w:r>
      <w:r>
        <w:rPr>
          <w:rFonts w:hint="eastAsia" w:ascii="Times New Roman" w:hAnsi="Times New Roman"/>
          <w:color w:val="auto"/>
          <w:lang w:eastAsia="zh-CN"/>
        </w:rPr>
        <w:t>）</w:t>
      </w:r>
      <w:r>
        <w:rPr>
          <w:rFonts w:hint="eastAsia" w:ascii="Times New Roman" w:hAnsi="Times New Roman"/>
          <w:color w:val="auto"/>
        </w:rPr>
        <w:t>等。</w:t>
      </w:r>
    </w:p>
    <w:p w14:paraId="77BD0EDB">
      <w:pPr>
        <w:pStyle w:val="16"/>
        <w:bidi w:val="0"/>
        <w:rPr>
          <w:rFonts w:hint="eastAsia" w:ascii="Times New Roman" w:hAnsi="Times New Roman"/>
          <w:color w:val="auto"/>
        </w:rPr>
      </w:pPr>
      <w:r>
        <w:rPr>
          <w:rFonts w:hint="eastAsia" w:ascii="Times New Roman" w:hAnsi="Times New Roman"/>
          <w:color w:val="auto"/>
        </w:rPr>
        <w:t>表3.3-1  露天采场单元预先危险性分析表</w:t>
      </w:r>
    </w:p>
    <w:tbl>
      <w:tblPr>
        <w:tblStyle w:val="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4"/>
        <w:gridCol w:w="2495"/>
        <w:gridCol w:w="1055"/>
        <w:gridCol w:w="1055"/>
        <w:gridCol w:w="1326"/>
        <w:gridCol w:w="2410"/>
      </w:tblGrid>
      <w:tr w14:paraId="37A2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blHeader/>
          <w:jc w:val="center"/>
        </w:trPr>
        <w:tc>
          <w:tcPr>
            <w:tcW w:w="561" w:type="pct"/>
            <w:noWrap w:val="0"/>
            <w:vAlign w:val="center"/>
          </w:tcPr>
          <w:p w14:paraId="41058E74">
            <w:pPr>
              <w:pStyle w:val="17"/>
              <w:bidi w:val="0"/>
              <w:rPr>
                <w:rFonts w:ascii="Times New Roman" w:hAnsi="Times New Roman"/>
                <w:b/>
                <w:bCs/>
                <w:color w:val="auto"/>
              </w:rPr>
            </w:pPr>
            <w:r>
              <w:rPr>
                <w:rFonts w:ascii="Times New Roman" w:hAnsi="Times New Roman"/>
                <w:b/>
                <w:bCs/>
                <w:color w:val="auto"/>
              </w:rPr>
              <w:t>危害因素</w:t>
            </w:r>
          </w:p>
        </w:tc>
        <w:tc>
          <w:tcPr>
            <w:tcW w:w="1327" w:type="pct"/>
            <w:noWrap w:val="0"/>
            <w:vAlign w:val="center"/>
          </w:tcPr>
          <w:p w14:paraId="0716AF13">
            <w:pPr>
              <w:pStyle w:val="17"/>
              <w:bidi w:val="0"/>
              <w:jc w:val="center"/>
              <w:rPr>
                <w:rFonts w:ascii="Times New Roman" w:hAnsi="Times New Roman"/>
                <w:b/>
                <w:bCs/>
                <w:color w:val="auto"/>
              </w:rPr>
            </w:pPr>
            <w:r>
              <w:rPr>
                <w:rFonts w:ascii="Times New Roman" w:hAnsi="Times New Roman"/>
                <w:b/>
                <w:bCs/>
                <w:color w:val="auto"/>
              </w:rPr>
              <w:t>诱发事故原因</w:t>
            </w:r>
          </w:p>
        </w:tc>
        <w:tc>
          <w:tcPr>
            <w:tcW w:w="561" w:type="pct"/>
            <w:noWrap w:val="0"/>
            <w:vAlign w:val="center"/>
          </w:tcPr>
          <w:p w14:paraId="1765B7B5">
            <w:pPr>
              <w:pStyle w:val="17"/>
              <w:bidi w:val="0"/>
              <w:rPr>
                <w:rFonts w:ascii="Times New Roman" w:hAnsi="Times New Roman"/>
                <w:b/>
                <w:bCs/>
                <w:color w:val="auto"/>
              </w:rPr>
            </w:pPr>
            <w:r>
              <w:rPr>
                <w:rFonts w:ascii="Times New Roman" w:hAnsi="Times New Roman"/>
                <w:b/>
                <w:bCs/>
                <w:color w:val="auto"/>
              </w:rPr>
              <w:t>事故模式</w:t>
            </w:r>
          </w:p>
        </w:tc>
        <w:tc>
          <w:tcPr>
            <w:tcW w:w="561" w:type="pct"/>
            <w:noWrap w:val="0"/>
            <w:vAlign w:val="center"/>
          </w:tcPr>
          <w:p w14:paraId="5B2636DE">
            <w:pPr>
              <w:pStyle w:val="17"/>
              <w:bidi w:val="0"/>
              <w:rPr>
                <w:rFonts w:ascii="Times New Roman" w:hAnsi="Times New Roman"/>
                <w:b/>
                <w:bCs/>
                <w:color w:val="auto"/>
              </w:rPr>
            </w:pPr>
            <w:r>
              <w:rPr>
                <w:rFonts w:ascii="Times New Roman" w:hAnsi="Times New Roman"/>
                <w:b/>
                <w:bCs/>
                <w:color w:val="auto"/>
              </w:rPr>
              <w:t>事故后果</w:t>
            </w:r>
          </w:p>
        </w:tc>
        <w:tc>
          <w:tcPr>
            <w:tcW w:w="705" w:type="pct"/>
            <w:noWrap w:val="0"/>
            <w:vAlign w:val="center"/>
          </w:tcPr>
          <w:p w14:paraId="76D99A9C">
            <w:pPr>
              <w:pStyle w:val="17"/>
              <w:bidi w:val="0"/>
              <w:rPr>
                <w:rFonts w:ascii="Times New Roman" w:hAnsi="Times New Roman"/>
                <w:b/>
                <w:bCs/>
                <w:color w:val="auto"/>
              </w:rPr>
            </w:pPr>
            <w:r>
              <w:rPr>
                <w:rFonts w:ascii="Times New Roman" w:hAnsi="Times New Roman"/>
                <w:b/>
                <w:bCs/>
                <w:color w:val="auto"/>
              </w:rPr>
              <w:t>危险等级</w:t>
            </w:r>
          </w:p>
        </w:tc>
        <w:tc>
          <w:tcPr>
            <w:tcW w:w="1282" w:type="pct"/>
            <w:noWrap w:val="0"/>
            <w:vAlign w:val="center"/>
          </w:tcPr>
          <w:p w14:paraId="40065986">
            <w:pPr>
              <w:pStyle w:val="17"/>
              <w:bidi w:val="0"/>
              <w:jc w:val="center"/>
              <w:rPr>
                <w:rFonts w:ascii="Times New Roman" w:hAnsi="Times New Roman"/>
                <w:b/>
                <w:bCs/>
                <w:color w:val="auto"/>
              </w:rPr>
            </w:pPr>
            <w:r>
              <w:rPr>
                <w:rFonts w:ascii="Times New Roman" w:hAnsi="Times New Roman"/>
                <w:b/>
                <w:bCs/>
                <w:color w:val="auto"/>
              </w:rPr>
              <w:t>对策措施</w:t>
            </w:r>
          </w:p>
        </w:tc>
      </w:tr>
      <w:tr w14:paraId="38F1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61" w:type="pct"/>
            <w:noWrap w:val="0"/>
            <w:vAlign w:val="center"/>
          </w:tcPr>
          <w:p w14:paraId="7D67485C">
            <w:pPr>
              <w:pStyle w:val="17"/>
              <w:bidi w:val="0"/>
              <w:rPr>
                <w:rFonts w:ascii="Times New Roman" w:hAnsi="Times New Roman"/>
                <w:color w:val="auto"/>
              </w:rPr>
            </w:pPr>
            <w:r>
              <w:rPr>
                <w:rFonts w:ascii="Times New Roman" w:hAnsi="Times New Roman"/>
                <w:color w:val="auto"/>
              </w:rPr>
              <w:t>露天边坡危害</w:t>
            </w:r>
          </w:p>
        </w:tc>
        <w:tc>
          <w:tcPr>
            <w:tcW w:w="1327" w:type="pct"/>
            <w:noWrap w:val="0"/>
            <w:vAlign w:val="center"/>
          </w:tcPr>
          <w:p w14:paraId="15654793">
            <w:pPr>
              <w:pStyle w:val="17"/>
              <w:bidi w:val="0"/>
              <w:jc w:val="both"/>
              <w:rPr>
                <w:rFonts w:ascii="Times New Roman" w:hAnsi="Times New Roman"/>
                <w:color w:val="auto"/>
              </w:rPr>
            </w:pPr>
            <w:r>
              <w:rPr>
                <w:rFonts w:ascii="Times New Roman" w:hAnsi="Times New Roman"/>
                <w:color w:val="auto"/>
              </w:rPr>
              <w:t>1.边坡参数不合理：台阶过高，坡面角过大，工作平台宽度窄；2.边坡高陡、坡积、残坡积层﹑岩石破碎、岩石结构面发育；3.受爆大气降雨和地表水等因素的影响；4.局部掏采；5.不按照规范操作。</w:t>
            </w:r>
          </w:p>
        </w:tc>
        <w:tc>
          <w:tcPr>
            <w:tcW w:w="561" w:type="pct"/>
            <w:noWrap w:val="0"/>
            <w:vAlign w:val="center"/>
          </w:tcPr>
          <w:p w14:paraId="6F7ACCDF">
            <w:pPr>
              <w:pStyle w:val="17"/>
              <w:bidi w:val="0"/>
              <w:rPr>
                <w:rFonts w:ascii="Times New Roman" w:hAnsi="Times New Roman"/>
                <w:color w:val="auto"/>
              </w:rPr>
            </w:pPr>
            <w:r>
              <w:rPr>
                <w:rFonts w:ascii="Times New Roman" w:hAnsi="Times New Roman"/>
                <w:color w:val="auto"/>
              </w:rPr>
              <w:t>边坡失稳</w:t>
            </w:r>
          </w:p>
          <w:p w14:paraId="3F8334D8">
            <w:pPr>
              <w:pStyle w:val="17"/>
              <w:bidi w:val="0"/>
              <w:rPr>
                <w:rFonts w:ascii="Times New Roman" w:hAnsi="Times New Roman"/>
                <w:color w:val="auto"/>
              </w:rPr>
            </w:pPr>
            <w:r>
              <w:rPr>
                <w:rFonts w:ascii="Times New Roman" w:hAnsi="Times New Roman"/>
                <w:color w:val="auto"/>
              </w:rPr>
              <w:t>坍塌滑坡</w:t>
            </w:r>
          </w:p>
        </w:tc>
        <w:tc>
          <w:tcPr>
            <w:tcW w:w="561" w:type="pct"/>
            <w:noWrap w:val="0"/>
            <w:vAlign w:val="center"/>
          </w:tcPr>
          <w:p w14:paraId="34823771">
            <w:pPr>
              <w:pStyle w:val="17"/>
              <w:bidi w:val="0"/>
              <w:rPr>
                <w:rFonts w:ascii="Times New Roman" w:hAnsi="Times New Roman"/>
                <w:color w:val="auto"/>
              </w:rPr>
            </w:pPr>
            <w:r>
              <w:rPr>
                <w:rFonts w:ascii="Times New Roman" w:hAnsi="Times New Roman"/>
                <w:color w:val="auto"/>
              </w:rPr>
              <w:t>人员</w:t>
            </w:r>
          </w:p>
          <w:p w14:paraId="31E57CF7">
            <w:pPr>
              <w:pStyle w:val="17"/>
              <w:bidi w:val="0"/>
              <w:rPr>
                <w:rFonts w:ascii="Times New Roman" w:hAnsi="Times New Roman"/>
                <w:color w:val="auto"/>
              </w:rPr>
            </w:pPr>
            <w:r>
              <w:rPr>
                <w:rFonts w:ascii="Times New Roman" w:hAnsi="Times New Roman"/>
                <w:color w:val="auto"/>
              </w:rPr>
              <w:t>伤亡</w:t>
            </w:r>
          </w:p>
          <w:p w14:paraId="522D83E4">
            <w:pPr>
              <w:pStyle w:val="17"/>
              <w:bidi w:val="0"/>
              <w:rPr>
                <w:rFonts w:ascii="Times New Roman" w:hAnsi="Times New Roman"/>
                <w:color w:val="auto"/>
              </w:rPr>
            </w:pPr>
            <w:r>
              <w:rPr>
                <w:rFonts w:ascii="Times New Roman" w:hAnsi="Times New Roman"/>
                <w:color w:val="auto"/>
              </w:rPr>
              <w:t>设备</w:t>
            </w:r>
          </w:p>
          <w:p w14:paraId="6E00C869">
            <w:pPr>
              <w:pStyle w:val="17"/>
              <w:bidi w:val="0"/>
              <w:rPr>
                <w:rFonts w:ascii="Times New Roman" w:hAnsi="Times New Roman"/>
                <w:color w:val="auto"/>
              </w:rPr>
            </w:pPr>
            <w:r>
              <w:rPr>
                <w:rFonts w:ascii="Times New Roman" w:hAnsi="Times New Roman"/>
                <w:color w:val="auto"/>
              </w:rPr>
              <w:t>损坏</w:t>
            </w:r>
          </w:p>
        </w:tc>
        <w:tc>
          <w:tcPr>
            <w:tcW w:w="705" w:type="pct"/>
            <w:noWrap w:val="0"/>
            <w:vAlign w:val="center"/>
          </w:tcPr>
          <w:p w14:paraId="51CDA789">
            <w:pPr>
              <w:pStyle w:val="17"/>
              <w:bidi w:val="0"/>
              <w:rPr>
                <w:rFonts w:ascii="Times New Roman" w:hAnsi="Times New Roman"/>
                <w:color w:val="auto"/>
              </w:rPr>
            </w:pPr>
            <w:r>
              <w:rPr>
                <w:rFonts w:ascii="Times New Roman" w:hAnsi="Times New Roman"/>
                <w:color w:val="auto"/>
              </w:rPr>
              <w:t>Ⅲ</w:t>
            </w:r>
          </w:p>
        </w:tc>
        <w:tc>
          <w:tcPr>
            <w:tcW w:w="1282" w:type="pct"/>
            <w:noWrap w:val="0"/>
            <w:vAlign w:val="center"/>
          </w:tcPr>
          <w:p w14:paraId="04A48335">
            <w:pPr>
              <w:pStyle w:val="17"/>
              <w:bidi w:val="0"/>
              <w:jc w:val="both"/>
              <w:rPr>
                <w:rFonts w:ascii="Times New Roman" w:hAnsi="Times New Roman"/>
                <w:color w:val="auto"/>
              </w:rPr>
            </w:pPr>
            <w:r>
              <w:rPr>
                <w:rFonts w:ascii="Times New Roman" w:hAnsi="Times New Roman"/>
                <w:color w:val="auto"/>
              </w:rPr>
              <w:t>1.按照规范、规程要求进行设计、开采，合理确定境界和边坡参数；2.定期进行边坡稳定性研究分析及监测；3.合理布置工作面；4.合理协调，统筹规划开采境界；5.合理构筑防排水设施；6.严禁掏底开采。</w:t>
            </w:r>
          </w:p>
        </w:tc>
      </w:tr>
      <w:tr w14:paraId="2C5F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61" w:type="pct"/>
            <w:noWrap w:val="0"/>
            <w:vAlign w:val="center"/>
          </w:tcPr>
          <w:p w14:paraId="5BE61C37">
            <w:pPr>
              <w:pStyle w:val="17"/>
              <w:bidi w:val="0"/>
              <w:rPr>
                <w:rFonts w:ascii="Times New Roman" w:hAnsi="Times New Roman"/>
                <w:color w:val="auto"/>
              </w:rPr>
            </w:pPr>
            <w:r>
              <w:rPr>
                <w:rFonts w:ascii="Times New Roman" w:hAnsi="Times New Roman"/>
                <w:color w:val="auto"/>
              </w:rPr>
              <w:t>滚石伤害</w:t>
            </w:r>
          </w:p>
        </w:tc>
        <w:tc>
          <w:tcPr>
            <w:tcW w:w="1327" w:type="pct"/>
            <w:noWrap w:val="0"/>
            <w:vAlign w:val="center"/>
          </w:tcPr>
          <w:p w14:paraId="73FF5A69">
            <w:pPr>
              <w:pStyle w:val="17"/>
              <w:bidi w:val="0"/>
              <w:jc w:val="both"/>
              <w:rPr>
                <w:rFonts w:ascii="Times New Roman" w:hAnsi="Times New Roman"/>
                <w:color w:val="auto"/>
              </w:rPr>
            </w:pPr>
            <w:r>
              <w:rPr>
                <w:rFonts w:ascii="Times New Roman" w:hAnsi="Times New Roman"/>
                <w:color w:val="auto"/>
              </w:rPr>
              <w:t>1.工作帮坡面上因安全检查不严格及浮石、危石清理不彻底；</w:t>
            </w:r>
          </w:p>
          <w:p w14:paraId="61523153">
            <w:pPr>
              <w:pStyle w:val="17"/>
              <w:bidi w:val="0"/>
              <w:jc w:val="both"/>
              <w:rPr>
                <w:rFonts w:ascii="Times New Roman" w:hAnsi="Times New Roman"/>
                <w:color w:val="auto"/>
              </w:rPr>
            </w:pPr>
            <w:r>
              <w:rPr>
                <w:rFonts w:ascii="Times New Roman" w:hAnsi="Times New Roman"/>
                <w:color w:val="auto"/>
              </w:rPr>
              <w:t>2.雨水冲刷等；</w:t>
            </w:r>
          </w:p>
          <w:p w14:paraId="3AF406C0">
            <w:pPr>
              <w:pStyle w:val="17"/>
              <w:bidi w:val="0"/>
              <w:jc w:val="both"/>
              <w:rPr>
                <w:rFonts w:ascii="Times New Roman" w:hAnsi="Times New Roman"/>
                <w:color w:val="auto"/>
              </w:rPr>
            </w:pPr>
            <w:r>
              <w:rPr>
                <w:rFonts w:ascii="Times New Roman" w:hAnsi="Times New Roman"/>
                <w:color w:val="auto"/>
              </w:rPr>
              <w:t>3.台阶过高，与铲装设备</w:t>
            </w:r>
            <w:r>
              <w:rPr>
                <w:rFonts w:hint="eastAsia" w:ascii="Times New Roman" w:hAnsi="Times New Roman"/>
                <w:color w:val="auto"/>
                <w:lang w:eastAsia="zh-CN"/>
              </w:rPr>
              <w:t>（</w:t>
            </w:r>
            <w:r>
              <w:rPr>
                <w:rFonts w:ascii="Times New Roman" w:hAnsi="Times New Roman"/>
                <w:color w:val="auto"/>
              </w:rPr>
              <w:t>工艺</w:t>
            </w:r>
            <w:r>
              <w:rPr>
                <w:rFonts w:hint="eastAsia" w:ascii="Times New Roman" w:hAnsi="Times New Roman"/>
                <w:color w:val="auto"/>
                <w:lang w:eastAsia="zh-CN"/>
              </w:rPr>
              <w:t>）</w:t>
            </w:r>
            <w:r>
              <w:rPr>
                <w:rFonts w:ascii="Times New Roman" w:hAnsi="Times New Roman"/>
                <w:color w:val="auto"/>
              </w:rPr>
              <w:t>不配套；</w:t>
            </w:r>
          </w:p>
          <w:p w14:paraId="7DFEEDAA">
            <w:pPr>
              <w:pStyle w:val="17"/>
              <w:bidi w:val="0"/>
              <w:jc w:val="both"/>
              <w:rPr>
                <w:rFonts w:ascii="Times New Roman" w:hAnsi="Times New Roman"/>
                <w:color w:val="auto"/>
              </w:rPr>
            </w:pPr>
            <w:r>
              <w:rPr>
                <w:rFonts w:ascii="Times New Roman" w:hAnsi="Times New Roman"/>
                <w:color w:val="auto"/>
              </w:rPr>
              <w:t>4.边坡维护无人监护，人员在工作地点下部的道路停留或通过。</w:t>
            </w:r>
          </w:p>
        </w:tc>
        <w:tc>
          <w:tcPr>
            <w:tcW w:w="561" w:type="pct"/>
            <w:noWrap w:val="0"/>
            <w:vAlign w:val="center"/>
          </w:tcPr>
          <w:p w14:paraId="1626C355">
            <w:pPr>
              <w:pStyle w:val="17"/>
              <w:bidi w:val="0"/>
              <w:rPr>
                <w:rFonts w:ascii="Times New Roman" w:hAnsi="Times New Roman"/>
                <w:color w:val="auto"/>
              </w:rPr>
            </w:pPr>
            <w:r>
              <w:rPr>
                <w:rFonts w:ascii="Times New Roman" w:hAnsi="Times New Roman"/>
                <w:color w:val="auto"/>
              </w:rPr>
              <w:t>滚石伤人</w:t>
            </w:r>
          </w:p>
        </w:tc>
        <w:tc>
          <w:tcPr>
            <w:tcW w:w="561" w:type="pct"/>
            <w:noWrap w:val="0"/>
            <w:vAlign w:val="center"/>
          </w:tcPr>
          <w:p w14:paraId="647CB2A8">
            <w:pPr>
              <w:pStyle w:val="17"/>
              <w:bidi w:val="0"/>
              <w:rPr>
                <w:rFonts w:ascii="Times New Roman" w:hAnsi="Times New Roman"/>
                <w:color w:val="auto"/>
              </w:rPr>
            </w:pPr>
            <w:r>
              <w:rPr>
                <w:rFonts w:ascii="Times New Roman" w:hAnsi="Times New Roman"/>
                <w:color w:val="auto"/>
              </w:rPr>
              <w:t>人员</w:t>
            </w:r>
          </w:p>
          <w:p w14:paraId="312F1E30">
            <w:pPr>
              <w:pStyle w:val="17"/>
              <w:bidi w:val="0"/>
              <w:rPr>
                <w:rFonts w:ascii="Times New Roman" w:hAnsi="Times New Roman"/>
                <w:color w:val="auto"/>
              </w:rPr>
            </w:pPr>
            <w:r>
              <w:rPr>
                <w:rFonts w:ascii="Times New Roman" w:hAnsi="Times New Roman"/>
                <w:color w:val="auto"/>
              </w:rPr>
              <w:t>伤亡</w:t>
            </w:r>
          </w:p>
          <w:p w14:paraId="67D7B892">
            <w:pPr>
              <w:pStyle w:val="17"/>
              <w:bidi w:val="0"/>
              <w:rPr>
                <w:rFonts w:ascii="Times New Roman" w:hAnsi="Times New Roman"/>
                <w:color w:val="auto"/>
              </w:rPr>
            </w:pPr>
            <w:r>
              <w:rPr>
                <w:rFonts w:ascii="Times New Roman" w:hAnsi="Times New Roman"/>
                <w:color w:val="auto"/>
              </w:rPr>
              <w:t>设备</w:t>
            </w:r>
          </w:p>
          <w:p w14:paraId="71DF82B4">
            <w:pPr>
              <w:pStyle w:val="17"/>
              <w:bidi w:val="0"/>
              <w:rPr>
                <w:rFonts w:ascii="Times New Roman" w:hAnsi="Times New Roman"/>
                <w:color w:val="auto"/>
              </w:rPr>
            </w:pPr>
            <w:r>
              <w:rPr>
                <w:rFonts w:ascii="Times New Roman" w:hAnsi="Times New Roman"/>
                <w:color w:val="auto"/>
              </w:rPr>
              <w:t>损伤</w:t>
            </w:r>
          </w:p>
        </w:tc>
        <w:tc>
          <w:tcPr>
            <w:tcW w:w="705" w:type="pct"/>
            <w:noWrap w:val="0"/>
            <w:vAlign w:val="center"/>
          </w:tcPr>
          <w:p w14:paraId="0BB99566">
            <w:pPr>
              <w:pStyle w:val="17"/>
              <w:bidi w:val="0"/>
              <w:rPr>
                <w:rFonts w:ascii="Times New Roman" w:hAnsi="Times New Roman"/>
                <w:color w:val="auto"/>
              </w:rPr>
            </w:pPr>
            <w:r>
              <w:rPr>
                <w:rFonts w:ascii="Times New Roman" w:hAnsi="Times New Roman"/>
                <w:color w:val="auto"/>
              </w:rPr>
              <w:t>Ⅲ～II</w:t>
            </w:r>
          </w:p>
        </w:tc>
        <w:tc>
          <w:tcPr>
            <w:tcW w:w="1282" w:type="pct"/>
            <w:noWrap w:val="0"/>
            <w:vAlign w:val="center"/>
          </w:tcPr>
          <w:p w14:paraId="078A1F7B">
            <w:pPr>
              <w:pStyle w:val="17"/>
              <w:bidi w:val="0"/>
              <w:jc w:val="both"/>
              <w:rPr>
                <w:rFonts w:ascii="Times New Roman" w:hAnsi="Times New Roman"/>
                <w:color w:val="auto"/>
              </w:rPr>
            </w:pPr>
            <w:r>
              <w:rPr>
                <w:rFonts w:ascii="Times New Roman" w:hAnsi="Times New Roman"/>
                <w:color w:val="auto"/>
              </w:rPr>
              <w:t>1.生产作业前对工作帮边坡上的单体危岩和伞檐进行处理；2.建立边坡安全检查制度，及时清理浮石；3.合理构筑防排水设施；4.确定合理的台阶高度；5.作业范围设置明显安全警示标志，防止人、畜进入；6.边坡维护时应有专人在工作点下方危险范围外监护，防止人员进入。</w:t>
            </w:r>
          </w:p>
        </w:tc>
      </w:tr>
      <w:tr w14:paraId="68E0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561" w:type="pct"/>
            <w:noWrap w:val="0"/>
            <w:vAlign w:val="center"/>
          </w:tcPr>
          <w:p w14:paraId="0FD3FAE2">
            <w:pPr>
              <w:pStyle w:val="17"/>
              <w:bidi w:val="0"/>
              <w:rPr>
                <w:rFonts w:ascii="Times New Roman" w:hAnsi="Times New Roman"/>
                <w:color w:val="auto"/>
              </w:rPr>
            </w:pPr>
            <w:r>
              <w:rPr>
                <w:rFonts w:ascii="Times New Roman" w:hAnsi="Times New Roman"/>
                <w:color w:val="auto"/>
              </w:rPr>
              <w:t>高处坠落</w:t>
            </w:r>
          </w:p>
        </w:tc>
        <w:tc>
          <w:tcPr>
            <w:tcW w:w="1327" w:type="pct"/>
            <w:noWrap w:val="0"/>
            <w:vAlign w:val="center"/>
          </w:tcPr>
          <w:p w14:paraId="2DC5BCB3">
            <w:pPr>
              <w:pStyle w:val="17"/>
              <w:bidi w:val="0"/>
              <w:jc w:val="both"/>
              <w:rPr>
                <w:rFonts w:ascii="Times New Roman" w:hAnsi="Times New Roman"/>
                <w:color w:val="auto"/>
              </w:rPr>
            </w:pPr>
            <w:r>
              <w:rPr>
                <w:rFonts w:ascii="Times New Roman" w:hAnsi="Times New Roman"/>
                <w:color w:val="auto"/>
              </w:rPr>
              <w:t>1.操作不熟练；</w:t>
            </w:r>
          </w:p>
          <w:p w14:paraId="6CDB1C94">
            <w:pPr>
              <w:pStyle w:val="17"/>
              <w:bidi w:val="0"/>
              <w:jc w:val="both"/>
              <w:rPr>
                <w:rFonts w:ascii="Times New Roman" w:hAnsi="Times New Roman"/>
                <w:color w:val="auto"/>
              </w:rPr>
            </w:pPr>
            <w:r>
              <w:rPr>
                <w:rFonts w:ascii="Times New Roman" w:hAnsi="Times New Roman"/>
                <w:color w:val="auto"/>
              </w:rPr>
              <w:t>2.操作地点不安全；</w:t>
            </w:r>
          </w:p>
          <w:p w14:paraId="4A536894">
            <w:pPr>
              <w:pStyle w:val="17"/>
              <w:bidi w:val="0"/>
              <w:jc w:val="both"/>
              <w:rPr>
                <w:rFonts w:ascii="Times New Roman" w:hAnsi="Times New Roman"/>
                <w:color w:val="auto"/>
              </w:rPr>
            </w:pPr>
            <w:r>
              <w:rPr>
                <w:rFonts w:ascii="Times New Roman" w:hAnsi="Times New Roman"/>
                <w:color w:val="auto"/>
              </w:rPr>
              <w:t>3.作业前安全检查、处理不到位；</w:t>
            </w:r>
          </w:p>
          <w:p w14:paraId="38378721">
            <w:pPr>
              <w:pStyle w:val="17"/>
              <w:bidi w:val="0"/>
              <w:jc w:val="both"/>
              <w:rPr>
                <w:rFonts w:ascii="Times New Roman" w:hAnsi="Times New Roman"/>
                <w:color w:val="auto"/>
              </w:rPr>
            </w:pPr>
            <w:r>
              <w:rPr>
                <w:rFonts w:ascii="Times New Roman" w:hAnsi="Times New Roman"/>
                <w:color w:val="auto"/>
              </w:rPr>
              <w:t>4.在2m及以上高处作业不系安全带进行边坡处理；</w:t>
            </w:r>
          </w:p>
          <w:p w14:paraId="6D3791A7">
            <w:pPr>
              <w:pStyle w:val="17"/>
              <w:bidi w:val="0"/>
              <w:jc w:val="both"/>
              <w:rPr>
                <w:rFonts w:ascii="Times New Roman" w:hAnsi="Times New Roman"/>
                <w:color w:val="auto"/>
              </w:rPr>
            </w:pPr>
            <w:r>
              <w:rPr>
                <w:rFonts w:ascii="Times New Roman" w:hAnsi="Times New Roman"/>
                <w:color w:val="auto"/>
              </w:rPr>
              <w:t>5.采场边坡作业条件差；6.外来人、畜进入边坡上部危险区域；</w:t>
            </w:r>
          </w:p>
          <w:p w14:paraId="1104D40F">
            <w:pPr>
              <w:pStyle w:val="17"/>
              <w:bidi w:val="0"/>
              <w:jc w:val="both"/>
              <w:rPr>
                <w:rFonts w:ascii="Times New Roman" w:hAnsi="Times New Roman"/>
                <w:color w:val="auto"/>
              </w:rPr>
            </w:pPr>
            <w:r>
              <w:rPr>
                <w:rFonts w:ascii="Times New Roman" w:hAnsi="Times New Roman"/>
                <w:color w:val="auto"/>
              </w:rPr>
              <w:t>7.工作面参数选择不合理，不能满足设备安全要求。</w:t>
            </w:r>
          </w:p>
        </w:tc>
        <w:tc>
          <w:tcPr>
            <w:tcW w:w="561" w:type="pct"/>
            <w:noWrap w:val="0"/>
            <w:vAlign w:val="center"/>
          </w:tcPr>
          <w:p w14:paraId="2DF868B0">
            <w:pPr>
              <w:pStyle w:val="17"/>
              <w:bidi w:val="0"/>
              <w:rPr>
                <w:rFonts w:ascii="Times New Roman" w:hAnsi="Times New Roman"/>
                <w:color w:val="auto"/>
              </w:rPr>
            </w:pPr>
            <w:r>
              <w:rPr>
                <w:rFonts w:ascii="Times New Roman" w:hAnsi="Times New Roman"/>
                <w:color w:val="auto"/>
              </w:rPr>
              <w:t>人员、设备坠落</w:t>
            </w:r>
          </w:p>
        </w:tc>
        <w:tc>
          <w:tcPr>
            <w:tcW w:w="561" w:type="pct"/>
            <w:noWrap w:val="0"/>
            <w:vAlign w:val="center"/>
          </w:tcPr>
          <w:p w14:paraId="403571E4">
            <w:pPr>
              <w:pStyle w:val="17"/>
              <w:bidi w:val="0"/>
              <w:rPr>
                <w:rFonts w:ascii="Times New Roman" w:hAnsi="Times New Roman"/>
                <w:color w:val="auto"/>
              </w:rPr>
            </w:pPr>
            <w:r>
              <w:rPr>
                <w:rFonts w:ascii="Times New Roman" w:hAnsi="Times New Roman"/>
                <w:color w:val="auto"/>
              </w:rPr>
              <w:t>人员伤害、设备损毁</w:t>
            </w:r>
          </w:p>
        </w:tc>
        <w:tc>
          <w:tcPr>
            <w:tcW w:w="705" w:type="pct"/>
            <w:noWrap w:val="0"/>
            <w:vAlign w:val="center"/>
          </w:tcPr>
          <w:p w14:paraId="7A21AD6C">
            <w:pPr>
              <w:pStyle w:val="17"/>
              <w:bidi w:val="0"/>
              <w:rPr>
                <w:rFonts w:ascii="Times New Roman" w:hAnsi="Times New Roman"/>
                <w:color w:val="auto"/>
              </w:rPr>
            </w:pPr>
            <w:r>
              <w:rPr>
                <w:rFonts w:ascii="Times New Roman" w:hAnsi="Times New Roman"/>
                <w:color w:val="auto"/>
              </w:rPr>
              <w:t>II</w:t>
            </w:r>
          </w:p>
        </w:tc>
        <w:tc>
          <w:tcPr>
            <w:tcW w:w="1282" w:type="pct"/>
            <w:noWrap w:val="0"/>
            <w:vAlign w:val="center"/>
          </w:tcPr>
          <w:p w14:paraId="5795B0A1">
            <w:pPr>
              <w:pStyle w:val="17"/>
              <w:bidi w:val="0"/>
              <w:jc w:val="both"/>
              <w:rPr>
                <w:rFonts w:ascii="Times New Roman" w:hAnsi="Times New Roman"/>
                <w:color w:val="auto"/>
              </w:rPr>
            </w:pPr>
            <w:r>
              <w:rPr>
                <w:rFonts w:ascii="Times New Roman" w:hAnsi="Times New Roman"/>
                <w:color w:val="auto"/>
              </w:rPr>
              <w:t>1.严格执行操作规程；2.树立先安全后生产的观念，坚持工作前对工作面的安全处理；3.加强个人防护措施；作业人员在2m及以上高处作业必须系安全带，要加强现场操作管理；4.依据作业设备，确定合理台阶高度，最小工作平台宽度，最小工作线长度；5.在采场顶部及其他危险区域设置安全警示标志。</w:t>
            </w:r>
          </w:p>
        </w:tc>
      </w:tr>
      <w:tr w14:paraId="32A8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61" w:type="pct"/>
            <w:noWrap w:val="0"/>
            <w:vAlign w:val="center"/>
          </w:tcPr>
          <w:p w14:paraId="16EA3C67">
            <w:pPr>
              <w:pStyle w:val="17"/>
              <w:bidi w:val="0"/>
              <w:rPr>
                <w:rFonts w:ascii="Times New Roman" w:hAnsi="Times New Roman"/>
                <w:color w:val="auto"/>
              </w:rPr>
            </w:pPr>
            <w:r>
              <w:rPr>
                <w:rFonts w:ascii="Times New Roman" w:hAnsi="Times New Roman"/>
                <w:color w:val="auto"/>
              </w:rPr>
              <w:t>机械</w:t>
            </w:r>
          </w:p>
          <w:p w14:paraId="0E31EBC6">
            <w:pPr>
              <w:pStyle w:val="17"/>
              <w:bidi w:val="0"/>
              <w:rPr>
                <w:rFonts w:ascii="Times New Roman" w:hAnsi="Times New Roman"/>
                <w:color w:val="auto"/>
              </w:rPr>
            </w:pPr>
            <w:r>
              <w:rPr>
                <w:rFonts w:ascii="Times New Roman" w:hAnsi="Times New Roman"/>
                <w:color w:val="auto"/>
              </w:rPr>
              <w:t>伤害</w:t>
            </w:r>
          </w:p>
        </w:tc>
        <w:tc>
          <w:tcPr>
            <w:tcW w:w="1327" w:type="pct"/>
            <w:noWrap w:val="0"/>
            <w:vAlign w:val="center"/>
          </w:tcPr>
          <w:p w14:paraId="1364D74E">
            <w:pPr>
              <w:pStyle w:val="17"/>
              <w:bidi w:val="0"/>
              <w:jc w:val="both"/>
              <w:rPr>
                <w:rFonts w:ascii="Times New Roman" w:hAnsi="Times New Roman"/>
                <w:color w:val="auto"/>
              </w:rPr>
            </w:pPr>
            <w:r>
              <w:rPr>
                <w:rFonts w:ascii="Times New Roman" w:hAnsi="Times New Roman"/>
                <w:color w:val="auto"/>
              </w:rPr>
              <w:t>1.所选用设备在设计上存在先天不足</w:t>
            </w:r>
            <w:r>
              <w:rPr>
                <w:rFonts w:hint="eastAsia" w:ascii="Times New Roman" w:hAnsi="Times New Roman"/>
                <w:color w:val="auto"/>
                <w:lang w:eastAsia="zh-CN"/>
              </w:rPr>
              <w:t>（</w:t>
            </w:r>
            <w:r>
              <w:rPr>
                <w:rFonts w:ascii="Times New Roman" w:hAnsi="Times New Roman"/>
                <w:color w:val="auto"/>
              </w:rPr>
              <w:t>如强度不够、设计缺陷等</w:t>
            </w:r>
            <w:r>
              <w:rPr>
                <w:rFonts w:hint="eastAsia" w:ascii="Times New Roman" w:hAnsi="Times New Roman"/>
                <w:color w:val="auto"/>
                <w:lang w:eastAsia="zh-CN"/>
              </w:rPr>
              <w:t>）</w:t>
            </w:r>
            <w:r>
              <w:rPr>
                <w:rFonts w:ascii="Times New Roman" w:hAnsi="Times New Roman"/>
                <w:color w:val="auto"/>
              </w:rPr>
              <w:t>；</w:t>
            </w:r>
          </w:p>
          <w:p w14:paraId="491C1628">
            <w:pPr>
              <w:pStyle w:val="17"/>
              <w:bidi w:val="0"/>
              <w:jc w:val="both"/>
              <w:rPr>
                <w:rFonts w:ascii="Times New Roman" w:hAnsi="Times New Roman"/>
                <w:color w:val="auto"/>
              </w:rPr>
            </w:pPr>
            <w:r>
              <w:rPr>
                <w:rFonts w:ascii="Times New Roman" w:hAnsi="Times New Roman"/>
                <w:color w:val="auto"/>
              </w:rPr>
              <w:t>2.矿山作业人员违章操作及穿戴不符合安全规定的劳动防护用品进行操作；3.机械设备安全防护装置缺乏或损坏或被拆除等，导致事故发生；4.操作人员疏忽大意，身体进入机械危险部位；5.在挖掘机、装载机、推土机、自卸汽车的检修和正常工作时，机器突然被别人随意启动，导致事故发生；</w:t>
            </w:r>
          </w:p>
          <w:p w14:paraId="40B87898">
            <w:pPr>
              <w:pStyle w:val="17"/>
              <w:bidi w:val="0"/>
              <w:jc w:val="both"/>
              <w:rPr>
                <w:rFonts w:ascii="Times New Roman" w:hAnsi="Times New Roman"/>
                <w:color w:val="auto"/>
              </w:rPr>
            </w:pPr>
            <w:r>
              <w:rPr>
                <w:rFonts w:ascii="Times New Roman" w:hAnsi="Times New Roman"/>
                <w:color w:val="auto"/>
              </w:rPr>
              <w:t>6.在不安全的机械上停留、休息，导致事故发生；安全管理存在疏漏等；7.安全管理存在疏漏，作业前安全检查处理不到位，无安全警示标志或标志不明显等。</w:t>
            </w:r>
          </w:p>
        </w:tc>
        <w:tc>
          <w:tcPr>
            <w:tcW w:w="561" w:type="pct"/>
            <w:noWrap w:val="0"/>
            <w:vAlign w:val="center"/>
          </w:tcPr>
          <w:p w14:paraId="339EB9A4">
            <w:pPr>
              <w:pStyle w:val="17"/>
              <w:bidi w:val="0"/>
              <w:rPr>
                <w:rFonts w:ascii="Times New Roman" w:hAnsi="Times New Roman"/>
                <w:color w:val="auto"/>
              </w:rPr>
            </w:pPr>
            <w:r>
              <w:rPr>
                <w:rFonts w:ascii="Times New Roman" w:hAnsi="Times New Roman"/>
                <w:color w:val="auto"/>
              </w:rPr>
              <w:t>机械伤害</w:t>
            </w:r>
          </w:p>
        </w:tc>
        <w:tc>
          <w:tcPr>
            <w:tcW w:w="561" w:type="pct"/>
            <w:noWrap w:val="0"/>
            <w:vAlign w:val="center"/>
          </w:tcPr>
          <w:p w14:paraId="3F378141">
            <w:pPr>
              <w:pStyle w:val="17"/>
              <w:bidi w:val="0"/>
              <w:rPr>
                <w:rFonts w:ascii="Times New Roman" w:hAnsi="Times New Roman"/>
                <w:color w:val="auto"/>
              </w:rPr>
            </w:pPr>
            <w:r>
              <w:rPr>
                <w:rFonts w:ascii="Times New Roman" w:hAnsi="Times New Roman"/>
                <w:color w:val="auto"/>
              </w:rPr>
              <w:t>人员伤害</w:t>
            </w:r>
          </w:p>
        </w:tc>
        <w:tc>
          <w:tcPr>
            <w:tcW w:w="705" w:type="pct"/>
            <w:noWrap w:val="0"/>
            <w:vAlign w:val="center"/>
          </w:tcPr>
          <w:p w14:paraId="362F1AC6">
            <w:pPr>
              <w:pStyle w:val="17"/>
              <w:bidi w:val="0"/>
              <w:rPr>
                <w:rFonts w:ascii="Times New Roman" w:hAnsi="Times New Roman"/>
                <w:color w:val="auto"/>
              </w:rPr>
            </w:pPr>
            <w:r>
              <w:rPr>
                <w:rFonts w:ascii="Times New Roman" w:hAnsi="Times New Roman"/>
                <w:color w:val="auto"/>
              </w:rPr>
              <w:t>Ⅱ</w:t>
            </w:r>
          </w:p>
        </w:tc>
        <w:tc>
          <w:tcPr>
            <w:tcW w:w="1282" w:type="pct"/>
            <w:noWrap w:val="0"/>
            <w:vAlign w:val="center"/>
          </w:tcPr>
          <w:p w14:paraId="43FF9B01">
            <w:pPr>
              <w:pStyle w:val="17"/>
              <w:bidi w:val="0"/>
              <w:jc w:val="both"/>
              <w:rPr>
                <w:rFonts w:ascii="Times New Roman" w:hAnsi="Times New Roman"/>
                <w:color w:val="auto"/>
              </w:rPr>
            </w:pPr>
            <w:r>
              <w:rPr>
                <w:rFonts w:ascii="Times New Roman" w:hAnsi="Times New Roman"/>
                <w:color w:val="auto"/>
              </w:rPr>
              <w:t>1.选用正规厂家的机械设备；</w:t>
            </w:r>
          </w:p>
          <w:p w14:paraId="64B63AA9">
            <w:pPr>
              <w:pStyle w:val="17"/>
              <w:bidi w:val="0"/>
              <w:jc w:val="both"/>
              <w:rPr>
                <w:rFonts w:ascii="Times New Roman" w:hAnsi="Times New Roman"/>
                <w:color w:val="auto"/>
              </w:rPr>
            </w:pPr>
            <w:r>
              <w:rPr>
                <w:rFonts w:ascii="Times New Roman" w:hAnsi="Times New Roman"/>
                <w:color w:val="auto"/>
              </w:rPr>
              <w:t>2.作业人员穿戴符合安全规定的劳动防护用品；</w:t>
            </w:r>
          </w:p>
          <w:p w14:paraId="64BE7143">
            <w:pPr>
              <w:pStyle w:val="17"/>
              <w:bidi w:val="0"/>
              <w:jc w:val="both"/>
              <w:rPr>
                <w:rFonts w:ascii="Times New Roman" w:hAnsi="Times New Roman"/>
                <w:color w:val="auto"/>
              </w:rPr>
            </w:pPr>
            <w:r>
              <w:rPr>
                <w:rFonts w:ascii="Times New Roman" w:hAnsi="Times New Roman"/>
                <w:color w:val="auto"/>
              </w:rPr>
              <w:t>3.按照机械设备操作规程进行作业、检修等；</w:t>
            </w:r>
          </w:p>
          <w:p w14:paraId="31D00108">
            <w:pPr>
              <w:pStyle w:val="17"/>
              <w:bidi w:val="0"/>
              <w:jc w:val="both"/>
              <w:rPr>
                <w:rFonts w:ascii="Times New Roman" w:hAnsi="Times New Roman"/>
                <w:color w:val="auto"/>
              </w:rPr>
            </w:pPr>
            <w:r>
              <w:rPr>
                <w:rFonts w:ascii="Times New Roman" w:hAnsi="Times New Roman"/>
                <w:color w:val="auto"/>
              </w:rPr>
              <w:t>4.设置安全警示标志。</w:t>
            </w:r>
          </w:p>
        </w:tc>
      </w:tr>
      <w:tr w14:paraId="68AA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61" w:type="pct"/>
            <w:noWrap w:val="0"/>
            <w:vAlign w:val="center"/>
          </w:tcPr>
          <w:p w14:paraId="3DA548C4">
            <w:pPr>
              <w:pStyle w:val="17"/>
              <w:bidi w:val="0"/>
              <w:rPr>
                <w:rFonts w:hint="default" w:ascii="Times New Roman" w:hAnsi="Times New Roman"/>
                <w:color w:val="auto"/>
                <w:lang w:val="en-US" w:eastAsia="zh-CN"/>
              </w:rPr>
            </w:pPr>
            <w:r>
              <w:rPr>
                <w:rFonts w:hint="eastAsia" w:ascii="Times New Roman" w:hAnsi="Times New Roman"/>
                <w:color w:val="auto"/>
              </w:rPr>
              <w:t>车辆伤害</w:t>
            </w:r>
          </w:p>
        </w:tc>
        <w:tc>
          <w:tcPr>
            <w:tcW w:w="1327" w:type="pct"/>
            <w:noWrap w:val="0"/>
            <w:vAlign w:val="center"/>
          </w:tcPr>
          <w:p w14:paraId="27E1D60F">
            <w:pPr>
              <w:pStyle w:val="17"/>
              <w:bidi w:val="0"/>
              <w:jc w:val="both"/>
              <w:rPr>
                <w:rFonts w:ascii="Times New Roman" w:hAnsi="Times New Roman"/>
                <w:color w:val="auto"/>
              </w:rPr>
            </w:pPr>
            <w:r>
              <w:rPr>
                <w:rFonts w:hint="eastAsia" w:ascii="Times New Roman" w:hAnsi="Times New Roman"/>
                <w:color w:val="auto"/>
              </w:rPr>
              <w:t>运输车辆状况不良；</w:t>
            </w:r>
          </w:p>
          <w:p w14:paraId="6E18BE7A">
            <w:pPr>
              <w:pStyle w:val="17"/>
              <w:bidi w:val="0"/>
              <w:jc w:val="both"/>
              <w:rPr>
                <w:rFonts w:ascii="Times New Roman" w:hAnsi="Times New Roman"/>
                <w:color w:val="auto"/>
              </w:rPr>
            </w:pPr>
            <w:r>
              <w:rPr>
                <w:rFonts w:hint="eastAsia" w:ascii="Times New Roman" w:hAnsi="Times New Roman"/>
                <w:color w:val="auto"/>
              </w:rPr>
              <w:t>驾驶员素质差；</w:t>
            </w:r>
          </w:p>
          <w:p w14:paraId="3D6D739D">
            <w:pPr>
              <w:pStyle w:val="17"/>
              <w:bidi w:val="0"/>
              <w:jc w:val="both"/>
              <w:rPr>
                <w:rFonts w:ascii="Times New Roman" w:hAnsi="Times New Roman"/>
                <w:color w:val="auto"/>
              </w:rPr>
            </w:pPr>
            <w:r>
              <w:rPr>
                <w:rFonts w:hint="eastAsia" w:ascii="Times New Roman" w:hAnsi="Times New Roman"/>
                <w:color w:val="auto"/>
              </w:rPr>
              <w:t>作业环境缺陷。</w:t>
            </w:r>
          </w:p>
        </w:tc>
        <w:tc>
          <w:tcPr>
            <w:tcW w:w="561" w:type="pct"/>
            <w:noWrap w:val="0"/>
            <w:vAlign w:val="center"/>
          </w:tcPr>
          <w:p w14:paraId="3E52208A">
            <w:pPr>
              <w:pStyle w:val="17"/>
              <w:bidi w:val="0"/>
              <w:rPr>
                <w:rFonts w:ascii="Times New Roman" w:hAnsi="Times New Roman"/>
                <w:color w:val="auto"/>
              </w:rPr>
            </w:pPr>
            <w:r>
              <w:rPr>
                <w:rFonts w:hint="eastAsia" w:ascii="Times New Roman" w:hAnsi="Times New Roman"/>
                <w:color w:val="auto"/>
              </w:rPr>
              <w:t>车辆</w:t>
            </w:r>
          </w:p>
          <w:p w14:paraId="6C349CEE">
            <w:pPr>
              <w:pStyle w:val="17"/>
              <w:bidi w:val="0"/>
              <w:rPr>
                <w:rFonts w:ascii="Times New Roman" w:hAnsi="Times New Roman"/>
                <w:color w:val="auto"/>
              </w:rPr>
            </w:pPr>
            <w:r>
              <w:rPr>
                <w:rFonts w:hint="eastAsia" w:ascii="Times New Roman" w:hAnsi="Times New Roman"/>
                <w:color w:val="auto"/>
              </w:rPr>
              <w:t>伤害</w:t>
            </w:r>
          </w:p>
        </w:tc>
        <w:tc>
          <w:tcPr>
            <w:tcW w:w="561" w:type="pct"/>
            <w:noWrap w:val="0"/>
            <w:vAlign w:val="center"/>
          </w:tcPr>
          <w:p w14:paraId="3FE4412C">
            <w:pPr>
              <w:pStyle w:val="17"/>
              <w:bidi w:val="0"/>
              <w:rPr>
                <w:rFonts w:ascii="Times New Roman" w:hAnsi="Times New Roman"/>
                <w:color w:val="auto"/>
              </w:rPr>
            </w:pPr>
            <w:r>
              <w:rPr>
                <w:rFonts w:hint="eastAsia" w:ascii="Times New Roman" w:hAnsi="Times New Roman"/>
                <w:color w:val="auto"/>
              </w:rPr>
              <w:t>车辆损坏、人员受伤</w:t>
            </w:r>
          </w:p>
        </w:tc>
        <w:tc>
          <w:tcPr>
            <w:tcW w:w="705" w:type="pct"/>
            <w:noWrap w:val="0"/>
            <w:vAlign w:val="center"/>
          </w:tcPr>
          <w:p w14:paraId="08EA426C">
            <w:pPr>
              <w:pStyle w:val="17"/>
              <w:bidi w:val="0"/>
              <w:rPr>
                <w:rFonts w:ascii="Times New Roman" w:hAnsi="Times New Roman"/>
                <w:color w:val="auto"/>
              </w:rPr>
            </w:pPr>
            <w:r>
              <w:rPr>
                <w:rFonts w:hint="eastAsia" w:ascii="Times New Roman" w:hAnsi="Times New Roman"/>
                <w:color w:val="auto"/>
              </w:rPr>
              <w:t>II</w:t>
            </w:r>
          </w:p>
        </w:tc>
        <w:tc>
          <w:tcPr>
            <w:tcW w:w="1282" w:type="pct"/>
            <w:noWrap w:val="0"/>
            <w:vAlign w:val="center"/>
          </w:tcPr>
          <w:p w14:paraId="27FCC2F4">
            <w:pPr>
              <w:pStyle w:val="17"/>
              <w:bidi w:val="0"/>
              <w:jc w:val="both"/>
              <w:rPr>
                <w:rFonts w:ascii="Times New Roman" w:hAnsi="Times New Roman"/>
                <w:color w:val="auto"/>
              </w:rPr>
            </w:pPr>
            <w:r>
              <w:rPr>
                <w:rFonts w:hint="eastAsia" w:ascii="Times New Roman" w:hAnsi="Times New Roman"/>
                <w:color w:val="auto"/>
              </w:rPr>
              <w:t>1、对驾驶员进行安全培训，做到持证上岗;2、保证运输车辆经常处于良好的技术状态;3、正确穿戴劳动防护用品。</w:t>
            </w:r>
          </w:p>
        </w:tc>
      </w:tr>
      <w:tr w14:paraId="58E5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61" w:type="pct"/>
            <w:noWrap w:val="0"/>
            <w:vAlign w:val="center"/>
          </w:tcPr>
          <w:p w14:paraId="14B9873B">
            <w:pPr>
              <w:pStyle w:val="17"/>
              <w:bidi w:val="0"/>
              <w:rPr>
                <w:rFonts w:hint="default" w:ascii="Times New Roman" w:hAnsi="Times New Roman"/>
                <w:color w:val="auto"/>
                <w:lang w:val="en-US" w:eastAsia="zh-CN"/>
              </w:rPr>
            </w:pPr>
            <w:r>
              <w:rPr>
                <w:rFonts w:hint="eastAsia" w:ascii="Times New Roman" w:hAnsi="Times New Roman"/>
                <w:color w:val="auto"/>
              </w:rPr>
              <w:t>爆破伤害</w:t>
            </w:r>
          </w:p>
        </w:tc>
        <w:tc>
          <w:tcPr>
            <w:tcW w:w="1327" w:type="pct"/>
            <w:noWrap w:val="0"/>
            <w:vAlign w:val="center"/>
          </w:tcPr>
          <w:p w14:paraId="3AA4255C">
            <w:pPr>
              <w:pStyle w:val="17"/>
              <w:bidi w:val="0"/>
              <w:jc w:val="both"/>
              <w:rPr>
                <w:rFonts w:ascii="Times New Roman" w:hAnsi="Times New Roman"/>
                <w:color w:val="auto"/>
              </w:rPr>
            </w:pPr>
            <w:r>
              <w:rPr>
                <w:rFonts w:hint="eastAsia" w:ascii="Times New Roman" w:hAnsi="Times New Roman"/>
                <w:color w:val="auto"/>
              </w:rPr>
              <w:t>1</w:t>
            </w:r>
            <w:r>
              <w:rPr>
                <w:rFonts w:ascii="Times New Roman" w:hAnsi="Times New Roman"/>
                <w:color w:val="auto"/>
              </w:rPr>
              <w:t>.</w:t>
            </w:r>
            <w:r>
              <w:rPr>
                <w:rFonts w:hint="eastAsia" w:ascii="Times New Roman" w:hAnsi="Times New Roman"/>
                <w:color w:val="auto"/>
              </w:rPr>
              <w:t xml:space="preserve"> 点炮方法不当、导火线质量不良造成事故；</w:t>
            </w:r>
          </w:p>
          <w:p w14:paraId="6F74D433">
            <w:pPr>
              <w:pStyle w:val="17"/>
              <w:bidi w:val="0"/>
              <w:jc w:val="both"/>
              <w:rPr>
                <w:rFonts w:ascii="Times New Roman" w:hAnsi="Times New Roman"/>
                <w:color w:val="auto"/>
              </w:rPr>
            </w:pPr>
            <w:r>
              <w:rPr>
                <w:rFonts w:hint="eastAsia" w:ascii="Times New Roman" w:hAnsi="Times New Roman"/>
                <w:color w:val="auto"/>
              </w:rPr>
              <w:t>2</w:t>
            </w:r>
            <w:r>
              <w:rPr>
                <w:rFonts w:ascii="Times New Roman" w:hAnsi="Times New Roman"/>
                <w:color w:val="auto"/>
              </w:rPr>
              <w:t>.</w:t>
            </w:r>
            <w:r>
              <w:rPr>
                <w:rFonts w:hint="eastAsia" w:ascii="Times New Roman" w:hAnsi="Times New Roman"/>
                <w:color w:val="auto"/>
              </w:rPr>
              <w:t xml:space="preserve"> 盲炮处理不当、打残眼造成事故；</w:t>
            </w:r>
          </w:p>
          <w:p w14:paraId="1FAC3186">
            <w:pPr>
              <w:pStyle w:val="17"/>
              <w:bidi w:val="0"/>
              <w:jc w:val="both"/>
              <w:rPr>
                <w:rFonts w:ascii="Times New Roman" w:hAnsi="Times New Roman"/>
                <w:color w:val="auto"/>
              </w:rPr>
            </w:pPr>
            <w:r>
              <w:rPr>
                <w:rFonts w:hint="eastAsia" w:ascii="Times New Roman" w:hAnsi="Times New Roman"/>
                <w:color w:val="auto"/>
              </w:rPr>
              <w:t>3</w:t>
            </w:r>
            <w:r>
              <w:rPr>
                <w:rFonts w:ascii="Times New Roman" w:hAnsi="Times New Roman"/>
                <w:color w:val="auto"/>
              </w:rPr>
              <w:t>.</w:t>
            </w:r>
            <w:r>
              <w:rPr>
                <w:rFonts w:hint="eastAsia" w:ascii="Times New Roman" w:hAnsi="Times New Roman"/>
                <w:color w:val="auto"/>
              </w:rPr>
              <w:t xml:space="preserve"> 爆破之后过早进入现场引起事故；</w:t>
            </w:r>
          </w:p>
          <w:p w14:paraId="25FC986F">
            <w:pPr>
              <w:pStyle w:val="17"/>
              <w:bidi w:val="0"/>
              <w:jc w:val="both"/>
              <w:rPr>
                <w:rFonts w:ascii="Times New Roman" w:hAnsi="Times New Roman"/>
                <w:color w:val="auto"/>
              </w:rPr>
            </w:pPr>
            <w:r>
              <w:rPr>
                <w:rFonts w:hint="eastAsia" w:ascii="Times New Roman" w:hAnsi="Times New Roman"/>
                <w:color w:val="auto"/>
              </w:rPr>
              <w:t>4</w:t>
            </w:r>
            <w:r>
              <w:rPr>
                <w:rFonts w:ascii="Times New Roman" w:hAnsi="Times New Roman"/>
                <w:color w:val="auto"/>
              </w:rPr>
              <w:t>.</w:t>
            </w:r>
            <w:r>
              <w:rPr>
                <w:rFonts w:hint="eastAsia" w:ascii="Times New Roman" w:hAnsi="Times New Roman"/>
                <w:color w:val="auto"/>
              </w:rPr>
              <w:t xml:space="preserve"> 在爆破工作中，因操作不当或因受某些外来特殊能源作用造成雷管或炸药早爆。</w:t>
            </w:r>
          </w:p>
        </w:tc>
        <w:tc>
          <w:tcPr>
            <w:tcW w:w="561" w:type="pct"/>
            <w:noWrap w:val="0"/>
            <w:vAlign w:val="center"/>
          </w:tcPr>
          <w:p w14:paraId="4E6496B5">
            <w:pPr>
              <w:pStyle w:val="17"/>
              <w:bidi w:val="0"/>
              <w:rPr>
                <w:rFonts w:ascii="Times New Roman" w:hAnsi="Times New Roman"/>
                <w:color w:val="auto"/>
              </w:rPr>
            </w:pPr>
            <w:r>
              <w:rPr>
                <w:rFonts w:hint="eastAsia" w:ascii="Times New Roman" w:hAnsi="Times New Roman"/>
                <w:color w:val="auto"/>
              </w:rPr>
              <w:t>早爆、延爆、拒爆、爆破飞石、爆破冲击波、爆破振动</w:t>
            </w:r>
          </w:p>
        </w:tc>
        <w:tc>
          <w:tcPr>
            <w:tcW w:w="561" w:type="pct"/>
            <w:noWrap w:val="0"/>
            <w:vAlign w:val="center"/>
          </w:tcPr>
          <w:p w14:paraId="7D62227B">
            <w:pPr>
              <w:pStyle w:val="17"/>
              <w:bidi w:val="0"/>
              <w:rPr>
                <w:rFonts w:ascii="Times New Roman" w:hAnsi="Times New Roman"/>
                <w:color w:val="auto"/>
              </w:rPr>
            </w:pPr>
            <w:r>
              <w:rPr>
                <w:rFonts w:hint="eastAsia" w:ascii="Times New Roman" w:hAnsi="Times New Roman"/>
                <w:color w:val="auto"/>
              </w:rPr>
              <w:t>人员伤亡</w:t>
            </w:r>
          </w:p>
        </w:tc>
        <w:tc>
          <w:tcPr>
            <w:tcW w:w="705" w:type="pct"/>
            <w:noWrap w:val="0"/>
            <w:vAlign w:val="center"/>
          </w:tcPr>
          <w:p w14:paraId="7342B0A6">
            <w:pPr>
              <w:pStyle w:val="17"/>
              <w:bidi w:val="0"/>
              <w:rPr>
                <w:rFonts w:ascii="Times New Roman" w:hAnsi="Times New Roman"/>
                <w:color w:val="auto"/>
              </w:rPr>
            </w:pPr>
            <w:r>
              <w:rPr>
                <w:rFonts w:hint="eastAsia" w:ascii="Times New Roman" w:hAnsi="Times New Roman"/>
                <w:color w:val="auto"/>
              </w:rPr>
              <w:t>III</w:t>
            </w:r>
          </w:p>
        </w:tc>
        <w:tc>
          <w:tcPr>
            <w:tcW w:w="1282" w:type="pct"/>
            <w:noWrap w:val="0"/>
            <w:vAlign w:val="center"/>
          </w:tcPr>
          <w:p w14:paraId="269B6A5B">
            <w:pPr>
              <w:pStyle w:val="17"/>
              <w:bidi w:val="0"/>
              <w:jc w:val="both"/>
              <w:rPr>
                <w:rFonts w:ascii="Times New Roman" w:hAnsi="Times New Roman"/>
                <w:color w:val="auto"/>
              </w:rPr>
            </w:pPr>
            <w:r>
              <w:rPr>
                <w:rFonts w:hint="eastAsia" w:ascii="Times New Roman" w:hAnsi="Times New Roman"/>
                <w:color w:val="auto"/>
              </w:rPr>
              <w:t>1</w:t>
            </w:r>
            <w:r>
              <w:rPr>
                <w:rFonts w:ascii="Times New Roman" w:hAnsi="Times New Roman"/>
                <w:color w:val="auto"/>
              </w:rPr>
              <w:t>.</w:t>
            </w:r>
            <w:r>
              <w:rPr>
                <w:rFonts w:hint="eastAsia" w:ascii="Times New Roman" w:hAnsi="Times New Roman"/>
                <w:color w:val="auto"/>
              </w:rPr>
              <w:t xml:space="preserve"> 爆破材料从购买、运输、入库、领取、装填（炮孔堵塞</w:t>
            </w:r>
            <w:r>
              <w:rPr>
                <w:rFonts w:hint="eastAsia" w:ascii="Times New Roman" w:hAnsi="Times New Roman"/>
                <w:color w:val="auto"/>
                <w:lang w:eastAsia="zh-CN"/>
              </w:rPr>
              <w:t>）</w:t>
            </w:r>
            <w:r>
              <w:rPr>
                <w:rFonts w:hint="eastAsia" w:ascii="Times New Roman" w:hAnsi="Times New Roman"/>
                <w:color w:val="auto"/>
              </w:rPr>
              <w:t>、连线、起爆要严把质量关，严格按操作规程作业，是预防早爆、迟爆、自爆伤人事故发生的关键；</w:t>
            </w:r>
          </w:p>
          <w:p w14:paraId="0264AC0A">
            <w:pPr>
              <w:pStyle w:val="17"/>
              <w:bidi w:val="0"/>
              <w:jc w:val="both"/>
              <w:rPr>
                <w:rFonts w:ascii="Times New Roman" w:hAnsi="Times New Roman"/>
                <w:color w:val="auto"/>
              </w:rPr>
            </w:pPr>
            <w:r>
              <w:rPr>
                <w:rFonts w:hint="eastAsia" w:ascii="Times New Roman" w:hAnsi="Times New Roman"/>
                <w:color w:val="auto"/>
              </w:rPr>
              <w:t>2</w:t>
            </w:r>
            <w:r>
              <w:rPr>
                <w:rFonts w:ascii="Times New Roman" w:hAnsi="Times New Roman"/>
                <w:color w:val="auto"/>
              </w:rPr>
              <w:t>.</w:t>
            </w:r>
            <w:r>
              <w:rPr>
                <w:rFonts w:hint="eastAsia" w:ascii="Times New Roman" w:hAnsi="Times New Roman"/>
                <w:color w:val="auto"/>
              </w:rPr>
              <w:t xml:space="preserve"> 合理布置炮眼，合理装药。不装盖药和垫药；</w:t>
            </w:r>
          </w:p>
          <w:p w14:paraId="20A708B8">
            <w:pPr>
              <w:pStyle w:val="17"/>
              <w:bidi w:val="0"/>
              <w:jc w:val="both"/>
              <w:rPr>
                <w:rFonts w:ascii="Times New Roman" w:hAnsi="Times New Roman"/>
                <w:color w:val="auto"/>
              </w:rPr>
            </w:pPr>
            <w:r>
              <w:rPr>
                <w:rFonts w:hint="eastAsia" w:ascii="Times New Roman" w:hAnsi="Times New Roman"/>
                <w:color w:val="auto"/>
              </w:rPr>
              <w:t>3</w:t>
            </w:r>
            <w:r>
              <w:rPr>
                <w:rFonts w:ascii="Times New Roman" w:hAnsi="Times New Roman"/>
                <w:color w:val="auto"/>
              </w:rPr>
              <w:t>.</w:t>
            </w:r>
            <w:r>
              <w:rPr>
                <w:rFonts w:hint="eastAsia" w:ascii="Times New Roman" w:hAnsi="Times New Roman"/>
                <w:color w:val="auto"/>
              </w:rPr>
              <w:t>露天爆破不少于15分钟才准爆破检查人员进入爆破作业地点进行安全检查；</w:t>
            </w:r>
          </w:p>
          <w:p w14:paraId="33A88F09">
            <w:pPr>
              <w:pStyle w:val="17"/>
              <w:bidi w:val="0"/>
              <w:jc w:val="both"/>
              <w:rPr>
                <w:rFonts w:ascii="Times New Roman" w:hAnsi="Times New Roman"/>
                <w:color w:val="auto"/>
              </w:rPr>
            </w:pPr>
            <w:r>
              <w:rPr>
                <w:rFonts w:ascii="Times New Roman" w:hAnsi="Times New Roman"/>
                <w:color w:val="auto"/>
              </w:rPr>
              <w:t>4.</w:t>
            </w:r>
            <w:r>
              <w:rPr>
                <w:rFonts w:hint="eastAsia" w:ascii="Times New Roman" w:hAnsi="Times New Roman"/>
                <w:color w:val="auto"/>
              </w:rPr>
              <w:t>爆破工作开始前，必须确定危险的边界，并设置明显的标志。</w:t>
            </w:r>
          </w:p>
        </w:tc>
      </w:tr>
    </w:tbl>
    <w:p w14:paraId="36055D98">
      <w:pPr>
        <w:bidi w:val="0"/>
        <w:rPr>
          <w:rFonts w:hint="eastAsia" w:ascii="Times New Roman" w:hAnsi="Times New Roman"/>
          <w:color w:val="auto"/>
        </w:rPr>
      </w:pPr>
      <w:r>
        <w:rPr>
          <w:rFonts w:hint="eastAsia" w:ascii="Times New Roman" w:hAnsi="Times New Roman"/>
          <w:color w:val="auto"/>
        </w:rPr>
        <w:t>预先危险性分析结论：通过PHA分析，Ⅲ级或Ⅲ级以上是危险的，会造成人员伤亡和系统损坏。边坡失稳是主要的危险、有害因素，需要采取防范对策措施，其他事故为需要引起重视的危险因素。</w:t>
      </w:r>
    </w:p>
    <w:p w14:paraId="7A111A25">
      <w:pPr>
        <w:pStyle w:val="5"/>
        <w:bidi w:val="0"/>
        <w:rPr>
          <w:rFonts w:hint="eastAsia" w:ascii="Times New Roman" w:hAnsi="Times New Roman"/>
          <w:color w:val="auto"/>
        </w:rPr>
      </w:pPr>
      <w:r>
        <w:rPr>
          <w:rFonts w:hint="eastAsia" w:ascii="Times New Roman" w:hAnsi="Times New Roman"/>
          <w:color w:val="auto"/>
        </w:rPr>
        <w:t>3.3.2.2</w:t>
      </w:r>
      <w:r>
        <w:rPr>
          <w:rFonts w:hint="eastAsia" w:ascii="Times New Roman" w:hAnsi="Times New Roman"/>
          <w:color w:val="auto"/>
          <w:lang w:val="en-US" w:eastAsia="zh-CN"/>
        </w:rPr>
        <w:t xml:space="preserve"> </w:t>
      </w:r>
      <w:r>
        <w:rPr>
          <w:rFonts w:hint="eastAsia" w:ascii="Times New Roman" w:hAnsi="Times New Roman"/>
          <w:color w:val="auto"/>
        </w:rPr>
        <w:t>边坡稳定性分析计算</w:t>
      </w:r>
    </w:p>
    <w:p w14:paraId="3F5595C8">
      <w:pPr>
        <w:bidi w:val="0"/>
        <w:rPr>
          <w:rFonts w:ascii="Times New Roman" w:hAnsi="Times New Roman"/>
          <w:color w:val="auto"/>
        </w:rPr>
      </w:pPr>
      <w:bookmarkStart w:id="114" w:name="_Toc200581107"/>
      <w:r>
        <w:rPr>
          <w:rFonts w:hint="eastAsia" w:ascii="Times New Roman" w:hAnsi="Times New Roman"/>
          <w:color w:val="auto"/>
          <w:lang w:val="en-US" w:eastAsia="zh-CN"/>
        </w:rPr>
        <w:t>1、</w:t>
      </w:r>
      <w:r>
        <w:rPr>
          <w:rFonts w:ascii="Times New Roman" w:hAnsi="Times New Roman"/>
          <w:color w:val="auto"/>
        </w:rPr>
        <w:t>矿岩物理力学性质</w:t>
      </w:r>
      <w:bookmarkEnd w:id="114"/>
    </w:p>
    <w:p w14:paraId="2E06847C">
      <w:pPr>
        <w:bidi w:val="0"/>
        <w:rPr>
          <w:rFonts w:hint="eastAsia" w:ascii="Times New Roman" w:hAnsi="Times New Roman"/>
          <w:color w:val="auto"/>
          <w:lang w:eastAsia="zh-CN"/>
        </w:rPr>
      </w:pPr>
      <w:r>
        <w:rPr>
          <w:rFonts w:hint="eastAsia" w:ascii="Times New Roman" w:hAnsi="Times New Roman"/>
          <w:color w:val="auto"/>
          <w:lang w:eastAsia="zh-CN"/>
        </w:rPr>
        <w:t>矿山尚未开展相应的矿岩室内物理力学性质测试，根据《云南省昭阳区文辉矿业有限公司洒渔大桥普通建筑材料用石灰岩矿勘查地质报告》，矿山矿岩主要为石灰岩，为坚硬岩，力学强度较高。考虑安全余量，设计参考类似矿山取灰岩物理力学参数较低值，取内摩擦角38°，内聚力3.5Mpa。建议矿山后期开采进行边坡稳定性专项设计。</w:t>
      </w:r>
    </w:p>
    <w:p w14:paraId="67E38A47">
      <w:pPr>
        <w:bidi w:val="0"/>
        <w:rPr>
          <w:rFonts w:ascii="Times New Roman" w:hAnsi="Times New Roman"/>
          <w:color w:val="auto"/>
        </w:rPr>
      </w:pPr>
      <w:r>
        <w:rPr>
          <w:rFonts w:hint="eastAsia" w:ascii="Times New Roman" w:hAnsi="Times New Roman"/>
          <w:color w:val="auto"/>
          <w:lang w:eastAsia="zh-CN"/>
        </w:rPr>
        <w:t>根据上述矿石物理力学指标，设计主要采用如下几种工程处理方法进行矿区矿岩岩体力学指标确定。</w:t>
      </w:r>
    </w:p>
    <w:p w14:paraId="66896141">
      <w:pPr>
        <w:bidi w:val="0"/>
        <w:rPr>
          <w:rFonts w:ascii="Times New Roman" w:hAnsi="Times New Roman"/>
          <w:color w:val="auto"/>
        </w:rPr>
      </w:pPr>
      <w:bookmarkStart w:id="115" w:name="_Toc183430198"/>
      <w:r>
        <w:rPr>
          <w:rFonts w:hint="eastAsia" w:ascii="Times New Roman" w:hAnsi="Times New Roman"/>
          <w:color w:val="auto"/>
          <w:lang w:eastAsia="zh-CN"/>
        </w:rPr>
        <w:t>（</w:t>
      </w:r>
      <w:r>
        <w:rPr>
          <w:rFonts w:ascii="Times New Roman" w:hAnsi="Times New Roman"/>
          <w:color w:val="auto"/>
        </w:rPr>
        <w:t>1</w:t>
      </w:r>
      <w:r>
        <w:rPr>
          <w:rFonts w:hint="eastAsia" w:ascii="Times New Roman" w:hAnsi="Times New Roman"/>
          <w:color w:val="auto"/>
          <w:lang w:eastAsia="zh-CN"/>
        </w:rPr>
        <w:t>）</w:t>
      </w:r>
      <w:r>
        <w:rPr>
          <w:rFonts w:ascii="Times New Roman" w:hAnsi="Times New Roman"/>
          <w:color w:val="auto"/>
        </w:rPr>
        <w:t>费辛柯法</w:t>
      </w:r>
    </w:p>
    <w:p w14:paraId="7CFDC661">
      <w:pPr>
        <w:bidi w:val="0"/>
        <w:rPr>
          <w:rFonts w:ascii="Times New Roman" w:hAnsi="Times New Roman"/>
          <w:color w:val="auto"/>
        </w:rPr>
      </w:pPr>
      <w:r>
        <w:rPr>
          <w:rFonts w:ascii="Times New Roman" w:hAnsi="Times New Roman"/>
          <w:color w:val="auto"/>
        </w:rPr>
        <w:t>费辛柯法是考虑岩体结构面间距和岩体破坏高度2个因素对岩块内聚力c进行弱化折减，其计算岩体粘聚力表达式c</w:t>
      </w:r>
      <w:r>
        <w:rPr>
          <w:rFonts w:ascii="Times New Roman" w:hAnsi="Times New Roman"/>
          <w:color w:val="auto"/>
          <w:vertAlign w:val="subscript"/>
        </w:rPr>
        <w:t>m</w:t>
      </w:r>
      <w:r>
        <w:rPr>
          <w:rFonts w:ascii="Times New Roman" w:hAnsi="Times New Roman"/>
          <w:color w:val="auto"/>
        </w:rPr>
        <w:t>为：</w:t>
      </w:r>
    </w:p>
    <w:p w14:paraId="01963BD3">
      <w:pPr>
        <w:rPr>
          <w:rFonts w:ascii="Times New Roman" w:hAnsi="Times New Roman" w:cs="Times New Roman"/>
          <w:color w:val="auto"/>
        </w:rPr>
      </w:pPr>
      <w:r>
        <w:rPr>
          <w:rFonts w:ascii="Times New Roman" w:hAnsi="Times New Roman" w:cs="Times New Roman"/>
          <w:color w:val="auto"/>
        </w:rPr>
        <w:drawing>
          <wp:inline distT="0" distB="0" distL="0" distR="0">
            <wp:extent cx="1200150" cy="74295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200150" cy="742950"/>
                    </a:xfrm>
                    <a:prstGeom prst="rect">
                      <a:avLst/>
                    </a:prstGeom>
                    <a:noFill/>
                    <a:ln>
                      <a:noFill/>
                    </a:ln>
                  </pic:spPr>
                </pic:pic>
              </a:graphicData>
            </a:graphic>
          </wp:inline>
        </w:drawing>
      </w:r>
    </w:p>
    <w:p w14:paraId="328317B3">
      <w:pPr>
        <w:bidi w:val="0"/>
        <w:rPr>
          <w:rFonts w:ascii="Times New Roman" w:hAnsi="Times New Roman"/>
          <w:color w:val="auto"/>
        </w:rPr>
      </w:pPr>
      <w:r>
        <w:rPr>
          <w:rFonts w:ascii="Times New Roman" w:hAnsi="Times New Roman"/>
          <w:color w:val="auto"/>
        </w:rPr>
        <w:t>式中：</w:t>
      </w:r>
    </w:p>
    <w:p w14:paraId="0C853248">
      <w:pPr>
        <w:bidi w:val="0"/>
        <w:rPr>
          <w:rFonts w:ascii="Times New Roman" w:hAnsi="Times New Roman"/>
          <w:color w:val="auto"/>
        </w:rPr>
      </w:pPr>
      <w:r>
        <w:rPr>
          <w:rFonts w:ascii="Times New Roman" w:hAnsi="Times New Roman"/>
          <w:color w:val="auto"/>
        </w:rPr>
        <w:t>C</w:t>
      </w:r>
      <w:r>
        <w:rPr>
          <w:rFonts w:ascii="Times New Roman" w:hAnsi="Times New Roman"/>
          <w:color w:val="auto"/>
          <w:vertAlign w:val="subscript"/>
        </w:rPr>
        <w:t>K</w:t>
      </w:r>
      <w:r>
        <w:rPr>
          <w:rFonts w:ascii="Times New Roman" w:hAnsi="Times New Roman"/>
          <w:color w:val="auto"/>
        </w:rPr>
        <w:t>-岩石试块试验测定的内聚力（MPa）；</w:t>
      </w:r>
    </w:p>
    <w:p w14:paraId="6435ACF7">
      <w:pPr>
        <w:bidi w:val="0"/>
        <w:rPr>
          <w:rFonts w:ascii="Times New Roman" w:hAnsi="Times New Roman"/>
          <w:color w:val="auto"/>
        </w:rPr>
      </w:pPr>
      <w:r>
        <w:rPr>
          <w:rFonts w:ascii="Times New Roman" w:hAnsi="Times New Roman"/>
          <w:color w:val="auto"/>
        </w:rPr>
        <w:t>C</w:t>
      </w:r>
      <w:r>
        <w:rPr>
          <w:rFonts w:ascii="Times New Roman" w:hAnsi="Times New Roman"/>
          <w:color w:val="auto"/>
          <w:vertAlign w:val="subscript"/>
        </w:rPr>
        <w:t>m</w:t>
      </w:r>
      <w:r>
        <w:rPr>
          <w:rFonts w:ascii="Times New Roman" w:hAnsi="Times New Roman"/>
          <w:color w:val="auto"/>
        </w:rPr>
        <w:t>-为弱化折减后的岩体内聚力（MPa）；</w:t>
      </w:r>
    </w:p>
    <w:p w14:paraId="5F16BF31">
      <w:pPr>
        <w:bidi w:val="0"/>
        <w:rPr>
          <w:rFonts w:ascii="Times New Roman" w:hAnsi="Times New Roman"/>
          <w:color w:val="auto"/>
        </w:rPr>
      </w:pPr>
      <w:r>
        <w:rPr>
          <w:rFonts w:ascii="Times New Roman" w:hAnsi="Times New Roman"/>
          <w:color w:val="auto"/>
        </w:rPr>
        <w:t>a-为取决于岩石强度和岩体结构面分布的特征系数；</w:t>
      </w:r>
    </w:p>
    <w:p w14:paraId="0AB51D93">
      <w:pPr>
        <w:bidi w:val="0"/>
        <w:rPr>
          <w:rFonts w:ascii="Times New Roman" w:hAnsi="Times New Roman"/>
          <w:color w:val="auto"/>
        </w:rPr>
      </w:pPr>
      <w:r>
        <w:rPr>
          <w:rFonts w:ascii="Times New Roman" w:hAnsi="Times New Roman"/>
          <w:color w:val="auto"/>
        </w:rPr>
        <w:t>L-为破坏岩体被切割的原岩尺寸，此处取节理间距（m）；</w:t>
      </w:r>
    </w:p>
    <w:p w14:paraId="34F236A8">
      <w:pPr>
        <w:bidi w:val="0"/>
        <w:rPr>
          <w:rFonts w:ascii="Times New Roman" w:hAnsi="Times New Roman"/>
          <w:color w:val="auto"/>
        </w:rPr>
      </w:pPr>
      <w:r>
        <w:rPr>
          <w:rFonts w:ascii="Times New Roman" w:hAnsi="Times New Roman"/>
          <w:color w:val="auto"/>
        </w:rPr>
        <w:t>H-为岩体破坏高度（m）。</w:t>
      </w:r>
    </w:p>
    <w:p w14:paraId="04192295">
      <w:pPr>
        <w:bidi w:val="0"/>
        <w:rPr>
          <w:rFonts w:ascii="Times New Roman" w:hAnsi="Times New Roman"/>
          <w:color w:val="auto"/>
        </w:rPr>
      </w:pPr>
      <w:r>
        <w:rPr>
          <w:rFonts w:ascii="Times New Roman" w:hAnsi="Times New Roman"/>
          <w:color w:val="auto"/>
        </w:rPr>
        <w:t>按费辛柯法折减后结果如表</w:t>
      </w:r>
      <w:r>
        <w:rPr>
          <w:rFonts w:hint="eastAsia" w:ascii="Times New Roman" w:hAnsi="Times New Roman"/>
          <w:color w:val="auto"/>
          <w:lang w:val="en-US" w:eastAsia="zh-CN"/>
        </w:rPr>
        <w:t>3.3-2</w:t>
      </w:r>
      <w:r>
        <w:rPr>
          <w:rFonts w:ascii="Times New Roman" w:hAnsi="Times New Roman"/>
          <w:color w:val="auto"/>
        </w:rPr>
        <w:t>所示。</w:t>
      </w:r>
    </w:p>
    <w:p w14:paraId="647E7373">
      <w:pPr>
        <w:pStyle w:val="16"/>
        <w:bidi w:val="0"/>
        <w:rPr>
          <w:rFonts w:ascii="Times New Roman" w:hAnsi="Times New Roman"/>
          <w:color w:val="auto"/>
        </w:rPr>
      </w:pPr>
      <w:r>
        <w:rPr>
          <w:rFonts w:ascii="Times New Roman" w:hAnsi="Times New Roman"/>
          <w:color w:val="auto"/>
        </w:rPr>
        <w:t>表</w:t>
      </w:r>
      <w:r>
        <w:rPr>
          <w:rFonts w:hint="eastAsia" w:ascii="Times New Roman" w:hAnsi="Times New Roman"/>
          <w:color w:val="auto"/>
        </w:rPr>
        <w:t>3.3-2</w:t>
      </w:r>
      <w:r>
        <w:rPr>
          <w:rFonts w:hint="eastAsia" w:ascii="Times New Roman" w:hAnsi="Times New Roman"/>
          <w:color w:val="auto"/>
          <w:lang w:val="en-US" w:eastAsia="zh-CN"/>
        </w:rPr>
        <w:t xml:space="preserve">  </w:t>
      </w:r>
      <w:r>
        <w:rPr>
          <w:rFonts w:ascii="Times New Roman" w:hAnsi="Times New Roman"/>
          <w:color w:val="auto"/>
        </w:rPr>
        <w:t>费辛柯弱化法计算结果</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1546"/>
        <w:gridCol w:w="1238"/>
        <w:gridCol w:w="1356"/>
        <w:gridCol w:w="559"/>
        <w:gridCol w:w="1870"/>
        <w:gridCol w:w="1913"/>
      </w:tblGrid>
      <w:tr w14:paraId="2728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pct"/>
            <w:vAlign w:val="center"/>
          </w:tcPr>
          <w:p w14:paraId="102D881B">
            <w:pPr>
              <w:pStyle w:val="17"/>
              <w:bidi w:val="0"/>
              <w:rPr>
                <w:b/>
                <w:bCs/>
                <w:color w:val="auto"/>
                <w:lang w:val="en-US" w:eastAsia="zh-CN"/>
              </w:rPr>
            </w:pPr>
            <w:r>
              <w:rPr>
                <w:b/>
                <w:bCs/>
                <w:color w:val="auto"/>
                <w:lang w:val="en-US" w:eastAsia="zh-CN"/>
              </w:rPr>
              <w:t>岩性</w:t>
            </w:r>
          </w:p>
        </w:tc>
        <w:tc>
          <w:tcPr>
            <w:tcW w:w="822" w:type="pct"/>
            <w:vAlign w:val="center"/>
          </w:tcPr>
          <w:p w14:paraId="47806734">
            <w:pPr>
              <w:pStyle w:val="17"/>
              <w:bidi w:val="0"/>
              <w:rPr>
                <w:rFonts w:hint="eastAsia"/>
                <w:b/>
                <w:bCs/>
                <w:color w:val="auto"/>
                <w:lang w:val="en-US" w:eastAsia="zh-CN"/>
              </w:rPr>
            </w:pPr>
            <w:r>
              <w:rPr>
                <w:rFonts w:hint="eastAsia"/>
                <w:b/>
                <w:bCs/>
                <w:color w:val="auto"/>
                <w:lang w:val="en-US" w:eastAsia="zh-CN"/>
              </w:rPr>
              <w:t>剖面</w:t>
            </w:r>
          </w:p>
        </w:tc>
        <w:tc>
          <w:tcPr>
            <w:tcW w:w="658" w:type="pct"/>
            <w:vAlign w:val="center"/>
          </w:tcPr>
          <w:p w14:paraId="3DCB1FA4">
            <w:pPr>
              <w:pStyle w:val="17"/>
              <w:bidi w:val="0"/>
              <w:rPr>
                <w:b/>
                <w:bCs/>
                <w:color w:val="auto"/>
                <w:lang w:val="en-US" w:eastAsia="zh-CN"/>
              </w:rPr>
            </w:pPr>
            <w:r>
              <w:rPr>
                <w:b/>
                <w:bCs/>
                <w:color w:val="auto"/>
                <w:lang w:val="en-US" w:eastAsia="zh-CN"/>
              </w:rPr>
              <w:t>H（m）</w:t>
            </w:r>
          </w:p>
        </w:tc>
        <w:tc>
          <w:tcPr>
            <w:tcW w:w="721" w:type="pct"/>
            <w:vAlign w:val="center"/>
          </w:tcPr>
          <w:p w14:paraId="3489BA62">
            <w:pPr>
              <w:pStyle w:val="17"/>
              <w:bidi w:val="0"/>
              <w:rPr>
                <w:b/>
                <w:bCs/>
                <w:color w:val="auto"/>
                <w:lang w:val="en-US" w:eastAsia="zh-CN"/>
              </w:rPr>
            </w:pPr>
            <w:r>
              <w:rPr>
                <w:b/>
                <w:bCs/>
                <w:color w:val="auto"/>
                <w:lang w:val="en-US" w:eastAsia="zh-CN"/>
              </w:rPr>
              <w:t>L（m）</w:t>
            </w:r>
          </w:p>
        </w:tc>
        <w:tc>
          <w:tcPr>
            <w:tcW w:w="297" w:type="pct"/>
            <w:vAlign w:val="center"/>
          </w:tcPr>
          <w:p w14:paraId="22C01958">
            <w:pPr>
              <w:pStyle w:val="17"/>
              <w:bidi w:val="0"/>
              <w:rPr>
                <w:b/>
                <w:bCs/>
                <w:color w:val="auto"/>
                <w:lang w:val="en-US" w:eastAsia="zh-CN"/>
              </w:rPr>
            </w:pPr>
            <w:r>
              <w:rPr>
                <w:b/>
                <w:bCs/>
                <w:color w:val="auto"/>
                <w:lang w:val="en-US" w:eastAsia="zh-CN"/>
              </w:rPr>
              <w:drawing>
                <wp:inline distT="0" distB="0" distL="0" distR="0">
                  <wp:extent cx="133350" cy="142875"/>
                  <wp:effectExtent l="0" t="0" r="0" b="8255"/>
                  <wp:docPr id="20680580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5800" name="图片 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33350" cy="142875"/>
                          </a:xfrm>
                          <a:prstGeom prst="rect">
                            <a:avLst/>
                          </a:prstGeom>
                          <a:noFill/>
                          <a:ln>
                            <a:noFill/>
                          </a:ln>
                        </pic:spPr>
                      </pic:pic>
                    </a:graphicData>
                  </a:graphic>
                </wp:inline>
              </w:drawing>
            </w:r>
          </w:p>
        </w:tc>
        <w:tc>
          <w:tcPr>
            <w:tcW w:w="994" w:type="pct"/>
            <w:vAlign w:val="center"/>
          </w:tcPr>
          <w:p w14:paraId="3E991358">
            <w:pPr>
              <w:pStyle w:val="17"/>
              <w:bidi w:val="0"/>
              <w:rPr>
                <w:b/>
                <w:bCs/>
                <w:color w:val="auto"/>
                <w:lang w:val="en-US" w:eastAsia="zh-CN"/>
              </w:rPr>
            </w:pPr>
            <w:r>
              <w:rPr>
                <w:b/>
                <w:bCs/>
                <w:color w:val="auto"/>
                <w:lang w:val="en-US" w:eastAsia="zh-CN"/>
              </w:rPr>
              <w:drawing>
                <wp:inline distT="0" distB="0" distL="0" distR="0">
                  <wp:extent cx="171450" cy="209550"/>
                  <wp:effectExtent l="0" t="0" r="0" b="0"/>
                  <wp:docPr id="20782808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8081" name="图片 3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71450" cy="209550"/>
                          </a:xfrm>
                          <a:prstGeom prst="rect">
                            <a:avLst/>
                          </a:prstGeom>
                          <a:noFill/>
                          <a:ln>
                            <a:noFill/>
                          </a:ln>
                        </pic:spPr>
                      </pic:pic>
                    </a:graphicData>
                  </a:graphic>
                </wp:inline>
              </w:drawing>
            </w:r>
            <w:r>
              <w:rPr>
                <w:b/>
                <w:bCs/>
                <w:color w:val="auto"/>
                <w:lang w:val="en-US" w:eastAsia="zh-CN"/>
              </w:rPr>
              <w:t>（MPa）</w:t>
            </w:r>
          </w:p>
        </w:tc>
        <w:tc>
          <w:tcPr>
            <w:tcW w:w="1017" w:type="pct"/>
            <w:vAlign w:val="center"/>
          </w:tcPr>
          <w:p w14:paraId="1187F0A9">
            <w:pPr>
              <w:pStyle w:val="17"/>
              <w:bidi w:val="0"/>
              <w:rPr>
                <w:b/>
                <w:bCs/>
                <w:color w:val="auto"/>
                <w:lang w:val="en-US" w:eastAsia="zh-CN"/>
              </w:rPr>
            </w:pPr>
            <w:r>
              <w:rPr>
                <w:b/>
                <w:bCs/>
                <w:color w:val="auto"/>
                <w:lang w:val="en-US" w:eastAsia="zh-CN"/>
              </w:rPr>
              <w:drawing>
                <wp:inline distT="0" distB="0" distL="0" distR="0">
                  <wp:extent cx="190500" cy="209550"/>
                  <wp:effectExtent l="0" t="0" r="0" b="0"/>
                  <wp:docPr id="210077435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74355" name="图片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90500" cy="209550"/>
                          </a:xfrm>
                          <a:prstGeom prst="rect">
                            <a:avLst/>
                          </a:prstGeom>
                          <a:noFill/>
                          <a:ln>
                            <a:noFill/>
                          </a:ln>
                        </pic:spPr>
                      </pic:pic>
                    </a:graphicData>
                  </a:graphic>
                </wp:inline>
              </w:drawing>
            </w:r>
            <w:r>
              <w:rPr>
                <w:b/>
                <w:bCs/>
                <w:color w:val="auto"/>
                <w:lang w:val="en-US" w:eastAsia="zh-CN"/>
              </w:rPr>
              <w:t>（MPa）</w:t>
            </w:r>
          </w:p>
        </w:tc>
      </w:tr>
      <w:tr w14:paraId="3FF5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pct"/>
            <w:vAlign w:val="center"/>
          </w:tcPr>
          <w:p w14:paraId="4F3D9E9F">
            <w:pPr>
              <w:pStyle w:val="17"/>
              <w:bidi w:val="0"/>
              <w:rPr>
                <w:color w:val="auto"/>
                <w:lang w:val="en-US" w:eastAsia="zh-CN"/>
              </w:rPr>
            </w:pPr>
            <w:r>
              <w:rPr>
                <w:color w:val="auto"/>
                <w:lang w:val="en-US" w:eastAsia="zh-CN"/>
              </w:rPr>
              <w:t>灰岩</w:t>
            </w:r>
          </w:p>
        </w:tc>
        <w:tc>
          <w:tcPr>
            <w:tcW w:w="822" w:type="pct"/>
            <w:vAlign w:val="center"/>
          </w:tcPr>
          <w:p w14:paraId="7CECD6DD">
            <w:pPr>
              <w:pStyle w:val="17"/>
              <w:bidi w:val="0"/>
              <w:rPr>
                <w:rFonts w:hint="default"/>
                <w:color w:val="auto"/>
                <w:lang w:val="en-US" w:eastAsia="zh-CN"/>
              </w:rPr>
            </w:pPr>
            <w:r>
              <w:rPr>
                <w:rFonts w:hint="eastAsia"/>
                <w:color w:val="auto"/>
                <w:lang w:val="en-US" w:eastAsia="zh-CN"/>
              </w:rPr>
              <w:t>设计1-1＇</w:t>
            </w:r>
          </w:p>
        </w:tc>
        <w:tc>
          <w:tcPr>
            <w:tcW w:w="658" w:type="pct"/>
            <w:vAlign w:val="center"/>
          </w:tcPr>
          <w:p w14:paraId="09FB073E">
            <w:pPr>
              <w:pStyle w:val="17"/>
              <w:bidi w:val="0"/>
              <w:rPr>
                <w:color w:val="auto"/>
                <w:lang w:val="en-US" w:eastAsia="zh-CN"/>
              </w:rPr>
            </w:pPr>
            <w:r>
              <w:rPr>
                <w:rFonts w:hint="eastAsia"/>
                <w:color w:val="auto"/>
                <w:lang w:val="en-US" w:eastAsia="zh-CN"/>
              </w:rPr>
              <w:t>95</w:t>
            </w:r>
          </w:p>
        </w:tc>
        <w:tc>
          <w:tcPr>
            <w:tcW w:w="721" w:type="pct"/>
            <w:vAlign w:val="center"/>
          </w:tcPr>
          <w:p w14:paraId="7E5181F4">
            <w:pPr>
              <w:pStyle w:val="17"/>
              <w:bidi w:val="0"/>
              <w:rPr>
                <w:color w:val="auto"/>
                <w:lang w:val="en-US" w:eastAsia="zh-CN"/>
              </w:rPr>
            </w:pPr>
            <w:r>
              <w:rPr>
                <w:color w:val="auto"/>
                <w:lang w:val="en-US" w:eastAsia="zh-CN"/>
              </w:rPr>
              <w:t>0.2</w:t>
            </w:r>
            <w:r>
              <w:rPr>
                <w:rFonts w:hint="eastAsia"/>
                <w:color w:val="auto"/>
                <w:lang w:val="en-US" w:eastAsia="zh-CN"/>
              </w:rPr>
              <w:t>5</w:t>
            </w:r>
          </w:p>
        </w:tc>
        <w:tc>
          <w:tcPr>
            <w:tcW w:w="297" w:type="pct"/>
            <w:vAlign w:val="center"/>
          </w:tcPr>
          <w:p w14:paraId="17F362D5">
            <w:pPr>
              <w:pStyle w:val="17"/>
              <w:bidi w:val="0"/>
              <w:rPr>
                <w:color w:val="auto"/>
                <w:lang w:val="en-US" w:eastAsia="zh-CN"/>
              </w:rPr>
            </w:pPr>
            <w:r>
              <w:rPr>
                <w:color w:val="auto"/>
                <w:lang w:val="en-US" w:eastAsia="zh-CN"/>
              </w:rPr>
              <w:t>3</w:t>
            </w:r>
          </w:p>
        </w:tc>
        <w:tc>
          <w:tcPr>
            <w:tcW w:w="994" w:type="pct"/>
            <w:vAlign w:val="center"/>
          </w:tcPr>
          <w:p w14:paraId="6F233C26">
            <w:pPr>
              <w:pStyle w:val="17"/>
              <w:bidi w:val="0"/>
              <w:rPr>
                <w:color w:val="auto"/>
                <w:lang w:val="en-US" w:eastAsia="zh-CN"/>
              </w:rPr>
            </w:pPr>
            <w:r>
              <w:rPr>
                <w:color w:val="auto"/>
                <w:lang w:val="en-US" w:eastAsia="zh-CN"/>
              </w:rPr>
              <w:t>3.5</w:t>
            </w:r>
          </w:p>
        </w:tc>
        <w:tc>
          <w:tcPr>
            <w:tcW w:w="1017" w:type="pct"/>
            <w:vAlign w:val="center"/>
          </w:tcPr>
          <w:p w14:paraId="35C7758B">
            <w:pPr>
              <w:pStyle w:val="17"/>
              <w:bidi w:val="0"/>
              <w:rPr>
                <w:color w:val="auto"/>
                <w:lang w:val="en-US" w:eastAsia="zh-CN"/>
              </w:rPr>
            </w:pPr>
            <w:r>
              <w:rPr>
                <w:color w:val="auto"/>
                <w:lang w:val="en-US" w:eastAsia="zh-CN"/>
              </w:rPr>
              <w:t>0.186</w:t>
            </w:r>
          </w:p>
        </w:tc>
      </w:tr>
      <w:tr w14:paraId="09EB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7" w:type="pct"/>
            <w:vAlign w:val="center"/>
          </w:tcPr>
          <w:p w14:paraId="7B8749A6">
            <w:pPr>
              <w:pStyle w:val="17"/>
              <w:bidi w:val="0"/>
              <w:rPr>
                <w:color w:val="auto"/>
                <w:lang w:val="en-US" w:eastAsia="zh-CN"/>
              </w:rPr>
            </w:pPr>
            <w:r>
              <w:rPr>
                <w:color w:val="auto"/>
                <w:lang w:val="en-US" w:eastAsia="zh-CN"/>
              </w:rPr>
              <w:t>灰岩</w:t>
            </w:r>
          </w:p>
        </w:tc>
        <w:tc>
          <w:tcPr>
            <w:tcW w:w="822" w:type="pct"/>
            <w:vAlign w:val="center"/>
          </w:tcPr>
          <w:p w14:paraId="3D378CCD">
            <w:pPr>
              <w:pStyle w:val="17"/>
              <w:bidi w:val="0"/>
              <w:rPr>
                <w:rFonts w:hint="default"/>
                <w:color w:val="auto"/>
                <w:lang w:val="en-US" w:eastAsia="zh-CN"/>
              </w:rPr>
            </w:pPr>
            <w:r>
              <w:rPr>
                <w:rFonts w:hint="eastAsia"/>
                <w:color w:val="auto"/>
                <w:lang w:val="en-US" w:eastAsia="zh-CN"/>
              </w:rPr>
              <w:t>现状A-A＇</w:t>
            </w:r>
          </w:p>
        </w:tc>
        <w:tc>
          <w:tcPr>
            <w:tcW w:w="658" w:type="pct"/>
            <w:vAlign w:val="center"/>
          </w:tcPr>
          <w:p w14:paraId="145FB69F">
            <w:pPr>
              <w:pStyle w:val="17"/>
              <w:bidi w:val="0"/>
              <w:rPr>
                <w:rFonts w:hint="default"/>
                <w:color w:val="auto"/>
                <w:lang w:val="en-US" w:eastAsia="zh-CN"/>
              </w:rPr>
            </w:pPr>
            <w:r>
              <w:rPr>
                <w:rFonts w:hint="eastAsia"/>
                <w:color w:val="auto"/>
                <w:lang w:val="en-US" w:eastAsia="zh-CN"/>
              </w:rPr>
              <w:t>115</w:t>
            </w:r>
          </w:p>
        </w:tc>
        <w:tc>
          <w:tcPr>
            <w:tcW w:w="721" w:type="pct"/>
            <w:vAlign w:val="center"/>
          </w:tcPr>
          <w:p w14:paraId="3530015F">
            <w:pPr>
              <w:pStyle w:val="17"/>
              <w:bidi w:val="0"/>
              <w:rPr>
                <w:rFonts w:hint="default"/>
                <w:color w:val="auto"/>
                <w:lang w:val="en-US" w:eastAsia="zh-CN"/>
              </w:rPr>
            </w:pPr>
            <w:r>
              <w:rPr>
                <w:rFonts w:hint="eastAsia"/>
                <w:color w:val="auto"/>
                <w:lang w:val="en-US" w:eastAsia="zh-CN"/>
              </w:rPr>
              <w:t>0.25</w:t>
            </w:r>
          </w:p>
        </w:tc>
        <w:tc>
          <w:tcPr>
            <w:tcW w:w="297" w:type="pct"/>
            <w:vAlign w:val="center"/>
          </w:tcPr>
          <w:p w14:paraId="77B4C6E5">
            <w:pPr>
              <w:pStyle w:val="17"/>
              <w:bidi w:val="0"/>
              <w:rPr>
                <w:rFonts w:hint="eastAsia"/>
                <w:color w:val="auto"/>
                <w:lang w:val="en-US" w:eastAsia="zh-CN"/>
              </w:rPr>
            </w:pPr>
            <w:r>
              <w:rPr>
                <w:rFonts w:hint="eastAsia"/>
                <w:color w:val="auto"/>
                <w:lang w:val="en-US" w:eastAsia="zh-CN"/>
              </w:rPr>
              <w:t>3</w:t>
            </w:r>
          </w:p>
        </w:tc>
        <w:tc>
          <w:tcPr>
            <w:tcW w:w="994" w:type="pct"/>
            <w:vAlign w:val="center"/>
          </w:tcPr>
          <w:p w14:paraId="71C0DEFD">
            <w:pPr>
              <w:pStyle w:val="17"/>
              <w:bidi w:val="0"/>
              <w:rPr>
                <w:rFonts w:hint="default"/>
                <w:color w:val="auto"/>
                <w:lang w:val="en-US" w:eastAsia="zh-CN"/>
              </w:rPr>
            </w:pPr>
            <w:r>
              <w:rPr>
                <w:rFonts w:hint="eastAsia"/>
                <w:color w:val="auto"/>
                <w:lang w:val="en-US" w:eastAsia="zh-CN"/>
              </w:rPr>
              <w:t>3.5</w:t>
            </w:r>
          </w:p>
        </w:tc>
        <w:tc>
          <w:tcPr>
            <w:tcW w:w="1017" w:type="pct"/>
            <w:vAlign w:val="center"/>
          </w:tcPr>
          <w:p w14:paraId="53BDF5EF">
            <w:pPr>
              <w:pStyle w:val="17"/>
              <w:bidi w:val="0"/>
              <w:rPr>
                <w:rFonts w:hint="default"/>
                <w:color w:val="auto"/>
                <w:lang w:val="en-US" w:eastAsia="zh-CN"/>
              </w:rPr>
            </w:pPr>
            <w:r>
              <w:rPr>
                <w:rFonts w:hint="eastAsia"/>
                <w:color w:val="auto"/>
                <w:lang w:val="en-US" w:eastAsia="zh-CN"/>
              </w:rPr>
              <w:t>0.180</w:t>
            </w:r>
          </w:p>
        </w:tc>
      </w:tr>
    </w:tbl>
    <w:p w14:paraId="724DE0FA">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2</w:t>
      </w:r>
      <w:r>
        <w:rPr>
          <w:rFonts w:hint="eastAsia" w:ascii="Times New Roman" w:hAnsi="Times New Roman"/>
          <w:color w:val="auto"/>
          <w:lang w:eastAsia="zh-CN"/>
        </w:rPr>
        <w:t>）</w:t>
      </w:r>
      <w:r>
        <w:rPr>
          <w:rFonts w:ascii="Times New Roman" w:hAnsi="Times New Roman"/>
          <w:color w:val="auto"/>
        </w:rPr>
        <w:t>格吉（M.Georgi）法</w:t>
      </w:r>
    </w:p>
    <w:p w14:paraId="6EA82928">
      <w:pPr>
        <w:bidi w:val="0"/>
        <w:rPr>
          <w:rFonts w:ascii="Times New Roman" w:hAnsi="Times New Roman"/>
          <w:color w:val="auto"/>
        </w:rPr>
      </w:pPr>
      <w:r>
        <w:rPr>
          <w:rFonts w:ascii="Times New Roman" w:hAnsi="Times New Roman"/>
          <w:color w:val="auto"/>
        </w:rPr>
        <w:t>M.Georgi通过对花岗岩、辉长岩、角闪岩、灰岩等岩石强度与岩体强度大量试验及调查研究后，提出如下经验公式：</w:t>
      </w:r>
    </w:p>
    <w:p w14:paraId="4E38F0DB">
      <w:pPr>
        <w:textAlignment w:val="center"/>
        <w:rPr>
          <w:rFonts w:ascii="Times New Roman" w:hAnsi="Times New Roman" w:cs="Times New Roman"/>
          <w:color w:val="auto"/>
        </w:rPr>
      </w:pPr>
      <w:r>
        <w:rPr>
          <w:rFonts w:ascii="Times New Roman" w:hAnsi="Times New Roman" w:cs="Times New Roman"/>
          <w:color w:val="auto"/>
        </w:rPr>
        <w:drawing>
          <wp:inline distT="0" distB="0" distL="0" distR="0">
            <wp:extent cx="2466975" cy="304800"/>
            <wp:effectExtent l="0" t="0" r="952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466975" cy="304800"/>
                    </a:xfrm>
                    <a:prstGeom prst="rect">
                      <a:avLst/>
                    </a:prstGeom>
                    <a:noFill/>
                    <a:ln>
                      <a:noFill/>
                    </a:ln>
                  </pic:spPr>
                </pic:pic>
              </a:graphicData>
            </a:graphic>
          </wp:inline>
        </w:drawing>
      </w:r>
    </w:p>
    <w:p w14:paraId="6A7B3BC9">
      <w:pPr>
        <w:bidi w:val="0"/>
        <w:rPr>
          <w:rFonts w:ascii="Times New Roman" w:hAnsi="Times New Roman"/>
          <w:color w:val="auto"/>
        </w:rPr>
      </w:pPr>
      <w:r>
        <w:rPr>
          <w:rFonts w:ascii="Times New Roman" w:hAnsi="Times New Roman"/>
          <w:color w:val="auto"/>
        </w:rPr>
        <w:t>式中：</w:t>
      </w:r>
    </w:p>
    <w:p w14:paraId="6BB9A126">
      <w:pPr>
        <w:bidi w:val="0"/>
        <w:rPr>
          <w:rFonts w:ascii="Times New Roman" w:hAnsi="Times New Roman"/>
          <w:color w:val="auto"/>
        </w:rPr>
      </w:pPr>
      <w:r>
        <w:rPr>
          <w:rFonts w:ascii="Times New Roman" w:hAnsi="Times New Roman"/>
          <w:color w:val="auto"/>
        </w:rPr>
        <w:drawing>
          <wp:inline distT="0" distB="0" distL="0" distR="0">
            <wp:extent cx="85725" cy="1714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85725" cy="171450"/>
                    </a:xfrm>
                    <a:prstGeom prst="rect">
                      <a:avLst/>
                    </a:prstGeom>
                    <a:noFill/>
                    <a:ln>
                      <a:noFill/>
                    </a:ln>
                  </pic:spPr>
                </pic:pic>
              </a:graphicData>
            </a:graphic>
          </wp:inline>
        </w:drawing>
      </w:r>
      <w:r>
        <w:rPr>
          <w:rFonts w:ascii="Times New Roman" w:hAnsi="Times New Roman"/>
          <w:color w:val="auto"/>
        </w:rPr>
        <w:t>-不连续面密度（条/m）；其余符号意义同费辛柯法公式。</w:t>
      </w:r>
    </w:p>
    <w:p w14:paraId="39D7DE6C">
      <w:pPr>
        <w:bidi w:val="0"/>
        <w:rPr>
          <w:rFonts w:ascii="Times New Roman" w:hAnsi="Times New Roman"/>
          <w:color w:val="auto"/>
        </w:rPr>
      </w:pPr>
      <w:r>
        <w:rPr>
          <w:rFonts w:ascii="Times New Roman" w:hAnsi="Times New Roman"/>
          <w:color w:val="auto"/>
        </w:rPr>
        <w:t>根据Georgi法弱化折减得到的岩体参数如表</w:t>
      </w:r>
      <w:r>
        <w:rPr>
          <w:rFonts w:hint="eastAsia" w:ascii="Times New Roman" w:hAnsi="Times New Roman"/>
          <w:color w:val="auto"/>
          <w:lang w:val="en-US" w:eastAsia="zh-CN"/>
        </w:rPr>
        <w:t>3.3-3</w:t>
      </w:r>
      <w:r>
        <w:rPr>
          <w:rFonts w:ascii="Times New Roman" w:hAnsi="Times New Roman"/>
          <w:color w:val="auto"/>
        </w:rPr>
        <w:t>所示。</w:t>
      </w:r>
    </w:p>
    <w:p w14:paraId="3B7ECFA2">
      <w:pPr>
        <w:pStyle w:val="16"/>
        <w:bidi w:val="0"/>
        <w:rPr>
          <w:rFonts w:ascii="Times New Roman" w:hAnsi="Times New Roman"/>
          <w:color w:val="auto"/>
        </w:rPr>
      </w:pPr>
      <w:r>
        <w:rPr>
          <w:rFonts w:ascii="Times New Roman" w:hAnsi="Times New Roman"/>
          <w:color w:val="auto"/>
        </w:rPr>
        <w:t>表</w:t>
      </w:r>
      <w:r>
        <w:rPr>
          <w:rFonts w:hint="eastAsia" w:ascii="Times New Roman" w:hAnsi="Times New Roman"/>
          <w:color w:val="auto"/>
        </w:rPr>
        <w:t>3.3-3</w:t>
      </w:r>
      <w:r>
        <w:rPr>
          <w:rFonts w:hint="eastAsia" w:ascii="Times New Roman" w:hAnsi="Times New Roman"/>
          <w:color w:val="auto"/>
          <w:lang w:val="en-US" w:eastAsia="zh-CN"/>
        </w:rPr>
        <w:t xml:space="preserve">  </w:t>
      </w:r>
      <w:r>
        <w:rPr>
          <w:rFonts w:ascii="Times New Roman" w:hAnsi="Times New Roman"/>
          <w:color w:val="auto"/>
        </w:rPr>
        <w:t>Georgi法弱化法计算结果</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2110"/>
        <w:gridCol w:w="2110"/>
        <w:gridCol w:w="1992"/>
        <w:gridCol w:w="2155"/>
      </w:tblGrid>
      <w:tr w14:paraId="10AB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48" w:type="pct"/>
            <w:vAlign w:val="center"/>
          </w:tcPr>
          <w:p w14:paraId="1DA29587">
            <w:pPr>
              <w:pStyle w:val="17"/>
              <w:bidi w:val="0"/>
              <w:rPr>
                <w:b/>
                <w:bCs/>
                <w:color w:val="auto"/>
                <w:lang w:val="en-US" w:eastAsia="zh-CN"/>
              </w:rPr>
            </w:pPr>
            <w:r>
              <w:rPr>
                <w:b/>
                <w:bCs/>
                <w:color w:val="auto"/>
                <w:lang w:val="en-US" w:eastAsia="zh-CN"/>
              </w:rPr>
              <w:t>岩性</w:t>
            </w:r>
          </w:p>
        </w:tc>
        <w:tc>
          <w:tcPr>
            <w:tcW w:w="1122" w:type="pct"/>
            <w:vAlign w:val="center"/>
          </w:tcPr>
          <w:p w14:paraId="227C4507">
            <w:pPr>
              <w:pStyle w:val="17"/>
              <w:bidi w:val="0"/>
              <w:rPr>
                <w:rFonts w:hint="default"/>
                <w:b/>
                <w:bCs/>
                <w:color w:val="auto"/>
                <w:lang w:val="en-US" w:eastAsia="zh-CN"/>
              </w:rPr>
            </w:pPr>
            <w:r>
              <w:rPr>
                <w:rFonts w:hint="eastAsia"/>
                <w:b/>
                <w:bCs/>
                <w:color w:val="auto"/>
                <w:lang w:val="en-US" w:eastAsia="zh-CN"/>
              </w:rPr>
              <w:t>剖面</w:t>
            </w:r>
          </w:p>
        </w:tc>
        <w:tc>
          <w:tcPr>
            <w:tcW w:w="1122" w:type="pct"/>
            <w:vAlign w:val="center"/>
          </w:tcPr>
          <w:p w14:paraId="014F2EFE">
            <w:pPr>
              <w:pStyle w:val="17"/>
              <w:bidi w:val="0"/>
              <w:rPr>
                <w:b/>
                <w:bCs/>
                <w:color w:val="auto"/>
                <w:lang w:val="en-US" w:eastAsia="zh-CN"/>
              </w:rPr>
            </w:pPr>
            <w:r>
              <w:rPr>
                <w:b/>
                <w:bCs/>
                <w:color w:val="auto"/>
                <w:lang w:val="en-US" w:eastAsia="zh-CN"/>
              </w:rPr>
              <w:drawing>
                <wp:inline distT="0" distB="0" distL="0" distR="0">
                  <wp:extent cx="171450" cy="209550"/>
                  <wp:effectExtent l="0" t="0" r="0" b="0"/>
                  <wp:docPr id="180042622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26225" name="图片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71450" cy="209550"/>
                          </a:xfrm>
                          <a:prstGeom prst="rect">
                            <a:avLst/>
                          </a:prstGeom>
                          <a:noFill/>
                          <a:ln>
                            <a:noFill/>
                          </a:ln>
                        </pic:spPr>
                      </pic:pic>
                    </a:graphicData>
                  </a:graphic>
                </wp:inline>
              </w:drawing>
            </w:r>
            <w:r>
              <w:rPr>
                <w:b/>
                <w:bCs/>
                <w:color w:val="auto"/>
                <w:lang w:val="en-US" w:eastAsia="zh-CN"/>
              </w:rPr>
              <w:t>（MPa）</w:t>
            </w:r>
          </w:p>
        </w:tc>
        <w:tc>
          <w:tcPr>
            <w:tcW w:w="1059" w:type="pct"/>
            <w:vAlign w:val="center"/>
          </w:tcPr>
          <w:p w14:paraId="55CA7CAC">
            <w:pPr>
              <w:pStyle w:val="17"/>
              <w:bidi w:val="0"/>
              <w:rPr>
                <w:b/>
                <w:bCs/>
                <w:color w:val="auto"/>
                <w:lang w:val="en-US" w:eastAsia="zh-CN"/>
              </w:rPr>
            </w:pPr>
            <w:r>
              <w:rPr>
                <w:b/>
                <w:bCs/>
                <w:color w:val="auto"/>
                <w:lang w:val="en-US" w:eastAsia="zh-CN"/>
              </w:rPr>
              <w:drawing>
                <wp:inline distT="0" distB="0" distL="0" distR="0">
                  <wp:extent cx="85725" cy="171450"/>
                  <wp:effectExtent l="0" t="0" r="9525" b="0"/>
                  <wp:docPr id="14608033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0336" name="图片 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5725" cy="171450"/>
                          </a:xfrm>
                          <a:prstGeom prst="rect">
                            <a:avLst/>
                          </a:prstGeom>
                          <a:noFill/>
                          <a:ln>
                            <a:noFill/>
                          </a:ln>
                        </pic:spPr>
                      </pic:pic>
                    </a:graphicData>
                  </a:graphic>
                </wp:inline>
              </w:drawing>
            </w:r>
            <w:r>
              <w:rPr>
                <w:b/>
                <w:bCs/>
                <w:color w:val="auto"/>
                <w:lang w:val="en-US" w:eastAsia="zh-CN"/>
              </w:rPr>
              <w:t>（条/m）</w:t>
            </w:r>
          </w:p>
        </w:tc>
        <w:tc>
          <w:tcPr>
            <w:tcW w:w="1146" w:type="pct"/>
            <w:vAlign w:val="center"/>
          </w:tcPr>
          <w:p w14:paraId="541DA761">
            <w:pPr>
              <w:pStyle w:val="17"/>
              <w:bidi w:val="0"/>
              <w:rPr>
                <w:b/>
                <w:bCs/>
                <w:color w:val="auto"/>
                <w:lang w:val="en-US" w:eastAsia="zh-CN"/>
              </w:rPr>
            </w:pPr>
            <w:r>
              <w:rPr>
                <w:b/>
                <w:bCs/>
                <w:color w:val="auto"/>
                <w:lang w:val="en-US" w:eastAsia="zh-CN"/>
              </w:rPr>
              <w:drawing>
                <wp:inline distT="0" distB="0" distL="0" distR="0">
                  <wp:extent cx="190500" cy="209550"/>
                  <wp:effectExtent l="0" t="0" r="0" b="0"/>
                  <wp:docPr id="75960723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07236" name="图片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90500" cy="209550"/>
                          </a:xfrm>
                          <a:prstGeom prst="rect">
                            <a:avLst/>
                          </a:prstGeom>
                          <a:noFill/>
                          <a:ln>
                            <a:noFill/>
                          </a:ln>
                        </pic:spPr>
                      </pic:pic>
                    </a:graphicData>
                  </a:graphic>
                </wp:inline>
              </w:drawing>
            </w:r>
            <w:r>
              <w:rPr>
                <w:b/>
                <w:bCs/>
                <w:color w:val="auto"/>
                <w:lang w:val="en-US" w:eastAsia="zh-CN"/>
              </w:rPr>
              <w:t>（MPa）</w:t>
            </w:r>
          </w:p>
        </w:tc>
      </w:tr>
      <w:tr w14:paraId="339F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Align w:val="center"/>
          </w:tcPr>
          <w:p w14:paraId="0DD7A079">
            <w:pPr>
              <w:pStyle w:val="17"/>
              <w:bidi w:val="0"/>
              <w:rPr>
                <w:color w:val="auto"/>
                <w:lang w:val="en-US" w:eastAsia="zh-CN"/>
              </w:rPr>
            </w:pPr>
            <w:r>
              <w:rPr>
                <w:color w:val="auto"/>
                <w:lang w:val="en-US" w:eastAsia="zh-CN"/>
              </w:rPr>
              <w:t>灰岩</w:t>
            </w:r>
          </w:p>
        </w:tc>
        <w:tc>
          <w:tcPr>
            <w:tcW w:w="1122" w:type="pct"/>
            <w:vAlign w:val="center"/>
          </w:tcPr>
          <w:p w14:paraId="46244DEB">
            <w:pPr>
              <w:pStyle w:val="17"/>
              <w:bidi w:val="0"/>
              <w:rPr>
                <w:color w:val="auto"/>
                <w:lang w:val="en-US" w:eastAsia="zh-CN"/>
              </w:rPr>
            </w:pPr>
            <w:r>
              <w:rPr>
                <w:rFonts w:hint="eastAsia"/>
                <w:color w:val="auto"/>
                <w:lang w:val="en-US" w:eastAsia="zh-CN"/>
              </w:rPr>
              <w:t>设计1-1＇</w:t>
            </w:r>
          </w:p>
        </w:tc>
        <w:tc>
          <w:tcPr>
            <w:tcW w:w="1122" w:type="pct"/>
            <w:vAlign w:val="center"/>
          </w:tcPr>
          <w:p w14:paraId="24340D1D">
            <w:pPr>
              <w:pStyle w:val="17"/>
              <w:bidi w:val="0"/>
              <w:rPr>
                <w:color w:val="auto"/>
                <w:lang w:val="en-US" w:eastAsia="zh-CN"/>
              </w:rPr>
            </w:pPr>
            <w:r>
              <w:rPr>
                <w:color w:val="auto"/>
                <w:lang w:val="en-US" w:eastAsia="zh-CN"/>
              </w:rPr>
              <w:t>3.5</w:t>
            </w:r>
          </w:p>
        </w:tc>
        <w:tc>
          <w:tcPr>
            <w:tcW w:w="1059" w:type="pct"/>
            <w:vAlign w:val="center"/>
          </w:tcPr>
          <w:p w14:paraId="7BE7CC20">
            <w:pPr>
              <w:pStyle w:val="17"/>
              <w:bidi w:val="0"/>
              <w:rPr>
                <w:color w:val="auto"/>
                <w:lang w:val="en-US" w:eastAsia="zh-CN"/>
              </w:rPr>
            </w:pPr>
            <w:r>
              <w:rPr>
                <w:rFonts w:hint="eastAsia"/>
                <w:color w:val="auto"/>
                <w:lang w:val="en-US" w:eastAsia="zh-CN"/>
              </w:rPr>
              <w:t>4</w:t>
            </w:r>
          </w:p>
        </w:tc>
        <w:tc>
          <w:tcPr>
            <w:tcW w:w="1146" w:type="pct"/>
            <w:vAlign w:val="center"/>
          </w:tcPr>
          <w:p w14:paraId="068EE97B">
            <w:pPr>
              <w:pStyle w:val="17"/>
              <w:bidi w:val="0"/>
              <w:rPr>
                <w:color w:val="auto"/>
                <w:lang w:val="en-US" w:eastAsia="zh-CN"/>
              </w:rPr>
            </w:pPr>
            <w:r>
              <w:rPr>
                <w:rFonts w:hint="eastAsia"/>
                <w:color w:val="auto"/>
                <w:lang w:val="en-US" w:eastAsia="zh-CN"/>
              </w:rPr>
              <w:t>0.223</w:t>
            </w:r>
          </w:p>
        </w:tc>
      </w:tr>
      <w:tr w14:paraId="0F2F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Align w:val="center"/>
          </w:tcPr>
          <w:p w14:paraId="5F5482BC">
            <w:pPr>
              <w:pStyle w:val="17"/>
              <w:bidi w:val="0"/>
              <w:rPr>
                <w:color w:val="auto"/>
                <w:lang w:val="en-US" w:eastAsia="zh-CN"/>
              </w:rPr>
            </w:pPr>
            <w:r>
              <w:rPr>
                <w:color w:val="auto"/>
                <w:lang w:val="en-US" w:eastAsia="zh-CN"/>
              </w:rPr>
              <w:t>灰岩</w:t>
            </w:r>
          </w:p>
        </w:tc>
        <w:tc>
          <w:tcPr>
            <w:tcW w:w="1122" w:type="pct"/>
            <w:vAlign w:val="center"/>
          </w:tcPr>
          <w:p w14:paraId="15D1EE00">
            <w:pPr>
              <w:pStyle w:val="17"/>
              <w:bidi w:val="0"/>
              <w:rPr>
                <w:color w:val="auto"/>
                <w:lang w:val="en-US" w:eastAsia="zh-CN"/>
              </w:rPr>
            </w:pPr>
            <w:r>
              <w:rPr>
                <w:rFonts w:hint="eastAsia"/>
                <w:color w:val="auto"/>
                <w:lang w:val="en-US" w:eastAsia="zh-CN"/>
              </w:rPr>
              <w:t>现状A-A＇</w:t>
            </w:r>
          </w:p>
        </w:tc>
        <w:tc>
          <w:tcPr>
            <w:tcW w:w="1122" w:type="pct"/>
            <w:vAlign w:val="center"/>
          </w:tcPr>
          <w:p w14:paraId="3A8358DD">
            <w:pPr>
              <w:pStyle w:val="17"/>
              <w:bidi w:val="0"/>
              <w:rPr>
                <w:rFonts w:hint="default"/>
                <w:color w:val="auto"/>
                <w:lang w:val="en-US" w:eastAsia="zh-CN"/>
              </w:rPr>
            </w:pPr>
            <w:r>
              <w:rPr>
                <w:rFonts w:hint="eastAsia"/>
                <w:color w:val="auto"/>
                <w:lang w:val="en-US" w:eastAsia="zh-CN"/>
              </w:rPr>
              <w:t>3.5</w:t>
            </w:r>
          </w:p>
        </w:tc>
        <w:tc>
          <w:tcPr>
            <w:tcW w:w="1059" w:type="pct"/>
            <w:vAlign w:val="center"/>
          </w:tcPr>
          <w:p w14:paraId="01E05698">
            <w:pPr>
              <w:pStyle w:val="17"/>
              <w:bidi w:val="0"/>
              <w:rPr>
                <w:rFonts w:hint="eastAsia"/>
                <w:color w:val="auto"/>
                <w:lang w:val="en-US" w:eastAsia="zh-CN"/>
              </w:rPr>
            </w:pPr>
            <w:r>
              <w:rPr>
                <w:rFonts w:hint="eastAsia"/>
                <w:color w:val="auto"/>
                <w:lang w:val="en-US" w:eastAsia="zh-CN"/>
              </w:rPr>
              <w:t>4</w:t>
            </w:r>
          </w:p>
        </w:tc>
        <w:tc>
          <w:tcPr>
            <w:tcW w:w="1146" w:type="pct"/>
            <w:vAlign w:val="center"/>
          </w:tcPr>
          <w:p w14:paraId="7BD3D092">
            <w:pPr>
              <w:pStyle w:val="17"/>
              <w:bidi w:val="0"/>
              <w:rPr>
                <w:rFonts w:hint="default"/>
                <w:color w:val="auto"/>
                <w:lang w:val="en-US" w:eastAsia="zh-CN"/>
              </w:rPr>
            </w:pPr>
            <w:r>
              <w:rPr>
                <w:rFonts w:hint="eastAsia"/>
                <w:color w:val="auto"/>
                <w:lang w:val="en-US" w:eastAsia="zh-CN"/>
              </w:rPr>
              <w:t>0.223</w:t>
            </w:r>
          </w:p>
        </w:tc>
      </w:tr>
    </w:tbl>
    <w:p w14:paraId="5B4675EA">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3</w:t>
      </w:r>
      <w:r>
        <w:rPr>
          <w:rFonts w:hint="eastAsia" w:ascii="Times New Roman" w:hAnsi="Times New Roman"/>
          <w:color w:val="auto"/>
          <w:lang w:eastAsia="zh-CN"/>
        </w:rPr>
        <w:t>）</w:t>
      </w:r>
      <w:r>
        <w:rPr>
          <w:rFonts w:ascii="Times New Roman" w:hAnsi="Times New Roman"/>
          <w:color w:val="auto"/>
        </w:rPr>
        <w:t>岩体内摩擦角换算法</w:t>
      </w:r>
    </w:p>
    <w:p w14:paraId="12E71F6F">
      <w:pPr>
        <w:bidi w:val="0"/>
        <w:rPr>
          <w:rFonts w:ascii="Times New Roman" w:hAnsi="Times New Roman"/>
          <w:color w:val="auto"/>
        </w:rPr>
      </w:pPr>
      <w:r>
        <w:rPr>
          <w:rFonts w:ascii="Times New Roman" w:hAnsi="Times New Roman"/>
          <w:color w:val="auto"/>
        </w:rPr>
        <w:t>按φ</w:t>
      </w:r>
      <w:r>
        <w:rPr>
          <w:rFonts w:ascii="Times New Roman" w:hAnsi="Times New Roman"/>
          <w:color w:val="auto"/>
          <w:vertAlign w:val="subscript"/>
        </w:rPr>
        <w:t>m</w:t>
      </w:r>
      <w:r>
        <w:rPr>
          <w:rFonts w:ascii="Times New Roman" w:hAnsi="Times New Roman"/>
          <w:color w:val="auto"/>
        </w:rPr>
        <w:t>=arctan（0.8×tgφ</w:t>
      </w:r>
      <w:r>
        <w:rPr>
          <w:rFonts w:ascii="Times New Roman" w:hAnsi="Times New Roman"/>
          <w:color w:val="auto"/>
          <w:vertAlign w:val="subscript"/>
        </w:rPr>
        <w:t>k</w:t>
      </w:r>
      <w:r>
        <w:rPr>
          <w:rFonts w:ascii="Times New Roman" w:hAnsi="Times New Roman"/>
          <w:color w:val="auto"/>
        </w:rPr>
        <w:t>）折减。</w:t>
      </w:r>
    </w:p>
    <w:p w14:paraId="68C3B9C0">
      <w:pPr>
        <w:bidi w:val="0"/>
        <w:rPr>
          <w:rFonts w:ascii="Times New Roman" w:hAnsi="Times New Roman"/>
          <w:color w:val="auto"/>
        </w:rPr>
      </w:pPr>
      <w:r>
        <w:rPr>
          <w:rFonts w:ascii="Times New Roman" w:hAnsi="Times New Roman"/>
          <w:color w:val="auto"/>
        </w:rPr>
        <w:t>计算结果：φ</w:t>
      </w:r>
      <w:r>
        <w:rPr>
          <w:rFonts w:hint="eastAsia" w:ascii="Times New Roman" w:hAnsi="Times New Roman"/>
          <w:color w:val="auto"/>
          <w:vertAlign w:val="subscript"/>
          <w:lang w:val="en-US" w:eastAsia="zh-CN"/>
        </w:rPr>
        <w:t>灰岩</w:t>
      </w:r>
      <w:r>
        <w:rPr>
          <w:rFonts w:ascii="Times New Roman" w:hAnsi="Times New Roman"/>
          <w:color w:val="auto"/>
        </w:rPr>
        <w:t>=35.</w:t>
      </w:r>
      <w:r>
        <w:rPr>
          <w:rFonts w:hint="eastAsia" w:ascii="Times New Roman" w:hAnsi="Times New Roman"/>
          <w:color w:val="auto"/>
          <w:lang w:val="en-US" w:eastAsia="zh-CN"/>
        </w:rPr>
        <w:t>01</w:t>
      </w:r>
      <w:r>
        <w:rPr>
          <w:rFonts w:ascii="Times New Roman" w:hAnsi="Times New Roman"/>
          <w:color w:val="auto"/>
        </w:rPr>
        <w:t>°。</w:t>
      </w:r>
    </w:p>
    <w:p w14:paraId="157FF105">
      <w:pPr>
        <w:bidi w:val="0"/>
        <w:rPr>
          <w:rFonts w:ascii="Times New Roman" w:hAnsi="Times New Roman"/>
          <w:color w:val="auto"/>
        </w:rPr>
      </w:pPr>
      <w:r>
        <w:rPr>
          <w:rFonts w:ascii="Times New Roman" w:hAnsi="Times New Roman"/>
          <w:color w:val="auto"/>
        </w:rPr>
        <w:t>综合考虑上述不同工程处理方法的抗剪强度指标取值，并结合类似灰岩矿山物理力学指标，最终确定的岩体物理力学参数如下表</w:t>
      </w:r>
      <w:r>
        <w:rPr>
          <w:rFonts w:hint="eastAsia" w:ascii="Times New Roman" w:hAnsi="Times New Roman"/>
          <w:color w:val="auto"/>
          <w:lang w:val="en-US" w:eastAsia="zh-CN"/>
        </w:rPr>
        <w:t>3.3-4</w:t>
      </w:r>
      <w:r>
        <w:rPr>
          <w:rFonts w:ascii="Times New Roman" w:hAnsi="Times New Roman"/>
          <w:color w:val="auto"/>
        </w:rPr>
        <w:t>所示。</w:t>
      </w:r>
    </w:p>
    <w:p w14:paraId="60C127CD">
      <w:pPr>
        <w:pStyle w:val="16"/>
        <w:bidi w:val="0"/>
        <w:rPr>
          <w:rFonts w:ascii="Times New Roman" w:hAnsi="Times New Roman"/>
          <w:color w:val="auto"/>
        </w:rPr>
      </w:pPr>
      <w:r>
        <w:rPr>
          <w:rFonts w:ascii="Times New Roman" w:hAnsi="Times New Roman"/>
          <w:color w:val="auto"/>
        </w:rPr>
        <w:t>表</w:t>
      </w:r>
      <w:r>
        <w:rPr>
          <w:rFonts w:hint="eastAsia" w:ascii="Times New Roman" w:hAnsi="Times New Roman"/>
          <w:color w:val="auto"/>
          <w:lang w:val="en-US" w:eastAsia="zh-CN"/>
        </w:rPr>
        <w:t xml:space="preserve">3.3-4  </w:t>
      </w:r>
      <w:r>
        <w:rPr>
          <w:rFonts w:ascii="Times New Roman" w:hAnsi="Times New Roman"/>
          <w:color w:val="auto"/>
        </w:rPr>
        <w:t>边坡岩体力学参数推荐值</w:t>
      </w:r>
    </w:p>
    <w:bookmarkEnd w:id="115"/>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3"/>
        <w:gridCol w:w="2046"/>
        <w:gridCol w:w="2046"/>
        <w:gridCol w:w="1807"/>
        <w:gridCol w:w="1515"/>
      </w:tblGrid>
      <w:tr w14:paraId="6A7F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055" w:type="pct"/>
            <w:vAlign w:val="center"/>
          </w:tcPr>
          <w:p w14:paraId="49A13A42">
            <w:pPr>
              <w:pStyle w:val="17"/>
              <w:bidi w:val="0"/>
              <w:rPr>
                <w:b/>
                <w:bCs/>
                <w:color w:val="auto"/>
                <w:lang w:val="en-US" w:eastAsia="zh-CN"/>
              </w:rPr>
            </w:pPr>
            <w:bookmarkStart w:id="116" w:name="_Toc200581108"/>
            <w:r>
              <w:rPr>
                <w:b/>
                <w:bCs/>
                <w:color w:val="auto"/>
                <w:lang w:val="en-US" w:eastAsia="zh-CN"/>
              </w:rPr>
              <w:t>岩性</w:t>
            </w:r>
          </w:p>
        </w:tc>
        <w:tc>
          <w:tcPr>
            <w:tcW w:w="1088" w:type="pct"/>
            <w:vAlign w:val="center"/>
          </w:tcPr>
          <w:p w14:paraId="4FE282CE">
            <w:pPr>
              <w:pStyle w:val="17"/>
              <w:bidi w:val="0"/>
              <w:rPr>
                <w:b/>
                <w:bCs/>
                <w:color w:val="auto"/>
                <w:lang w:val="en-US" w:eastAsia="zh-CN"/>
              </w:rPr>
            </w:pPr>
            <w:r>
              <w:rPr>
                <w:rFonts w:hint="eastAsia"/>
                <w:b/>
                <w:bCs/>
                <w:color w:val="auto"/>
                <w:lang w:val="en-US" w:eastAsia="zh-CN"/>
              </w:rPr>
              <w:t>剖面</w:t>
            </w:r>
          </w:p>
        </w:tc>
        <w:tc>
          <w:tcPr>
            <w:tcW w:w="1088" w:type="pct"/>
            <w:vAlign w:val="center"/>
          </w:tcPr>
          <w:p w14:paraId="4944DD3A">
            <w:pPr>
              <w:pStyle w:val="17"/>
              <w:bidi w:val="0"/>
              <w:rPr>
                <w:b/>
                <w:bCs/>
                <w:color w:val="auto"/>
                <w:lang w:val="en-US" w:eastAsia="zh-CN"/>
              </w:rPr>
            </w:pPr>
            <w:r>
              <w:rPr>
                <w:b/>
                <w:bCs/>
                <w:color w:val="auto"/>
                <w:lang w:val="en-US" w:eastAsia="zh-CN"/>
              </w:rPr>
              <w:t>密度g/cm</w:t>
            </w:r>
            <w:r>
              <w:rPr>
                <w:b/>
                <w:bCs/>
                <w:color w:val="auto"/>
                <w:vertAlign w:val="superscript"/>
                <w:lang w:val="en-US" w:eastAsia="zh-CN"/>
              </w:rPr>
              <w:t>3</w:t>
            </w:r>
          </w:p>
        </w:tc>
        <w:tc>
          <w:tcPr>
            <w:tcW w:w="961" w:type="pct"/>
            <w:vAlign w:val="center"/>
          </w:tcPr>
          <w:p w14:paraId="71E7DF72">
            <w:pPr>
              <w:pStyle w:val="17"/>
              <w:bidi w:val="0"/>
              <w:rPr>
                <w:b/>
                <w:bCs/>
                <w:color w:val="auto"/>
                <w:lang w:val="en-US" w:eastAsia="zh-CN"/>
              </w:rPr>
            </w:pPr>
            <w:r>
              <w:rPr>
                <w:b/>
                <w:bCs/>
                <w:color w:val="auto"/>
                <w:lang w:val="en-US" w:eastAsia="zh-CN"/>
              </w:rPr>
              <w:t>粘聚力C（Mpa）</w:t>
            </w:r>
          </w:p>
        </w:tc>
        <w:tc>
          <w:tcPr>
            <w:tcW w:w="806" w:type="pct"/>
            <w:vAlign w:val="center"/>
          </w:tcPr>
          <w:p w14:paraId="67740F66">
            <w:pPr>
              <w:pStyle w:val="17"/>
              <w:bidi w:val="0"/>
              <w:rPr>
                <w:b/>
                <w:bCs/>
                <w:color w:val="auto"/>
                <w:lang w:val="en-US" w:eastAsia="zh-CN"/>
              </w:rPr>
            </w:pPr>
            <w:r>
              <w:rPr>
                <w:b/>
                <w:bCs/>
                <w:color w:val="auto"/>
                <w:lang w:val="en-US" w:eastAsia="zh-CN"/>
              </w:rPr>
              <w:t>内摩擦角φ</w:t>
            </w:r>
          </w:p>
        </w:tc>
      </w:tr>
      <w:tr w14:paraId="2947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5" w:type="pct"/>
            <w:vAlign w:val="center"/>
          </w:tcPr>
          <w:p w14:paraId="3E35A661">
            <w:pPr>
              <w:pStyle w:val="17"/>
              <w:bidi w:val="0"/>
              <w:rPr>
                <w:color w:val="auto"/>
                <w:lang w:val="en-US" w:eastAsia="zh-CN"/>
              </w:rPr>
            </w:pPr>
            <w:r>
              <w:rPr>
                <w:color w:val="auto"/>
                <w:lang w:val="en-US" w:eastAsia="zh-CN"/>
              </w:rPr>
              <w:t>灰岩</w:t>
            </w:r>
          </w:p>
        </w:tc>
        <w:tc>
          <w:tcPr>
            <w:tcW w:w="1088" w:type="pct"/>
            <w:vAlign w:val="center"/>
          </w:tcPr>
          <w:p w14:paraId="47A144EC">
            <w:pPr>
              <w:pStyle w:val="17"/>
              <w:bidi w:val="0"/>
              <w:rPr>
                <w:color w:val="auto"/>
                <w:lang w:val="en-US" w:eastAsia="zh-CN"/>
              </w:rPr>
            </w:pPr>
            <w:r>
              <w:rPr>
                <w:rFonts w:hint="eastAsia"/>
                <w:color w:val="auto"/>
                <w:lang w:val="en-US" w:eastAsia="zh-CN"/>
              </w:rPr>
              <w:t>设计1-1＇</w:t>
            </w:r>
          </w:p>
        </w:tc>
        <w:tc>
          <w:tcPr>
            <w:tcW w:w="1088" w:type="pct"/>
            <w:vAlign w:val="center"/>
          </w:tcPr>
          <w:p w14:paraId="2B3C9DBF">
            <w:pPr>
              <w:pStyle w:val="17"/>
              <w:bidi w:val="0"/>
              <w:rPr>
                <w:color w:val="auto"/>
                <w:lang w:val="en-US" w:eastAsia="zh-CN"/>
              </w:rPr>
            </w:pPr>
            <w:r>
              <w:rPr>
                <w:rFonts w:hint="eastAsia"/>
                <w:color w:val="auto"/>
                <w:lang w:val="en-US" w:eastAsia="zh-CN"/>
              </w:rPr>
              <w:t>2.57</w:t>
            </w:r>
          </w:p>
        </w:tc>
        <w:tc>
          <w:tcPr>
            <w:tcW w:w="961" w:type="pct"/>
            <w:vAlign w:val="center"/>
          </w:tcPr>
          <w:p w14:paraId="4F7C7F4E">
            <w:pPr>
              <w:pStyle w:val="17"/>
              <w:bidi w:val="0"/>
              <w:rPr>
                <w:color w:val="auto"/>
                <w:lang w:val="en-US" w:eastAsia="zh-CN"/>
              </w:rPr>
            </w:pPr>
            <w:r>
              <w:rPr>
                <w:color w:val="auto"/>
                <w:lang w:val="en-US" w:eastAsia="zh-CN"/>
              </w:rPr>
              <w:t>0.1</w:t>
            </w:r>
            <w:r>
              <w:rPr>
                <w:rFonts w:hint="eastAsia"/>
                <w:color w:val="auto"/>
                <w:lang w:val="en-US" w:eastAsia="zh-CN"/>
              </w:rPr>
              <w:t>86</w:t>
            </w:r>
          </w:p>
        </w:tc>
        <w:tc>
          <w:tcPr>
            <w:tcW w:w="806" w:type="pct"/>
            <w:vAlign w:val="center"/>
          </w:tcPr>
          <w:p w14:paraId="762CA1C8">
            <w:pPr>
              <w:pStyle w:val="17"/>
              <w:bidi w:val="0"/>
              <w:rPr>
                <w:color w:val="auto"/>
                <w:lang w:val="en-US" w:eastAsia="zh-CN"/>
              </w:rPr>
            </w:pPr>
            <w:r>
              <w:rPr>
                <w:color w:val="auto"/>
                <w:lang w:val="en-US" w:eastAsia="zh-CN"/>
              </w:rPr>
              <w:t>32.01</w:t>
            </w:r>
          </w:p>
        </w:tc>
      </w:tr>
      <w:tr w14:paraId="5587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5" w:type="pct"/>
            <w:vAlign w:val="center"/>
          </w:tcPr>
          <w:p w14:paraId="0594EC67">
            <w:pPr>
              <w:pStyle w:val="17"/>
              <w:bidi w:val="0"/>
              <w:rPr>
                <w:color w:val="auto"/>
                <w:lang w:val="en-US" w:eastAsia="zh-CN"/>
              </w:rPr>
            </w:pPr>
            <w:r>
              <w:rPr>
                <w:color w:val="auto"/>
                <w:lang w:val="en-US" w:eastAsia="zh-CN"/>
              </w:rPr>
              <w:t>灰岩</w:t>
            </w:r>
          </w:p>
        </w:tc>
        <w:tc>
          <w:tcPr>
            <w:tcW w:w="1088" w:type="pct"/>
            <w:vAlign w:val="center"/>
          </w:tcPr>
          <w:p w14:paraId="002F36D1">
            <w:pPr>
              <w:pStyle w:val="17"/>
              <w:bidi w:val="0"/>
              <w:rPr>
                <w:color w:val="auto"/>
                <w:lang w:val="en-US" w:eastAsia="zh-CN"/>
              </w:rPr>
            </w:pPr>
            <w:r>
              <w:rPr>
                <w:rFonts w:hint="eastAsia"/>
                <w:color w:val="auto"/>
                <w:lang w:val="en-US" w:eastAsia="zh-CN"/>
              </w:rPr>
              <w:t>现状A-A＇</w:t>
            </w:r>
          </w:p>
        </w:tc>
        <w:tc>
          <w:tcPr>
            <w:tcW w:w="1088" w:type="pct"/>
            <w:vAlign w:val="center"/>
          </w:tcPr>
          <w:p w14:paraId="50E6CBD3">
            <w:pPr>
              <w:pStyle w:val="17"/>
              <w:bidi w:val="0"/>
              <w:rPr>
                <w:rFonts w:hint="default"/>
                <w:color w:val="auto"/>
                <w:lang w:val="en-US" w:eastAsia="zh-CN"/>
              </w:rPr>
            </w:pPr>
            <w:r>
              <w:rPr>
                <w:rFonts w:hint="eastAsia"/>
                <w:color w:val="auto"/>
                <w:lang w:val="en-US" w:eastAsia="zh-CN"/>
              </w:rPr>
              <w:t>2.57</w:t>
            </w:r>
          </w:p>
        </w:tc>
        <w:tc>
          <w:tcPr>
            <w:tcW w:w="961" w:type="pct"/>
            <w:vAlign w:val="center"/>
          </w:tcPr>
          <w:p w14:paraId="48A488AF">
            <w:pPr>
              <w:pStyle w:val="17"/>
              <w:bidi w:val="0"/>
              <w:rPr>
                <w:rFonts w:hint="default"/>
                <w:color w:val="auto"/>
                <w:lang w:val="en-US" w:eastAsia="zh-CN"/>
              </w:rPr>
            </w:pPr>
            <w:r>
              <w:rPr>
                <w:rFonts w:hint="eastAsia"/>
                <w:color w:val="auto"/>
                <w:lang w:val="en-US" w:eastAsia="zh-CN"/>
              </w:rPr>
              <w:t>0.180</w:t>
            </w:r>
          </w:p>
        </w:tc>
        <w:tc>
          <w:tcPr>
            <w:tcW w:w="806" w:type="pct"/>
            <w:vAlign w:val="center"/>
          </w:tcPr>
          <w:p w14:paraId="020BEEBA">
            <w:pPr>
              <w:pStyle w:val="17"/>
              <w:bidi w:val="0"/>
              <w:rPr>
                <w:rFonts w:hint="default"/>
                <w:color w:val="auto"/>
                <w:lang w:val="en-US" w:eastAsia="zh-CN"/>
              </w:rPr>
            </w:pPr>
            <w:r>
              <w:rPr>
                <w:rFonts w:hint="eastAsia"/>
                <w:color w:val="auto"/>
                <w:lang w:val="en-US" w:eastAsia="zh-CN"/>
              </w:rPr>
              <w:t>32.01</w:t>
            </w:r>
          </w:p>
        </w:tc>
      </w:tr>
    </w:tbl>
    <w:p w14:paraId="07E59BD3">
      <w:pPr>
        <w:bidi w:val="0"/>
        <w:rPr>
          <w:rFonts w:ascii="Times New Roman" w:hAnsi="Times New Roman"/>
          <w:color w:val="auto"/>
        </w:rPr>
      </w:pPr>
      <w:r>
        <w:rPr>
          <w:rFonts w:hint="eastAsia" w:ascii="Times New Roman" w:hAnsi="Times New Roman"/>
          <w:color w:val="auto"/>
          <w:lang w:val="en-US" w:eastAsia="zh-CN"/>
        </w:rPr>
        <w:t>2、</w:t>
      </w:r>
      <w:r>
        <w:rPr>
          <w:rFonts w:ascii="Times New Roman" w:hAnsi="Times New Roman"/>
          <w:color w:val="auto"/>
        </w:rPr>
        <w:t>边坡安全系数选取</w:t>
      </w:r>
      <w:bookmarkEnd w:id="116"/>
    </w:p>
    <w:p w14:paraId="6FE2DB58">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1</w:t>
      </w:r>
      <w:r>
        <w:rPr>
          <w:rFonts w:hint="eastAsia" w:ascii="Times New Roman" w:hAnsi="Times New Roman"/>
          <w:color w:val="auto"/>
          <w:lang w:eastAsia="zh-CN"/>
        </w:rPr>
        <w:t>）</w:t>
      </w:r>
      <w:r>
        <w:rPr>
          <w:rFonts w:ascii="Times New Roman" w:hAnsi="Times New Roman"/>
          <w:color w:val="auto"/>
        </w:rPr>
        <w:t>边坡安全等级划分</w:t>
      </w:r>
    </w:p>
    <w:p w14:paraId="4E94D91A">
      <w:pPr>
        <w:bidi w:val="0"/>
        <w:rPr>
          <w:rFonts w:ascii="Times New Roman" w:hAnsi="Times New Roman"/>
          <w:color w:val="auto"/>
        </w:rPr>
      </w:pPr>
      <w:r>
        <w:rPr>
          <w:rFonts w:ascii="Times New Roman" w:hAnsi="Times New Roman"/>
          <w:color w:val="auto"/>
        </w:rPr>
        <w:t>露天采场边坡允许安全系数以《非煤露天矿边坡工程技术规范》（GB51016-2014）的规定为依据，边坡安全系数则依据由边坡高度（表</w:t>
      </w:r>
      <w:r>
        <w:rPr>
          <w:rFonts w:hint="eastAsia" w:ascii="Times New Roman" w:hAnsi="Times New Roman"/>
          <w:color w:val="auto"/>
          <w:lang w:val="en-US" w:eastAsia="zh-CN"/>
        </w:rPr>
        <w:t>3.3-5</w:t>
      </w:r>
      <w:r>
        <w:rPr>
          <w:rFonts w:ascii="Times New Roman" w:hAnsi="Times New Roman"/>
          <w:color w:val="auto"/>
        </w:rPr>
        <w:t>）和边坡危害等级（表</w:t>
      </w:r>
      <w:r>
        <w:rPr>
          <w:rFonts w:hint="eastAsia" w:ascii="Times New Roman" w:hAnsi="Times New Roman"/>
          <w:color w:val="auto"/>
          <w:lang w:val="en-US" w:eastAsia="zh-CN"/>
        </w:rPr>
        <w:t>3.3-6</w:t>
      </w:r>
      <w:r>
        <w:rPr>
          <w:rFonts w:ascii="Times New Roman" w:hAnsi="Times New Roman"/>
          <w:color w:val="auto"/>
        </w:rPr>
        <w:t>）确定的边坡工程安全等级（表</w:t>
      </w:r>
      <w:r>
        <w:rPr>
          <w:rFonts w:hint="eastAsia" w:ascii="Times New Roman" w:hAnsi="Times New Roman"/>
          <w:color w:val="auto"/>
          <w:lang w:val="en-US" w:eastAsia="zh-CN"/>
        </w:rPr>
        <w:t>3.3-7</w:t>
      </w:r>
      <w:r>
        <w:rPr>
          <w:rFonts w:ascii="Times New Roman" w:hAnsi="Times New Roman"/>
          <w:color w:val="auto"/>
        </w:rPr>
        <w:t>）决定。</w:t>
      </w:r>
    </w:p>
    <w:p w14:paraId="64D25254">
      <w:pPr>
        <w:pStyle w:val="16"/>
        <w:bidi w:val="0"/>
        <w:rPr>
          <w:rFonts w:ascii="Times New Roman" w:hAnsi="Times New Roman"/>
          <w:color w:val="auto"/>
        </w:rPr>
      </w:pPr>
      <w:bookmarkStart w:id="117" w:name="_Ref478157807"/>
      <w:r>
        <w:rPr>
          <w:rFonts w:ascii="Times New Roman" w:hAnsi="Times New Roman"/>
          <w:color w:val="auto"/>
        </w:rPr>
        <w:t>表</w:t>
      </w:r>
      <w:r>
        <w:rPr>
          <w:rFonts w:hint="eastAsia" w:ascii="Times New Roman" w:hAnsi="Times New Roman"/>
          <w:color w:val="auto"/>
          <w:lang w:val="en-US" w:eastAsia="zh-CN"/>
        </w:rPr>
        <w:t xml:space="preserve">3.3-5  </w:t>
      </w:r>
      <w:r>
        <w:rPr>
          <w:rFonts w:ascii="Times New Roman" w:hAnsi="Times New Roman"/>
          <w:color w:val="auto"/>
        </w:rPr>
        <w:t>露天矿边坡等级划分</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8"/>
        <w:gridCol w:w="4913"/>
      </w:tblGrid>
      <w:tr w14:paraId="7C55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7" w:type="pct"/>
            <w:vAlign w:val="center"/>
          </w:tcPr>
          <w:p w14:paraId="1E1B687A">
            <w:pPr>
              <w:pStyle w:val="17"/>
              <w:bidi w:val="0"/>
              <w:rPr>
                <w:rFonts w:ascii="Times New Roman" w:hAnsi="Times New Roman"/>
                <w:b/>
                <w:bCs/>
                <w:color w:val="auto"/>
              </w:rPr>
            </w:pPr>
            <w:r>
              <w:rPr>
                <w:rFonts w:ascii="Times New Roman" w:hAnsi="Times New Roman"/>
                <w:b/>
                <w:bCs/>
                <w:color w:val="auto"/>
              </w:rPr>
              <w:t>露天矿边坡等级</w:t>
            </w:r>
          </w:p>
        </w:tc>
        <w:tc>
          <w:tcPr>
            <w:tcW w:w="2613" w:type="pct"/>
            <w:vAlign w:val="center"/>
          </w:tcPr>
          <w:p w14:paraId="77374FCE">
            <w:pPr>
              <w:pStyle w:val="17"/>
              <w:bidi w:val="0"/>
              <w:rPr>
                <w:rFonts w:ascii="Times New Roman" w:hAnsi="Times New Roman"/>
                <w:b/>
                <w:bCs/>
                <w:color w:val="auto"/>
              </w:rPr>
            </w:pPr>
            <w:r>
              <w:rPr>
                <w:rFonts w:ascii="Times New Roman" w:hAnsi="Times New Roman"/>
                <w:b/>
                <w:bCs/>
                <w:color w:val="auto"/>
              </w:rPr>
              <w:t>边坡高度H（m）</w:t>
            </w:r>
          </w:p>
        </w:tc>
      </w:tr>
      <w:tr w14:paraId="69B9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7" w:type="pct"/>
            <w:vAlign w:val="center"/>
          </w:tcPr>
          <w:p w14:paraId="3AB14ED4">
            <w:pPr>
              <w:pStyle w:val="17"/>
              <w:bidi w:val="0"/>
              <w:rPr>
                <w:rFonts w:ascii="Times New Roman" w:hAnsi="Times New Roman"/>
                <w:color w:val="auto"/>
              </w:rPr>
            </w:pPr>
            <w:r>
              <w:rPr>
                <w:rFonts w:ascii="Times New Roman" w:hAnsi="Times New Roman"/>
                <w:color w:val="auto"/>
              </w:rPr>
              <w:t>超高边坡</w:t>
            </w:r>
          </w:p>
        </w:tc>
        <w:tc>
          <w:tcPr>
            <w:tcW w:w="2613" w:type="pct"/>
            <w:vAlign w:val="center"/>
          </w:tcPr>
          <w:p w14:paraId="3EADF993">
            <w:pPr>
              <w:pStyle w:val="17"/>
              <w:bidi w:val="0"/>
              <w:rPr>
                <w:rFonts w:ascii="Times New Roman" w:hAnsi="Times New Roman"/>
                <w:color w:val="auto"/>
              </w:rPr>
            </w:pPr>
            <w:r>
              <w:rPr>
                <w:rFonts w:ascii="Times New Roman" w:hAnsi="Times New Roman"/>
                <w:color w:val="auto"/>
              </w:rPr>
              <w:t>H＞500</w:t>
            </w:r>
          </w:p>
        </w:tc>
      </w:tr>
      <w:tr w14:paraId="52A6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7" w:type="pct"/>
            <w:vAlign w:val="center"/>
          </w:tcPr>
          <w:p w14:paraId="1CB98D7B">
            <w:pPr>
              <w:pStyle w:val="17"/>
              <w:bidi w:val="0"/>
              <w:rPr>
                <w:rFonts w:ascii="Times New Roman" w:hAnsi="Times New Roman"/>
                <w:color w:val="auto"/>
              </w:rPr>
            </w:pPr>
            <w:r>
              <w:rPr>
                <w:rFonts w:ascii="Times New Roman" w:hAnsi="Times New Roman"/>
                <w:color w:val="auto"/>
              </w:rPr>
              <w:t>高边坡</w:t>
            </w:r>
          </w:p>
        </w:tc>
        <w:tc>
          <w:tcPr>
            <w:tcW w:w="2613" w:type="pct"/>
            <w:vAlign w:val="center"/>
          </w:tcPr>
          <w:p w14:paraId="5B97F79D">
            <w:pPr>
              <w:pStyle w:val="17"/>
              <w:bidi w:val="0"/>
              <w:rPr>
                <w:rFonts w:ascii="Times New Roman" w:hAnsi="Times New Roman"/>
                <w:color w:val="auto"/>
              </w:rPr>
            </w:pPr>
            <w:r>
              <w:rPr>
                <w:rFonts w:ascii="Times New Roman" w:hAnsi="Times New Roman"/>
                <w:color w:val="auto"/>
              </w:rPr>
              <w:t>300＜H≤500</w:t>
            </w:r>
          </w:p>
        </w:tc>
      </w:tr>
      <w:tr w14:paraId="7097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7" w:type="pct"/>
            <w:vAlign w:val="center"/>
          </w:tcPr>
          <w:p w14:paraId="6CCED9E6">
            <w:pPr>
              <w:pStyle w:val="17"/>
              <w:bidi w:val="0"/>
              <w:rPr>
                <w:rFonts w:ascii="Times New Roman" w:hAnsi="Times New Roman"/>
                <w:color w:val="auto"/>
              </w:rPr>
            </w:pPr>
            <w:r>
              <w:rPr>
                <w:rFonts w:ascii="Times New Roman" w:hAnsi="Times New Roman"/>
                <w:color w:val="auto"/>
              </w:rPr>
              <w:t>中边坡</w:t>
            </w:r>
          </w:p>
        </w:tc>
        <w:tc>
          <w:tcPr>
            <w:tcW w:w="2613" w:type="pct"/>
            <w:vAlign w:val="center"/>
          </w:tcPr>
          <w:p w14:paraId="41905683">
            <w:pPr>
              <w:pStyle w:val="17"/>
              <w:bidi w:val="0"/>
              <w:rPr>
                <w:rFonts w:ascii="Times New Roman" w:hAnsi="Times New Roman"/>
                <w:color w:val="auto"/>
              </w:rPr>
            </w:pPr>
            <w:r>
              <w:rPr>
                <w:rFonts w:ascii="Times New Roman" w:hAnsi="Times New Roman"/>
                <w:color w:val="auto"/>
              </w:rPr>
              <w:t>100＜H≤300</w:t>
            </w:r>
          </w:p>
        </w:tc>
      </w:tr>
      <w:tr w14:paraId="2D44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7" w:type="pct"/>
            <w:vAlign w:val="center"/>
          </w:tcPr>
          <w:p w14:paraId="25371116">
            <w:pPr>
              <w:pStyle w:val="17"/>
              <w:bidi w:val="0"/>
              <w:rPr>
                <w:rFonts w:ascii="Times New Roman" w:hAnsi="Times New Roman"/>
                <w:color w:val="auto"/>
              </w:rPr>
            </w:pPr>
            <w:r>
              <w:rPr>
                <w:rFonts w:ascii="Times New Roman" w:hAnsi="Times New Roman"/>
                <w:color w:val="auto"/>
              </w:rPr>
              <w:t>低边坡</w:t>
            </w:r>
          </w:p>
        </w:tc>
        <w:tc>
          <w:tcPr>
            <w:tcW w:w="2613" w:type="pct"/>
            <w:vAlign w:val="center"/>
          </w:tcPr>
          <w:p w14:paraId="0896A98F">
            <w:pPr>
              <w:pStyle w:val="17"/>
              <w:bidi w:val="0"/>
              <w:rPr>
                <w:rFonts w:ascii="Times New Roman" w:hAnsi="Times New Roman"/>
                <w:color w:val="auto"/>
              </w:rPr>
            </w:pPr>
            <w:r>
              <w:rPr>
                <w:rFonts w:ascii="Times New Roman" w:hAnsi="Times New Roman"/>
                <w:color w:val="auto"/>
              </w:rPr>
              <w:t>H≤100</w:t>
            </w:r>
          </w:p>
        </w:tc>
      </w:tr>
    </w:tbl>
    <w:p w14:paraId="451DA025">
      <w:pPr>
        <w:pStyle w:val="16"/>
        <w:bidi w:val="0"/>
        <w:rPr>
          <w:rFonts w:ascii="Times New Roman" w:hAnsi="Times New Roman"/>
          <w:color w:val="auto"/>
        </w:rPr>
      </w:pPr>
      <w:r>
        <w:rPr>
          <w:rFonts w:ascii="Times New Roman" w:hAnsi="Times New Roman"/>
          <w:color w:val="auto"/>
        </w:rPr>
        <w:t>表</w:t>
      </w:r>
      <w:bookmarkEnd w:id="117"/>
      <w:r>
        <w:rPr>
          <w:rFonts w:hint="eastAsia" w:ascii="Times New Roman" w:hAnsi="Times New Roman"/>
          <w:color w:val="auto"/>
          <w:lang w:val="en-US" w:eastAsia="zh-CN"/>
        </w:rPr>
        <w:t xml:space="preserve">3.3-6  </w:t>
      </w:r>
      <w:r>
        <w:rPr>
          <w:rFonts w:ascii="Times New Roman" w:hAnsi="Times New Roman"/>
          <w:color w:val="auto"/>
        </w:rPr>
        <w:t>边坡危害等级</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0"/>
        <w:gridCol w:w="1000"/>
        <w:gridCol w:w="2010"/>
        <w:gridCol w:w="2691"/>
        <w:gridCol w:w="2010"/>
      </w:tblGrid>
      <w:tr w14:paraId="0764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431" w:type="pct"/>
            <w:gridSpan w:val="2"/>
            <w:vAlign w:val="center"/>
          </w:tcPr>
          <w:p w14:paraId="3B61EA6E">
            <w:pPr>
              <w:pStyle w:val="17"/>
              <w:bidi w:val="0"/>
              <w:rPr>
                <w:rFonts w:ascii="Times New Roman" w:hAnsi="Times New Roman"/>
                <w:b/>
                <w:bCs/>
                <w:color w:val="auto"/>
              </w:rPr>
            </w:pPr>
            <w:r>
              <w:rPr>
                <w:rFonts w:ascii="Times New Roman" w:hAnsi="Times New Roman"/>
                <w:b/>
                <w:bCs/>
                <w:color w:val="auto"/>
              </w:rPr>
              <w:t>边坡危害等级</w:t>
            </w:r>
          </w:p>
        </w:tc>
        <w:tc>
          <w:tcPr>
            <w:tcW w:w="1069" w:type="pct"/>
            <w:vAlign w:val="center"/>
          </w:tcPr>
          <w:p w14:paraId="38F9EF32">
            <w:pPr>
              <w:pStyle w:val="17"/>
              <w:bidi w:val="0"/>
              <w:rPr>
                <w:rFonts w:ascii="Times New Roman" w:hAnsi="Times New Roman"/>
                <w:b/>
                <w:bCs/>
                <w:color w:val="auto"/>
              </w:rPr>
            </w:pPr>
            <w:r>
              <w:rPr>
                <w:rFonts w:ascii="Times New Roman" w:hAnsi="Times New Roman"/>
                <w:b/>
                <w:bCs/>
                <w:color w:val="auto"/>
              </w:rPr>
              <w:t>Ⅰ</w:t>
            </w:r>
          </w:p>
        </w:tc>
        <w:tc>
          <w:tcPr>
            <w:tcW w:w="1431" w:type="pct"/>
            <w:vAlign w:val="center"/>
          </w:tcPr>
          <w:p w14:paraId="26CB30B4">
            <w:pPr>
              <w:pStyle w:val="17"/>
              <w:bidi w:val="0"/>
              <w:rPr>
                <w:rFonts w:ascii="Times New Roman" w:hAnsi="Times New Roman"/>
                <w:b/>
                <w:bCs/>
                <w:color w:val="auto"/>
              </w:rPr>
            </w:pPr>
            <w:r>
              <w:rPr>
                <w:rFonts w:ascii="Times New Roman" w:hAnsi="Times New Roman"/>
                <w:b/>
                <w:bCs/>
                <w:color w:val="auto"/>
              </w:rPr>
              <w:t>Ⅱ</w:t>
            </w:r>
          </w:p>
        </w:tc>
        <w:tc>
          <w:tcPr>
            <w:tcW w:w="1069" w:type="pct"/>
            <w:vAlign w:val="center"/>
          </w:tcPr>
          <w:p w14:paraId="1268D05B">
            <w:pPr>
              <w:pStyle w:val="17"/>
              <w:bidi w:val="0"/>
              <w:rPr>
                <w:rFonts w:ascii="Times New Roman" w:hAnsi="Times New Roman"/>
                <w:b/>
                <w:bCs/>
                <w:color w:val="auto"/>
              </w:rPr>
            </w:pPr>
            <w:r>
              <w:rPr>
                <w:rFonts w:ascii="Times New Roman" w:hAnsi="Times New Roman"/>
                <w:b/>
                <w:bCs/>
                <w:color w:val="auto"/>
              </w:rPr>
              <w:t>Ⅲ</w:t>
            </w:r>
          </w:p>
        </w:tc>
      </w:tr>
      <w:tr w14:paraId="527C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31" w:type="pct"/>
            <w:gridSpan w:val="2"/>
            <w:vAlign w:val="center"/>
          </w:tcPr>
          <w:p w14:paraId="4A610AB3">
            <w:pPr>
              <w:pStyle w:val="17"/>
              <w:bidi w:val="0"/>
              <w:rPr>
                <w:rFonts w:ascii="Times New Roman" w:hAnsi="Times New Roman"/>
                <w:color w:val="auto"/>
              </w:rPr>
            </w:pPr>
            <w:r>
              <w:rPr>
                <w:rFonts w:ascii="Times New Roman" w:hAnsi="Times New Roman"/>
                <w:color w:val="auto"/>
              </w:rPr>
              <w:t>可能的人员伤亡</w:t>
            </w:r>
          </w:p>
        </w:tc>
        <w:tc>
          <w:tcPr>
            <w:tcW w:w="1069" w:type="pct"/>
            <w:vAlign w:val="center"/>
          </w:tcPr>
          <w:p w14:paraId="7DC30312">
            <w:pPr>
              <w:pStyle w:val="17"/>
              <w:bidi w:val="0"/>
              <w:rPr>
                <w:rFonts w:ascii="Times New Roman" w:hAnsi="Times New Roman"/>
                <w:color w:val="auto"/>
              </w:rPr>
            </w:pPr>
            <w:r>
              <w:rPr>
                <w:rFonts w:ascii="Times New Roman" w:hAnsi="Times New Roman"/>
                <w:color w:val="auto"/>
              </w:rPr>
              <w:t>有人员伤亡</w:t>
            </w:r>
          </w:p>
        </w:tc>
        <w:tc>
          <w:tcPr>
            <w:tcW w:w="1431" w:type="pct"/>
            <w:vAlign w:val="center"/>
          </w:tcPr>
          <w:p w14:paraId="0762271C">
            <w:pPr>
              <w:pStyle w:val="17"/>
              <w:bidi w:val="0"/>
              <w:rPr>
                <w:rFonts w:ascii="Times New Roman" w:hAnsi="Times New Roman"/>
                <w:color w:val="auto"/>
              </w:rPr>
            </w:pPr>
            <w:r>
              <w:rPr>
                <w:rFonts w:ascii="Times New Roman" w:hAnsi="Times New Roman"/>
                <w:color w:val="auto"/>
              </w:rPr>
              <w:t>有人员受伤</w:t>
            </w:r>
          </w:p>
        </w:tc>
        <w:tc>
          <w:tcPr>
            <w:tcW w:w="1069" w:type="pct"/>
            <w:vAlign w:val="center"/>
          </w:tcPr>
          <w:p w14:paraId="2F243454">
            <w:pPr>
              <w:pStyle w:val="17"/>
              <w:bidi w:val="0"/>
              <w:rPr>
                <w:rFonts w:ascii="Times New Roman" w:hAnsi="Times New Roman"/>
                <w:color w:val="auto"/>
              </w:rPr>
            </w:pPr>
            <w:r>
              <w:rPr>
                <w:rFonts w:ascii="Times New Roman" w:hAnsi="Times New Roman"/>
                <w:color w:val="auto"/>
              </w:rPr>
              <w:t>无人员伤亡</w:t>
            </w:r>
          </w:p>
        </w:tc>
      </w:tr>
      <w:tr w14:paraId="3372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pct"/>
            <w:vMerge w:val="restart"/>
            <w:vAlign w:val="center"/>
          </w:tcPr>
          <w:p w14:paraId="39896B1D">
            <w:pPr>
              <w:pStyle w:val="17"/>
              <w:bidi w:val="0"/>
              <w:rPr>
                <w:rFonts w:ascii="Times New Roman" w:hAnsi="Times New Roman"/>
                <w:color w:val="auto"/>
              </w:rPr>
            </w:pPr>
            <w:r>
              <w:rPr>
                <w:rFonts w:ascii="Times New Roman" w:hAnsi="Times New Roman"/>
                <w:color w:val="auto"/>
              </w:rPr>
              <w:t>潜在的经济损失</w:t>
            </w:r>
          </w:p>
        </w:tc>
        <w:tc>
          <w:tcPr>
            <w:tcW w:w="532" w:type="pct"/>
            <w:vAlign w:val="center"/>
          </w:tcPr>
          <w:p w14:paraId="1DAD538D">
            <w:pPr>
              <w:pStyle w:val="17"/>
              <w:bidi w:val="0"/>
              <w:rPr>
                <w:rFonts w:ascii="Times New Roman" w:hAnsi="Times New Roman"/>
                <w:color w:val="auto"/>
              </w:rPr>
            </w:pPr>
            <w:r>
              <w:rPr>
                <w:rFonts w:ascii="Times New Roman" w:hAnsi="Times New Roman"/>
                <w:color w:val="auto"/>
              </w:rPr>
              <w:t>直接</w:t>
            </w:r>
          </w:p>
        </w:tc>
        <w:tc>
          <w:tcPr>
            <w:tcW w:w="1069" w:type="pct"/>
            <w:vAlign w:val="center"/>
          </w:tcPr>
          <w:p w14:paraId="3A03DAFD">
            <w:pPr>
              <w:pStyle w:val="17"/>
              <w:bidi w:val="0"/>
              <w:rPr>
                <w:rFonts w:ascii="Times New Roman" w:hAnsi="Times New Roman"/>
                <w:color w:val="auto"/>
              </w:rPr>
            </w:pPr>
            <w:r>
              <w:rPr>
                <w:rFonts w:ascii="Times New Roman" w:hAnsi="Times New Roman"/>
                <w:color w:val="auto"/>
              </w:rPr>
              <w:t>≥100万</w:t>
            </w:r>
          </w:p>
        </w:tc>
        <w:tc>
          <w:tcPr>
            <w:tcW w:w="1431" w:type="pct"/>
            <w:vAlign w:val="center"/>
          </w:tcPr>
          <w:p w14:paraId="2E7674C1">
            <w:pPr>
              <w:pStyle w:val="17"/>
              <w:bidi w:val="0"/>
              <w:rPr>
                <w:rFonts w:ascii="Times New Roman" w:hAnsi="Times New Roman"/>
                <w:color w:val="auto"/>
              </w:rPr>
            </w:pPr>
            <w:r>
              <w:rPr>
                <w:rFonts w:ascii="Times New Roman" w:hAnsi="Times New Roman"/>
                <w:color w:val="auto"/>
              </w:rPr>
              <w:t>50万~100万</w:t>
            </w:r>
          </w:p>
        </w:tc>
        <w:tc>
          <w:tcPr>
            <w:tcW w:w="1069" w:type="pct"/>
            <w:vAlign w:val="center"/>
          </w:tcPr>
          <w:p w14:paraId="3EC00E76">
            <w:pPr>
              <w:pStyle w:val="17"/>
              <w:bidi w:val="0"/>
              <w:rPr>
                <w:rFonts w:ascii="Times New Roman" w:hAnsi="Times New Roman"/>
                <w:color w:val="auto"/>
              </w:rPr>
            </w:pPr>
            <w:r>
              <w:rPr>
                <w:rFonts w:ascii="Times New Roman" w:hAnsi="Times New Roman"/>
                <w:color w:val="auto"/>
              </w:rPr>
              <w:t>≤50万</w:t>
            </w:r>
          </w:p>
        </w:tc>
      </w:tr>
      <w:tr w14:paraId="22EF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pct"/>
            <w:vMerge w:val="continue"/>
            <w:vAlign w:val="center"/>
          </w:tcPr>
          <w:p w14:paraId="5A9DF83F">
            <w:pPr>
              <w:pStyle w:val="17"/>
              <w:bidi w:val="0"/>
              <w:rPr>
                <w:rFonts w:ascii="Times New Roman" w:hAnsi="Times New Roman"/>
                <w:color w:val="auto"/>
              </w:rPr>
            </w:pPr>
          </w:p>
        </w:tc>
        <w:tc>
          <w:tcPr>
            <w:tcW w:w="532" w:type="pct"/>
            <w:vAlign w:val="center"/>
          </w:tcPr>
          <w:p w14:paraId="6F971D0F">
            <w:pPr>
              <w:pStyle w:val="17"/>
              <w:bidi w:val="0"/>
              <w:rPr>
                <w:rFonts w:ascii="Times New Roman" w:hAnsi="Times New Roman"/>
                <w:color w:val="auto"/>
              </w:rPr>
            </w:pPr>
            <w:r>
              <w:rPr>
                <w:rFonts w:ascii="Times New Roman" w:hAnsi="Times New Roman"/>
                <w:color w:val="auto"/>
              </w:rPr>
              <w:t>间接</w:t>
            </w:r>
          </w:p>
        </w:tc>
        <w:tc>
          <w:tcPr>
            <w:tcW w:w="1069" w:type="pct"/>
            <w:vAlign w:val="center"/>
          </w:tcPr>
          <w:p w14:paraId="47498948">
            <w:pPr>
              <w:pStyle w:val="17"/>
              <w:bidi w:val="0"/>
              <w:rPr>
                <w:rFonts w:ascii="Times New Roman" w:hAnsi="Times New Roman"/>
                <w:color w:val="auto"/>
              </w:rPr>
            </w:pPr>
            <w:r>
              <w:rPr>
                <w:rFonts w:ascii="Times New Roman" w:hAnsi="Times New Roman"/>
                <w:color w:val="auto"/>
              </w:rPr>
              <w:t>≥1000万</w:t>
            </w:r>
          </w:p>
        </w:tc>
        <w:tc>
          <w:tcPr>
            <w:tcW w:w="1431" w:type="pct"/>
            <w:vAlign w:val="center"/>
          </w:tcPr>
          <w:p w14:paraId="0393748A">
            <w:pPr>
              <w:pStyle w:val="17"/>
              <w:bidi w:val="0"/>
              <w:rPr>
                <w:rFonts w:ascii="Times New Roman" w:hAnsi="Times New Roman"/>
                <w:color w:val="auto"/>
              </w:rPr>
            </w:pPr>
            <w:r>
              <w:rPr>
                <w:rFonts w:ascii="Times New Roman" w:hAnsi="Times New Roman"/>
                <w:color w:val="auto"/>
              </w:rPr>
              <w:t>500万~1000万</w:t>
            </w:r>
          </w:p>
        </w:tc>
        <w:tc>
          <w:tcPr>
            <w:tcW w:w="1069" w:type="pct"/>
            <w:vAlign w:val="center"/>
          </w:tcPr>
          <w:p w14:paraId="798E58D8">
            <w:pPr>
              <w:pStyle w:val="17"/>
              <w:bidi w:val="0"/>
              <w:rPr>
                <w:rFonts w:ascii="Times New Roman" w:hAnsi="Times New Roman"/>
                <w:color w:val="auto"/>
              </w:rPr>
            </w:pPr>
            <w:r>
              <w:rPr>
                <w:rFonts w:ascii="Times New Roman" w:hAnsi="Times New Roman"/>
                <w:color w:val="auto"/>
              </w:rPr>
              <w:t>≤500万</w:t>
            </w:r>
          </w:p>
        </w:tc>
      </w:tr>
      <w:tr w14:paraId="6D6B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31" w:type="pct"/>
            <w:gridSpan w:val="2"/>
            <w:vAlign w:val="center"/>
          </w:tcPr>
          <w:p w14:paraId="31141E85">
            <w:pPr>
              <w:pStyle w:val="17"/>
              <w:bidi w:val="0"/>
              <w:rPr>
                <w:rFonts w:ascii="Times New Roman" w:hAnsi="Times New Roman"/>
                <w:color w:val="auto"/>
              </w:rPr>
            </w:pPr>
            <w:r>
              <w:rPr>
                <w:rFonts w:ascii="Times New Roman" w:hAnsi="Times New Roman"/>
                <w:color w:val="auto"/>
              </w:rPr>
              <w:t>综合评定</w:t>
            </w:r>
          </w:p>
        </w:tc>
        <w:tc>
          <w:tcPr>
            <w:tcW w:w="1069" w:type="pct"/>
            <w:vAlign w:val="center"/>
          </w:tcPr>
          <w:p w14:paraId="54FC15FB">
            <w:pPr>
              <w:pStyle w:val="17"/>
              <w:bidi w:val="0"/>
              <w:rPr>
                <w:rFonts w:ascii="Times New Roman" w:hAnsi="Times New Roman"/>
                <w:color w:val="auto"/>
              </w:rPr>
            </w:pPr>
            <w:r>
              <w:rPr>
                <w:rFonts w:ascii="Times New Roman" w:hAnsi="Times New Roman"/>
                <w:color w:val="auto"/>
              </w:rPr>
              <w:t>很严重</w:t>
            </w:r>
          </w:p>
        </w:tc>
        <w:tc>
          <w:tcPr>
            <w:tcW w:w="1431" w:type="pct"/>
            <w:vAlign w:val="center"/>
          </w:tcPr>
          <w:p w14:paraId="68F7D0F8">
            <w:pPr>
              <w:pStyle w:val="17"/>
              <w:bidi w:val="0"/>
              <w:rPr>
                <w:rFonts w:ascii="Times New Roman" w:hAnsi="Times New Roman"/>
                <w:color w:val="auto"/>
              </w:rPr>
            </w:pPr>
            <w:r>
              <w:rPr>
                <w:rFonts w:ascii="Times New Roman" w:hAnsi="Times New Roman"/>
                <w:color w:val="auto"/>
              </w:rPr>
              <w:t>严重</w:t>
            </w:r>
          </w:p>
        </w:tc>
        <w:tc>
          <w:tcPr>
            <w:tcW w:w="1069" w:type="pct"/>
            <w:vAlign w:val="center"/>
          </w:tcPr>
          <w:p w14:paraId="6AF9F85D">
            <w:pPr>
              <w:pStyle w:val="17"/>
              <w:bidi w:val="0"/>
              <w:rPr>
                <w:rFonts w:ascii="Times New Roman" w:hAnsi="Times New Roman"/>
                <w:color w:val="auto"/>
              </w:rPr>
            </w:pPr>
            <w:r>
              <w:rPr>
                <w:rFonts w:ascii="Times New Roman" w:hAnsi="Times New Roman"/>
                <w:color w:val="auto"/>
              </w:rPr>
              <w:t>不严重</w:t>
            </w:r>
          </w:p>
        </w:tc>
      </w:tr>
    </w:tbl>
    <w:p w14:paraId="7BA25B77">
      <w:pPr>
        <w:pStyle w:val="16"/>
        <w:bidi w:val="0"/>
        <w:rPr>
          <w:rFonts w:ascii="Times New Roman" w:hAnsi="Times New Roman"/>
          <w:color w:val="auto"/>
        </w:rPr>
      </w:pPr>
      <w:bookmarkStart w:id="118" w:name="_Ref478157816"/>
      <w:r>
        <w:rPr>
          <w:rFonts w:ascii="Times New Roman" w:hAnsi="Times New Roman"/>
          <w:color w:val="auto"/>
        </w:rPr>
        <w:t>表</w:t>
      </w:r>
      <w:bookmarkEnd w:id="118"/>
      <w:r>
        <w:rPr>
          <w:rFonts w:hint="eastAsia" w:ascii="Times New Roman" w:hAnsi="Times New Roman"/>
          <w:color w:val="auto"/>
          <w:lang w:val="en-US" w:eastAsia="zh-CN"/>
        </w:rPr>
        <w:t xml:space="preserve">3.3-7  </w:t>
      </w:r>
      <w:r>
        <w:rPr>
          <w:rFonts w:ascii="Times New Roman" w:hAnsi="Times New Roman"/>
          <w:color w:val="auto"/>
        </w:rPr>
        <w:t>边坡工程安全等级划分</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3"/>
        <w:gridCol w:w="3589"/>
        <w:gridCol w:w="3059"/>
      </w:tblGrid>
      <w:tr w14:paraId="3745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464" w:type="pct"/>
            <w:vAlign w:val="center"/>
          </w:tcPr>
          <w:p w14:paraId="249F8B5F">
            <w:pPr>
              <w:pStyle w:val="17"/>
              <w:bidi w:val="0"/>
              <w:rPr>
                <w:rFonts w:ascii="Times New Roman" w:hAnsi="Times New Roman"/>
                <w:b/>
                <w:bCs/>
                <w:color w:val="auto"/>
              </w:rPr>
            </w:pPr>
            <w:r>
              <w:rPr>
                <w:rFonts w:ascii="Times New Roman" w:hAnsi="Times New Roman"/>
                <w:b/>
                <w:bCs/>
                <w:color w:val="auto"/>
              </w:rPr>
              <w:t>边坡工程安全等级</w:t>
            </w:r>
          </w:p>
        </w:tc>
        <w:tc>
          <w:tcPr>
            <w:tcW w:w="1908" w:type="pct"/>
            <w:vAlign w:val="center"/>
          </w:tcPr>
          <w:p w14:paraId="60DFE523">
            <w:pPr>
              <w:pStyle w:val="17"/>
              <w:bidi w:val="0"/>
              <w:rPr>
                <w:rFonts w:ascii="Times New Roman" w:hAnsi="Times New Roman"/>
                <w:b/>
                <w:bCs/>
                <w:color w:val="auto"/>
              </w:rPr>
            </w:pPr>
            <w:r>
              <w:rPr>
                <w:rFonts w:ascii="Times New Roman" w:hAnsi="Times New Roman"/>
                <w:b/>
                <w:bCs/>
                <w:color w:val="auto"/>
              </w:rPr>
              <w:t>边坡高度H（m）</w:t>
            </w:r>
          </w:p>
        </w:tc>
        <w:tc>
          <w:tcPr>
            <w:tcW w:w="1626" w:type="pct"/>
            <w:vAlign w:val="center"/>
          </w:tcPr>
          <w:p w14:paraId="16457CFE">
            <w:pPr>
              <w:pStyle w:val="17"/>
              <w:bidi w:val="0"/>
              <w:rPr>
                <w:rFonts w:ascii="Times New Roman" w:hAnsi="Times New Roman"/>
                <w:b/>
                <w:bCs/>
                <w:color w:val="auto"/>
              </w:rPr>
            </w:pPr>
            <w:r>
              <w:rPr>
                <w:rFonts w:ascii="Times New Roman" w:hAnsi="Times New Roman"/>
                <w:b/>
                <w:bCs/>
                <w:color w:val="auto"/>
              </w:rPr>
              <w:t>边坡危害等级</w:t>
            </w:r>
          </w:p>
        </w:tc>
      </w:tr>
      <w:tr w14:paraId="7A09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restart"/>
            <w:vAlign w:val="center"/>
          </w:tcPr>
          <w:p w14:paraId="2B8B9280">
            <w:pPr>
              <w:pStyle w:val="17"/>
              <w:bidi w:val="0"/>
              <w:rPr>
                <w:rFonts w:ascii="Times New Roman" w:hAnsi="Times New Roman"/>
                <w:color w:val="auto"/>
              </w:rPr>
            </w:pPr>
            <w:r>
              <w:rPr>
                <w:rFonts w:ascii="Times New Roman" w:hAnsi="Times New Roman"/>
                <w:color w:val="auto"/>
              </w:rPr>
              <w:t>Ⅰ</w:t>
            </w:r>
          </w:p>
        </w:tc>
        <w:tc>
          <w:tcPr>
            <w:tcW w:w="1908" w:type="pct"/>
            <w:vAlign w:val="center"/>
          </w:tcPr>
          <w:p w14:paraId="50E072B4">
            <w:pPr>
              <w:pStyle w:val="17"/>
              <w:bidi w:val="0"/>
              <w:rPr>
                <w:rFonts w:ascii="Times New Roman" w:hAnsi="Times New Roman"/>
                <w:color w:val="auto"/>
              </w:rPr>
            </w:pPr>
            <w:r>
              <w:rPr>
                <w:rFonts w:ascii="Times New Roman" w:hAnsi="Times New Roman"/>
                <w:color w:val="auto"/>
              </w:rPr>
              <w:t>H＞500</w:t>
            </w:r>
          </w:p>
        </w:tc>
        <w:tc>
          <w:tcPr>
            <w:tcW w:w="1626" w:type="pct"/>
            <w:vAlign w:val="center"/>
          </w:tcPr>
          <w:p w14:paraId="7A6B75B1">
            <w:pPr>
              <w:pStyle w:val="17"/>
              <w:bidi w:val="0"/>
              <w:rPr>
                <w:rFonts w:ascii="Times New Roman" w:hAnsi="Times New Roman"/>
                <w:color w:val="auto"/>
              </w:rPr>
            </w:pPr>
            <w:r>
              <w:rPr>
                <w:rFonts w:ascii="Times New Roman" w:hAnsi="Times New Roman"/>
                <w:color w:val="auto"/>
              </w:rPr>
              <w:t>Ⅰ、Ⅱ、Ⅲ</w:t>
            </w:r>
          </w:p>
        </w:tc>
      </w:tr>
      <w:tr w14:paraId="24CF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continue"/>
            <w:vAlign w:val="center"/>
          </w:tcPr>
          <w:p w14:paraId="4759BC16">
            <w:pPr>
              <w:pStyle w:val="17"/>
              <w:bidi w:val="0"/>
              <w:rPr>
                <w:rFonts w:ascii="Times New Roman" w:hAnsi="Times New Roman"/>
                <w:color w:val="auto"/>
              </w:rPr>
            </w:pPr>
          </w:p>
        </w:tc>
        <w:tc>
          <w:tcPr>
            <w:tcW w:w="1908" w:type="pct"/>
            <w:vAlign w:val="center"/>
          </w:tcPr>
          <w:p w14:paraId="185A043B">
            <w:pPr>
              <w:pStyle w:val="17"/>
              <w:bidi w:val="0"/>
              <w:rPr>
                <w:rFonts w:ascii="Times New Roman" w:hAnsi="Times New Roman"/>
                <w:color w:val="auto"/>
              </w:rPr>
            </w:pPr>
            <w:r>
              <w:rPr>
                <w:rFonts w:ascii="Times New Roman" w:hAnsi="Times New Roman"/>
                <w:color w:val="auto"/>
              </w:rPr>
              <w:t>300＜H≤500</w:t>
            </w:r>
          </w:p>
        </w:tc>
        <w:tc>
          <w:tcPr>
            <w:tcW w:w="1626" w:type="pct"/>
            <w:vAlign w:val="center"/>
          </w:tcPr>
          <w:p w14:paraId="338D0906">
            <w:pPr>
              <w:pStyle w:val="17"/>
              <w:bidi w:val="0"/>
              <w:rPr>
                <w:rFonts w:ascii="Times New Roman" w:hAnsi="Times New Roman"/>
                <w:color w:val="auto"/>
              </w:rPr>
            </w:pPr>
            <w:r>
              <w:rPr>
                <w:rFonts w:ascii="Times New Roman" w:hAnsi="Times New Roman"/>
                <w:color w:val="auto"/>
              </w:rPr>
              <w:t>Ⅰ、Ⅱ</w:t>
            </w:r>
          </w:p>
        </w:tc>
      </w:tr>
      <w:tr w14:paraId="6A54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continue"/>
            <w:vAlign w:val="center"/>
          </w:tcPr>
          <w:p w14:paraId="3F7D3555">
            <w:pPr>
              <w:pStyle w:val="17"/>
              <w:bidi w:val="0"/>
              <w:rPr>
                <w:rFonts w:ascii="Times New Roman" w:hAnsi="Times New Roman"/>
                <w:color w:val="auto"/>
              </w:rPr>
            </w:pPr>
          </w:p>
        </w:tc>
        <w:tc>
          <w:tcPr>
            <w:tcW w:w="1908" w:type="pct"/>
            <w:vAlign w:val="center"/>
          </w:tcPr>
          <w:p w14:paraId="19064BE5">
            <w:pPr>
              <w:pStyle w:val="17"/>
              <w:bidi w:val="0"/>
              <w:rPr>
                <w:rFonts w:ascii="Times New Roman" w:hAnsi="Times New Roman"/>
                <w:color w:val="auto"/>
              </w:rPr>
            </w:pPr>
            <w:r>
              <w:rPr>
                <w:rFonts w:ascii="Times New Roman" w:hAnsi="Times New Roman"/>
                <w:color w:val="auto"/>
              </w:rPr>
              <w:t>100＜H≤300</w:t>
            </w:r>
          </w:p>
        </w:tc>
        <w:tc>
          <w:tcPr>
            <w:tcW w:w="1626" w:type="pct"/>
            <w:vAlign w:val="center"/>
          </w:tcPr>
          <w:p w14:paraId="6F9F5481">
            <w:pPr>
              <w:pStyle w:val="17"/>
              <w:bidi w:val="0"/>
              <w:rPr>
                <w:rFonts w:ascii="Times New Roman" w:hAnsi="Times New Roman"/>
                <w:color w:val="auto"/>
              </w:rPr>
            </w:pPr>
            <w:r>
              <w:rPr>
                <w:rFonts w:ascii="Times New Roman" w:hAnsi="Times New Roman"/>
                <w:color w:val="auto"/>
              </w:rPr>
              <w:t>Ⅰ</w:t>
            </w:r>
          </w:p>
        </w:tc>
      </w:tr>
      <w:tr w14:paraId="1AF1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restart"/>
            <w:vAlign w:val="center"/>
          </w:tcPr>
          <w:p w14:paraId="6C50DDD0">
            <w:pPr>
              <w:pStyle w:val="17"/>
              <w:bidi w:val="0"/>
              <w:rPr>
                <w:rFonts w:ascii="Times New Roman" w:hAnsi="Times New Roman"/>
                <w:color w:val="auto"/>
              </w:rPr>
            </w:pPr>
            <w:r>
              <w:rPr>
                <w:rFonts w:ascii="Times New Roman" w:hAnsi="Times New Roman"/>
                <w:color w:val="auto"/>
              </w:rPr>
              <w:t>Ⅱ</w:t>
            </w:r>
          </w:p>
        </w:tc>
        <w:tc>
          <w:tcPr>
            <w:tcW w:w="1908" w:type="pct"/>
            <w:vAlign w:val="center"/>
          </w:tcPr>
          <w:p w14:paraId="3B2E548C">
            <w:pPr>
              <w:pStyle w:val="17"/>
              <w:bidi w:val="0"/>
              <w:rPr>
                <w:rFonts w:ascii="Times New Roman" w:hAnsi="Times New Roman"/>
                <w:color w:val="auto"/>
              </w:rPr>
            </w:pPr>
            <w:r>
              <w:rPr>
                <w:rFonts w:ascii="Times New Roman" w:hAnsi="Times New Roman"/>
                <w:color w:val="auto"/>
              </w:rPr>
              <w:t>300＜H≤500</w:t>
            </w:r>
          </w:p>
        </w:tc>
        <w:tc>
          <w:tcPr>
            <w:tcW w:w="1626" w:type="pct"/>
            <w:vAlign w:val="center"/>
          </w:tcPr>
          <w:p w14:paraId="3B241815">
            <w:pPr>
              <w:pStyle w:val="17"/>
              <w:bidi w:val="0"/>
              <w:rPr>
                <w:rFonts w:ascii="Times New Roman" w:hAnsi="Times New Roman"/>
                <w:color w:val="auto"/>
              </w:rPr>
            </w:pPr>
            <w:r>
              <w:rPr>
                <w:rFonts w:ascii="Times New Roman" w:hAnsi="Times New Roman"/>
                <w:color w:val="auto"/>
              </w:rPr>
              <w:t>III</w:t>
            </w:r>
          </w:p>
        </w:tc>
      </w:tr>
      <w:tr w14:paraId="2D70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continue"/>
            <w:vAlign w:val="center"/>
          </w:tcPr>
          <w:p w14:paraId="36355372">
            <w:pPr>
              <w:pStyle w:val="17"/>
              <w:bidi w:val="0"/>
              <w:rPr>
                <w:rFonts w:ascii="Times New Roman" w:hAnsi="Times New Roman"/>
                <w:color w:val="auto"/>
              </w:rPr>
            </w:pPr>
          </w:p>
        </w:tc>
        <w:tc>
          <w:tcPr>
            <w:tcW w:w="1908" w:type="pct"/>
            <w:vAlign w:val="center"/>
          </w:tcPr>
          <w:p w14:paraId="7EAA2D6B">
            <w:pPr>
              <w:pStyle w:val="17"/>
              <w:bidi w:val="0"/>
              <w:rPr>
                <w:rFonts w:ascii="Times New Roman" w:hAnsi="Times New Roman"/>
                <w:color w:val="auto"/>
              </w:rPr>
            </w:pPr>
            <w:r>
              <w:rPr>
                <w:rFonts w:ascii="Times New Roman" w:hAnsi="Times New Roman"/>
                <w:color w:val="auto"/>
              </w:rPr>
              <w:t>100＜H≤300</w:t>
            </w:r>
          </w:p>
        </w:tc>
        <w:tc>
          <w:tcPr>
            <w:tcW w:w="1626" w:type="pct"/>
            <w:vAlign w:val="center"/>
          </w:tcPr>
          <w:p w14:paraId="11CB6519">
            <w:pPr>
              <w:pStyle w:val="17"/>
              <w:bidi w:val="0"/>
              <w:rPr>
                <w:rFonts w:ascii="Times New Roman" w:hAnsi="Times New Roman"/>
                <w:color w:val="auto"/>
              </w:rPr>
            </w:pPr>
            <w:r>
              <w:rPr>
                <w:rFonts w:ascii="Times New Roman" w:hAnsi="Times New Roman"/>
                <w:color w:val="auto"/>
              </w:rPr>
              <w:t>Ⅱ</w:t>
            </w:r>
          </w:p>
        </w:tc>
      </w:tr>
      <w:tr w14:paraId="0556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continue"/>
            <w:vAlign w:val="center"/>
          </w:tcPr>
          <w:p w14:paraId="7C88FE1E">
            <w:pPr>
              <w:pStyle w:val="17"/>
              <w:bidi w:val="0"/>
              <w:rPr>
                <w:rFonts w:ascii="Times New Roman" w:hAnsi="Times New Roman"/>
                <w:color w:val="auto"/>
              </w:rPr>
            </w:pPr>
          </w:p>
        </w:tc>
        <w:tc>
          <w:tcPr>
            <w:tcW w:w="1908" w:type="pct"/>
            <w:vAlign w:val="center"/>
          </w:tcPr>
          <w:p w14:paraId="157C7D2E">
            <w:pPr>
              <w:pStyle w:val="17"/>
              <w:bidi w:val="0"/>
              <w:rPr>
                <w:rFonts w:ascii="Times New Roman" w:hAnsi="Times New Roman"/>
                <w:color w:val="auto"/>
              </w:rPr>
            </w:pPr>
            <w:r>
              <w:rPr>
                <w:rFonts w:ascii="Times New Roman" w:hAnsi="Times New Roman"/>
                <w:color w:val="auto"/>
              </w:rPr>
              <w:t>H≤100</w:t>
            </w:r>
          </w:p>
        </w:tc>
        <w:tc>
          <w:tcPr>
            <w:tcW w:w="1626" w:type="pct"/>
            <w:vAlign w:val="center"/>
          </w:tcPr>
          <w:p w14:paraId="4082AA28">
            <w:pPr>
              <w:pStyle w:val="17"/>
              <w:bidi w:val="0"/>
              <w:rPr>
                <w:rFonts w:ascii="Times New Roman" w:hAnsi="Times New Roman"/>
                <w:color w:val="auto"/>
              </w:rPr>
            </w:pPr>
            <w:r>
              <w:rPr>
                <w:rFonts w:ascii="Times New Roman" w:hAnsi="Times New Roman"/>
                <w:color w:val="auto"/>
              </w:rPr>
              <w:t>Ⅰ</w:t>
            </w:r>
          </w:p>
        </w:tc>
      </w:tr>
      <w:tr w14:paraId="5446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restart"/>
            <w:vAlign w:val="center"/>
          </w:tcPr>
          <w:p w14:paraId="333ABB55">
            <w:pPr>
              <w:pStyle w:val="17"/>
              <w:bidi w:val="0"/>
              <w:rPr>
                <w:rFonts w:ascii="Times New Roman" w:hAnsi="Times New Roman"/>
                <w:color w:val="auto"/>
              </w:rPr>
            </w:pPr>
            <w:r>
              <w:rPr>
                <w:rFonts w:ascii="Times New Roman" w:hAnsi="Times New Roman"/>
                <w:color w:val="auto"/>
              </w:rPr>
              <w:t>Ⅲ</w:t>
            </w:r>
          </w:p>
        </w:tc>
        <w:tc>
          <w:tcPr>
            <w:tcW w:w="1908" w:type="pct"/>
            <w:vAlign w:val="center"/>
          </w:tcPr>
          <w:p w14:paraId="3B642DBE">
            <w:pPr>
              <w:pStyle w:val="17"/>
              <w:bidi w:val="0"/>
              <w:rPr>
                <w:rFonts w:ascii="Times New Roman" w:hAnsi="Times New Roman"/>
                <w:color w:val="auto"/>
              </w:rPr>
            </w:pPr>
            <w:r>
              <w:rPr>
                <w:rFonts w:ascii="Times New Roman" w:hAnsi="Times New Roman"/>
                <w:color w:val="auto"/>
              </w:rPr>
              <w:t>100＜H≤300</w:t>
            </w:r>
          </w:p>
        </w:tc>
        <w:tc>
          <w:tcPr>
            <w:tcW w:w="1626" w:type="pct"/>
            <w:vAlign w:val="center"/>
          </w:tcPr>
          <w:p w14:paraId="7D944D71">
            <w:pPr>
              <w:pStyle w:val="17"/>
              <w:bidi w:val="0"/>
              <w:rPr>
                <w:rFonts w:ascii="Times New Roman" w:hAnsi="Times New Roman"/>
                <w:color w:val="auto"/>
              </w:rPr>
            </w:pPr>
            <w:r>
              <w:rPr>
                <w:rFonts w:ascii="Times New Roman" w:hAnsi="Times New Roman"/>
                <w:color w:val="auto"/>
              </w:rPr>
              <w:t>Ⅲ</w:t>
            </w:r>
          </w:p>
        </w:tc>
      </w:tr>
      <w:tr w14:paraId="4F1F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4" w:type="pct"/>
            <w:vMerge w:val="continue"/>
            <w:vAlign w:val="center"/>
          </w:tcPr>
          <w:p w14:paraId="076E8B97">
            <w:pPr>
              <w:pStyle w:val="17"/>
              <w:bidi w:val="0"/>
              <w:rPr>
                <w:rFonts w:ascii="Times New Roman" w:hAnsi="Times New Roman"/>
                <w:color w:val="auto"/>
              </w:rPr>
            </w:pPr>
          </w:p>
        </w:tc>
        <w:tc>
          <w:tcPr>
            <w:tcW w:w="1908" w:type="pct"/>
            <w:vAlign w:val="center"/>
          </w:tcPr>
          <w:p w14:paraId="635C1036">
            <w:pPr>
              <w:pStyle w:val="17"/>
              <w:bidi w:val="0"/>
              <w:rPr>
                <w:rFonts w:ascii="Times New Roman" w:hAnsi="Times New Roman"/>
                <w:color w:val="auto"/>
              </w:rPr>
            </w:pPr>
            <w:r>
              <w:rPr>
                <w:rFonts w:ascii="Times New Roman" w:hAnsi="Times New Roman"/>
                <w:color w:val="auto"/>
              </w:rPr>
              <w:t>H≤100</w:t>
            </w:r>
          </w:p>
        </w:tc>
        <w:tc>
          <w:tcPr>
            <w:tcW w:w="1626" w:type="pct"/>
            <w:vAlign w:val="center"/>
          </w:tcPr>
          <w:p w14:paraId="6D79F518">
            <w:pPr>
              <w:pStyle w:val="17"/>
              <w:bidi w:val="0"/>
              <w:rPr>
                <w:rFonts w:ascii="Times New Roman" w:hAnsi="Times New Roman"/>
                <w:color w:val="auto"/>
              </w:rPr>
            </w:pPr>
            <w:r>
              <w:rPr>
                <w:rFonts w:ascii="Times New Roman" w:hAnsi="Times New Roman"/>
                <w:color w:val="auto"/>
              </w:rPr>
              <w:t>Ⅱ、Ⅲ</w:t>
            </w:r>
          </w:p>
        </w:tc>
      </w:tr>
    </w:tbl>
    <w:p w14:paraId="320C9C4C">
      <w:pPr>
        <w:bidi w:val="0"/>
        <w:rPr>
          <w:rFonts w:ascii="Times New Roman" w:hAnsi="Times New Roman"/>
          <w:color w:val="auto"/>
        </w:rPr>
      </w:pPr>
      <w:bookmarkStart w:id="119" w:name="_Hlk155548545"/>
      <w:r>
        <w:rPr>
          <w:rFonts w:ascii="Times New Roman" w:hAnsi="Times New Roman"/>
          <w:color w:val="auto"/>
        </w:rPr>
        <w:t>综合考虑矿山的生产情况，边坡危害等级为Ⅲ级。设计采场最大边坡高度</w:t>
      </w:r>
      <w:r>
        <w:rPr>
          <w:rFonts w:hint="eastAsia" w:ascii="Times New Roman" w:hAnsi="Times New Roman"/>
          <w:color w:val="auto"/>
          <w:lang w:val="en-US" w:eastAsia="zh-CN"/>
        </w:rPr>
        <w:t>9</w:t>
      </w:r>
      <w:r>
        <w:rPr>
          <w:rFonts w:ascii="Times New Roman" w:hAnsi="Times New Roman"/>
          <w:color w:val="auto"/>
        </w:rPr>
        <w:t>5m，属于低边坡，依据矿山边坡危害等级（III级），结合表</w:t>
      </w:r>
      <w:r>
        <w:rPr>
          <w:rFonts w:hint="eastAsia" w:ascii="Times New Roman" w:hAnsi="Times New Roman"/>
          <w:color w:val="auto"/>
          <w:lang w:val="en-US" w:eastAsia="zh-CN"/>
        </w:rPr>
        <w:t>3.3-7</w:t>
      </w:r>
      <w:r>
        <w:rPr>
          <w:rFonts w:ascii="Times New Roman" w:hAnsi="Times New Roman"/>
          <w:color w:val="auto"/>
        </w:rPr>
        <w:t>边坡工程安全等级划分，将矿山边坡安全等级定为III级。</w:t>
      </w:r>
      <w:bookmarkEnd w:id="119"/>
    </w:p>
    <w:p w14:paraId="3C96457D">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2</w:t>
      </w:r>
      <w:r>
        <w:rPr>
          <w:rFonts w:hint="eastAsia" w:ascii="Times New Roman" w:hAnsi="Times New Roman"/>
          <w:color w:val="auto"/>
          <w:lang w:eastAsia="zh-CN"/>
        </w:rPr>
        <w:t>）</w:t>
      </w:r>
      <w:r>
        <w:rPr>
          <w:rFonts w:ascii="Times New Roman" w:hAnsi="Times New Roman"/>
          <w:color w:val="auto"/>
        </w:rPr>
        <w:t>露天采场边坡安全系数</w:t>
      </w:r>
    </w:p>
    <w:p w14:paraId="4F3EC422">
      <w:pPr>
        <w:bidi w:val="0"/>
        <w:rPr>
          <w:rFonts w:ascii="Times New Roman" w:hAnsi="Times New Roman"/>
          <w:color w:val="auto"/>
        </w:rPr>
      </w:pPr>
      <w:r>
        <w:rPr>
          <w:rFonts w:ascii="Times New Roman" w:hAnsi="Times New Roman"/>
          <w:color w:val="auto"/>
        </w:rPr>
        <w:t>非煤露天矿边坡工程技术规范（GB51016-2014）要求，不同荷载组合下总体边坡的设计安全系数应满足表</w:t>
      </w:r>
      <w:r>
        <w:rPr>
          <w:rFonts w:hint="eastAsia" w:ascii="Times New Roman" w:hAnsi="Times New Roman"/>
          <w:color w:val="auto"/>
          <w:lang w:val="en-US" w:eastAsia="zh-CN"/>
        </w:rPr>
        <w:t>3.3-8</w:t>
      </w:r>
      <w:r>
        <w:rPr>
          <w:rFonts w:ascii="Times New Roman" w:hAnsi="Times New Roman"/>
          <w:color w:val="auto"/>
        </w:rPr>
        <w:t>规定的安全系数要求。</w:t>
      </w:r>
    </w:p>
    <w:p w14:paraId="435D4F7B">
      <w:pPr>
        <w:pStyle w:val="16"/>
        <w:bidi w:val="0"/>
        <w:rPr>
          <w:rFonts w:ascii="Times New Roman" w:hAnsi="Times New Roman"/>
          <w:color w:val="auto"/>
        </w:rPr>
      </w:pPr>
      <w:r>
        <w:rPr>
          <w:rFonts w:ascii="Times New Roman" w:hAnsi="Times New Roman"/>
          <w:color w:val="auto"/>
        </w:rPr>
        <w:t>表</w:t>
      </w:r>
      <w:r>
        <w:rPr>
          <w:rFonts w:hint="eastAsia" w:ascii="Times New Roman" w:hAnsi="Times New Roman"/>
          <w:color w:val="auto"/>
          <w:lang w:val="en-US" w:eastAsia="zh-CN"/>
        </w:rPr>
        <w:t xml:space="preserve">3.3-8  </w:t>
      </w:r>
      <w:r>
        <w:rPr>
          <w:rFonts w:ascii="Times New Roman" w:hAnsi="Times New Roman"/>
          <w:color w:val="auto"/>
        </w:rPr>
        <w:t>不同荷载组合下总体边坡的设计安全系数</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0"/>
        <w:gridCol w:w="2350"/>
        <w:gridCol w:w="2422"/>
        <w:gridCol w:w="2529"/>
      </w:tblGrid>
      <w:tr w14:paraId="50DD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117" w:type="pct"/>
            <w:vMerge w:val="restart"/>
            <w:vAlign w:val="center"/>
          </w:tcPr>
          <w:p w14:paraId="3EE329BB">
            <w:pPr>
              <w:pStyle w:val="17"/>
              <w:bidi w:val="0"/>
              <w:rPr>
                <w:rFonts w:ascii="Times New Roman" w:hAnsi="Times New Roman"/>
                <w:b/>
                <w:bCs/>
                <w:color w:val="auto"/>
              </w:rPr>
            </w:pPr>
            <w:r>
              <w:rPr>
                <w:rFonts w:ascii="Times New Roman" w:hAnsi="Times New Roman"/>
                <w:b/>
                <w:bCs/>
                <w:color w:val="auto"/>
              </w:rPr>
              <w:t>边坡工程安全等级</w:t>
            </w:r>
          </w:p>
        </w:tc>
        <w:tc>
          <w:tcPr>
            <w:tcW w:w="3883" w:type="pct"/>
            <w:gridSpan w:val="3"/>
            <w:vAlign w:val="center"/>
          </w:tcPr>
          <w:p w14:paraId="7C2B6C1A">
            <w:pPr>
              <w:pStyle w:val="17"/>
              <w:bidi w:val="0"/>
              <w:rPr>
                <w:rFonts w:ascii="Times New Roman" w:hAnsi="Times New Roman"/>
                <w:b/>
                <w:bCs/>
                <w:color w:val="auto"/>
              </w:rPr>
            </w:pPr>
            <w:r>
              <w:rPr>
                <w:rFonts w:ascii="Times New Roman" w:hAnsi="Times New Roman"/>
                <w:b/>
                <w:bCs/>
                <w:color w:val="auto"/>
              </w:rPr>
              <w:t>边坡工程设计安全系数</w:t>
            </w:r>
          </w:p>
        </w:tc>
      </w:tr>
      <w:tr w14:paraId="0CA1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117" w:type="pct"/>
            <w:vMerge w:val="continue"/>
            <w:vAlign w:val="center"/>
          </w:tcPr>
          <w:p w14:paraId="4DEE76A8">
            <w:pPr>
              <w:pStyle w:val="17"/>
              <w:bidi w:val="0"/>
              <w:rPr>
                <w:rFonts w:ascii="Times New Roman" w:hAnsi="Times New Roman"/>
                <w:color w:val="auto"/>
              </w:rPr>
            </w:pPr>
          </w:p>
        </w:tc>
        <w:tc>
          <w:tcPr>
            <w:tcW w:w="1250" w:type="pct"/>
            <w:vAlign w:val="center"/>
          </w:tcPr>
          <w:p w14:paraId="4BFA1F65">
            <w:pPr>
              <w:pStyle w:val="17"/>
              <w:bidi w:val="0"/>
              <w:rPr>
                <w:rFonts w:ascii="Times New Roman" w:hAnsi="Times New Roman"/>
                <w:b/>
                <w:bCs/>
                <w:color w:val="auto"/>
              </w:rPr>
            </w:pPr>
            <w:r>
              <w:rPr>
                <w:rFonts w:ascii="Times New Roman" w:hAnsi="Times New Roman"/>
                <w:b/>
                <w:bCs/>
                <w:color w:val="auto"/>
              </w:rPr>
              <w:t>荷载组合I</w:t>
            </w:r>
          </w:p>
        </w:tc>
        <w:tc>
          <w:tcPr>
            <w:tcW w:w="1288" w:type="pct"/>
            <w:vAlign w:val="center"/>
          </w:tcPr>
          <w:p w14:paraId="2F9D8C30">
            <w:pPr>
              <w:pStyle w:val="17"/>
              <w:bidi w:val="0"/>
              <w:rPr>
                <w:rFonts w:ascii="Times New Roman" w:hAnsi="Times New Roman"/>
                <w:b/>
                <w:bCs/>
                <w:color w:val="auto"/>
              </w:rPr>
            </w:pPr>
            <w:r>
              <w:rPr>
                <w:rFonts w:ascii="Times New Roman" w:hAnsi="Times New Roman"/>
                <w:b/>
                <w:bCs/>
                <w:color w:val="auto"/>
              </w:rPr>
              <w:t>荷载组合II</w:t>
            </w:r>
          </w:p>
        </w:tc>
        <w:tc>
          <w:tcPr>
            <w:tcW w:w="1345" w:type="pct"/>
            <w:vAlign w:val="center"/>
          </w:tcPr>
          <w:p w14:paraId="5C40716D">
            <w:pPr>
              <w:pStyle w:val="17"/>
              <w:bidi w:val="0"/>
              <w:rPr>
                <w:rFonts w:ascii="Times New Roman" w:hAnsi="Times New Roman"/>
                <w:b/>
                <w:bCs/>
                <w:color w:val="auto"/>
              </w:rPr>
            </w:pPr>
            <w:r>
              <w:rPr>
                <w:rFonts w:ascii="Times New Roman" w:hAnsi="Times New Roman"/>
                <w:b/>
                <w:bCs/>
                <w:color w:val="auto"/>
              </w:rPr>
              <w:t>荷载组合III</w:t>
            </w:r>
          </w:p>
        </w:tc>
      </w:tr>
      <w:tr w14:paraId="4AEF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7" w:type="pct"/>
            <w:vAlign w:val="center"/>
          </w:tcPr>
          <w:p w14:paraId="20052E89">
            <w:pPr>
              <w:pStyle w:val="17"/>
              <w:bidi w:val="0"/>
              <w:rPr>
                <w:rFonts w:ascii="Times New Roman" w:hAnsi="Times New Roman"/>
                <w:color w:val="auto"/>
              </w:rPr>
            </w:pPr>
            <w:r>
              <w:rPr>
                <w:rFonts w:ascii="Times New Roman" w:hAnsi="Times New Roman"/>
                <w:color w:val="auto"/>
              </w:rPr>
              <w:t>I</w:t>
            </w:r>
          </w:p>
        </w:tc>
        <w:tc>
          <w:tcPr>
            <w:tcW w:w="1250" w:type="pct"/>
            <w:vAlign w:val="center"/>
          </w:tcPr>
          <w:p w14:paraId="7D424EAA">
            <w:pPr>
              <w:pStyle w:val="17"/>
              <w:bidi w:val="0"/>
              <w:rPr>
                <w:rFonts w:ascii="Times New Roman" w:hAnsi="Times New Roman"/>
                <w:color w:val="auto"/>
              </w:rPr>
            </w:pPr>
            <w:r>
              <w:rPr>
                <w:rFonts w:ascii="Times New Roman" w:hAnsi="Times New Roman"/>
                <w:color w:val="auto"/>
              </w:rPr>
              <w:t>1.25~1.20</w:t>
            </w:r>
          </w:p>
        </w:tc>
        <w:tc>
          <w:tcPr>
            <w:tcW w:w="1288" w:type="pct"/>
            <w:vAlign w:val="center"/>
          </w:tcPr>
          <w:p w14:paraId="6A23B134">
            <w:pPr>
              <w:pStyle w:val="17"/>
              <w:bidi w:val="0"/>
              <w:rPr>
                <w:rFonts w:ascii="Times New Roman" w:hAnsi="Times New Roman"/>
                <w:color w:val="auto"/>
              </w:rPr>
            </w:pPr>
            <w:r>
              <w:rPr>
                <w:rFonts w:ascii="Times New Roman" w:hAnsi="Times New Roman"/>
                <w:color w:val="auto"/>
              </w:rPr>
              <w:t>1.23~1.18</w:t>
            </w:r>
          </w:p>
        </w:tc>
        <w:tc>
          <w:tcPr>
            <w:tcW w:w="1345" w:type="pct"/>
            <w:vAlign w:val="center"/>
          </w:tcPr>
          <w:p w14:paraId="2742F2A1">
            <w:pPr>
              <w:pStyle w:val="17"/>
              <w:bidi w:val="0"/>
              <w:rPr>
                <w:rFonts w:ascii="Times New Roman" w:hAnsi="Times New Roman"/>
                <w:color w:val="auto"/>
              </w:rPr>
            </w:pPr>
            <w:r>
              <w:rPr>
                <w:rFonts w:ascii="Times New Roman" w:hAnsi="Times New Roman"/>
                <w:color w:val="auto"/>
              </w:rPr>
              <w:t>1.20~1.15</w:t>
            </w:r>
          </w:p>
        </w:tc>
      </w:tr>
      <w:tr w14:paraId="3795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7" w:type="pct"/>
            <w:vAlign w:val="center"/>
          </w:tcPr>
          <w:p w14:paraId="49D6868C">
            <w:pPr>
              <w:pStyle w:val="17"/>
              <w:bidi w:val="0"/>
              <w:rPr>
                <w:rFonts w:ascii="Times New Roman" w:hAnsi="Times New Roman"/>
                <w:color w:val="auto"/>
              </w:rPr>
            </w:pPr>
            <w:r>
              <w:rPr>
                <w:rFonts w:ascii="Times New Roman" w:hAnsi="Times New Roman"/>
                <w:color w:val="auto"/>
              </w:rPr>
              <w:t>II</w:t>
            </w:r>
          </w:p>
        </w:tc>
        <w:tc>
          <w:tcPr>
            <w:tcW w:w="1250" w:type="pct"/>
            <w:vAlign w:val="center"/>
          </w:tcPr>
          <w:p w14:paraId="0675AE35">
            <w:pPr>
              <w:pStyle w:val="17"/>
              <w:bidi w:val="0"/>
              <w:rPr>
                <w:rFonts w:ascii="Times New Roman" w:hAnsi="Times New Roman"/>
                <w:color w:val="auto"/>
              </w:rPr>
            </w:pPr>
            <w:r>
              <w:rPr>
                <w:rFonts w:ascii="Times New Roman" w:hAnsi="Times New Roman"/>
                <w:color w:val="auto"/>
              </w:rPr>
              <w:t>1.20~1.15</w:t>
            </w:r>
          </w:p>
        </w:tc>
        <w:tc>
          <w:tcPr>
            <w:tcW w:w="1288" w:type="pct"/>
            <w:vAlign w:val="center"/>
          </w:tcPr>
          <w:p w14:paraId="6D36AFCE">
            <w:pPr>
              <w:pStyle w:val="17"/>
              <w:bidi w:val="0"/>
              <w:rPr>
                <w:rFonts w:ascii="Times New Roman" w:hAnsi="Times New Roman"/>
                <w:color w:val="auto"/>
              </w:rPr>
            </w:pPr>
            <w:r>
              <w:rPr>
                <w:rFonts w:ascii="Times New Roman" w:hAnsi="Times New Roman"/>
                <w:color w:val="auto"/>
              </w:rPr>
              <w:t>1.18~1.13</w:t>
            </w:r>
          </w:p>
        </w:tc>
        <w:tc>
          <w:tcPr>
            <w:tcW w:w="1345" w:type="pct"/>
            <w:vAlign w:val="center"/>
          </w:tcPr>
          <w:p w14:paraId="219DFB3F">
            <w:pPr>
              <w:pStyle w:val="17"/>
              <w:bidi w:val="0"/>
              <w:rPr>
                <w:rFonts w:ascii="Times New Roman" w:hAnsi="Times New Roman"/>
                <w:color w:val="auto"/>
              </w:rPr>
            </w:pPr>
            <w:r>
              <w:rPr>
                <w:rFonts w:ascii="Times New Roman" w:hAnsi="Times New Roman"/>
                <w:color w:val="auto"/>
              </w:rPr>
              <w:t>1.15~1.10</w:t>
            </w:r>
          </w:p>
        </w:tc>
      </w:tr>
      <w:tr w14:paraId="098E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7" w:type="pct"/>
            <w:vAlign w:val="center"/>
          </w:tcPr>
          <w:p w14:paraId="0F0F2D3C">
            <w:pPr>
              <w:pStyle w:val="17"/>
              <w:bidi w:val="0"/>
              <w:rPr>
                <w:rFonts w:ascii="Times New Roman" w:hAnsi="Times New Roman"/>
                <w:color w:val="auto"/>
              </w:rPr>
            </w:pPr>
            <w:r>
              <w:rPr>
                <w:rFonts w:ascii="Times New Roman" w:hAnsi="Times New Roman"/>
                <w:color w:val="auto"/>
              </w:rPr>
              <w:t>III</w:t>
            </w:r>
          </w:p>
        </w:tc>
        <w:tc>
          <w:tcPr>
            <w:tcW w:w="1250" w:type="pct"/>
            <w:vAlign w:val="center"/>
          </w:tcPr>
          <w:p w14:paraId="3A5B5965">
            <w:pPr>
              <w:pStyle w:val="17"/>
              <w:bidi w:val="0"/>
              <w:rPr>
                <w:rFonts w:ascii="Times New Roman" w:hAnsi="Times New Roman"/>
                <w:color w:val="auto"/>
              </w:rPr>
            </w:pPr>
            <w:r>
              <w:rPr>
                <w:rFonts w:ascii="Times New Roman" w:hAnsi="Times New Roman"/>
                <w:color w:val="auto"/>
              </w:rPr>
              <w:t>1.15~1.10</w:t>
            </w:r>
          </w:p>
        </w:tc>
        <w:tc>
          <w:tcPr>
            <w:tcW w:w="1288" w:type="pct"/>
            <w:vAlign w:val="center"/>
          </w:tcPr>
          <w:p w14:paraId="4D4F57FB">
            <w:pPr>
              <w:pStyle w:val="17"/>
              <w:bidi w:val="0"/>
              <w:rPr>
                <w:rFonts w:ascii="Times New Roman" w:hAnsi="Times New Roman"/>
                <w:color w:val="auto"/>
              </w:rPr>
            </w:pPr>
            <w:r>
              <w:rPr>
                <w:rFonts w:ascii="Times New Roman" w:hAnsi="Times New Roman"/>
                <w:color w:val="auto"/>
              </w:rPr>
              <w:t>1.13~1.08</w:t>
            </w:r>
          </w:p>
        </w:tc>
        <w:tc>
          <w:tcPr>
            <w:tcW w:w="1345" w:type="pct"/>
            <w:vAlign w:val="center"/>
          </w:tcPr>
          <w:p w14:paraId="6EB61CA9">
            <w:pPr>
              <w:pStyle w:val="17"/>
              <w:bidi w:val="0"/>
              <w:rPr>
                <w:rFonts w:ascii="Times New Roman" w:hAnsi="Times New Roman"/>
                <w:color w:val="auto"/>
              </w:rPr>
            </w:pPr>
            <w:r>
              <w:rPr>
                <w:rFonts w:ascii="Times New Roman" w:hAnsi="Times New Roman"/>
                <w:color w:val="auto"/>
              </w:rPr>
              <w:t>1.10~1.05</w:t>
            </w:r>
          </w:p>
        </w:tc>
      </w:tr>
    </w:tbl>
    <w:p w14:paraId="0DBF0B56">
      <w:pPr>
        <w:bidi w:val="0"/>
        <w:rPr>
          <w:rFonts w:ascii="Times New Roman" w:hAnsi="Times New Roman"/>
          <w:color w:val="auto"/>
          <w:sz w:val="18"/>
          <w:szCs w:val="18"/>
        </w:rPr>
      </w:pPr>
      <w:r>
        <w:rPr>
          <w:rFonts w:ascii="Times New Roman" w:hAnsi="Times New Roman"/>
          <w:color w:val="auto"/>
          <w:sz w:val="18"/>
          <w:szCs w:val="18"/>
        </w:rPr>
        <w:t>注：1荷载组合I为自重+地下水；荷载组合II为自重+地下水+爆破振动力；荷载III为自重+地下水+地震力。2对台阶边坡和临时性工作帮，允许有一定程度的破坏，设计安全系数可适当降低。</w:t>
      </w:r>
    </w:p>
    <w:p w14:paraId="1F7490E9">
      <w:pPr>
        <w:bidi w:val="0"/>
        <w:rPr>
          <w:rFonts w:ascii="Times New Roman" w:hAnsi="Times New Roman"/>
          <w:color w:val="auto"/>
        </w:rPr>
      </w:pPr>
      <w:r>
        <w:rPr>
          <w:rFonts w:ascii="Times New Roman" w:hAnsi="Times New Roman"/>
          <w:color w:val="auto"/>
        </w:rPr>
        <w:t>综上所述，设计采场边坡按工程安全等级III级选定的允许安全系数进行边坡稳定性分析。</w:t>
      </w:r>
    </w:p>
    <w:p w14:paraId="3CC5F625">
      <w:pPr>
        <w:bidi w:val="0"/>
        <w:rPr>
          <w:rFonts w:ascii="Times New Roman" w:hAnsi="Times New Roman"/>
          <w:color w:val="auto"/>
        </w:rPr>
      </w:pPr>
      <w:bookmarkStart w:id="120" w:name="_Toc200581109"/>
      <w:r>
        <w:rPr>
          <w:rFonts w:hint="eastAsia" w:ascii="Times New Roman" w:hAnsi="Times New Roman"/>
          <w:color w:val="auto"/>
          <w:lang w:val="en-US" w:eastAsia="zh-CN"/>
        </w:rPr>
        <w:t>3、</w:t>
      </w:r>
      <w:r>
        <w:rPr>
          <w:rFonts w:ascii="Times New Roman" w:hAnsi="Times New Roman"/>
          <w:color w:val="auto"/>
        </w:rPr>
        <w:t>设计边坡稳定性分析结果</w:t>
      </w:r>
      <w:bookmarkEnd w:id="120"/>
    </w:p>
    <w:p w14:paraId="1197BD10">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1</w:t>
      </w:r>
      <w:r>
        <w:rPr>
          <w:rFonts w:hint="eastAsia" w:ascii="Times New Roman" w:hAnsi="Times New Roman"/>
          <w:color w:val="auto"/>
          <w:lang w:eastAsia="zh-CN"/>
        </w:rPr>
        <w:t>）</w:t>
      </w:r>
      <w:r>
        <w:rPr>
          <w:rFonts w:ascii="Times New Roman" w:hAnsi="Times New Roman"/>
          <w:color w:val="auto"/>
        </w:rPr>
        <w:t>计算剖面选择、建立</w:t>
      </w:r>
    </w:p>
    <w:p w14:paraId="16EB92B5">
      <w:pPr>
        <w:bidi w:val="0"/>
        <w:rPr>
          <w:rFonts w:ascii="Times New Roman" w:hAnsi="Times New Roman"/>
          <w:color w:val="auto"/>
        </w:rPr>
      </w:pPr>
      <w:r>
        <w:rPr>
          <w:rFonts w:ascii="Times New Roman" w:hAnsi="Times New Roman"/>
          <w:color w:val="auto"/>
        </w:rPr>
        <w:t>根据采矿设计圈定的境界，选取具有代表性的剖面（1-1′剖面东侧）进行了设计采场边坡的稳定性计算分析，计算剖面位置见下图</w:t>
      </w:r>
      <w:r>
        <w:rPr>
          <w:rFonts w:hint="eastAsia" w:ascii="Times New Roman" w:hAnsi="Times New Roman"/>
          <w:color w:val="auto"/>
          <w:lang w:val="en-US" w:eastAsia="zh-CN"/>
        </w:rPr>
        <w:t>3.3</w:t>
      </w:r>
      <w:r>
        <w:rPr>
          <w:rFonts w:ascii="Times New Roman" w:hAnsi="Times New Roman"/>
          <w:color w:val="auto"/>
        </w:rPr>
        <w:t>-1。</w:t>
      </w:r>
    </w:p>
    <w:p w14:paraId="71838FEE">
      <w:pPr>
        <w:bidi w:val="0"/>
        <w:ind w:left="0" w:leftChars="0" w:firstLine="0" w:firstLineChars="0"/>
        <w:jc w:val="center"/>
        <w:rPr>
          <w:rFonts w:hint="default" w:ascii="Times New Roman" w:hAnsi="Times New Roman" w:eastAsia="宋体"/>
          <w:color w:val="auto"/>
          <w:lang w:val="en-US" w:eastAsia="zh-CN"/>
        </w:rPr>
      </w:pPr>
      <w:r>
        <w:rPr>
          <w:rFonts w:hint="eastAsia"/>
          <w:color w:val="auto"/>
          <w:lang w:val="en-US" w:eastAsia="zh-CN"/>
        </w:rPr>
        <w:t>************</w:t>
      </w:r>
    </w:p>
    <w:p w14:paraId="00FECE0E">
      <w:pPr>
        <w:pStyle w:val="16"/>
        <w:bidi w:val="0"/>
        <w:rPr>
          <w:rFonts w:ascii="Times New Roman" w:hAnsi="Times New Roman"/>
          <w:color w:val="auto"/>
        </w:rPr>
      </w:pPr>
      <w:r>
        <w:rPr>
          <w:rFonts w:ascii="Times New Roman" w:hAnsi="Times New Roman"/>
          <w:color w:val="auto"/>
        </w:rPr>
        <w:t>图</w:t>
      </w:r>
      <w:r>
        <w:rPr>
          <w:rFonts w:hint="eastAsia" w:ascii="Times New Roman" w:hAnsi="Times New Roman"/>
          <w:color w:val="auto"/>
          <w:lang w:val="en-US" w:eastAsia="zh-CN"/>
        </w:rPr>
        <w:t>3.3</w:t>
      </w:r>
      <w:r>
        <w:rPr>
          <w:rFonts w:ascii="Times New Roman" w:hAnsi="Times New Roman"/>
          <w:color w:val="auto"/>
        </w:rPr>
        <w:t>-1</w:t>
      </w:r>
      <w:r>
        <w:rPr>
          <w:rFonts w:hint="eastAsia" w:ascii="Times New Roman" w:hAnsi="Times New Roman"/>
          <w:color w:val="auto"/>
          <w:lang w:val="en-US" w:eastAsia="zh-CN"/>
        </w:rPr>
        <w:t xml:space="preserve">  </w:t>
      </w:r>
      <w:r>
        <w:rPr>
          <w:rFonts w:ascii="Times New Roman" w:hAnsi="Times New Roman"/>
          <w:color w:val="auto"/>
        </w:rPr>
        <w:t>设计边坡稳定性验算剖面位置图</w:t>
      </w:r>
    </w:p>
    <w:p w14:paraId="72410F64">
      <w:pPr>
        <w:bidi w:val="0"/>
        <w:rPr>
          <w:rFonts w:ascii="Times New Roman" w:hAnsi="Times New Roman"/>
          <w:color w:val="auto"/>
        </w:rPr>
      </w:pPr>
      <w:r>
        <w:rPr>
          <w:rFonts w:ascii="Times New Roman" w:hAnsi="Times New Roman"/>
          <w:color w:val="auto"/>
        </w:rPr>
        <w:t>设计对选择的典型剖面结合地质资料进行概化处理建立了计算模型（图</w:t>
      </w:r>
      <w:r>
        <w:rPr>
          <w:rFonts w:hint="eastAsia" w:ascii="Times New Roman" w:hAnsi="Times New Roman"/>
          <w:color w:val="auto"/>
          <w:lang w:val="en-US" w:eastAsia="zh-CN"/>
        </w:rPr>
        <w:t>3.3</w:t>
      </w:r>
      <w:r>
        <w:rPr>
          <w:rFonts w:ascii="Times New Roman" w:hAnsi="Times New Roman"/>
          <w:color w:val="auto"/>
        </w:rPr>
        <w:t>-2），并结合上述确定的岩体物理力学参数，采用极限平衡法借助GeoStudio岩质边坡分析软件进行了矿山边坡稳定性计算分析。</w:t>
      </w:r>
    </w:p>
    <w:p w14:paraId="3176D028">
      <w:pPr>
        <w:bidi w:val="0"/>
        <w:ind w:left="0" w:leftChars="0" w:firstLine="0" w:firstLineChars="0"/>
        <w:jc w:val="center"/>
        <w:rPr>
          <w:rFonts w:hint="default" w:ascii="Times New Roman" w:hAnsi="Times New Roman" w:eastAsia="宋体"/>
          <w:color w:val="auto"/>
          <w:lang w:val="en-US" w:eastAsia="zh-CN"/>
        </w:rPr>
      </w:pPr>
      <w:bookmarkStart w:id="121" w:name="_Hlk171610126"/>
      <w:r>
        <w:rPr>
          <w:rFonts w:hint="eastAsia"/>
          <w:color w:val="auto"/>
          <w:lang w:val="en-US" w:eastAsia="zh-CN"/>
        </w:rPr>
        <w:t>*************</w:t>
      </w:r>
    </w:p>
    <w:p w14:paraId="23421D90">
      <w:pPr>
        <w:pStyle w:val="16"/>
        <w:bidi w:val="0"/>
        <w:rPr>
          <w:rFonts w:ascii="Times New Roman" w:hAnsi="Times New Roman"/>
          <w:color w:val="auto"/>
        </w:rPr>
      </w:pPr>
      <w:r>
        <w:rPr>
          <w:rFonts w:ascii="Times New Roman" w:hAnsi="Times New Roman"/>
          <w:color w:val="auto"/>
        </w:rPr>
        <w:t>图</w:t>
      </w:r>
      <w:r>
        <w:rPr>
          <w:rFonts w:hint="eastAsia" w:ascii="Times New Roman" w:hAnsi="Times New Roman"/>
          <w:color w:val="auto"/>
          <w:lang w:val="en-US" w:eastAsia="zh-CN"/>
        </w:rPr>
        <w:t>3.3</w:t>
      </w:r>
      <w:r>
        <w:rPr>
          <w:rFonts w:ascii="Times New Roman" w:hAnsi="Times New Roman"/>
          <w:color w:val="auto"/>
        </w:rPr>
        <w:t xml:space="preserve">-2 </w:t>
      </w:r>
      <w:r>
        <w:rPr>
          <w:rFonts w:hint="eastAsia" w:ascii="Times New Roman" w:hAnsi="Times New Roman"/>
          <w:color w:val="auto"/>
          <w:lang w:val="en-US" w:eastAsia="zh-CN"/>
        </w:rPr>
        <w:t xml:space="preserve"> </w:t>
      </w:r>
      <w:r>
        <w:rPr>
          <w:rFonts w:ascii="Times New Roman" w:hAnsi="Times New Roman"/>
          <w:color w:val="auto"/>
        </w:rPr>
        <w:t>1-1′剖面计算模型</w:t>
      </w:r>
    </w:p>
    <w:bookmarkEnd w:id="121"/>
    <w:p w14:paraId="57437B72">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2</w:t>
      </w:r>
      <w:r>
        <w:rPr>
          <w:rFonts w:hint="eastAsia" w:ascii="Times New Roman" w:hAnsi="Times New Roman"/>
          <w:color w:val="auto"/>
          <w:lang w:eastAsia="zh-CN"/>
        </w:rPr>
        <w:t>）</w:t>
      </w:r>
      <w:r>
        <w:rPr>
          <w:rFonts w:ascii="Times New Roman" w:hAnsi="Times New Roman"/>
          <w:color w:val="auto"/>
        </w:rPr>
        <w:t>设计边坡稳定性分析</w:t>
      </w:r>
    </w:p>
    <w:p w14:paraId="3839D0FD">
      <w:pPr>
        <w:bidi w:val="0"/>
        <w:rPr>
          <w:rFonts w:ascii="Times New Roman" w:hAnsi="Times New Roman"/>
          <w:color w:val="auto"/>
        </w:rPr>
      </w:pPr>
      <w:r>
        <w:rPr>
          <w:rFonts w:ascii="Times New Roman" w:hAnsi="Times New Roman"/>
          <w:color w:val="auto"/>
        </w:rPr>
        <w:t>设计分别考虑</w:t>
      </w:r>
      <w:r>
        <w:rPr>
          <w:rFonts w:hint="eastAsia" w:ascii="Times New Roman" w:hAnsi="Times New Roman"/>
          <w:color w:val="auto"/>
          <w:lang w:eastAsia="zh-CN"/>
        </w:rPr>
        <w:t>“</w:t>
      </w:r>
      <w:r>
        <w:rPr>
          <w:rFonts w:ascii="Times New Roman" w:hAnsi="Times New Roman"/>
          <w:color w:val="auto"/>
        </w:rPr>
        <w:t>自重+地下水</w:t>
      </w:r>
      <w:r>
        <w:rPr>
          <w:rFonts w:hint="eastAsia" w:ascii="Times New Roman" w:hAnsi="Times New Roman"/>
          <w:color w:val="auto"/>
          <w:lang w:eastAsia="zh-CN"/>
        </w:rPr>
        <w:t>”</w:t>
      </w:r>
      <w:r>
        <w:rPr>
          <w:rFonts w:ascii="Times New Roman" w:hAnsi="Times New Roman"/>
          <w:color w:val="auto"/>
        </w:rPr>
        <w:t>、</w:t>
      </w:r>
      <w:r>
        <w:rPr>
          <w:rFonts w:hint="eastAsia" w:ascii="Times New Roman" w:hAnsi="Times New Roman"/>
          <w:color w:val="auto"/>
          <w:lang w:eastAsia="zh-CN"/>
        </w:rPr>
        <w:t>“</w:t>
      </w:r>
      <w:r>
        <w:rPr>
          <w:rFonts w:ascii="Times New Roman" w:hAnsi="Times New Roman"/>
          <w:color w:val="auto"/>
        </w:rPr>
        <w:t>自重+地下水+爆破振动力</w:t>
      </w:r>
      <w:r>
        <w:rPr>
          <w:rFonts w:hint="eastAsia" w:ascii="Times New Roman" w:hAnsi="Times New Roman"/>
          <w:color w:val="auto"/>
          <w:lang w:eastAsia="zh-CN"/>
        </w:rPr>
        <w:t>”</w:t>
      </w:r>
      <w:r>
        <w:rPr>
          <w:rFonts w:ascii="Times New Roman" w:hAnsi="Times New Roman"/>
          <w:color w:val="auto"/>
        </w:rPr>
        <w:t>、</w:t>
      </w:r>
      <w:r>
        <w:rPr>
          <w:rFonts w:hint="eastAsia" w:ascii="Times New Roman" w:hAnsi="Times New Roman"/>
          <w:color w:val="auto"/>
          <w:lang w:eastAsia="zh-CN"/>
        </w:rPr>
        <w:t>“</w:t>
      </w:r>
      <w:r>
        <w:rPr>
          <w:rFonts w:ascii="Times New Roman" w:hAnsi="Times New Roman"/>
          <w:color w:val="auto"/>
        </w:rPr>
        <w:t>自重+地下水+地震</w:t>
      </w:r>
      <w:r>
        <w:rPr>
          <w:rFonts w:hint="eastAsia" w:ascii="Times New Roman" w:hAnsi="Times New Roman"/>
          <w:color w:val="auto"/>
          <w:lang w:eastAsia="zh-CN"/>
        </w:rPr>
        <w:t>”</w:t>
      </w:r>
      <w:r>
        <w:rPr>
          <w:rFonts w:ascii="Times New Roman" w:hAnsi="Times New Roman"/>
          <w:color w:val="auto"/>
        </w:rPr>
        <w:t>3种工况荷载组合，对设计终了边坡稳定性进行了计算分析，具体计算结果见表</w:t>
      </w:r>
      <w:r>
        <w:rPr>
          <w:rFonts w:hint="eastAsia" w:ascii="Times New Roman" w:hAnsi="Times New Roman"/>
          <w:color w:val="auto"/>
          <w:lang w:val="en-US" w:eastAsia="zh-CN"/>
        </w:rPr>
        <w:t>3.3-3</w:t>
      </w:r>
      <w:r>
        <w:rPr>
          <w:rFonts w:ascii="Times New Roman" w:hAnsi="Times New Roman"/>
          <w:color w:val="auto"/>
        </w:rPr>
        <w:t>。</w:t>
      </w:r>
    </w:p>
    <w:p w14:paraId="5D590054">
      <w:pPr>
        <w:pStyle w:val="16"/>
        <w:bidi w:val="0"/>
        <w:rPr>
          <w:rFonts w:ascii="Times New Roman" w:hAnsi="Times New Roman"/>
          <w:color w:val="auto"/>
        </w:rPr>
      </w:pPr>
      <w:r>
        <w:rPr>
          <w:rFonts w:ascii="Times New Roman" w:hAnsi="Times New Roman"/>
          <w:color w:val="auto"/>
        </w:rPr>
        <w:t>表</w:t>
      </w:r>
      <w:r>
        <w:rPr>
          <w:rFonts w:hint="eastAsia" w:ascii="Times New Roman" w:hAnsi="Times New Roman"/>
          <w:color w:val="auto"/>
          <w:lang w:val="en-US" w:eastAsia="zh-CN"/>
        </w:rPr>
        <w:t xml:space="preserve">3.3-9  </w:t>
      </w:r>
      <w:r>
        <w:rPr>
          <w:rFonts w:ascii="Times New Roman" w:hAnsi="Times New Roman"/>
          <w:color w:val="auto"/>
        </w:rPr>
        <w:t>设计终了边坡稳定性计算结果</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4"/>
        <w:gridCol w:w="1288"/>
        <w:gridCol w:w="1290"/>
        <w:gridCol w:w="1288"/>
        <w:gridCol w:w="1292"/>
        <w:gridCol w:w="1288"/>
        <w:gridCol w:w="1291"/>
      </w:tblGrid>
      <w:tr w14:paraId="578C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85" w:type="pct"/>
            <w:vMerge w:val="restart"/>
            <w:vAlign w:val="center"/>
          </w:tcPr>
          <w:p w14:paraId="4082C4CC">
            <w:pPr>
              <w:pStyle w:val="17"/>
              <w:bidi w:val="0"/>
              <w:rPr>
                <w:rFonts w:ascii="Times New Roman" w:hAnsi="Times New Roman"/>
                <w:b/>
                <w:bCs/>
                <w:color w:val="auto"/>
              </w:rPr>
            </w:pPr>
            <w:r>
              <w:rPr>
                <w:rFonts w:ascii="Times New Roman" w:hAnsi="Times New Roman"/>
                <w:b/>
                <w:bCs/>
                <w:color w:val="auto"/>
              </w:rPr>
              <w:t>计算剖面</w:t>
            </w:r>
          </w:p>
        </w:tc>
        <w:tc>
          <w:tcPr>
            <w:tcW w:w="1371" w:type="pct"/>
            <w:gridSpan w:val="2"/>
            <w:vAlign w:val="center"/>
          </w:tcPr>
          <w:p w14:paraId="73C49C80">
            <w:pPr>
              <w:pStyle w:val="17"/>
              <w:bidi w:val="0"/>
              <w:rPr>
                <w:rFonts w:ascii="Times New Roman" w:hAnsi="Times New Roman"/>
                <w:b/>
                <w:bCs/>
                <w:color w:val="auto"/>
              </w:rPr>
            </w:pPr>
            <w:r>
              <w:rPr>
                <w:rFonts w:ascii="Times New Roman" w:hAnsi="Times New Roman"/>
                <w:b/>
                <w:bCs/>
                <w:color w:val="auto"/>
              </w:rPr>
              <w:t>荷载组合Ⅰ</w:t>
            </w:r>
          </w:p>
        </w:tc>
        <w:tc>
          <w:tcPr>
            <w:tcW w:w="1372" w:type="pct"/>
            <w:gridSpan w:val="2"/>
            <w:vAlign w:val="center"/>
          </w:tcPr>
          <w:p w14:paraId="58B4C4E6">
            <w:pPr>
              <w:pStyle w:val="17"/>
              <w:bidi w:val="0"/>
              <w:rPr>
                <w:rFonts w:ascii="Times New Roman" w:hAnsi="Times New Roman"/>
                <w:b/>
                <w:bCs/>
                <w:color w:val="auto"/>
              </w:rPr>
            </w:pPr>
            <w:r>
              <w:rPr>
                <w:rFonts w:ascii="Times New Roman" w:hAnsi="Times New Roman"/>
                <w:b/>
                <w:bCs/>
                <w:color w:val="auto"/>
              </w:rPr>
              <w:t>荷载组合ⅠⅠ</w:t>
            </w:r>
          </w:p>
        </w:tc>
        <w:tc>
          <w:tcPr>
            <w:tcW w:w="1371" w:type="pct"/>
            <w:gridSpan w:val="2"/>
            <w:vAlign w:val="center"/>
          </w:tcPr>
          <w:p w14:paraId="29F282B3">
            <w:pPr>
              <w:pStyle w:val="17"/>
              <w:bidi w:val="0"/>
              <w:rPr>
                <w:rFonts w:ascii="Times New Roman" w:hAnsi="Times New Roman"/>
                <w:b/>
                <w:bCs/>
                <w:color w:val="auto"/>
              </w:rPr>
            </w:pPr>
            <w:r>
              <w:rPr>
                <w:rFonts w:ascii="Times New Roman" w:hAnsi="Times New Roman"/>
                <w:b/>
                <w:bCs/>
                <w:color w:val="auto"/>
              </w:rPr>
              <w:t>荷载组合Ⅲ</w:t>
            </w:r>
          </w:p>
        </w:tc>
      </w:tr>
      <w:tr w14:paraId="5032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85" w:type="pct"/>
            <w:vMerge w:val="continue"/>
            <w:vAlign w:val="center"/>
          </w:tcPr>
          <w:p w14:paraId="4F2EF61C">
            <w:pPr>
              <w:pStyle w:val="17"/>
              <w:bidi w:val="0"/>
              <w:rPr>
                <w:rFonts w:ascii="Times New Roman" w:hAnsi="Times New Roman"/>
                <w:b/>
                <w:bCs/>
                <w:color w:val="auto"/>
              </w:rPr>
            </w:pPr>
          </w:p>
        </w:tc>
        <w:tc>
          <w:tcPr>
            <w:tcW w:w="685" w:type="pct"/>
            <w:vAlign w:val="center"/>
          </w:tcPr>
          <w:p w14:paraId="57A47746">
            <w:pPr>
              <w:pStyle w:val="17"/>
              <w:bidi w:val="0"/>
              <w:rPr>
                <w:rFonts w:ascii="Times New Roman" w:hAnsi="Times New Roman"/>
                <w:b/>
                <w:bCs/>
                <w:color w:val="auto"/>
              </w:rPr>
            </w:pPr>
            <w:r>
              <w:rPr>
                <w:rFonts w:ascii="Times New Roman" w:hAnsi="Times New Roman"/>
                <w:b/>
                <w:bCs/>
                <w:color w:val="auto"/>
              </w:rPr>
              <w:t>规范值</w:t>
            </w:r>
          </w:p>
        </w:tc>
        <w:tc>
          <w:tcPr>
            <w:tcW w:w="686" w:type="pct"/>
            <w:vAlign w:val="center"/>
          </w:tcPr>
          <w:p w14:paraId="5B808FDF">
            <w:pPr>
              <w:pStyle w:val="17"/>
              <w:bidi w:val="0"/>
              <w:rPr>
                <w:rFonts w:ascii="Times New Roman" w:hAnsi="Times New Roman"/>
                <w:b/>
                <w:bCs/>
                <w:color w:val="auto"/>
              </w:rPr>
            </w:pPr>
            <w:r>
              <w:rPr>
                <w:rFonts w:ascii="Times New Roman" w:hAnsi="Times New Roman"/>
                <w:b/>
                <w:bCs/>
                <w:color w:val="auto"/>
              </w:rPr>
              <w:t>计算值</w:t>
            </w:r>
          </w:p>
        </w:tc>
        <w:tc>
          <w:tcPr>
            <w:tcW w:w="685" w:type="pct"/>
            <w:vAlign w:val="center"/>
          </w:tcPr>
          <w:p w14:paraId="6E1C36E0">
            <w:pPr>
              <w:pStyle w:val="17"/>
              <w:bidi w:val="0"/>
              <w:rPr>
                <w:rFonts w:ascii="Times New Roman" w:hAnsi="Times New Roman"/>
                <w:b/>
                <w:bCs/>
                <w:color w:val="auto"/>
              </w:rPr>
            </w:pPr>
            <w:r>
              <w:rPr>
                <w:rFonts w:ascii="Times New Roman" w:hAnsi="Times New Roman"/>
                <w:b/>
                <w:bCs/>
                <w:color w:val="auto"/>
              </w:rPr>
              <w:t>规范值</w:t>
            </w:r>
          </w:p>
        </w:tc>
        <w:tc>
          <w:tcPr>
            <w:tcW w:w="686" w:type="pct"/>
            <w:vAlign w:val="center"/>
          </w:tcPr>
          <w:p w14:paraId="4B72198C">
            <w:pPr>
              <w:pStyle w:val="17"/>
              <w:bidi w:val="0"/>
              <w:rPr>
                <w:rFonts w:ascii="Times New Roman" w:hAnsi="Times New Roman"/>
                <w:b/>
                <w:bCs/>
                <w:color w:val="auto"/>
              </w:rPr>
            </w:pPr>
            <w:r>
              <w:rPr>
                <w:rFonts w:ascii="Times New Roman" w:hAnsi="Times New Roman"/>
                <w:b/>
                <w:bCs/>
                <w:color w:val="auto"/>
              </w:rPr>
              <w:t>计算值</w:t>
            </w:r>
          </w:p>
        </w:tc>
        <w:tc>
          <w:tcPr>
            <w:tcW w:w="685" w:type="pct"/>
            <w:vAlign w:val="center"/>
          </w:tcPr>
          <w:p w14:paraId="734AF888">
            <w:pPr>
              <w:pStyle w:val="17"/>
              <w:bidi w:val="0"/>
              <w:rPr>
                <w:rFonts w:ascii="Times New Roman" w:hAnsi="Times New Roman"/>
                <w:b/>
                <w:bCs/>
                <w:color w:val="auto"/>
              </w:rPr>
            </w:pPr>
            <w:r>
              <w:rPr>
                <w:rFonts w:ascii="Times New Roman" w:hAnsi="Times New Roman"/>
                <w:b/>
                <w:bCs/>
                <w:color w:val="auto"/>
              </w:rPr>
              <w:t>规范值</w:t>
            </w:r>
          </w:p>
        </w:tc>
        <w:tc>
          <w:tcPr>
            <w:tcW w:w="685" w:type="pct"/>
            <w:vAlign w:val="center"/>
          </w:tcPr>
          <w:p w14:paraId="1E2D7018">
            <w:pPr>
              <w:pStyle w:val="17"/>
              <w:bidi w:val="0"/>
              <w:rPr>
                <w:rFonts w:ascii="Times New Roman" w:hAnsi="Times New Roman"/>
                <w:b/>
                <w:bCs/>
                <w:color w:val="auto"/>
              </w:rPr>
            </w:pPr>
            <w:r>
              <w:rPr>
                <w:rFonts w:ascii="Times New Roman" w:hAnsi="Times New Roman"/>
                <w:b/>
                <w:bCs/>
                <w:color w:val="auto"/>
              </w:rPr>
              <w:t>计算值</w:t>
            </w:r>
          </w:p>
        </w:tc>
      </w:tr>
      <w:tr w14:paraId="4B33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85" w:type="pct"/>
            <w:vAlign w:val="center"/>
          </w:tcPr>
          <w:p w14:paraId="2CC6AC3F">
            <w:pPr>
              <w:pStyle w:val="17"/>
              <w:bidi w:val="0"/>
              <w:rPr>
                <w:rFonts w:ascii="Times New Roman" w:hAnsi="Times New Roman"/>
                <w:color w:val="auto"/>
              </w:rPr>
            </w:pPr>
            <w:r>
              <w:rPr>
                <w:rFonts w:ascii="Times New Roman" w:hAnsi="Times New Roman"/>
                <w:color w:val="auto"/>
              </w:rPr>
              <w:t>终了</w:t>
            </w:r>
            <w:r>
              <w:rPr>
                <w:rFonts w:hint="eastAsia" w:ascii="Times New Roman" w:hAnsi="Times New Roman"/>
                <w:color w:val="auto"/>
              </w:rPr>
              <w:t>1</w:t>
            </w:r>
            <w:r>
              <w:rPr>
                <w:rFonts w:ascii="Times New Roman" w:hAnsi="Times New Roman"/>
                <w:color w:val="auto"/>
              </w:rPr>
              <w:t>-</w:t>
            </w:r>
            <w:r>
              <w:rPr>
                <w:rFonts w:hint="eastAsia" w:ascii="Times New Roman" w:hAnsi="Times New Roman"/>
                <w:color w:val="auto"/>
              </w:rPr>
              <w:t>1</w:t>
            </w:r>
            <w:r>
              <w:rPr>
                <w:rFonts w:ascii="Times New Roman" w:hAnsi="Times New Roman"/>
                <w:color w:val="auto"/>
              </w:rPr>
              <w:t>′</w:t>
            </w:r>
          </w:p>
        </w:tc>
        <w:tc>
          <w:tcPr>
            <w:tcW w:w="685" w:type="pct"/>
            <w:vAlign w:val="center"/>
          </w:tcPr>
          <w:p w14:paraId="5CCAB1E5">
            <w:pPr>
              <w:pStyle w:val="17"/>
              <w:bidi w:val="0"/>
              <w:rPr>
                <w:rFonts w:ascii="Times New Roman" w:hAnsi="Times New Roman"/>
                <w:color w:val="auto"/>
              </w:rPr>
            </w:pPr>
            <w:r>
              <w:rPr>
                <w:rFonts w:ascii="Times New Roman" w:hAnsi="Times New Roman"/>
                <w:color w:val="auto"/>
              </w:rPr>
              <w:t>1.10</w:t>
            </w:r>
          </w:p>
        </w:tc>
        <w:tc>
          <w:tcPr>
            <w:tcW w:w="686" w:type="pct"/>
            <w:vAlign w:val="center"/>
          </w:tcPr>
          <w:p w14:paraId="67178331">
            <w:pPr>
              <w:pStyle w:val="17"/>
              <w:bidi w:val="0"/>
              <w:rPr>
                <w:rFonts w:ascii="Times New Roman" w:hAnsi="Times New Roman"/>
                <w:color w:val="auto"/>
              </w:rPr>
            </w:pPr>
            <w:r>
              <w:rPr>
                <w:rFonts w:hint="eastAsia" w:ascii="Times New Roman" w:hAnsi="Times New Roman"/>
                <w:color w:val="auto"/>
              </w:rPr>
              <w:t>1.559</w:t>
            </w:r>
          </w:p>
        </w:tc>
        <w:tc>
          <w:tcPr>
            <w:tcW w:w="685" w:type="pct"/>
            <w:vAlign w:val="center"/>
          </w:tcPr>
          <w:p w14:paraId="0C10E950">
            <w:pPr>
              <w:pStyle w:val="17"/>
              <w:bidi w:val="0"/>
              <w:rPr>
                <w:rFonts w:ascii="Times New Roman" w:hAnsi="Times New Roman"/>
                <w:color w:val="auto"/>
              </w:rPr>
            </w:pPr>
            <w:r>
              <w:rPr>
                <w:rFonts w:ascii="Times New Roman" w:hAnsi="Times New Roman"/>
                <w:color w:val="auto"/>
              </w:rPr>
              <w:t>1.08</w:t>
            </w:r>
          </w:p>
        </w:tc>
        <w:tc>
          <w:tcPr>
            <w:tcW w:w="686" w:type="pct"/>
            <w:vAlign w:val="center"/>
          </w:tcPr>
          <w:p w14:paraId="7FD354DC">
            <w:pPr>
              <w:pStyle w:val="17"/>
              <w:bidi w:val="0"/>
              <w:rPr>
                <w:rFonts w:ascii="Times New Roman" w:hAnsi="Times New Roman"/>
                <w:color w:val="auto"/>
              </w:rPr>
            </w:pPr>
            <w:r>
              <w:rPr>
                <w:rFonts w:hint="eastAsia" w:ascii="Times New Roman" w:hAnsi="Times New Roman"/>
                <w:color w:val="auto"/>
              </w:rPr>
              <w:t>1.510</w:t>
            </w:r>
          </w:p>
        </w:tc>
        <w:tc>
          <w:tcPr>
            <w:tcW w:w="685" w:type="pct"/>
            <w:vAlign w:val="center"/>
          </w:tcPr>
          <w:p w14:paraId="696B81F7">
            <w:pPr>
              <w:pStyle w:val="17"/>
              <w:bidi w:val="0"/>
              <w:rPr>
                <w:rFonts w:ascii="Times New Roman" w:hAnsi="Times New Roman"/>
                <w:color w:val="auto"/>
              </w:rPr>
            </w:pPr>
            <w:r>
              <w:rPr>
                <w:rFonts w:ascii="Times New Roman" w:hAnsi="Times New Roman"/>
                <w:color w:val="auto"/>
              </w:rPr>
              <w:t>1.05</w:t>
            </w:r>
          </w:p>
        </w:tc>
        <w:tc>
          <w:tcPr>
            <w:tcW w:w="685" w:type="pct"/>
            <w:vAlign w:val="center"/>
          </w:tcPr>
          <w:p w14:paraId="5C65DF48">
            <w:pPr>
              <w:pStyle w:val="17"/>
              <w:bidi w:val="0"/>
              <w:rPr>
                <w:rFonts w:ascii="Times New Roman" w:hAnsi="Times New Roman"/>
                <w:color w:val="auto"/>
              </w:rPr>
            </w:pPr>
            <w:r>
              <w:rPr>
                <w:rFonts w:hint="eastAsia" w:ascii="Times New Roman" w:hAnsi="Times New Roman"/>
                <w:color w:val="auto"/>
              </w:rPr>
              <w:t>1.498</w:t>
            </w:r>
          </w:p>
        </w:tc>
      </w:tr>
    </w:tbl>
    <w:p w14:paraId="42DD3CD0">
      <w:pPr>
        <w:bidi w:val="0"/>
        <w:rPr>
          <w:rFonts w:hint="eastAsia" w:ascii="Times New Roman" w:hAnsi="Times New Roman" w:eastAsia="宋体"/>
          <w:color w:val="auto"/>
          <w:lang w:eastAsia="zh-CN"/>
        </w:rPr>
      </w:pPr>
      <w:r>
        <w:rPr>
          <w:rFonts w:ascii="Times New Roman" w:hAnsi="Times New Roman"/>
          <w:color w:val="auto"/>
        </w:rPr>
        <w:t>根据上表</w:t>
      </w:r>
      <w:bookmarkStart w:id="122" w:name="_Hlk171610176"/>
      <w:r>
        <w:rPr>
          <w:rFonts w:hint="eastAsia" w:ascii="Times New Roman" w:hAnsi="Times New Roman"/>
          <w:color w:val="auto"/>
          <w:lang w:val="en-US" w:eastAsia="zh-CN"/>
        </w:rPr>
        <w:t>3.3-9</w:t>
      </w:r>
      <w:r>
        <w:rPr>
          <w:rFonts w:ascii="Times New Roman" w:hAnsi="Times New Roman"/>
          <w:color w:val="auto"/>
        </w:rPr>
        <w:t>设计终了边坡稳定性计算结果，矿山设计终了边坡稳定性安全系数满足规范要求</w:t>
      </w:r>
      <w:bookmarkEnd w:id="122"/>
      <w:r>
        <w:rPr>
          <w:rFonts w:hint="eastAsia"/>
          <w:color w:val="auto"/>
          <w:lang w:eastAsia="zh-CN"/>
        </w:rPr>
        <w:t>。</w:t>
      </w:r>
    </w:p>
    <w:p w14:paraId="0D5336E2">
      <w:pPr>
        <w:bidi w:val="0"/>
        <w:ind w:left="0" w:leftChars="0" w:firstLine="0" w:firstLineChars="0"/>
        <w:jc w:val="center"/>
        <w:rPr>
          <w:rFonts w:hint="default" w:ascii="Times New Roman" w:hAnsi="Times New Roman" w:eastAsia="宋体"/>
          <w:color w:val="auto"/>
          <w:lang w:val="en-US" w:eastAsia="zh-CN"/>
        </w:rPr>
      </w:pPr>
      <w:r>
        <w:rPr>
          <w:rFonts w:hint="eastAsia"/>
          <w:color w:val="auto"/>
          <w:lang w:val="en-US" w:eastAsia="zh-CN"/>
        </w:rPr>
        <w:t>***********</w:t>
      </w:r>
    </w:p>
    <w:p w14:paraId="14444C3E">
      <w:pPr>
        <w:pStyle w:val="16"/>
        <w:bidi w:val="0"/>
        <w:rPr>
          <w:rFonts w:ascii="Times New Roman" w:hAnsi="Times New Roman"/>
          <w:color w:val="auto"/>
        </w:rPr>
      </w:pPr>
      <w:r>
        <w:rPr>
          <w:rFonts w:ascii="Times New Roman" w:hAnsi="Times New Roman"/>
          <w:color w:val="auto"/>
        </w:rPr>
        <w:t>图</w:t>
      </w:r>
      <w:r>
        <w:rPr>
          <w:rFonts w:hint="eastAsia" w:ascii="Times New Roman" w:hAnsi="Times New Roman"/>
          <w:color w:val="auto"/>
          <w:lang w:val="en-US" w:eastAsia="zh-CN"/>
        </w:rPr>
        <w:t>3.3</w:t>
      </w:r>
      <w:r>
        <w:rPr>
          <w:rFonts w:ascii="Times New Roman" w:hAnsi="Times New Roman"/>
          <w:color w:val="auto"/>
        </w:rPr>
        <w:t>-</w:t>
      </w:r>
      <w:r>
        <w:rPr>
          <w:rFonts w:hint="eastAsia" w:ascii="Times New Roman" w:hAnsi="Times New Roman"/>
          <w:color w:val="auto"/>
        </w:rPr>
        <w:t>3</w:t>
      </w:r>
      <w:r>
        <w:rPr>
          <w:rFonts w:ascii="Times New Roman" w:hAnsi="Times New Roman"/>
          <w:color w:val="auto"/>
        </w:rPr>
        <w:t xml:space="preserve"> </w:t>
      </w:r>
      <w:r>
        <w:rPr>
          <w:rFonts w:hint="eastAsia" w:ascii="Times New Roman" w:hAnsi="Times New Roman"/>
          <w:color w:val="auto"/>
          <w:lang w:val="en-US" w:eastAsia="zh-CN"/>
        </w:rPr>
        <w:t xml:space="preserve"> </w:t>
      </w:r>
      <w:r>
        <w:rPr>
          <w:rFonts w:ascii="Times New Roman" w:hAnsi="Times New Roman"/>
          <w:color w:val="auto"/>
        </w:rPr>
        <w:t>1-1′剖面工况I结果</w:t>
      </w:r>
    </w:p>
    <w:p w14:paraId="34EF0F26">
      <w:pPr>
        <w:bidi w:val="0"/>
        <w:ind w:left="0" w:leftChars="0" w:firstLine="0" w:firstLineChars="0"/>
        <w:jc w:val="center"/>
        <w:rPr>
          <w:rFonts w:hint="default" w:ascii="Times New Roman" w:hAnsi="Times New Roman" w:eastAsia="宋体"/>
          <w:color w:val="auto"/>
          <w:lang w:val="en-US" w:eastAsia="zh-CN"/>
        </w:rPr>
      </w:pPr>
      <w:r>
        <w:rPr>
          <w:rFonts w:hint="eastAsia"/>
          <w:color w:val="auto"/>
          <w:lang w:val="en-US" w:eastAsia="zh-CN"/>
        </w:rPr>
        <w:t>********</w:t>
      </w:r>
    </w:p>
    <w:p w14:paraId="7E61A224">
      <w:pPr>
        <w:pStyle w:val="16"/>
        <w:bidi w:val="0"/>
        <w:rPr>
          <w:rFonts w:ascii="Times New Roman" w:hAnsi="Times New Roman"/>
          <w:color w:val="auto"/>
        </w:rPr>
      </w:pPr>
      <w:r>
        <w:rPr>
          <w:rFonts w:ascii="Times New Roman" w:hAnsi="Times New Roman"/>
          <w:color w:val="auto"/>
        </w:rPr>
        <w:t>图</w:t>
      </w:r>
      <w:r>
        <w:rPr>
          <w:rFonts w:hint="eastAsia" w:ascii="Times New Roman" w:hAnsi="Times New Roman"/>
          <w:color w:val="auto"/>
          <w:lang w:val="en-US" w:eastAsia="zh-CN"/>
        </w:rPr>
        <w:t>3.3</w:t>
      </w:r>
      <w:r>
        <w:rPr>
          <w:rFonts w:ascii="Times New Roman" w:hAnsi="Times New Roman"/>
          <w:color w:val="auto"/>
        </w:rPr>
        <w:t>-</w:t>
      </w:r>
      <w:r>
        <w:rPr>
          <w:rFonts w:hint="eastAsia" w:ascii="Times New Roman" w:hAnsi="Times New Roman"/>
          <w:color w:val="auto"/>
        </w:rPr>
        <w:t>4</w:t>
      </w:r>
      <w:r>
        <w:rPr>
          <w:rFonts w:ascii="Times New Roman" w:hAnsi="Times New Roman"/>
          <w:color w:val="auto"/>
        </w:rPr>
        <w:t xml:space="preserve"> </w:t>
      </w:r>
      <w:r>
        <w:rPr>
          <w:rFonts w:hint="eastAsia" w:ascii="Times New Roman" w:hAnsi="Times New Roman"/>
          <w:color w:val="auto"/>
          <w:lang w:val="en-US" w:eastAsia="zh-CN"/>
        </w:rPr>
        <w:t xml:space="preserve"> </w:t>
      </w:r>
      <w:r>
        <w:rPr>
          <w:rFonts w:ascii="Times New Roman" w:hAnsi="Times New Roman"/>
          <w:color w:val="auto"/>
        </w:rPr>
        <w:t>1-1′剖面工况Ⅱ结果</w:t>
      </w:r>
    </w:p>
    <w:p w14:paraId="67D5BD52">
      <w:pPr>
        <w:bidi w:val="0"/>
        <w:ind w:left="0" w:leftChars="0" w:firstLine="0" w:firstLineChars="0"/>
        <w:jc w:val="center"/>
        <w:rPr>
          <w:rFonts w:hint="default" w:ascii="Times New Roman" w:hAnsi="Times New Roman" w:eastAsia="宋体"/>
          <w:color w:val="auto"/>
          <w:lang w:val="en-US" w:eastAsia="zh-CN"/>
        </w:rPr>
      </w:pPr>
      <w:r>
        <w:rPr>
          <w:rFonts w:hint="eastAsia"/>
          <w:color w:val="auto"/>
          <w:lang w:val="en-US" w:eastAsia="zh-CN"/>
        </w:rPr>
        <w:t>*********</w:t>
      </w:r>
    </w:p>
    <w:p w14:paraId="76F85B3D">
      <w:pPr>
        <w:pStyle w:val="16"/>
        <w:bidi w:val="0"/>
        <w:rPr>
          <w:rFonts w:ascii="Times New Roman" w:hAnsi="Times New Roman"/>
          <w:color w:val="auto"/>
        </w:rPr>
      </w:pPr>
      <w:r>
        <w:rPr>
          <w:rFonts w:ascii="Times New Roman" w:hAnsi="Times New Roman"/>
          <w:color w:val="auto"/>
        </w:rPr>
        <w:t>图</w:t>
      </w:r>
      <w:r>
        <w:rPr>
          <w:rFonts w:hint="eastAsia" w:ascii="Times New Roman" w:hAnsi="Times New Roman"/>
          <w:color w:val="auto"/>
          <w:lang w:val="en-US" w:eastAsia="zh-CN"/>
        </w:rPr>
        <w:t>3.3</w:t>
      </w:r>
      <w:r>
        <w:rPr>
          <w:rFonts w:ascii="Times New Roman" w:hAnsi="Times New Roman"/>
          <w:color w:val="auto"/>
        </w:rPr>
        <w:t>-</w:t>
      </w:r>
      <w:r>
        <w:rPr>
          <w:rFonts w:hint="eastAsia" w:ascii="Times New Roman" w:hAnsi="Times New Roman"/>
          <w:color w:val="auto"/>
        </w:rPr>
        <w:t>5</w:t>
      </w:r>
      <w:r>
        <w:rPr>
          <w:rFonts w:ascii="Times New Roman" w:hAnsi="Times New Roman"/>
          <w:color w:val="auto"/>
        </w:rPr>
        <w:t xml:space="preserve"> </w:t>
      </w:r>
      <w:r>
        <w:rPr>
          <w:rFonts w:hint="eastAsia" w:ascii="Times New Roman" w:hAnsi="Times New Roman"/>
          <w:color w:val="auto"/>
          <w:lang w:val="en-US" w:eastAsia="zh-CN"/>
        </w:rPr>
        <w:t xml:space="preserve"> </w:t>
      </w:r>
      <w:r>
        <w:rPr>
          <w:rFonts w:ascii="Times New Roman" w:hAnsi="Times New Roman"/>
          <w:color w:val="auto"/>
        </w:rPr>
        <w:t>1-1′剖面工况III结果</w:t>
      </w:r>
    </w:p>
    <w:p w14:paraId="38E7B4F6">
      <w:pPr>
        <w:pStyle w:val="5"/>
        <w:bidi w:val="0"/>
        <w:rPr>
          <w:rFonts w:hint="eastAsia" w:ascii="Times New Roman" w:hAnsi="Times New Roman" w:eastAsia="宋体"/>
          <w:color w:val="auto"/>
          <w:lang w:eastAsia="zh-CN"/>
        </w:rPr>
      </w:pPr>
      <w:r>
        <w:rPr>
          <w:rFonts w:ascii="Times New Roman" w:hAnsi="Times New Roman"/>
          <w:color w:val="auto"/>
        </w:rPr>
        <w:t>3.3.2.3</w:t>
      </w:r>
      <w:r>
        <w:rPr>
          <w:rFonts w:hint="eastAsia" w:ascii="Times New Roman" w:hAnsi="Times New Roman"/>
          <w:color w:val="auto"/>
          <w:lang w:val="en-US" w:eastAsia="zh-CN"/>
        </w:rPr>
        <w:t xml:space="preserve"> </w:t>
      </w:r>
      <w:r>
        <w:rPr>
          <w:rFonts w:ascii="Times New Roman" w:hAnsi="Times New Roman"/>
          <w:color w:val="auto"/>
        </w:rPr>
        <w:t>滚石伤人事故树分析</w:t>
      </w:r>
      <w:r>
        <w:rPr>
          <w:rFonts w:hint="eastAsia" w:ascii="Times New Roman" w:hAnsi="Times New Roman"/>
          <w:color w:val="auto"/>
          <w:lang w:eastAsia="zh-CN"/>
        </w:rPr>
        <w:t>（</w:t>
      </w:r>
      <w:r>
        <w:rPr>
          <w:rFonts w:hint="eastAsia" w:ascii="Times New Roman" w:hAnsi="Times New Roman"/>
          <w:color w:val="auto"/>
        </w:rPr>
        <w:t>FTA</w:t>
      </w:r>
      <w:r>
        <w:rPr>
          <w:rFonts w:hint="eastAsia" w:ascii="Times New Roman" w:hAnsi="Times New Roman"/>
          <w:color w:val="auto"/>
          <w:lang w:eastAsia="zh-CN"/>
        </w:rPr>
        <w:t>）</w:t>
      </w:r>
    </w:p>
    <w:p w14:paraId="26567D08">
      <w:pPr>
        <w:bidi w:val="0"/>
        <w:rPr>
          <w:rFonts w:ascii="Times New Roman" w:hAnsi="Times New Roman"/>
          <w:color w:val="auto"/>
          <w:lang w:val="zh-CN"/>
        </w:rPr>
      </w:pPr>
      <w:r>
        <w:rPr>
          <w:rFonts w:ascii="Times New Roman" w:hAnsi="Times New Roman"/>
          <w:color w:val="auto"/>
          <w:lang w:val="zh-CN"/>
        </w:rPr>
        <w:t>露天开采的危险还有边坡坡面上单体危岩的崩落以及边坡滚石：露天采场因开采规范性较差，边坡安全检查和管理的薄弱，坡面上常有危石、浮石存在，受开采和振动影响，容易形成滚石危害。</w:t>
      </w:r>
    </w:p>
    <w:p w14:paraId="3A74C736">
      <w:pPr>
        <w:bidi w:val="0"/>
        <w:rPr>
          <w:rFonts w:ascii="Times New Roman" w:hAnsi="Times New Roman"/>
          <w:color w:val="auto"/>
        </w:rPr>
      </w:pPr>
      <w:r>
        <w:rPr>
          <w:rFonts w:ascii="Times New Roman" w:hAnsi="Times New Roman"/>
          <w:color w:val="auto"/>
        </w:rPr>
        <w:t>一、露天采场边坡滚石事故树</w:t>
      </w:r>
    </w:p>
    <w:p w14:paraId="013C0982">
      <w:pPr>
        <w:bidi w:val="0"/>
        <w:rPr>
          <w:rFonts w:ascii="Times New Roman" w:hAnsi="Times New Roman"/>
          <w:color w:val="auto"/>
          <w:lang w:val="zh-CN"/>
        </w:rPr>
      </w:pPr>
      <w:r>
        <w:rPr>
          <w:rFonts w:ascii="Times New Roman" w:hAnsi="Times New Roman"/>
          <w:color w:val="auto"/>
          <w:lang w:val="zh-CN"/>
        </w:rPr>
        <w:t>通过对露天采场边坡滚石事故采用事故树分析方法进行研究，探索相应的对策措施，尽量避免该类事故发生。</w:t>
      </w:r>
    </w:p>
    <w:p w14:paraId="24513BD1">
      <w:pPr>
        <w:ind w:left="0" w:leftChars="0" w:firstLine="0" w:firstLineChars="0"/>
        <w:jc w:val="center"/>
        <w:rPr>
          <w:rFonts w:hint="default" w:ascii="Times New Roman" w:hAnsi="Times New Roman" w:eastAsia="宋体"/>
          <w:color w:val="auto"/>
          <w:szCs w:val="28"/>
          <w:lang w:val="en-US" w:eastAsia="zh-CN"/>
        </w:rPr>
      </w:pPr>
      <w:r>
        <w:rPr>
          <w:rFonts w:hint="eastAsia"/>
          <w:color w:val="auto"/>
          <w:szCs w:val="28"/>
          <w:lang w:val="en-US" w:eastAsia="zh-CN"/>
        </w:rPr>
        <w:t>************</w:t>
      </w:r>
    </w:p>
    <w:p w14:paraId="0C284503">
      <w:pPr>
        <w:pStyle w:val="16"/>
        <w:bidi w:val="0"/>
        <w:rPr>
          <w:rFonts w:ascii="Times New Roman" w:hAnsi="Times New Roman"/>
          <w:color w:val="auto"/>
        </w:rPr>
      </w:pPr>
      <w:r>
        <w:rPr>
          <w:rFonts w:ascii="Times New Roman" w:hAnsi="Times New Roman"/>
          <w:color w:val="auto"/>
        </w:rPr>
        <w:t>图3.3-</w:t>
      </w:r>
      <w:r>
        <w:rPr>
          <w:rFonts w:hint="eastAsia" w:ascii="Times New Roman" w:hAnsi="Times New Roman"/>
          <w:color w:val="auto"/>
          <w:lang w:val="en-US" w:eastAsia="zh-CN"/>
        </w:rPr>
        <w:t>6</w:t>
      </w:r>
      <w:r>
        <w:rPr>
          <w:rFonts w:ascii="Times New Roman" w:hAnsi="Times New Roman"/>
          <w:color w:val="auto"/>
        </w:rPr>
        <w:t xml:space="preserve">  采场边坡滚石事故树</w:t>
      </w:r>
    </w:p>
    <w:p w14:paraId="4D5C83A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lang w:val="zh-CN"/>
        </w:rPr>
      </w:pPr>
      <w:r>
        <w:rPr>
          <w:rFonts w:ascii="Times New Roman" w:hAnsi="Times New Roman"/>
          <w:bCs w:val="0"/>
          <w:color w:val="auto"/>
          <w:sz w:val="28"/>
          <w:szCs w:val="28"/>
          <w:lang w:val="zh-CN"/>
        </w:rPr>
        <w:t>根据事故树图列出其逻辑代数式：</w:t>
      </w:r>
    </w:p>
    <w:p w14:paraId="30393D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lang w:val="zh-CN"/>
        </w:rPr>
      </w:pPr>
      <w:r>
        <w:rPr>
          <w:rFonts w:ascii="Times New Roman" w:hAnsi="Times New Roman"/>
          <w:bCs w:val="0"/>
          <w:color w:val="auto"/>
          <w:position w:val="-68"/>
          <w:sz w:val="28"/>
          <w:szCs w:val="28"/>
          <w:lang w:val="zh-CN"/>
        </w:rPr>
        <w:object>
          <v:shape id="_x0000_i1026" o:spt="75" type="#_x0000_t75" style="height:89.5pt;width:322.6pt;" o:ole="t" filled="f" o:preferrelative="t" stroked="f" coordsize="21600,21600">
            <v:path/>
            <v:fill on="f" focussize="0,0"/>
            <v:stroke on="f"/>
            <v:imagedata r:id="rId22" o:title=""/>
            <o:lock v:ext="edit" aspectratio="t"/>
            <w10:wrap type="none"/>
            <w10:anchorlock/>
          </v:shape>
          <o:OLEObject Type="Embed" ProgID="Equation.3" ShapeID="_x0000_i1026" DrawAspect="Content" ObjectID="_1468075725" r:id="rId21">
            <o:LockedField>false</o:LockedField>
          </o:OLEObject>
        </w:object>
      </w:r>
    </w:p>
    <w:p w14:paraId="2C8824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lang w:val="zh-CN"/>
        </w:rPr>
      </w:pPr>
      <w:r>
        <w:rPr>
          <w:rFonts w:ascii="Times New Roman" w:hAnsi="Times New Roman"/>
          <w:bCs w:val="0"/>
          <w:color w:val="auto"/>
          <w:sz w:val="28"/>
          <w:szCs w:val="28"/>
          <w:lang w:val="zh-CN"/>
        </w:rPr>
        <w:t>求得最小径集有：</w:t>
      </w:r>
    </w:p>
    <w:p w14:paraId="0EFAF33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rPr>
      </w:pPr>
      <w:r>
        <w:rPr>
          <w:rFonts w:ascii="Times New Roman" w:hAnsi="Times New Roman"/>
          <w:bCs w:val="0"/>
          <w:color w:val="auto"/>
          <w:sz w:val="28"/>
          <w:szCs w:val="28"/>
        </w:rPr>
        <w:t>｛X</w:t>
      </w:r>
      <w:r>
        <w:rPr>
          <w:rFonts w:ascii="Times New Roman" w:hAnsi="Times New Roman"/>
          <w:bCs w:val="0"/>
          <w:color w:val="auto"/>
          <w:sz w:val="28"/>
          <w:szCs w:val="28"/>
          <w:vertAlign w:val="subscript"/>
        </w:rPr>
        <w:t>1</w:t>
      </w:r>
      <w:r>
        <w:rPr>
          <w:rFonts w:ascii="Times New Roman" w:hAnsi="Times New Roman"/>
          <w:bCs w:val="0"/>
          <w:color w:val="auto"/>
          <w:sz w:val="28"/>
          <w:szCs w:val="28"/>
        </w:rPr>
        <w:t>，X</w:t>
      </w:r>
      <w:r>
        <w:rPr>
          <w:rFonts w:ascii="Times New Roman" w:hAnsi="Times New Roman"/>
          <w:bCs w:val="0"/>
          <w:color w:val="auto"/>
          <w:sz w:val="28"/>
          <w:szCs w:val="28"/>
          <w:vertAlign w:val="subscript"/>
        </w:rPr>
        <w:t>2</w:t>
      </w:r>
      <w:r>
        <w:rPr>
          <w:rFonts w:ascii="Times New Roman" w:hAnsi="Times New Roman"/>
          <w:bCs w:val="0"/>
          <w:color w:val="auto"/>
          <w:sz w:val="28"/>
          <w:szCs w:val="28"/>
        </w:rPr>
        <w:t>，X</w:t>
      </w:r>
      <w:r>
        <w:rPr>
          <w:rFonts w:ascii="Times New Roman" w:hAnsi="Times New Roman"/>
          <w:bCs w:val="0"/>
          <w:color w:val="auto"/>
          <w:sz w:val="28"/>
          <w:szCs w:val="28"/>
          <w:vertAlign w:val="subscript"/>
        </w:rPr>
        <w:t>3</w:t>
      </w:r>
      <w:r>
        <w:rPr>
          <w:rFonts w:ascii="Times New Roman" w:hAnsi="Times New Roman"/>
          <w:bCs w:val="0"/>
          <w:color w:val="auto"/>
          <w:sz w:val="28"/>
          <w:szCs w:val="28"/>
        </w:rPr>
        <w:t>，X</w:t>
      </w:r>
      <w:r>
        <w:rPr>
          <w:rFonts w:ascii="Times New Roman" w:hAnsi="Times New Roman"/>
          <w:bCs w:val="0"/>
          <w:color w:val="auto"/>
          <w:sz w:val="28"/>
          <w:szCs w:val="28"/>
          <w:vertAlign w:val="subscript"/>
        </w:rPr>
        <w:t>4</w:t>
      </w:r>
      <w:r>
        <w:rPr>
          <w:rFonts w:ascii="Times New Roman" w:hAnsi="Times New Roman"/>
          <w:bCs w:val="0"/>
          <w:color w:val="auto"/>
          <w:sz w:val="28"/>
          <w:szCs w:val="28"/>
        </w:rPr>
        <w:t>｝，｛X</w:t>
      </w:r>
      <w:r>
        <w:rPr>
          <w:rFonts w:ascii="Times New Roman" w:hAnsi="Times New Roman"/>
          <w:bCs w:val="0"/>
          <w:color w:val="auto"/>
          <w:sz w:val="28"/>
          <w:szCs w:val="28"/>
          <w:vertAlign w:val="subscript"/>
        </w:rPr>
        <w:t>5</w:t>
      </w:r>
      <w:r>
        <w:rPr>
          <w:rFonts w:ascii="Times New Roman" w:hAnsi="Times New Roman"/>
          <w:bCs w:val="0"/>
          <w:color w:val="auto"/>
          <w:sz w:val="28"/>
          <w:szCs w:val="28"/>
        </w:rPr>
        <w:t>，X</w:t>
      </w:r>
      <w:r>
        <w:rPr>
          <w:rFonts w:ascii="Times New Roman" w:hAnsi="Times New Roman"/>
          <w:bCs w:val="0"/>
          <w:color w:val="auto"/>
          <w:sz w:val="28"/>
          <w:szCs w:val="28"/>
          <w:vertAlign w:val="subscript"/>
        </w:rPr>
        <w:t>6</w:t>
      </w:r>
      <w:r>
        <w:rPr>
          <w:rFonts w:ascii="Times New Roman" w:hAnsi="Times New Roman"/>
          <w:bCs w:val="0"/>
          <w:color w:val="auto"/>
          <w:sz w:val="28"/>
          <w:szCs w:val="28"/>
        </w:rPr>
        <w:t xml:space="preserve"> ，X</w:t>
      </w:r>
      <w:r>
        <w:rPr>
          <w:rFonts w:ascii="Times New Roman" w:hAnsi="Times New Roman"/>
          <w:bCs w:val="0"/>
          <w:color w:val="auto"/>
          <w:sz w:val="28"/>
          <w:szCs w:val="28"/>
          <w:vertAlign w:val="subscript"/>
        </w:rPr>
        <w:t>7</w:t>
      </w:r>
      <w:r>
        <w:rPr>
          <w:rFonts w:ascii="Times New Roman" w:hAnsi="Times New Roman"/>
          <w:bCs w:val="0"/>
          <w:color w:val="auto"/>
          <w:sz w:val="28"/>
          <w:szCs w:val="28"/>
        </w:rPr>
        <w:t>，X</w:t>
      </w:r>
      <w:r>
        <w:rPr>
          <w:rFonts w:ascii="Times New Roman" w:hAnsi="Times New Roman"/>
          <w:bCs w:val="0"/>
          <w:color w:val="auto"/>
          <w:sz w:val="28"/>
          <w:szCs w:val="28"/>
          <w:vertAlign w:val="subscript"/>
        </w:rPr>
        <w:t>8</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｝四个。</w:t>
      </w:r>
    </w:p>
    <w:p w14:paraId="20BF162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rPr>
      </w:pPr>
      <w:r>
        <w:rPr>
          <w:rFonts w:ascii="Times New Roman" w:hAnsi="Times New Roman"/>
          <w:bCs w:val="0"/>
          <w:color w:val="auto"/>
          <w:sz w:val="28"/>
          <w:szCs w:val="28"/>
        </w:rPr>
        <w:t>展开逻辑代数式求得最小割集有十六个：</w:t>
      </w:r>
    </w:p>
    <w:p w14:paraId="4CF2CD7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rPr>
      </w:pPr>
      <w:r>
        <w:rPr>
          <w:rFonts w:ascii="Times New Roman" w:hAnsi="Times New Roman"/>
          <w:bCs w:val="0"/>
          <w:color w:val="auto"/>
          <w:sz w:val="28"/>
          <w:szCs w:val="28"/>
        </w:rPr>
        <w:t>｛X</w:t>
      </w:r>
      <w:r>
        <w:rPr>
          <w:rFonts w:ascii="Times New Roman" w:hAnsi="Times New Roman"/>
          <w:bCs w:val="0"/>
          <w:color w:val="auto"/>
          <w:sz w:val="28"/>
          <w:szCs w:val="28"/>
          <w:vertAlign w:val="subscript"/>
        </w:rPr>
        <w:t>1</w:t>
      </w:r>
      <w:r>
        <w:rPr>
          <w:rFonts w:ascii="Times New Roman" w:hAnsi="Times New Roman"/>
          <w:bCs w:val="0"/>
          <w:color w:val="auto"/>
          <w:sz w:val="28"/>
          <w:szCs w:val="28"/>
        </w:rPr>
        <w:t>，X</w:t>
      </w:r>
      <w:r>
        <w:rPr>
          <w:rFonts w:ascii="Times New Roman" w:hAnsi="Times New Roman"/>
          <w:bCs w:val="0"/>
          <w:color w:val="auto"/>
          <w:sz w:val="28"/>
          <w:szCs w:val="28"/>
          <w:vertAlign w:val="subscript"/>
        </w:rPr>
        <w:t>5</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1</w:t>
      </w:r>
      <w:r>
        <w:rPr>
          <w:rFonts w:ascii="Times New Roman" w:hAnsi="Times New Roman"/>
          <w:bCs w:val="0"/>
          <w:color w:val="auto"/>
          <w:sz w:val="28"/>
          <w:szCs w:val="28"/>
        </w:rPr>
        <w:t>，X</w:t>
      </w:r>
      <w:r>
        <w:rPr>
          <w:rFonts w:ascii="Times New Roman" w:hAnsi="Times New Roman"/>
          <w:bCs w:val="0"/>
          <w:color w:val="auto"/>
          <w:sz w:val="28"/>
          <w:szCs w:val="28"/>
          <w:vertAlign w:val="subscript"/>
        </w:rPr>
        <w:t>6</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1</w:t>
      </w:r>
      <w:r>
        <w:rPr>
          <w:rFonts w:ascii="Times New Roman" w:hAnsi="Times New Roman"/>
          <w:bCs w:val="0"/>
          <w:color w:val="auto"/>
          <w:sz w:val="28"/>
          <w:szCs w:val="28"/>
        </w:rPr>
        <w:t>，X</w:t>
      </w:r>
      <w:r>
        <w:rPr>
          <w:rFonts w:ascii="Times New Roman" w:hAnsi="Times New Roman"/>
          <w:bCs w:val="0"/>
          <w:color w:val="auto"/>
          <w:sz w:val="28"/>
          <w:szCs w:val="28"/>
          <w:vertAlign w:val="subscript"/>
        </w:rPr>
        <w:t>7</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1</w:t>
      </w:r>
      <w:r>
        <w:rPr>
          <w:rFonts w:ascii="Times New Roman" w:hAnsi="Times New Roman"/>
          <w:bCs w:val="0"/>
          <w:color w:val="auto"/>
          <w:sz w:val="28"/>
          <w:szCs w:val="28"/>
        </w:rPr>
        <w:t>，X</w:t>
      </w:r>
      <w:r>
        <w:rPr>
          <w:rFonts w:ascii="Times New Roman" w:hAnsi="Times New Roman"/>
          <w:bCs w:val="0"/>
          <w:color w:val="auto"/>
          <w:sz w:val="28"/>
          <w:szCs w:val="28"/>
          <w:vertAlign w:val="subscript"/>
        </w:rPr>
        <w:t>8</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w:t>
      </w:r>
    </w:p>
    <w:p w14:paraId="56376CF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rPr>
      </w:pPr>
      <w:r>
        <w:rPr>
          <w:rFonts w:ascii="Times New Roman" w:hAnsi="Times New Roman"/>
          <w:bCs w:val="0"/>
          <w:color w:val="auto"/>
          <w:sz w:val="28"/>
          <w:szCs w:val="28"/>
        </w:rPr>
        <w:t>｛X</w:t>
      </w:r>
      <w:r>
        <w:rPr>
          <w:rFonts w:ascii="Times New Roman" w:hAnsi="Times New Roman"/>
          <w:bCs w:val="0"/>
          <w:color w:val="auto"/>
          <w:sz w:val="28"/>
          <w:szCs w:val="28"/>
          <w:vertAlign w:val="subscript"/>
        </w:rPr>
        <w:t>2</w:t>
      </w:r>
      <w:r>
        <w:rPr>
          <w:rFonts w:ascii="Times New Roman" w:hAnsi="Times New Roman"/>
          <w:bCs w:val="0"/>
          <w:color w:val="auto"/>
          <w:sz w:val="28"/>
          <w:szCs w:val="28"/>
        </w:rPr>
        <w:t>，X</w:t>
      </w:r>
      <w:r>
        <w:rPr>
          <w:rFonts w:ascii="Times New Roman" w:hAnsi="Times New Roman"/>
          <w:bCs w:val="0"/>
          <w:color w:val="auto"/>
          <w:sz w:val="28"/>
          <w:szCs w:val="28"/>
          <w:vertAlign w:val="subscript"/>
        </w:rPr>
        <w:t>5</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2</w:t>
      </w:r>
      <w:r>
        <w:rPr>
          <w:rFonts w:ascii="Times New Roman" w:hAnsi="Times New Roman"/>
          <w:bCs w:val="0"/>
          <w:color w:val="auto"/>
          <w:sz w:val="28"/>
          <w:szCs w:val="28"/>
        </w:rPr>
        <w:t>，X</w:t>
      </w:r>
      <w:r>
        <w:rPr>
          <w:rFonts w:ascii="Times New Roman" w:hAnsi="Times New Roman"/>
          <w:bCs w:val="0"/>
          <w:color w:val="auto"/>
          <w:sz w:val="28"/>
          <w:szCs w:val="28"/>
          <w:vertAlign w:val="subscript"/>
        </w:rPr>
        <w:t>6</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2</w:t>
      </w:r>
      <w:r>
        <w:rPr>
          <w:rFonts w:ascii="Times New Roman" w:hAnsi="Times New Roman"/>
          <w:bCs w:val="0"/>
          <w:color w:val="auto"/>
          <w:sz w:val="28"/>
          <w:szCs w:val="28"/>
        </w:rPr>
        <w:t>，X</w:t>
      </w:r>
      <w:r>
        <w:rPr>
          <w:rFonts w:ascii="Times New Roman" w:hAnsi="Times New Roman"/>
          <w:bCs w:val="0"/>
          <w:color w:val="auto"/>
          <w:sz w:val="28"/>
          <w:szCs w:val="28"/>
          <w:vertAlign w:val="subscript"/>
        </w:rPr>
        <w:t>7</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2</w:t>
      </w:r>
      <w:r>
        <w:rPr>
          <w:rFonts w:ascii="Times New Roman" w:hAnsi="Times New Roman"/>
          <w:bCs w:val="0"/>
          <w:color w:val="auto"/>
          <w:sz w:val="28"/>
          <w:szCs w:val="28"/>
        </w:rPr>
        <w:t>，X</w:t>
      </w:r>
      <w:r>
        <w:rPr>
          <w:rFonts w:ascii="Times New Roman" w:hAnsi="Times New Roman"/>
          <w:bCs w:val="0"/>
          <w:color w:val="auto"/>
          <w:sz w:val="28"/>
          <w:szCs w:val="28"/>
          <w:vertAlign w:val="subscript"/>
        </w:rPr>
        <w:t>8</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w:t>
      </w:r>
    </w:p>
    <w:p w14:paraId="30D8BB2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rPr>
      </w:pPr>
      <w:r>
        <w:rPr>
          <w:rFonts w:ascii="Times New Roman" w:hAnsi="Times New Roman"/>
          <w:bCs w:val="0"/>
          <w:color w:val="auto"/>
          <w:sz w:val="28"/>
          <w:szCs w:val="28"/>
        </w:rPr>
        <w:t>｛X</w:t>
      </w:r>
      <w:r>
        <w:rPr>
          <w:rFonts w:ascii="Times New Roman" w:hAnsi="Times New Roman"/>
          <w:bCs w:val="0"/>
          <w:color w:val="auto"/>
          <w:sz w:val="28"/>
          <w:szCs w:val="28"/>
          <w:vertAlign w:val="subscript"/>
        </w:rPr>
        <w:t>3</w:t>
      </w:r>
      <w:r>
        <w:rPr>
          <w:rFonts w:ascii="Times New Roman" w:hAnsi="Times New Roman"/>
          <w:bCs w:val="0"/>
          <w:color w:val="auto"/>
          <w:sz w:val="28"/>
          <w:szCs w:val="28"/>
        </w:rPr>
        <w:t>，X</w:t>
      </w:r>
      <w:r>
        <w:rPr>
          <w:rFonts w:ascii="Times New Roman" w:hAnsi="Times New Roman"/>
          <w:bCs w:val="0"/>
          <w:color w:val="auto"/>
          <w:sz w:val="28"/>
          <w:szCs w:val="28"/>
          <w:vertAlign w:val="subscript"/>
        </w:rPr>
        <w:t>5</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3</w:t>
      </w:r>
      <w:r>
        <w:rPr>
          <w:rFonts w:ascii="Times New Roman" w:hAnsi="Times New Roman"/>
          <w:bCs w:val="0"/>
          <w:color w:val="auto"/>
          <w:sz w:val="28"/>
          <w:szCs w:val="28"/>
        </w:rPr>
        <w:t>，X</w:t>
      </w:r>
      <w:r>
        <w:rPr>
          <w:rFonts w:ascii="Times New Roman" w:hAnsi="Times New Roman"/>
          <w:bCs w:val="0"/>
          <w:color w:val="auto"/>
          <w:sz w:val="28"/>
          <w:szCs w:val="28"/>
          <w:vertAlign w:val="subscript"/>
        </w:rPr>
        <w:t>6</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3</w:t>
      </w:r>
      <w:r>
        <w:rPr>
          <w:rFonts w:ascii="Times New Roman" w:hAnsi="Times New Roman"/>
          <w:bCs w:val="0"/>
          <w:color w:val="auto"/>
          <w:sz w:val="28"/>
          <w:szCs w:val="28"/>
        </w:rPr>
        <w:t>，X</w:t>
      </w:r>
      <w:r>
        <w:rPr>
          <w:rFonts w:ascii="Times New Roman" w:hAnsi="Times New Roman"/>
          <w:bCs w:val="0"/>
          <w:color w:val="auto"/>
          <w:sz w:val="28"/>
          <w:szCs w:val="28"/>
          <w:vertAlign w:val="subscript"/>
        </w:rPr>
        <w:t>7</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3</w:t>
      </w:r>
      <w:r>
        <w:rPr>
          <w:rFonts w:ascii="Times New Roman" w:hAnsi="Times New Roman"/>
          <w:bCs w:val="0"/>
          <w:color w:val="auto"/>
          <w:sz w:val="28"/>
          <w:szCs w:val="28"/>
        </w:rPr>
        <w:t>，X</w:t>
      </w:r>
      <w:r>
        <w:rPr>
          <w:rFonts w:ascii="Times New Roman" w:hAnsi="Times New Roman"/>
          <w:bCs w:val="0"/>
          <w:color w:val="auto"/>
          <w:sz w:val="28"/>
          <w:szCs w:val="28"/>
          <w:vertAlign w:val="subscript"/>
        </w:rPr>
        <w:t>8</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w:t>
      </w:r>
    </w:p>
    <w:p w14:paraId="0DD378D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rPr>
      </w:pPr>
      <w:r>
        <w:rPr>
          <w:rFonts w:ascii="Times New Roman" w:hAnsi="Times New Roman"/>
          <w:bCs w:val="0"/>
          <w:color w:val="auto"/>
          <w:sz w:val="28"/>
          <w:szCs w:val="28"/>
        </w:rPr>
        <w:t>｛X</w:t>
      </w:r>
      <w:r>
        <w:rPr>
          <w:rFonts w:ascii="Times New Roman" w:hAnsi="Times New Roman"/>
          <w:bCs w:val="0"/>
          <w:color w:val="auto"/>
          <w:sz w:val="28"/>
          <w:szCs w:val="28"/>
          <w:vertAlign w:val="subscript"/>
        </w:rPr>
        <w:t>4</w:t>
      </w:r>
      <w:r>
        <w:rPr>
          <w:rFonts w:ascii="Times New Roman" w:hAnsi="Times New Roman"/>
          <w:bCs w:val="0"/>
          <w:color w:val="auto"/>
          <w:sz w:val="28"/>
          <w:szCs w:val="28"/>
        </w:rPr>
        <w:t>，X</w:t>
      </w:r>
      <w:r>
        <w:rPr>
          <w:rFonts w:ascii="Times New Roman" w:hAnsi="Times New Roman"/>
          <w:bCs w:val="0"/>
          <w:color w:val="auto"/>
          <w:sz w:val="28"/>
          <w:szCs w:val="28"/>
          <w:vertAlign w:val="subscript"/>
        </w:rPr>
        <w:t>5</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4</w:t>
      </w:r>
      <w:r>
        <w:rPr>
          <w:rFonts w:ascii="Times New Roman" w:hAnsi="Times New Roman"/>
          <w:bCs w:val="0"/>
          <w:color w:val="auto"/>
          <w:sz w:val="28"/>
          <w:szCs w:val="28"/>
        </w:rPr>
        <w:t>，X</w:t>
      </w:r>
      <w:r>
        <w:rPr>
          <w:rFonts w:ascii="Times New Roman" w:hAnsi="Times New Roman"/>
          <w:bCs w:val="0"/>
          <w:color w:val="auto"/>
          <w:sz w:val="28"/>
          <w:szCs w:val="28"/>
          <w:vertAlign w:val="subscript"/>
        </w:rPr>
        <w:t>6</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4</w:t>
      </w:r>
      <w:r>
        <w:rPr>
          <w:rFonts w:ascii="Times New Roman" w:hAnsi="Times New Roman"/>
          <w:bCs w:val="0"/>
          <w:color w:val="auto"/>
          <w:sz w:val="28"/>
          <w:szCs w:val="28"/>
        </w:rPr>
        <w:t>，X</w:t>
      </w:r>
      <w:r>
        <w:rPr>
          <w:rFonts w:ascii="Times New Roman" w:hAnsi="Times New Roman"/>
          <w:bCs w:val="0"/>
          <w:color w:val="auto"/>
          <w:sz w:val="28"/>
          <w:szCs w:val="28"/>
          <w:vertAlign w:val="subscript"/>
        </w:rPr>
        <w:t>7</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｝，｛X</w:t>
      </w:r>
      <w:r>
        <w:rPr>
          <w:rFonts w:ascii="Times New Roman" w:hAnsi="Times New Roman"/>
          <w:bCs w:val="0"/>
          <w:color w:val="auto"/>
          <w:sz w:val="28"/>
          <w:szCs w:val="28"/>
          <w:vertAlign w:val="subscript"/>
        </w:rPr>
        <w:t>4</w:t>
      </w:r>
      <w:r>
        <w:rPr>
          <w:rFonts w:ascii="Times New Roman" w:hAnsi="Times New Roman"/>
          <w:bCs w:val="0"/>
          <w:color w:val="auto"/>
          <w:sz w:val="28"/>
          <w:szCs w:val="28"/>
        </w:rPr>
        <w:t>，X</w:t>
      </w:r>
      <w:r>
        <w:rPr>
          <w:rFonts w:ascii="Times New Roman" w:hAnsi="Times New Roman"/>
          <w:bCs w:val="0"/>
          <w:color w:val="auto"/>
          <w:sz w:val="28"/>
          <w:szCs w:val="28"/>
          <w:vertAlign w:val="subscript"/>
        </w:rPr>
        <w:t>8</w:t>
      </w:r>
      <w:r>
        <w:rPr>
          <w:rFonts w:ascii="Times New Roman" w:hAnsi="Times New Roman"/>
          <w:bCs w:val="0"/>
          <w:color w:val="auto"/>
          <w:sz w:val="28"/>
          <w:szCs w:val="28"/>
        </w:rPr>
        <w:t>，X</w:t>
      </w:r>
      <w:r>
        <w:rPr>
          <w:rFonts w:ascii="Times New Roman" w:hAnsi="Times New Roman"/>
          <w:bCs w:val="0"/>
          <w:color w:val="auto"/>
          <w:sz w:val="28"/>
          <w:szCs w:val="28"/>
          <w:vertAlign w:val="subscript"/>
        </w:rPr>
        <w:t>9</w:t>
      </w:r>
      <w:r>
        <w:rPr>
          <w:rFonts w:ascii="Times New Roman" w:hAnsi="Times New Roman"/>
          <w:bCs w:val="0"/>
          <w:color w:val="auto"/>
          <w:sz w:val="28"/>
          <w:szCs w:val="28"/>
        </w:rPr>
        <w:t>，X</w:t>
      </w:r>
      <w:r>
        <w:rPr>
          <w:rFonts w:ascii="Times New Roman" w:hAnsi="Times New Roman"/>
          <w:bCs w:val="0"/>
          <w:color w:val="auto"/>
          <w:sz w:val="28"/>
          <w:szCs w:val="28"/>
          <w:vertAlign w:val="subscript"/>
        </w:rPr>
        <w:t>10</w:t>
      </w:r>
      <w:r>
        <w:rPr>
          <w:rFonts w:ascii="Times New Roman" w:hAnsi="Times New Roman"/>
          <w:bCs w:val="0"/>
          <w:color w:val="auto"/>
          <w:sz w:val="28"/>
          <w:szCs w:val="28"/>
        </w:rPr>
        <w:t>｝</w:t>
      </w:r>
    </w:p>
    <w:p w14:paraId="480446E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bCs w:val="0"/>
          <w:color w:val="auto"/>
          <w:sz w:val="28"/>
          <w:szCs w:val="28"/>
        </w:rPr>
      </w:pPr>
      <w:r>
        <w:rPr>
          <w:rFonts w:ascii="Times New Roman" w:hAnsi="Times New Roman"/>
          <w:bCs w:val="0"/>
          <w:color w:val="auto"/>
          <w:sz w:val="28"/>
          <w:szCs w:val="28"/>
        </w:rPr>
        <w:t>从最小割、最小径集判断得知各基本事件在故障树的结构中所占有地重要程度排列如下：</w:t>
      </w:r>
    </w:p>
    <w:p w14:paraId="3284270F">
      <w:pPr>
        <w:spacing w:line="360" w:lineRule="auto"/>
        <w:ind w:left="0" w:leftChars="0" w:firstLine="0" w:firstLineChars="0"/>
        <w:jc w:val="center"/>
        <w:rPr>
          <w:rFonts w:ascii="Times New Roman" w:hAnsi="Times New Roman"/>
          <w:color w:val="auto"/>
          <w:sz w:val="28"/>
          <w:szCs w:val="28"/>
        </w:rPr>
      </w:pPr>
      <w:r>
        <w:rPr>
          <w:rFonts w:ascii="Times New Roman" w:hAnsi="Times New Roman"/>
          <w:color w:val="auto"/>
          <w:position w:val="-134"/>
          <w:sz w:val="28"/>
          <w:szCs w:val="28"/>
        </w:rPr>
        <w:object>
          <v:shape id="_x0000_i1027" o:spt="75" type="#_x0000_t75" style="height:163.7pt;width:155.05pt;" o:ole="t" filled="f" o:preferrelative="t" stroked="f" coordsize="21600,21600">
            <v:path/>
            <v:fill on="f" focussize="0,0"/>
            <v:stroke on="f"/>
            <v:imagedata r:id="rId24" o:title=""/>
            <o:lock v:ext="edit" aspectratio="t"/>
            <w10:wrap type="none"/>
            <w10:anchorlock/>
          </v:shape>
          <o:OLEObject Type="Embed" ProgID="Equation.3" ShapeID="_x0000_i1027" DrawAspect="Content" ObjectID="_1468075726" r:id="rId23">
            <o:LockedField>false</o:LockedField>
          </o:OLEObject>
        </w:object>
      </w:r>
    </w:p>
    <w:p w14:paraId="7BC9BF26">
      <w:pPr>
        <w:bidi w:val="0"/>
        <w:rPr>
          <w:rFonts w:ascii="Times New Roman" w:hAnsi="Times New Roman"/>
          <w:color w:val="auto"/>
        </w:rPr>
      </w:pPr>
      <w:r>
        <w:rPr>
          <w:rFonts w:ascii="Times New Roman" w:hAnsi="Times New Roman"/>
          <w:color w:val="auto"/>
        </w:rPr>
        <w:t>根据上述分析，首先要尽量避免出现高陡边坡开采，其次要教育提醒职工注意滚石发生并采取有效防护措施，再依次解决排除松动危岩滚落隐患，减少工作面产生危岩的开采工艺，可使该事故的发生概率降低到最低程度。</w:t>
      </w:r>
    </w:p>
    <w:p w14:paraId="771112BA">
      <w:pPr>
        <w:bidi w:val="0"/>
        <w:rPr>
          <w:rFonts w:ascii="Times New Roman" w:hAnsi="Times New Roman"/>
          <w:color w:val="auto"/>
        </w:rPr>
      </w:pPr>
      <w:r>
        <w:rPr>
          <w:rFonts w:ascii="Times New Roman" w:hAnsi="Times New Roman"/>
          <w:color w:val="auto"/>
        </w:rPr>
        <w:t>二、可能导致本项目采场作业滚石伤人的影响因素</w:t>
      </w:r>
    </w:p>
    <w:p w14:paraId="34E628BE">
      <w:pPr>
        <w:bidi w:val="0"/>
        <w:rPr>
          <w:rFonts w:ascii="Times New Roman" w:hAnsi="Times New Roman"/>
          <w:color w:val="auto"/>
        </w:rPr>
      </w:pPr>
      <w:r>
        <w:rPr>
          <w:rFonts w:ascii="Times New Roman" w:hAnsi="Times New Roman"/>
          <w:color w:val="auto"/>
        </w:rPr>
        <w:t>1</w:t>
      </w:r>
      <w:r>
        <w:rPr>
          <w:rFonts w:hint="eastAsia" w:ascii="Times New Roman" w:hAnsi="Times New Roman"/>
          <w:color w:val="auto"/>
          <w:lang w:eastAsia="zh-CN"/>
        </w:rPr>
        <w:t>）</w:t>
      </w:r>
      <w:r>
        <w:rPr>
          <w:rFonts w:ascii="Times New Roman" w:hAnsi="Times New Roman"/>
          <w:color w:val="auto"/>
        </w:rPr>
        <w:t>边坡管理方面：</w:t>
      </w:r>
    </w:p>
    <w:p w14:paraId="3768A7B9">
      <w:pPr>
        <w:bidi w:val="0"/>
        <w:rPr>
          <w:rFonts w:ascii="Times New Roman" w:hAnsi="Times New Roman"/>
          <w:color w:val="auto"/>
        </w:rPr>
      </w:pPr>
      <w:r>
        <w:rPr>
          <w:rFonts w:ascii="Times New Roman" w:hAnsi="Times New Roman"/>
          <w:color w:val="auto"/>
        </w:rPr>
        <w:t>现场安全管理人员未督促作业人员对边坡危石、孤石进行清理或清理不干净；作业人员未经过安全培训；作业范围没有设置明显安全警示标志，人、畜进入，作业人员未穿戴防护用品，如未戴安全帽等。</w:t>
      </w:r>
    </w:p>
    <w:p w14:paraId="763EA5A5">
      <w:pPr>
        <w:bidi w:val="0"/>
        <w:rPr>
          <w:rFonts w:ascii="Times New Roman" w:hAnsi="Times New Roman"/>
          <w:color w:val="auto"/>
        </w:rPr>
      </w:pPr>
      <w:r>
        <w:rPr>
          <w:rFonts w:ascii="Times New Roman" w:hAnsi="Times New Roman"/>
          <w:color w:val="auto"/>
        </w:rPr>
        <w:t>2</w:t>
      </w:r>
      <w:r>
        <w:rPr>
          <w:rFonts w:hint="eastAsia" w:ascii="Times New Roman" w:hAnsi="Times New Roman"/>
          <w:color w:val="auto"/>
          <w:lang w:eastAsia="zh-CN"/>
        </w:rPr>
        <w:t>）</w:t>
      </w:r>
      <w:r>
        <w:rPr>
          <w:rFonts w:ascii="Times New Roman" w:hAnsi="Times New Roman"/>
          <w:color w:val="auto"/>
        </w:rPr>
        <w:t>采掘作业方面：</w:t>
      </w:r>
    </w:p>
    <w:p w14:paraId="326FAE84">
      <w:pPr>
        <w:bidi w:val="0"/>
        <w:rPr>
          <w:rFonts w:ascii="Times New Roman" w:hAnsi="Times New Roman"/>
          <w:color w:val="auto"/>
        </w:rPr>
      </w:pPr>
      <w:r>
        <w:rPr>
          <w:rFonts w:ascii="Times New Roman" w:hAnsi="Times New Roman"/>
          <w:color w:val="auto"/>
        </w:rPr>
        <w:t>生产作业前未对工作帮边坡上的单个危石、伞檐体进行处理，或者处理不彻底，处理顺序不当及处理过程中下方有闲散人员可能会导致边坡滚石伤人。</w:t>
      </w:r>
    </w:p>
    <w:p w14:paraId="6FD470B2">
      <w:pPr>
        <w:bidi w:val="0"/>
        <w:rPr>
          <w:rFonts w:ascii="Times New Roman" w:hAnsi="Times New Roman"/>
          <w:color w:val="auto"/>
        </w:rPr>
      </w:pPr>
      <w:r>
        <w:rPr>
          <w:rFonts w:ascii="Times New Roman" w:hAnsi="Times New Roman"/>
          <w:color w:val="auto"/>
        </w:rPr>
        <w:t>3</w:t>
      </w:r>
      <w:r>
        <w:rPr>
          <w:rFonts w:hint="eastAsia" w:ascii="Times New Roman" w:hAnsi="Times New Roman"/>
          <w:color w:val="auto"/>
          <w:lang w:eastAsia="zh-CN"/>
        </w:rPr>
        <w:t>）</w:t>
      </w:r>
      <w:r>
        <w:rPr>
          <w:rFonts w:ascii="Times New Roman" w:hAnsi="Times New Roman"/>
          <w:color w:val="auto"/>
        </w:rPr>
        <w:t>爆破作业方面：</w:t>
      </w:r>
    </w:p>
    <w:p w14:paraId="552A7E56">
      <w:pPr>
        <w:bidi w:val="0"/>
        <w:rPr>
          <w:rFonts w:ascii="Times New Roman" w:hAnsi="Times New Roman"/>
          <w:color w:val="auto"/>
        </w:rPr>
      </w:pPr>
      <w:r>
        <w:rPr>
          <w:rFonts w:ascii="Times New Roman" w:hAnsi="Times New Roman"/>
          <w:color w:val="auto"/>
        </w:rPr>
        <w:t>爆破作业完成后，若不对边坡上的孤石、浮石进行清理，有可能导致滚石伤人事故；爆破参数选择不合理，易形成掏采、欠挖，工作帮边坡容易形成孤石、危石，伞檐体，不及时清除，会造成滚石伤人。</w:t>
      </w:r>
    </w:p>
    <w:p w14:paraId="0BEBF0F4">
      <w:pPr>
        <w:pStyle w:val="5"/>
        <w:bidi w:val="0"/>
        <w:rPr>
          <w:rFonts w:ascii="Times New Roman" w:hAnsi="Times New Roman"/>
          <w:color w:val="auto"/>
        </w:rPr>
      </w:pPr>
      <w:r>
        <w:rPr>
          <w:rFonts w:ascii="Times New Roman" w:hAnsi="Times New Roman"/>
          <w:color w:val="auto"/>
        </w:rPr>
        <w:t>3.3.2.4</w:t>
      </w:r>
      <w:r>
        <w:rPr>
          <w:rFonts w:hint="eastAsia" w:ascii="Times New Roman" w:hAnsi="Times New Roman"/>
          <w:color w:val="auto"/>
          <w:lang w:val="en-US" w:eastAsia="zh-CN"/>
        </w:rPr>
        <w:t xml:space="preserve"> </w:t>
      </w:r>
      <w:r>
        <w:rPr>
          <w:rFonts w:ascii="Times New Roman" w:hAnsi="Times New Roman"/>
          <w:color w:val="auto"/>
          <w:lang w:val="en-GB"/>
        </w:rPr>
        <w:t>边坡高处坠落事故树分析</w:t>
      </w:r>
    </w:p>
    <w:p w14:paraId="5C7009A5">
      <w:pPr>
        <w:bidi w:val="0"/>
        <w:rPr>
          <w:rFonts w:ascii="Times New Roman" w:hAnsi="Times New Roman"/>
          <w:color w:val="auto"/>
          <w:lang w:val="zh-CN"/>
        </w:rPr>
      </w:pPr>
      <w:r>
        <w:rPr>
          <w:rFonts w:ascii="Times New Roman" w:hAnsi="Times New Roman"/>
          <w:color w:val="auto"/>
          <w:lang w:val="zh-CN"/>
        </w:rPr>
        <w:t>在露天边坡上进行浮石清理、装药、联线等作业，因作业条件差，安全防护措施不可靠等，极易发生人员高处坠落事故。</w:t>
      </w:r>
    </w:p>
    <w:p w14:paraId="04BEA96C">
      <w:pPr>
        <w:spacing w:line="360" w:lineRule="auto"/>
        <w:ind w:left="0" w:leftChars="0" w:firstLine="0" w:firstLineChars="0"/>
        <w:jc w:val="center"/>
        <w:rPr>
          <w:rFonts w:hint="default" w:ascii="Times New Roman" w:hAnsi="Times New Roman" w:eastAsia="宋体"/>
          <w:color w:val="auto"/>
          <w:sz w:val="28"/>
          <w:szCs w:val="28"/>
          <w:lang w:val="en-US" w:eastAsia="zh-CN"/>
        </w:rPr>
      </w:pPr>
      <w:r>
        <w:rPr>
          <w:rFonts w:hint="eastAsia"/>
          <w:color w:val="auto"/>
          <w:sz w:val="28"/>
          <w:szCs w:val="28"/>
          <w:lang w:val="en-US" w:eastAsia="zh-CN"/>
        </w:rPr>
        <w:t>***********</w:t>
      </w:r>
    </w:p>
    <w:p w14:paraId="01A5FE74">
      <w:pPr>
        <w:pStyle w:val="16"/>
        <w:bidi w:val="0"/>
        <w:rPr>
          <w:rFonts w:ascii="Times New Roman" w:hAnsi="Times New Roman"/>
          <w:color w:val="auto"/>
          <w:szCs w:val="21"/>
          <w:lang w:val="zh-CN"/>
        </w:rPr>
      </w:pPr>
      <w:r>
        <w:rPr>
          <w:rFonts w:ascii="Times New Roman" w:hAnsi="Times New Roman"/>
          <w:color w:val="auto"/>
          <w:szCs w:val="21"/>
          <w:lang w:val="en-GB"/>
        </w:rPr>
        <w:t>图3.3</w:t>
      </w:r>
      <w:r>
        <w:rPr>
          <w:rFonts w:ascii="Times New Roman" w:hAnsi="Times New Roman"/>
          <w:color w:val="auto"/>
          <w:szCs w:val="21"/>
        </w:rPr>
        <w:t>-</w:t>
      </w:r>
      <w:r>
        <w:rPr>
          <w:rFonts w:hint="eastAsia" w:ascii="Times New Roman" w:hAnsi="Times New Roman"/>
          <w:color w:val="auto"/>
          <w:szCs w:val="21"/>
          <w:lang w:val="en-US" w:eastAsia="zh-CN"/>
        </w:rPr>
        <w:t>7</w:t>
      </w:r>
      <w:r>
        <w:rPr>
          <w:rFonts w:ascii="Times New Roman" w:hAnsi="Times New Roman"/>
          <w:color w:val="auto"/>
          <w:szCs w:val="21"/>
        </w:rPr>
        <w:t xml:space="preserve"> </w:t>
      </w:r>
      <w:r>
        <w:rPr>
          <w:rFonts w:ascii="Times New Roman" w:hAnsi="Times New Roman"/>
          <w:color w:val="auto"/>
          <w:szCs w:val="21"/>
          <w:lang w:val="en-GB"/>
        </w:rPr>
        <w:t xml:space="preserve"> 采场边坡高处坠落死亡</w:t>
      </w:r>
      <w:r>
        <w:rPr>
          <w:rFonts w:hint="eastAsia" w:ascii="Times New Roman" w:hAnsi="Times New Roman"/>
          <w:color w:val="auto"/>
          <w:szCs w:val="21"/>
          <w:lang w:val="en-GB" w:eastAsia="zh-CN"/>
        </w:rPr>
        <w:t>（</w:t>
      </w:r>
      <w:r>
        <w:rPr>
          <w:rFonts w:ascii="Times New Roman" w:hAnsi="Times New Roman"/>
          <w:color w:val="auto"/>
          <w:szCs w:val="21"/>
          <w:lang w:val="en-GB"/>
        </w:rPr>
        <w:t>重伤</w:t>
      </w:r>
      <w:r>
        <w:rPr>
          <w:rFonts w:hint="eastAsia" w:ascii="Times New Roman" w:hAnsi="Times New Roman"/>
          <w:color w:val="auto"/>
          <w:szCs w:val="21"/>
          <w:lang w:val="en-GB" w:eastAsia="zh-CN"/>
        </w:rPr>
        <w:t>）</w:t>
      </w:r>
      <w:r>
        <w:rPr>
          <w:rFonts w:ascii="Times New Roman" w:hAnsi="Times New Roman"/>
          <w:color w:val="auto"/>
          <w:szCs w:val="21"/>
          <w:lang w:val="en-GB"/>
        </w:rPr>
        <w:t>事故树</w:t>
      </w:r>
    </w:p>
    <w:p w14:paraId="722C3B01">
      <w:pPr>
        <w:bidi w:val="0"/>
        <w:rPr>
          <w:rFonts w:ascii="Times New Roman" w:hAnsi="Times New Roman"/>
          <w:color w:val="auto"/>
          <w:lang w:val="zh-CN"/>
        </w:rPr>
      </w:pPr>
      <w:r>
        <w:rPr>
          <w:rFonts w:ascii="Times New Roman" w:hAnsi="Times New Roman"/>
          <w:color w:val="auto"/>
        </w:rPr>
        <w:t>一、</w:t>
      </w:r>
      <w:r>
        <w:rPr>
          <w:rFonts w:ascii="Times New Roman" w:hAnsi="Times New Roman"/>
          <w:color w:val="auto"/>
          <w:lang w:val="zh-CN"/>
        </w:rPr>
        <w:t>露天采场边坡高处坠落死亡（重伤）事故树</w:t>
      </w:r>
    </w:p>
    <w:p w14:paraId="7A9A8FE3">
      <w:pPr>
        <w:bidi w:val="0"/>
        <w:rPr>
          <w:rFonts w:ascii="Times New Roman" w:hAnsi="Times New Roman"/>
          <w:color w:val="auto"/>
          <w:lang w:val="zh-CN"/>
        </w:rPr>
      </w:pPr>
      <w:r>
        <w:rPr>
          <w:rFonts w:ascii="Times New Roman" w:hAnsi="Times New Roman"/>
          <w:color w:val="auto"/>
          <w:lang w:val="zh-CN"/>
        </w:rPr>
        <w:t>针对露天采场边坡人员高处坠落死亡</w:t>
      </w:r>
      <w:r>
        <w:rPr>
          <w:rFonts w:hint="eastAsia" w:ascii="Times New Roman" w:hAnsi="Times New Roman"/>
          <w:color w:val="auto"/>
          <w:lang w:val="zh-CN"/>
        </w:rPr>
        <w:t>（</w:t>
      </w:r>
      <w:r>
        <w:rPr>
          <w:rFonts w:ascii="Times New Roman" w:hAnsi="Times New Roman"/>
          <w:color w:val="auto"/>
          <w:lang w:val="zh-CN"/>
        </w:rPr>
        <w:t>重伤</w:t>
      </w:r>
      <w:r>
        <w:rPr>
          <w:rFonts w:hint="eastAsia" w:ascii="Times New Roman" w:hAnsi="Times New Roman"/>
          <w:color w:val="auto"/>
          <w:lang w:val="zh-CN"/>
        </w:rPr>
        <w:t>）</w:t>
      </w:r>
      <w:r>
        <w:rPr>
          <w:rFonts w:ascii="Times New Roman" w:hAnsi="Times New Roman"/>
          <w:color w:val="auto"/>
          <w:lang w:val="zh-CN"/>
        </w:rPr>
        <w:t>事故，采用事故树分析方法进行研究，探索相应的措施，尽量避免该类事故发生。</w:t>
      </w:r>
    </w:p>
    <w:p w14:paraId="3414AD42">
      <w:pPr>
        <w:bidi w:val="0"/>
        <w:rPr>
          <w:rFonts w:ascii="Times New Roman" w:hAnsi="Times New Roman"/>
          <w:color w:val="auto"/>
          <w:lang w:val="zh-CN"/>
        </w:rPr>
      </w:pPr>
      <w:r>
        <w:rPr>
          <w:rFonts w:ascii="Times New Roman" w:hAnsi="Times New Roman"/>
          <w:color w:val="auto"/>
          <w:lang w:val="zh-CN"/>
        </w:rPr>
        <w:t>据事故树图3.3-</w:t>
      </w:r>
      <w:r>
        <w:rPr>
          <w:rFonts w:hint="eastAsia" w:ascii="Times New Roman" w:hAnsi="Times New Roman"/>
          <w:color w:val="auto"/>
          <w:lang w:val="en-US" w:eastAsia="zh-CN"/>
        </w:rPr>
        <w:t>7</w:t>
      </w:r>
      <w:r>
        <w:rPr>
          <w:rFonts w:ascii="Times New Roman" w:hAnsi="Times New Roman"/>
          <w:color w:val="auto"/>
          <w:lang w:val="zh-CN"/>
        </w:rPr>
        <w:t>，列出其逻辑代数式：</w:t>
      </w:r>
    </w:p>
    <w:p w14:paraId="117AA059">
      <w:pPr>
        <w:bidi w:val="0"/>
        <w:rPr>
          <w:rFonts w:ascii="Times New Roman" w:hAnsi="Times New Roman"/>
          <w:color w:val="auto"/>
          <w:lang w:val="zh-CN"/>
        </w:rPr>
      </w:pPr>
      <w:r>
        <w:rPr>
          <w:rFonts w:ascii="Times New Roman" w:hAnsi="Times New Roman"/>
          <w:color w:val="auto"/>
          <w:szCs w:val="28"/>
          <w:lang w:val="zh-CN"/>
        </w:rPr>
        <w:object>
          <v:shape id="_x0000_i1028" o:spt="75" type="#_x0000_t75" style="height:92.3pt;width:263.25pt;" o:ole="t" filled="f" o:preferrelative="t" stroked="f" coordsize="21600,21600">
            <v:path/>
            <v:fill on="f" focussize="0,0"/>
            <v:stroke on="f"/>
            <v:imagedata r:id="rId26" o:title=""/>
            <o:lock v:ext="edit" aspectratio="t"/>
            <w10:wrap type="none"/>
            <w10:anchorlock/>
          </v:shape>
          <o:OLEObject Type="Embed" ProgID="Equation.3" ShapeID="_x0000_i1028" DrawAspect="Content" ObjectID="_1468075727" r:id="rId25">
            <o:LockedField>false</o:LockedField>
          </o:OLEObject>
        </w:object>
      </w:r>
    </w:p>
    <w:p w14:paraId="034F6940">
      <w:pPr>
        <w:bidi w:val="0"/>
        <w:rPr>
          <w:rFonts w:ascii="Times New Roman" w:hAnsi="Times New Roman"/>
          <w:color w:val="auto"/>
          <w:lang w:val="zh-CN"/>
        </w:rPr>
      </w:pPr>
      <w:r>
        <w:rPr>
          <w:rFonts w:ascii="Times New Roman" w:hAnsi="Times New Roman"/>
          <w:color w:val="auto"/>
          <w:lang w:val="zh-CN"/>
        </w:rPr>
        <w:t>求得最小径集有四个：</w:t>
      </w:r>
    </w:p>
    <w:p w14:paraId="6FD8DE19">
      <w:pPr>
        <w:bidi w:val="0"/>
        <w:rPr>
          <w:rFonts w:ascii="Times New Roman" w:hAnsi="Times New Roman"/>
          <w:color w:val="auto"/>
          <w:lang w:val="zh-CN"/>
        </w:rPr>
      </w:pPr>
      <w:r>
        <w:rPr>
          <w:rFonts w:ascii="Times New Roman" w:hAnsi="Times New Roman"/>
          <w:color w:val="auto"/>
          <w:lang w:val="zh-CN"/>
        </w:rPr>
        <w:t>｛X</w:t>
      </w:r>
      <w:r>
        <w:rPr>
          <w:rFonts w:ascii="Times New Roman" w:hAnsi="Times New Roman"/>
          <w:color w:val="auto"/>
          <w:vertAlign w:val="subscript"/>
          <w:lang w:val="zh-CN"/>
        </w:rPr>
        <w:t>1</w:t>
      </w:r>
      <w:r>
        <w:rPr>
          <w:rFonts w:ascii="Times New Roman" w:hAnsi="Times New Roman"/>
          <w:color w:val="auto"/>
          <w:lang w:val="zh-CN"/>
        </w:rPr>
        <w:t>，X</w:t>
      </w:r>
      <w:r>
        <w:rPr>
          <w:rFonts w:ascii="Times New Roman" w:hAnsi="Times New Roman" w:eastAsia="宋体"/>
          <w:color w:val="auto"/>
          <w:vertAlign w:val="subscript"/>
          <w:lang w:val="zh-CN"/>
        </w:rPr>
        <w:t>2</w:t>
      </w:r>
      <w:r>
        <w:rPr>
          <w:rFonts w:ascii="Times New Roman" w:hAnsi="Times New Roman"/>
          <w:color w:val="auto"/>
          <w:lang w:val="zh-CN"/>
        </w:rPr>
        <w:t>，X</w:t>
      </w:r>
      <w:r>
        <w:rPr>
          <w:rFonts w:ascii="Times New Roman" w:hAnsi="Times New Roman" w:eastAsia="宋体"/>
          <w:color w:val="auto"/>
          <w:vertAlign w:val="subscript"/>
          <w:lang w:val="zh-CN"/>
        </w:rPr>
        <w:t>3</w:t>
      </w:r>
      <w:r>
        <w:rPr>
          <w:rFonts w:ascii="Times New Roman" w:hAnsi="Times New Roman"/>
          <w:color w:val="auto"/>
          <w:lang w:val="zh-CN"/>
        </w:rPr>
        <w:t>，X</w:t>
      </w:r>
      <w:r>
        <w:rPr>
          <w:rFonts w:ascii="Times New Roman" w:hAnsi="Times New Roman" w:eastAsia="宋体"/>
          <w:color w:val="auto"/>
          <w:vertAlign w:val="subscript"/>
          <w:lang w:val="zh-CN"/>
        </w:rPr>
        <w:t>4</w:t>
      </w:r>
      <w:r>
        <w:rPr>
          <w:rFonts w:ascii="Times New Roman" w:hAnsi="Times New Roman"/>
          <w:color w:val="auto"/>
          <w:lang w:val="zh-CN"/>
        </w:rPr>
        <w:t>｝，｛X</w:t>
      </w:r>
      <w:r>
        <w:rPr>
          <w:rFonts w:ascii="Times New Roman" w:hAnsi="Times New Roman" w:eastAsia="宋体"/>
          <w:color w:val="auto"/>
          <w:vertAlign w:val="subscript"/>
          <w:lang w:val="zh-CN"/>
        </w:rPr>
        <w:t>5</w:t>
      </w:r>
      <w:r>
        <w:rPr>
          <w:rFonts w:ascii="Times New Roman" w:hAnsi="Times New Roman"/>
          <w:color w:val="auto"/>
          <w:lang w:val="zh-CN"/>
        </w:rPr>
        <w:t>，X</w:t>
      </w:r>
      <w:r>
        <w:rPr>
          <w:rFonts w:ascii="Times New Roman" w:hAnsi="Times New Roman" w:eastAsia="宋体"/>
          <w:color w:val="auto"/>
          <w:vertAlign w:val="subscript"/>
          <w:lang w:val="zh-CN"/>
        </w:rPr>
        <w:t>6</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w:t>
      </w:r>
    </w:p>
    <w:p w14:paraId="239B39CD">
      <w:pPr>
        <w:bidi w:val="0"/>
        <w:rPr>
          <w:rFonts w:ascii="Times New Roman" w:hAnsi="Times New Roman"/>
          <w:color w:val="auto"/>
          <w:lang w:val="zh-CN"/>
        </w:rPr>
      </w:pPr>
      <w:r>
        <w:rPr>
          <w:rFonts w:ascii="Times New Roman" w:hAnsi="Times New Roman"/>
          <w:color w:val="auto"/>
          <w:lang w:val="zh-CN"/>
        </w:rPr>
        <w:t>展开逻辑代数式求得最小割集有八个：</w:t>
      </w:r>
    </w:p>
    <w:p w14:paraId="1320C38F">
      <w:pPr>
        <w:bidi w:val="0"/>
        <w:rPr>
          <w:rFonts w:ascii="Times New Roman" w:hAnsi="Times New Roman"/>
          <w:color w:val="auto"/>
          <w:lang w:val="zh-CN"/>
        </w:rPr>
      </w:pPr>
      <w:r>
        <w:rPr>
          <w:rFonts w:ascii="Times New Roman" w:hAnsi="Times New Roman"/>
          <w:color w:val="auto"/>
          <w:lang w:val="zh-CN"/>
        </w:rPr>
        <w:t>｛X</w:t>
      </w:r>
      <w:r>
        <w:rPr>
          <w:rFonts w:ascii="Times New Roman" w:hAnsi="Times New Roman" w:eastAsia="宋体"/>
          <w:color w:val="auto"/>
          <w:vertAlign w:val="subscript"/>
          <w:lang w:val="zh-CN"/>
        </w:rPr>
        <w:t>1</w:t>
      </w:r>
      <w:r>
        <w:rPr>
          <w:rFonts w:ascii="Times New Roman" w:hAnsi="Times New Roman"/>
          <w:color w:val="auto"/>
          <w:lang w:val="zh-CN"/>
        </w:rPr>
        <w:t>，X</w:t>
      </w:r>
      <w:r>
        <w:rPr>
          <w:rFonts w:ascii="Times New Roman" w:hAnsi="Times New Roman" w:eastAsia="宋体"/>
          <w:color w:val="auto"/>
          <w:vertAlign w:val="subscript"/>
          <w:lang w:val="zh-CN"/>
        </w:rPr>
        <w:t>5</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｝，｛X</w:t>
      </w:r>
      <w:r>
        <w:rPr>
          <w:rFonts w:ascii="Times New Roman" w:hAnsi="Times New Roman" w:eastAsia="宋体"/>
          <w:color w:val="auto"/>
          <w:vertAlign w:val="subscript"/>
          <w:lang w:val="zh-CN"/>
        </w:rPr>
        <w:t>1</w:t>
      </w:r>
      <w:r>
        <w:rPr>
          <w:rFonts w:ascii="Times New Roman" w:hAnsi="Times New Roman"/>
          <w:color w:val="auto"/>
          <w:lang w:val="zh-CN"/>
        </w:rPr>
        <w:t>，X</w:t>
      </w:r>
      <w:r>
        <w:rPr>
          <w:rFonts w:ascii="Times New Roman" w:hAnsi="Times New Roman" w:eastAsia="宋体"/>
          <w:color w:val="auto"/>
          <w:vertAlign w:val="subscript"/>
          <w:lang w:val="zh-CN"/>
        </w:rPr>
        <w:t>6</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｝，｛X</w:t>
      </w:r>
      <w:r>
        <w:rPr>
          <w:rFonts w:ascii="Times New Roman" w:hAnsi="Times New Roman" w:eastAsia="宋体"/>
          <w:color w:val="auto"/>
          <w:vertAlign w:val="subscript"/>
          <w:lang w:val="zh-CN"/>
        </w:rPr>
        <w:t>2</w:t>
      </w:r>
      <w:r>
        <w:rPr>
          <w:rFonts w:ascii="Times New Roman" w:hAnsi="Times New Roman"/>
          <w:color w:val="auto"/>
          <w:lang w:val="zh-CN"/>
        </w:rPr>
        <w:t>，X</w:t>
      </w:r>
      <w:r>
        <w:rPr>
          <w:rFonts w:ascii="Times New Roman" w:hAnsi="Times New Roman" w:eastAsia="宋体"/>
          <w:color w:val="auto"/>
          <w:vertAlign w:val="subscript"/>
          <w:lang w:val="zh-CN"/>
        </w:rPr>
        <w:t>5</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｝，｛X</w:t>
      </w:r>
      <w:r>
        <w:rPr>
          <w:rFonts w:ascii="Times New Roman" w:hAnsi="Times New Roman" w:eastAsia="宋体"/>
          <w:color w:val="auto"/>
          <w:vertAlign w:val="subscript"/>
          <w:lang w:val="zh-CN"/>
        </w:rPr>
        <w:t>2</w:t>
      </w:r>
      <w:r>
        <w:rPr>
          <w:rFonts w:ascii="Times New Roman" w:hAnsi="Times New Roman"/>
          <w:color w:val="auto"/>
          <w:lang w:val="zh-CN"/>
        </w:rPr>
        <w:t>，X</w:t>
      </w:r>
      <w:r>
        <w:rPr>
          <w:rFonts w:ascii="Times New Roman" w:hAnsi="Times New Roman" w:eastAsia="宋体"/>
          <w:color w:val="auto"/>
          <w:vertAlign w:val="subscript"/>
          <w:lang w:val="zh-CN"/>
        </w:rPr>
        <w:t>6</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｝，｛X</w:t>
      </w:r>
      <w:r>
        <w:rPr>
          <w:rFonts w:ascii="Times New Roman" w:hAnsi="Times New Roman" w:eastAsia="宋体"/>
          <w:color w:val="auto"/>
          <w:vertAlign w:val="subscript"/>
          <w:lang w:val="zh-CN"/>
        </w:rPr>
        <w:t>3</w:t>
      </w:r>
      <w:r>
        <w:rPr>
          <w:rFonts w:ascii="Times New Roman" w:hAnsi="Times New Roman"/>
          <w:color w:val="auto"/>
          <w:lang w:val="zh-CN"/>
        </w:rPr>
        <w:t>，X</w:t>
      </w:r>
      <w:r>
        <w:rPr>
          <w:rFonts w:ascii="Times New Roman" w:hAnsi="Times New Roman" w:eastAsia="宋体"/>
          <w:color w:val="auto"/>
          <w:vertAlign w:val="subscript"/>
          <w:lang w:val="zh-CN"/>
        </w:rPr>
        <w:t>5</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｝，｛X</w:t>
      </w:r>
      <w:r>
        <w:rPr>
          <w:rFonts w:ascii="Times New Roman" w:hAnsi="Times New Roman" w:eastAsia="宋体"/>
          <w:color w:val="auto"/>
          <w:vertAlign w:val="subscript"/>
          <w:lang w:val="zh-CN"/>
        </w:rPr>
        <w:t>3</w:t>
      </w:r>
      <w:r>
        <w:rPr>
          <w:rFonts w:ascii="Times New Roman" w:hAnsi="Times New Roman"/>
          <w:color w:val="auto"/>
          <w:lang w:val="zh-CN"/>
        </w:rPr>
        <w:t>，X</w:t>
      </w:r>
      <w:r>
        <w:rPr>
          <w:rFonts w:ascii="Times New Roman" w:hAnsi="Times New Roman" w:eastAsia="宋体"/>
          <w:color w:val="auto"/>
          <w:vertAlign w:val="subscript"/>
          <w:lang w:val="zh-CN"/>
        </w:rPr>
        <w:t>6</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｝，｛X</w:t>
      </w:r>
      <w:r>
        <w:rPr>
          <w:rFonts w:ascii="Times New Roman" w:hAnsi="Times New Roman" w:eastAsia="宋体"/>
          <w:color w:val="auto"/>
          <w:vertAlign w:val="subscript"/>
          <w:lang w:val="zh-CN"/>
        </w:rPr>
        <w:t>4</w:t>
      </w:r>
      <w:r>
        <w:rPr>
          <w:rFonts w:ascii="Times New Roman" w:hAnsi="Times New Roman"/>
          <w:color w:val="auto"/>
          <w:lang w:val="zh-CN"/>
        </w:rPr>
        <w:t>，X</w:t>
      </w:r>
      <w:r>
        <w:rPr>
          <w:rFonts w:ascii="Times New Roman" w:hAnsi="Times New Roman" w:eastAsia="宋体"/>
          <w:color w:val="auto"/>
          <w:vertAlign w:val="subscript"/>
          <w:lang w:val="zh-CN"/>
        </w:rPr>
        <w:t>5</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｝，｛X</w:t>
      </w:r>
      <w:r>
        <w:rPr>
          <w:rFonts w:ascii="Times New Roman" w:hAnsi="Times New Roman" w:eastAsia="宋体"/>
          <w:color w:val="auto"/>
          <w:vertAlign w:val="subscript"/>
          <w:lang w:val="zh-CN"/>
        </w:rPr>
        <w:t>4</w:t>
      </w:r>
      <w:r>
        <w:rPr>
          <w:rFonts w:ascii="Times New Roman" w:hAnsi="Times New Roman"/>
          <w:color w:val="auto"/>
          <w:lang w:val="zh-CN"/>
        </w:rPr>
        <w:t>，X</w:t>
      </w:r>
      <w:r>
        <w:rPr>
          <w:rFonts w:ascii="Times New Roman" w:hAnsi="Times New Roman" w:eastAsia="宋体"/>
          <w:color w:val="auto"/>
          <w:vertAlign w:val="subscript"/>
          <w:lang w:val="zh-CN"/>
        </w:rPr>
        <w:t>6</w:t>
      </w:r>
      <w:r>
        <w:rPr>
          <w:rFonts w:ascii="Times New Roman" w:hAnsi="Times New Roman"/>
          <w:color w:val="auto"/>
          <w:lang w:val="zh-CN"/>
        </w:rPr>
        <w:t>，X</w:t>
      </w:r>
      <w:r>
        <w:rPr>
          <w:rFonts w:ascii="Times New Roman" w:hAnsi="Times New Roman" w:eastAsia="宋体"/>
          <w:color w:val="auto"/>
          <w:vertAlign w:val="subscript"/>
          <w:lang w:val="zh-CN"/>
        </w:rPr>
        <w:t>7</w:t>
      </w:r>
      <w:r>
        <w:rPr>
          <w:rFonts w:ascii="Times New Roman" w:hAnsi="Times New Roman"/>
          <w:color w:val="auto"/>
          <w:lang w:val="zh-CN"/>
        </w:rPr>
        <w:t>，X</w:t>
      </w:r>
      <w:r>
        <w:rPr>
          <w:rFonts w:ascii="Times New Roman" w:hAnsi="Times New Roman" w:eastAsia="宋体"/>
          <w:color w:val="auto"/>
          <w:vertAlign w:val="subscript"/>
          <w:lang w:val="zh-CN"/>
        </w:rPr>
        <w:t>8</w:t>
      </w:r>
      <w:r>
        <w:rPr>
          <w:rFonts w:ascii="Times New Roman" w:hAnsi="Times New Roman"/>
          <w:color w:val="auto"/>
          <w:lang w:val="zh-CN"/>
        </w:rPr>
        <w:t>｝</w:t>
      </w:r>
    </w:p>
    <w:p w14:paraId="3318C2F9">
      <w:pPr>
        <w:bidi w:val="0"/>
        <w:rPr>
          <w:rFonts w:ascii="Times New Roman" w:hAnsi="Times New Roman"/>
          <w:color w:val="auto"/>
          <w:lang w:val="zh-CN"/>
        </w:rPr>
      </w:pPr>
      <w:r>
        <w:rPr>
          <w:rFonts w:ascii="Times New Roman" w:hAnsi="Times New Roman"/>
          <w:color w:val="auto"/>
          <w:lang w:val="zh-CN"/>
        </w:rPr>
        <w:t>从最小割集、最小径集判断得知各基本事件在故障树的结构中所占有的重要程度排列如下：</w:t>
      </w:r>
    </w:p>
    <w:p w14:paraId="1C20AA70">
      <w:pPr>
        <w:spacing w:line="360" w:lineRule="auto"/>
        <w:ind w:left="0" w:leftChars="0" w:firstLine="0" w:firstLineChars="0"/>
        <w:jc w:val="center"/>
        <w:rPr>
          <w:rFonts w:hint="default" w:ascii="Times New Roman" w:hAnsi="Times New Roman" w:eastAsia="宋体"/>
          <w:color w:val="auto"/>
          <w:sz w:val="28"/>
          <w:szCs w:val="28"/>
          <w:lang w:val="en-US" w:eastAsia="zh-CN"/>
        </w:rPr>
      </w:pPr>
      <w:r>
        <w:rPr>
          <w:rFonts w:hint="eastAsia"/>
          <w:color w:val="auto"/>
          <w:sz w:val="28"/>
          <w:szCs w:val="28"/>
          <w:lang w:val="en-US" w:eastAsia="zh-CN"/>
        </w:rPr>
        <w:t>***********</w:t>
      </w:r>
    </w:p>
    <w:p w14:paraId="2B13E0B2">
      <w:pPr>
        <w:bidi w:val="0"/>
        <w:rPr>
          <w:rFonts w:ascii="Times New Roman" w:hAnsi="Times New Roman"/>
          <w:color w:val="auto"/>
          <w:lang w:val="zh-CN"/>
        </w:rPr>
      </w:pPr>
      <w:r>
        <w:rPr>
          <w:rFonts w:ascii="Times New Roman" w:hAnsi="Times New Roman"/>
          <w:color w:val="auto"/>
          <w:lang w:val="zh-CN"/>
        </w:rPr>
        <w:t>要求施工人员在边坡施工中不滑倒以及滑倒后要抓稳是不负责任的，所以首先要消除出现边坡过高，且施工位置具有高度的情况，再依次解决可靠使用安全带等其它问题，可使该事故的发生概率降低到最低程度。</w:t>
      </w:r>
    </w:p>
    <w:p w14:paraId="26A81F18">
      <w:pPr>
        <w:bidi w:val="0"/>
        <w:rPr>
          <w:rFonts w:ascii="Times New Roman" w:hAnsi="Times New Roman"/>
          <w:color w:val="auto"/>
          <w:lang w:val="zh-CN"/>
        </w:rPr>
      </w:pPr>
      <w:r>
        <w:rPr>
          <w:rFonts w:ascii="Times New Roman" w:hAnsi="Times New Roman"/>
          <w:color w:val="auto"/>
        </w:rPr>
        <w:t>二、</w:t>
      </w:r>
      <w:r>
        <w:rPr>
          <w:rFonts w:ascii="Times New Roman" w:hAnsi="Times New Roman"/>
          <w:color w:val="auto"/>
          <w:lang w:val="zh-CN"/>
        </w:rPr>
        <w:t>可能导致本项目边坡高处坠落的影响因素</w:t>
      </w:r>
    </w:p>
    <w:p w14:paraId="77B6CFAE">
      <w:pPr>
        <w:bidi w:val="0"/>
        <w:rPr>
          <w:rFonts w:ascii="Times New Roman" w:hAnsi="Times New Roman"/>
          <w:color w:val="auto"/>
          <w:lang w:val="zh-CN"/>
        </w:rPr>
      </w:pPr>
      <w:r>
        <w:rPr>
          <w:rFonts w:ascii="Times New Roman" w:hAnsi="Times New Roman"/>
          <w:color w:val="auto"/>
          <w:lang w:val="zh-CN"/>
        </w:rPr>
        <w:t>①露天边坡设计台阶高度1</w:t>
      </w:r>
      <w:r>
        <w:rPr>
          <w:rFonts w:hint="eastAsia" w:ascii="Times New Roman" w:hAnsi="Times New Roman"/>
          <w:color w:val="auto"/>
        </w:rPr>
        <w:t>5</w:t>
      </w:r>
      <w:r>
        <w:rPr>
          <w:rFonts w:ascii="Times New Roman" w:hAnsi="Times New Roman"/>
          <w:color w:val="auto"/>
          <w:lang w:val="zh-CN"/>
        </w:rPr>
        <w:t>m，</w:t>
      </w:r>
      <w:r>
        <w:rPr>
          <w:rFonts w:hint="eastAsia" w:ascii="Times New Roman" w:hAnsi="Times New Roman"/>
          <w:color w:val="auto"/>
          <w:lang w:val="zh-CN"/>
        </w:rPr>
        <w:t>靠帮台阶坡面角</w:t>
      </w:r>
      <w:r>
        <w:rPr>
          <w:rFonts w:ascii="Times New Roman" w:hAnsi="Times New Roman"/>
          <w:color w:val="auto"/>
          <w:lang w:val="zh-CN"/>
        </w:rPr>
        <w:t>6</w:t>
      </w:r>
      <w:r>
        <w:rPr>
          <w:rFonts w:ascii="Times New Roman" w:hAnsi="Times New Roman"/>
          <w:color w:val="auto"/>
        </w:rPr>
        <w:t>0</w:t>
      </w:r>
      <w:r>
        <w:rPr>
          <w:rFonts w:ascii="Times New Roman" w:hAnsi="Times New Roman"/>
          <w:color w:val="auto"/>
          <w:lang w:val="zh-CN"/>
        </w:rPr>
        <w:t>°，在清理浮石、危石过程中有高处坠落的可能性。</w:t>
      </w:r>
    </w:p>
    <w:p w14:paraId="537922D1">
      <w:pPr>
        <w:bidi w:val="0"/>
        <w:rPr>
          <w:rFonts w:ascii="Times New Roman" w:hAnsi="Times New Roman"/>
          <w:color w:val="auto"/>
          <w:lang w:val="zh-CN"/>
        </w:rPr>
      </w:pPr>
      <w:r>
        <w:rPr>
          <w:rFonts w:ascii="Times New Roman" w:hAnsi="Times New Roman"/>
          <w:color w:val="auto"/>
          <w:lang w:val="zh-CN"/>
        </w:rPr>
        <w:t>②在高度超过2m或坡面角大于30°的地方作业时未使用安全绳</w:t>
      </w:r>
      <w:r>
        <w:rPr>
          <w:rFonts w:hint="eastAsia" w:ascii="Times New Roman" w:hAnsi="Times New Roman"/>
          <w:color w:val="auto"/>
          <w:lang w:val="zh-CN"/>
        </w:rPr>
        <w:t>（</w:t>
      </w:r>
      <w:r>
        <w:rPr>
          <w:rFonts w:ascii="Times New Roman" w:hAnsi="Times New Roman"/>
          <w:color w:val="auto"/>
          <w:lang w:val="zh-CN"/>
        </w:rPr>
        <w:t>安全带</w:t>
      </w:r>
      <w:r>
        <w:rPr>
          <w:rFonts w:hint="eastAsia" w:ascii="Times New Roman" w:hAnsi="Times New Roman"/>
          <w:color w:val="auto"/>
          <w:lang w:val="zh-CN"/>
        </w:rPr>
        <w:t>）</w:t>
      </w:r>
      <w:r>
        <w:rPr>
          <w:rFonts w:ascii="Times New Roman" w:hAnsi="Times New Roman"/>
          <w:color w:val="auto"/>
          <w:lang w:val="zh-CN"/>
        </w:rPr>
        <w:t>、安全绳未牢靠固定或使用不符合质量要求的安全带，也有发生高处坠落的可能。</w:t>
      </w:r>
    </w:p>
    <w:p w14:paraId="199BF6A1">
      <w:pPr>
        <w:bidi w:val="0"/>
        <w:rPr>
          <w:rFonts w:ascii="Times New Roman" w:hAnsi="Times New Roman"/>
          <w:color w:val="auto"/>
          <w:lang w:val="zh-CN"/>
        </w:rPr>
      </w:pPr>
      <w:r>
        <w:rPr>
          <w:rFonts w:ascii="Times New Roman" w:hAnsi="Times New Roman"/>
          <w:color w:val="auto"/>
          <w:lang w:val="zh-CN"/>
        </w:rPr>
        <w:t>③作业人员未经过教育培训、安全意识不强烈，违章作业、疲劳作业和酒后作业有可能导致高处坠落事故。</w:t>
      </w:r>
    </w:p>
    <w:p w14:paraId="4D705F0F">
      <w:pPr>
        <w:bidi w:val="0"/>
        <w:rPr>
          <w:rFonts w:ascii="Times New Roman" w:hAnsi="Times New Roman"/>
          <w:color w:val="auto"/>
        </w:rPr>
      </w:pPr>
      <w:r>
        <w:rPr>
          <w:rFonts w:ascii="Times New Roman" w:hAnsi="Times New Roman"/>
          <w:color w:val="auto"/>
          <w:lang w:val="zh-CN"/>
        </w:rPr>
        <w:t>④采场顶部及危险区域内未设置安全警示标志或标志不明显，误入人员有发生高处坠落的可能。</w:t>
      </w:r>
    </w:p>
    <w:p w14:paraId="47599658">
      <w:pPr>
        <w:pStyle w:val="5"/>
        <w:bidi w:val="0"/>
        <w:rPr>
          <w:rFonts w:ascii="Times New Roman" w:hAnsi="Times New Roman"/>
          <w:color w:val="auto"/>
        </w:rPr>
      </w:pPr>
      <w:r>
        <w:rPr>
          <w:rFonts w:ascii="Times New Roman" w:hAnsi="Times New Roman"/>
          <w:color w:val="auto"/>
        </w:rPr>
        <w:t>3.3.2.5</w:t>
      </w:r>
      <w:r>
        <w:rPr>
          <w:rFonts w:hint="eastAsia" w:ascii="Times New Roman" w:hAnsi="Times New Roman"/>
          <w:color w:val="auto"/>
          <w:lang w:val="en-US" w:eastAsia="zh-CN"/>
        </w:rPr>
        <w:t xml:space="preserve"> </w:t>
      </w:r>
      <w:r>
        <w:rPr>
          <w:rFonts w:ascii="Times New Roman" w:hAnsi="Times New Roman"/>
          <w:color w:val="auto"/>
        </w:rPr>
        <w:t>安全检查表</w:t>
      </w:r>
    </w:p>
    <w:p w14:paraId="33C908E6">
      <w:pPr>
        <w:bidi w:val="0"/>
        <w:rPr>
          <w:rFonts w:ascii="Times New Roman" w:hAnsi="Times New Roman"/>
          <w:color w:val="auto"/>
          <w:lang w:val="zh-CN"/>
        </w:rPr>
      </w:pPr>
      <w:r>
        <w:rPr>
          <w:rFonts w:ascii="Times New Roman" w:hAnsi="Times New Roman"/>
          <w:color w:val="auto"/>
          <w:lang w:val="zh-CN"/>
        </w:rPr>
        <w:t>依据《金属非金属矿山安全规程》</w:t>
      </w:r>
      <w:r>
        <w:rPr>
          <w:rFonts w:hint="eastAsia" w:ascii="Times New Roman" w:hAnsi="Times New Roman"/>
          <w:color w:val="auto"/>
          <w:lang w:val="zh-CN"/>
        </w:rPr>
        <w:t>（</w:t>
      </w:r>
      <w:r>
        <w:rPr>
          <w:rFonts w:ascii="Times New Roman" w:hAnsi="Times New Roman"/>
          <w:color w:val="auto"/>
          <w:lang w:val="zh-CN"/>
        </w:rPr>
        <w:t>GB16423-20</w:t>
      </w:r>
      <w:r>
        <w:rPr>
          <w:rFonts w:ascii="Times New Roman" w:hAnsi="Times New Roman"/>
          <w:color w:val="auto"/>
        </w:rPr>
        <w:t>20</w:t>
      </w:r>
      <w:r>
        <w:rPr>
          <w:rFonts w:hint="eastAsia" w:ascii="Times New Roman" w:hAnsi="Times New Roman"/>
          <w:color w:val="auto"/>
          <w:lang w:val="zh-CN"/>
        </w:rPr>
        <w:t>）</w:t>
      </w:r>
      <w:r>
        <w:rPr>
          <w:rFonts w:ascii="Times New Roman" w:hAnsi="Times New Roman"/>
          <w:color w:val="auto"/>
          <w:lang w:val="zh-CN"/>
        </w:rPr>
        <w:t>及的相关条款对</w:t>
      </w:r>
      <w:r>
        <w:rPr>
          <w:rFonts w:hint="eastAsia" w:ascii="Times New Roman" w:hAnsi="Times New Roman"/>
          <w:color w:val="auto"/>
          <w:lang w:val="zh-CN"/>
        </w:rPr>
        <w:t>初步设计（代可研）</w:t>
      </w:r>
      <w:r>
        <w:rPr>
          <w:rFonts w:ascii="Times New Roman" w:hAnsi="Times New Roman"/>
          <w:color w:val="auto"/>
          <w:lang w:val="zh-CN"/>
        </w:rPr>
        <w:t>中设计方案中的采剥工艺进行安全检查，见表3.3-</w:t>
      </w:r>
      <w:r>
        <w:rPr>
          <w:rFonts w:hint="eastAsia" w:ascii="Times New Roman" w:hAnsi="Times New Roman"/>
          <w:color w:val="auto"/>
          <w:lang w:val="en-US" w:eastAsia="zh-CN"/>
        </w:rPr>
        <w:t>10</w:t>
      </w:r>
      <w:r>
        <w:rPr>
          <w:rFonts w:ascii="Times New Roman" w:hAnsi="Times New Roman"/>
          <w:color w:val="auto"/>
        </w:rPr>
        <w:t>；对边坡监测进行安全检查，见表3.3-</w:t>
      </w:r>
      <w:r>
        <w:rPr>
          <w:rFonts w:hint="eastAsia" w:ascii="Times New Roman" w:hAnsi="Times New Roman"/>
          <w:color w:val="auto"/>
          <w:lang w:val="en-US" w:eastAsia="zh-CN"/>
        </w:rPr>
        <w:t>11</w:t>
      </w:r>
      <w:r>
        <w:rPr>
          <w:rFonts w:ascii="Times New Roman" w:hAnsi="Times New Roman"/>
          <w:color w:val="auto"/>
          <w:lang w:val="zh-CN"/>
        </w:rPr>
        <w:t>。</w:t>
      </w:r>
    </w:p>
    <w:p w14:paraId="5D8695A0">
      <w:pPr>
        <w:pStyle w:val="16"/>
        <w:bidi w:val="0"/>
        <w:rPr>
          <w:rFonts w:ascii="Times New Roman" w:hAnsi="Times New Roman"/>
          <w:color w:val="auto"/>
        </w:rPr>
      </w:pPr>
      <w:bookmarkStart w:id="123" w:name="_Hlk33132441"/>
      <w:r>
        <w:rPr>
          <w:rFonts w:ascii="Times New Roman" w:hAnsi="Times New Roman"/>
          <w:color w:val="auto"/>
        </w:rPr>
        <w:t>表3.3-</w:t>
      </w:r>
      <w:bookmarkEnd w:id="123"/>
      <w:r>
        <w:rPr>
          <w:rFonts w:hint="eastAsia" w:ascii="Times New Roman" w:hAnsi="Times New Roman"/>
          <w:color w:val="auto"/>
          <w:lang w:val="en-US" w:eastAsia="zh-CN"/>
        </w:rPr>
        <w:t>10</w:t>
      </w:r>
      <w:r>
        <w:rPr>
          <w:rFonts w:ascii="Times New Roman" w:hAnsi="Times New Roman"/>
          <w:color w:val="auto"/>
        </w:rPr>
        <w:t xml:space="preserve">  采剥工艺安全检查表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2"/>
        <w:gridCol w:w="677"/>
        <w:gridCol w:w="1092"/>
        <w:gridCol w:w="1669"/>
        <w:gridCol w:w="1751"/>
        <w:gridCol w:w="1902"/>
        <w:gridCol w:w="1109"/>
      </w:tblGrid>
      <w:tr w14:paraId="6741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35" w:type="pct"/>
            <w:noWrap w:val="0"/>
            <w:vAlign w:val="center"/>
          </w:tcPr>
          <w:p w14:paraId="452DDE23">
            <w:pPr>
              <w:pStyle w:val="17"/>
              <w:bidi w:val="0"/>
              <w:rPr>
                <w:rFonts w:ascii="Times New Roman" w:hAnsi="Times New Roman"/>
                <w:b/>
                <w:bCs/>
                <w:color w:val="auto"/>
              </w:rPr>
            </w:pPr>
            <w:r>
              <w:rPr>
                <w:rFonts w:ascii="Times New Roman" w:hAnsi="Times New Roman"/>
                <w:b/>
                <w:bCs/>
                <w:color w:val="auto"/>
              </w:rPr>
              <w:t>检查项目</w:t>
            </w:r>
          </w:p>
        </w:tc>
        <w:tc>
          <w:tcPr>
            <w:tcW w:w="1829" w:type="pct"/>
            <w:gridSpan w:val="3"/>
            <w:noWrap w:val="0"/>
            <w:vAlign w:val="center"/>
          </w:tcPr>
          <w:p w14:paraId="5626818E">
            <w:pPr>
              <w:pStyle w:val="17"/>
              <w:bidi w:val="0"/>
              <w:rPr>
                <w:rFonts w:ascii="Times New Roman" w:hAnsi="Times New Roman"/>
                <w:b/>
                <w:bCs/>
                <w:color w:val="auto"/>
              </w:rPr>
            </w:pPr>
            <w:r>
              <w:rPr>
                <w:rFonts w:ascii="Times New Roman" w:hAnsi="Times New Roman"/>
                <w:b/>
                <w:bCs/>
                <w:color w:val="auto"/>
              </w:rPr>
              <w:t>检查条款内容</w:t>
            </w:r>
          </w:p>
        </w:tc>
        <w:tc>
          <w:tcPr>
            <w:tcW w:w="932" w:type="pct"/>
            <w:noWrap w:val="0"/>
            <w:vAlign w:val="center"/>
          </w:tcPr>
          <w:p w14:paraId="0184565C">
            <w:pPr>
              <w:pStyle w:val="17"/>
              <w:bidi w:val="0"/>
              <w:rPr>
                <w:rFonts w:ascii="Times New Roman" w:hAnsi="Times New Roman"/>
                <w:b/>
                <w:bCs/>
                <w:color w:val="auto"/>
              </w:rPr>
            </w:pPr>
            <w:r>
              <w:rPr>
                <w:rFonts w:ascii="Times New Roman" w:hAnsi="Times New Roman"/>
                <w:b/>
                <w:bCs/>
                <w:color w:val="auto"/>
              </w:rPr>
              <w:t>依据标准条款</w:t>
            </w:r>
          </w:p>
        </w:tc>
        <w:tc>
          <w:tcPr>
            <w:tcW w:w="1012" w:type="pct"/>
            <w:noWrap w:val="0"/>
            <w:vAlign w:val="center"/>
          </w:tcPr>
          <w:p w14:paraId="6C936CC9">
            <w:pPr>
              <w:pStyle w:val="17"/>
              <w:bidi w:val="0"/>
              <w:rPr>
                <w:rFonts w:ascii="Times New Roman" w:hAnsi="Times New Roman"/>
                <w:b/>
                <w:bCs/>
                <w:color w:val="auto"/>
              </w:rPr>
            </w:pPr>
            <w:r>
              <w:rPr>
                <w:rFonts w:ascii="Times New Roman" w:hAnsi="Times New Roman"/>
                <w:b/>
                <w:bCs/>
                <w:color w:val="auto"/>
              </w:rPr>
              <w:t>检查情况</w:t>
            </w:r>
          </w:p>
        </w:tc>
        <w:tc>
          <w:tcPr>
            <w:tcW w:w="590" w:type="pct"/>
            <w:noWrap w:val="0"/>
            <w:vAlign w:val="center"/>
          </w:tcPr>
          <w:p w14:paraId="457356EB">
            <w:pPr>
              <w:pStyle w:val="17"/>
              <w:bidi w:val="0"/>
              <w:rPr>
                <w:rFonts w:ascii="Times New Roman" w:hAnsi="Times New Roman"/>
                <w:b/>
                <w:bCs/>
                <w:color w:val="auto"/>
              </w:rPr>
            </w:pPr>
            <w:r>
              <w:rPr>
                <w:rFonts w:ascii="Times New Roman" w:hAnsi="Times New Roman"/>
                <w:b/>
                <w:bCs/>
                <w:color w:val="auto"/>
              </w:rPr>
              <w:t>检查结果</w:t>
            </w:r>
          </w:p>
        </w:tc>
      </w:tr>
      <w:tr w14:paraId="2AF6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Merge w:val="restart"/>
            <w:noWrap w:val="0"/>
            <w:vAlign w:val="center"/>
          </w:tcPr>
          <w:p w14:paraId="5A9C789F">
            <w:pPr>
              <w:pStyle w:val="17"/>
              <w:bidi w:val="0"/>
              <w:rPr>
                <w:rFonts w:ascii="Times New Roman" w:hAnsi="Times New Roman"/>
                <w:color w:val="auto"/>
              </w:rPr>
            </w:pPr>
            <w:r>
              <w:rPr>
                <w:rFonts w:ascii="Times New Roman" w:hAnsi="Times New Roman"/>
                <w:color w:val="auto"/>
              </w:rPr>
              <w:t>台阶高度</w:t>
            </w:r>
          </w:p>
        </w:tc>
        <w:tc>
          <w:tcPr>
            <w:tcW w:w="1829" w:type="pct"/>
            <w:gridSpan w:val="3"/>
            <w:noWrap w:val="0"/>
            <w:vAlign w:val="center"/>
          </w:tcPr>
          <w:p w14:paraId="3077F5D8">
            <w:pPr>
              <w:pStyle w:val="17"/>
              <w:bidi w:val="0"/>
              <w:rPr>
                <w:rFonts w:ascii="Times New Roman" w:hAnsi="Times New Roman"/>
                <w:color w:val="auto"/>
              </w:rPr>
            </w:pPr>
            <w:r>
              <w:rPr>
                <w:rFonts w:ascii="Times New Roman" w:hAnsi="Times New Roman"/>
                <w:color w:val="auto"/>
              </w:rPr>
              <w:t>露天开采应遵循自上而下的开采顺序，分台阶开采。生产台阶高度应符合表中的规定：</w:t>
            </w:r>
          </w:p>
        </w:tc>
        <w:tc>
          <w:tcPr>
            <w:tcW w:w="932" w:type="pct"/>
            <w:vMerge w:val="restart"/>
            <w:noWrap w:val="0"/>
            <w:vAlign w:val="center"/>
          </w:tcPr>
          <w:p w14:paraId="0DBC8288">
            <w:pPr>
              <w:pStyle w:val="17"/>
              <w:bidi w:val="0"/>
              <w:rPr>
                <w:rFonts w:ascii="Times New Roman" w:hAnsi="Times New Roman"/>
                <w:color w:val="auto"/>
              </w:rPr>
            </w:pPr>
            <w:r>
              <w:rPr>
                <w:rFonts w:ascii="Times New Roman" w:hAnsi="Times New Roman"/>
                <w:color w:val="auto"/>
              </w:rPr>
              <w:t>GB16423-2020第5.2.1.1条</w:t>
            </w:r>
          </w:p>
        </w:tc>
        <w:tc>
          <w:tcPr>
            <w:tcW w:w="1012" w:type="pct"/>
            <w:vMerge w:val="restart"/>
            <w:noWrap w:val="0"/>
            <w:vAlign w:val="top"/>
          </w:tcPr>
          <w:p w14:paraId="2EDF07EF">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中设计自上而下分台阶顺序开采。</w:t>
            </w:r>
            <w:r>
              <w:rPr>
                <w:rFonts w:hint="eastAsia" w:ascii="Times New Roman" w:hAnsi="Times New Roman"/>
                <w:color w:val="auto"/>
              </w:rPr>
              <w:t>设计采用逐孔起爆爆破方式，数码电子雷管起爆，然后进行铲装运输的采剥方法，</w:t>
            </w:r>
            <w:r>
              <w:rPr>
                <w:rFonts w:hint="eastAsia" w:ascii="Times New Roman" w:hAnsi="Times New Roman"/>
                <w:color w:val="auto"/>
                <w:lang w:val="en-US" w:eastAsia="zh-CN"/>
              </w:rPr>
              <w:t>台阶高度15m</w:t>
            </w:r>
            <w:r>
              <w:rPr>
                <w:rFonts w:hint="eastAsia" w:ascii="Times New Roman" w:hAnsi="Times New Roman"/>
                <w:color w:val="auto"/>
              </w:rPr>
              <w:t>。矿山现有挖掘机最大挖掘高度为10</w:t>
            </w:r>
            <w:r>
              <w:rPr>
                <w:rFonts w:hint="eastAsia" w:ascii="Times New Roman" w:hAnsi="Times New Roman"/>
                <w:color w:val="auto"/>
                <w:lang w:val="en-US" w:eastAsia="zh-CN"/>
              </w:rPr>
              <w:t>.21</w:t>
            </w:r>
            <w:r>
              <w:rPr>
                <w:rFonts w:hint="eastAsia" w:ascii="Times New Roman" w:hAnsi="Times New Roman"/>
                <w:color w:val="auto"/>
              </w:rPr>
              <w:t>m</w:t>
            </w:r>
            <w:r>
              <w:rPr>
                <w:rFonts w:ascii="Times New Roman" w:hAnsi="Times New Roman"/>
                <w:color w:val="auto"/>
              </w:rPr>
              <w:t>，满足设计生产台阶高度</w:t>
            </w:r>
            <w:r>
              <w:rPr>
                <w:rFonts w:hint="eastAsia" w:ascii="Times New Roman" w:hAnsi="Times New Roman"/>
                <w:color w:val="auto"/>
              </w:rPr>
              <w:t>15</w:t>
            </w:r>
            <w:r>
              <w:rPr>
                <w:rFonts w:ascii="Times New Roman" w:hAnsi="Times New Roman"/>
                <w:color w:val="auto"/>
              </w:rPr>
              <w:t>m的要求。</w:t>
            </w:r>
          </w:p>
        </w:tc>
        <w:tc>
          <w:tcPr>
            <w:tcW w:w="590" w:type="pct"/>
            <w:vMerge w:val="restart"/>
            <w:noWrap w:val="0"/>
            <w:vAlign w:val="center"/>
          </w:tcPr>
          <w:p w14:paraId="31B958CF">
            <w:pPr>
              <w:pStyle w:val="17"/>
              <w:bidi w:val="0"/>
              <w:rPr>
                <w:rFonts w:ascii="Times New Roman" w:hAnsi="Times New Roman"/>
                <w:color w:val="auto"/>
              </w:rPr>
            </w:pPr>
            <w:r>
              <w:rPr>
                <w:rFonts w:ascii="Times New Roman" w:hAnsi="Times New Roman"/>
                <w:color w:val="auto"/>
              </w:rPr>
              <w:t>符合</w:t>
            </w:r>
          </w:p>
        </w:tc>
      </w:tr>
      <w:tr w14:paraId="58CA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Merge w:val="continue"/>
            <w:noWrap w:val="0"/>
            <w:vAlign w:val="center"/>
          </w:tcPr>
          <w:p w14:paraId="2C0C2935">
            <w:pPr>
              <w:pStyle w:val="17"/>
              <w:bidi w:val="0"/>
              <w:rPr>
                <w:rFonts w:ascii="Times New Roman" w:hAnsi="Times New Roman"/>
                <w:color w:val="auto"/>
              </w:rPr>
            </w:pPr>
          </w:p>
        </w:tc>
        <w:tc>
          <w:tcPr>
            <w:tcW w:w="360" w:type="pct"/>
            <w:noWrap w:val="0"/>
            <w:vAlign w:val="center"/>
          </w:tcPr>
          <w:p w14:paraId="6B8DFDDD">
            <w:pPr>
              <w:pStyle w:val="17"/>
              <w:bidi w:val="0"/>
              <w:rPr>
                <w:rFonts w:ascii="Times New Roman" w:hAnsi="Times New Roman"/>
                <w:color w:val="auto"/>
              </w:rPr>
            </w:pPr>
            <w:r>
              <w:rPr>
                <w:rFonts w:ascii="Times New Roman" w:hAnsi="Times New Roman"/>
                <w:color w:val="auto"/>
              </w:rPr>
              <w:t>矿岩性质</w:t>
            </w:r>
          </w:p>
        </w:tc>
        <w:tc>
          <w:tcPr>
            <w:tcW w:w="581" w:type="pct"/>
            <w:noWrap w:val="0"/>
            <w:vAlign w:val="center"/>
          </w:tcPr>
          <w:p w14:paraId="31CFDED2">
            <w:pPr>
              <w:pStyle w:val="17"/>
              <w:bidi w:val="0"/>
              <w:rPr>
                <w:rFonts w:ascii="Times New Roman" w:hAnsi="Times New Roman"/>
                <w:color w:val="auto"/>
              </w:rPr>
            </w:pPr>
            <w:r>
              <w:rPr>
                <w:rFonts w:ascii="Times New Roman" w:hAnsi="Times New Roman"/>
                <w:color w:val="auto"/>
              </w:rPr>
              <w:t>采剥作业</w:t>
            </w:r>
          </w:p>
        </w:tc>
        <w:tc>
          <w:tcPr>
            <w:tcW w:w="887" w:type="pct"/>
            <w:noWrap w:val="0"/>
            <w:vAlign w:val="center"/>
          </w:tcPr>
          <w:p w14:paraId="30B779A3">
            <w:pPr>
              <w:pStyle w:val="17"/>
              <w:bidi w:val="0"/>
              <w:rPr>
                <w:rFonts w:ascii="Times New Roman" w:hAnsi="Times New Roman"/>
                <w:color w:val="auto"/>
              </w:rPr>
            </w:pPr>
            <w:r>
              <w:rPr>
                <w:rFonts w:ascii="Times New Roman" w:hAnsi="Times New Roman"/>
                <w:color w:val="auto"/>
              </w:rPr>
              <w:t>台阶高度</w:t>
            </w:r>
          </w:p>
        </w:tc>
        <w:tc>
          <w:tcPr>
            <w:tcW w:w="932" w:type="pct"/>
            <w:vMerge w:val="continue"/>
            <w:noWrap w:val="0"/>
            <w:vAlign w:val="center"/>
          </w:tcPr>
          <w:p w14:paraId="2D0F0340">
            <w:pPr>
              <w:pStyle w:val="17"/>
              <w:bidi w:val="0"/>
              <w:rPr>
                <w:rFonts w:ascii="Times New Roman" w:hAnsi="Times New Roman"/>
                <w:color w:val="auto"/>
              </w:rPr>
            </w:pPr>
          </w:p>
        </w:tc>
        <w:tc>
          <w:tcPr>
            <w:tcW w:w="1012" w:type="pct"/>
            <w:vMerge w:val="continue"/>
            <w:noWrap w:val="0"/>
            <w:vAlign w:val="center"/>
          </w:tcPr>
          <w:p w14:paraId="77E60D9D">
            <w:pPr>
              <w:pStyle w:val="17"/>
              <w:bidi w:val="0"/>
              <w:rPr>
                <w:rFonts w:ascii="Times New Roman" w:hAnsi="Times New Roman"/>
                <w:color w:val="auto"/>
              </w:rPr>
            </w:pPr>
          </w:p>
        </w:tc>
        <w:tc>
          <w:tcPr>
            <w:tcW w:w="590" w:type="pct"/>
            <w:vMerge w:val="continue"/>
            <w:noWrap w:val="0"/>
            <w:vAlign w:val="center"/>
          </w:tcPr>
          <w:p w14:paraId="5DDCB1F8">
            <w:pPr>
              <w:pStyle w:val="17"/>
              <w:bidi w:val="0"/>
              <w:rPr>
                <w:rFonts w:ascii="Times New Roman" w:hAnsi="Times New Roman"/>
                <w:color w:val="auto"/>
              </w:rPr>
            </w:pPr>
          </w:p>
        </w:tc>
      </w:tr>
      <w:tr w14:paraId="65F5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jc w:val="center"/>
        </w:trPr>
        <w:tc>
          <w:tcPr>
            <w:tcW w:w="635" w:type="pct"/>
            <w:vMerge w:val="continue"/>
            <w:noWrap w:val="0"/>
            <w:vAlign w:val="center"/>
          </w:tcPr>
          <w:p w14:paraId="69B07DA6">
            <w:pPr>
              <w:pStyle w:val="17"/>
              <w:bidi w:val="0"/>
              <w:rPr>
                <w:rFonts w:ascii="Times New Roman" w:hAnsi="Times New Roman"/>
                <w:color w:val="auto"/>
              </w:rPr>
            </w:pPr>
          </w:p>
        </w:tc>
        <w:tc>
          <w:tcPr>
            <w:tcW w:w="360" w:type="pct"/>
            <w:vMerge w:val="restart"/>
            <w:noWrap w:val="0"/>
            <w:vAlign w:val="center"/>
          </w:tcPr>
          <w:p w14:paraId="415670A9">
            <w:pPr>
              <w:pStyle w:val="17"/>
              <w:bidi w:val="0"/>
              <w:rPr>
                <w:rFonts w:ascii="Times New Roman" w:hAnsi="Times New Roman"/>
                <w:color w:val="auto"/>
              </w:rPr>
            </w:pPr>
            <w:r>
              <w:rPr>
                <w:rFonts w:ascii="Times New Roman" w:hAnsi="Times New Roman"/>
                <w:color w:val="auto"/>
              </w:rPr>
              <w:t>坚硬稳固的矿岩</w:t>
            </w:r>
          </w:p>
        </w:tc>
        <w:tc>
          <w:tcPr>
            <w:tcW w:w="581" w:type="pct"/>
            <w:noWrap w:val="0"/>
            <w:vAlign w:val="center"/>
          </w:tcPr>
          <w:p w14:paraId="33503917">
            <w:pPr>
              <w:pStyle w:val="17"/>
              <w:bidi w:val="0"/>
              <w:rPr>
                <w:rFonts w:hint="default" w:ascii="Times New Roman" w:hAnsi="Times New Roman" w:eastAsia="宋体"/>
                <w:color w:val="auto"/>
                <w:lang w:val="en-US" w:eastAsia="zh-CN"/>
              </w:rPr>
            </w:pPr>
            <w:r>
              <w:rPr>
                <w:rFonts w:ascii="Times New Roman" w:hAnsi="Times New Roman"/>
                <w:color w:val="auto"/>
              </w:rPr>
              <w:t>爆破</w:t>
            </w:r>
          </w:p>
        </w:tc>
        <w:tc>
          <w:tcPr>
            <w:tcW w:w="887" w:type="pct"/>
            <w:noWrap w:val="0"/>
            <w:vAlign w:val="center"/>
          </w:tcPr>
          <w:p w14:paraId="719903D4">
            <w:pPr>
              <w:pStyle w:val="17"/>
              <w:bidi w:val="0"/>
              <w:rPr>
                <w:rFonts w:ascii="Times New Roman" w:hAnsi="Times New Roman"/>
                <w:color w:val="auto"/>
              </w:rPr>
            </w:pPr>
            <w:r>
              <w:rPr>
                <w:rFonts w:ascii="Times New Roman" w:hAnsi="Times New Roman"/>
                <w:color w:val="auto"/>
              </w:rPr>
              <w:t>不大于机械的最大挖掘高度的1.5倍</w:t>
            </w:r>
          </w:p>
        </w:tc>
        <w:tc>
          <w:tcPr>
            <w:tcW w:w="932" w:type="pct"/>
            <w:vMerge w:val="continue"/>
            <w:noWrap w:val="0"/>
            <w:vAlign w:val="center"/>
          </w:tcPr>
          <w:p w14:paraId="04BB1748">
            <w:pPr>
              <w:pStyle w:val="17"/>
              <w:bidi w:val="0"/>
              <w:rPr>
                <w:rFonts w:ascii="Times New Roman" w:hAnsi="Times New Roman"/>
                <w:color w:val="auto"/>
              </w:rPr>
            </w:pPr>
          </w:p>
        </w:tc>
        <w:tc>
          <w:tcPr>
            <w:tcW w:w="1012" w:type="pct"/>
            <w:vMerge w:val="continue"/>
            <w:noWrap w:val="0"/>
            <w:vAlign w:val="center"/>
          </w:tcPr>
          <w:p w14:paraId="0CCFA730">
            <w:pPr>
              <w:pStyle w:val="17"/>
              <w:bidi w:val="0"/>
              <w:rPr>
                <w:rFonts w:ascii="Times New Roman" w:hAnsi="Times New Roman"/>
                <w:color w:val="auto"/>
              </w:rPr>
            </w:pPr>
          </w:p>
        </w:tc>
        <w:tc>
          <w:tcPr>
            <w:tcW w:w="590" w:type="pct"/>
            <w:vMerge w:val="continue"/>
            <w:noWrap w:val="0"/>
            <w:vAlign w:val="center"/>
          </w:tcPr>
          <w:p w14:paraId="33BAFD08">
            <w:pPr>
              <w:pStyle w:val="17"/>
              <w:bidi w:val="0"/>
              <w:rPr>
                <w:rFonts w:ascii="Times New Roman" w:hAnsi="Times New Roman"/>
                <w:color w:val="auto"/>
              </w:rPr>
            </w:pPr>
          </w:p>
        </w:tc>
      </w:tr>
      <w:tr w14:paraId="118C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jc w:val="center"/>
        </w:trPr>
        <w:tc>
          <w:tcPr>
            <w:tcW w:w="635" w:type="pct"/>
            <w:vMerge w:val="continue"/>
            <w:noWrap w:val="0"/>
            <w:vAlign w:val="center"/>
          </w:tcPr>
          <w:p w14:paraId="1A24A34A">
            <w:pPr>
              <w:pStyle w:val="17"/>
              <w:bidi w:val="0"/>
              <w:rPr>
                <w:rFonts w:ascii="Times New Roman" w:hAnsi="Times New Roman"/>
                <w:color w:val="auto"/>
              </w:rPr>
            </w:pPr>
          </w:p>
        </w:tc>
        <w:tc>
          <w:tcPr>
            <w:tcW w:w="360" w:type="pct"/>
            <w:vMerge w:val="continue"/>
            <w:noWrap w:val="0"/>
            <w:vAlign w:val="center"/>
          </w:tcPr>
          <w:p w14:paraId="7B6B400C">
            <w:pPr>
              <w:pStyle w:val="17"/>
              <w:bidi w:val="0"/>
              <w:rPr>
                <w:rFonts w:ascii="Times New Roman" w:hAnsi="Times New Roman"/>
                <w:color w:val="auto"/>
              </w:rPr>
            </w:pPr>
          </w:p>
        </w:tc>
        <w:tc>
          <w:tcPr>
            <w:tcW w:w="581" w:type="pct"/>
            <w:noWrap w:val="0"/>
            <w:vAlign w:val="center"/>
          </w:tcPr>
          <w:p w14:paraId="5823CACC">
            <w:pPr>
              <w:pStyle w:val="17"/>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机械开采</w:t>
            </w:r>
          </w:p>
        </w:tc>
        <w:tc>
          <w:tcPr>
            <w:tcW w:w="887" w:type="pct"/>
            <w:noWrap w:val="0"/>
            <w:vAlign w:val="center"/>
          </w:tcPr>
          <w:p w14:paraId="4B466C83">
            <w:pPr>
              <w:pStyle w:val="17"/>
              <w:bidi w:val="0"/>
              <w:rPr>
                <w:rFonts w:ascii="Times New Roman" w:hAnsi="Times New Roman"/>
                <w:color w:val="auto"/>
              </w:rPr>
            </w:pPr>
            <w:r>
              <w:rPr>
                <w:rFonts w:ascii="Times New Roman" w:hAnsi="Times New Roman"/>
                <w:color w:val="auto"/>
              </w:rPr>
              <w:t>不大于机械的最大挖掘高度</w:t>
            </w:r>
          </w:p>
        </w:tc>
        <w:tc>
          <w:tcPr>
            <w:tcW w:w="932" w:type="pct"/>
            <w:vMerge w:val="continue"/>
            <w:noWrap w:val="0"/>
            <w:vAlign w:val="center"/>
          </w:tcPr>
          <w:p w14:paraId="0D21C838">
            <w:pPr>
              <w:pStyle w:val="17"/>
              <w:bidi w:val="0"/>
              <w:rPr>
                <w:rFonts w:ascii="Times New Roman" w:hAnsi="Times New Roman"/>
                <w:color w:val="auto"/>
              </w:rPr>
            </w:pPr>
          </w:p>
        </w:tc>
        <w:tc>
          <w:tcPr>
            <w:tcW w:w="1012" w:type="pct"/>
            <w:vMerge w:val="continue"/>
            <w:noWrap w:val="0"/>
            <w:vAlign w:val="center"/>
          </w:tcPr>
          <w:p w14:paraId="5C8DE278">
            <w:pPr>
              <w:pStyle w:val="17"/>
              <w:bidi w:val="0"/>
              <w:rPr>
                <w:rFonts w:ascii="Times New Roman" w:hAnsi="Times New Roman"/>
                <w:color w:val="auto"/>
              </w:rPr>
            </w:pPr>
          </w:p>
        </w:tc>
        <w:tc>
          <w:tcPr>
            <w:tcW w:w="590" w:type="pct"/>
            <w:vMerge w:val="continue"/>
            <w:noWrap w:val="0"/>
            <w:vAlign w:val="center"/>
          </w:tcPr>
          <w:p w14:paraId="2DF217F7">
            <w:pPr>
              <w:pStyle w:val="17"/>
              <w:bidi w:val="0"/>
              <w:rPr>
                <w:rFonts w:ascii="Times New Roman" w:hAnsi="Times New Roman"/>
                <w:color w:val="auto"/>
              </w:rPr>
            </w:pPr>
          </w:p>
        </w:tc>
      </w:tr>
      <w:tr w14:paraId="24F6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vMerge w:val="continue"/>
            <w:noWrap w:val="0"/>
            <w:vAlign w:val="center"/>
          </w:tcPr>
          <w:p w14:paraId="1FF9A0F2">
            <w:pPr>
              <w:pStyle w:val="17"/>
              <w:bidi w:val="0"/>
              <w:rPr>
                <w:rFonts w:ascii="Times New Roman" w:hAnsi="Times New Roman"/>
                <w:color w:val="auto"/>
              </w:rPr>
            </w:pPr>
          </w:p>
        </w:tc>
        <w:tc>
          <w:tcPr>
            <w:tcW w:w="1829" w:type="pct"/>
            <w:gridSpan w:val="3"/>
            <w:noWrap w:val="0"/>
            <w:vAlign w:val="center"/>
          </w:tcPr>
          <w:p w14:paraId="1AD169B9">
            <w:pPr>
              <w:pStyle w:val="17"/>
              <w:bidi w:val="0"/>
              <w:rPr>
                <w:rFonts w:ascii="Times New Roman" w:hAnsi="Times New Roman"/>
                <w:color w:val="auto"/>
              </w:rPr>
            </w:pPr>
            <w:r>
              <w:rPr>
                <w:rFonts w:ascii="Times New Roman" w:hAnsi="Times New Roman"/>
                <w:color w:val="auto"/>
              </w:rPr>
              <w:t>露天采场应设安全平台和清扫平台。人工清扫平台宽度不小于6m，机械清扫平台宽度应满足设备要求且不小于8m。</w:t>
            </w:r>
          </w:p>
        </w:tc>
        <w:tc>
          <w:tcPr>
            <w:tcW w:w="932" w:type="pct"/>
            <w:noWrap w:val="0"/>
            <w:vAlign w:val="center"/>
          </w:tcPr>
          <w:p w14:paraId="6273789A">
            <w:pPr>
              <w:pStyle w:val="17"/>
              <w:bidi w:val="0"/>
              <w:rPr>
                <w:rFonts w:ascii="Times New Roman" w:hAnsi="Times New Roman"/>
                <w:color w:val="auto"/>
              </w:rPr>
            </w:pPr>
            <w:r>
              <w:rPr>
                <w:rFonts w:ascii="Times New Roman" w:hAnsi="Times New Roman"/>
                <w:color w:val="auto"/>
              </w:rPr>
              <w:t>GB16423-2020第5.2.1.4条</w:t>
            </w:r>
          </w:p>
        </w:tc>
        <w:tc>
          <w:tcPr>
            <w:tcW w:w="1012" w:type="pct"/>
            <w:noWrap w:val="0"/>
            <w:vAlign w:val="center"/>
          </w:tcPr>
          <w:p w14:paraId="21822769">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中安全平台宽度</w:t>
            </w:r>
            <w:r>
              <w:rPr>
                <w:rFonts w:hint="eastAsia" w:ascii="Times New Roman" w:hAnsi="Times New Roman"/>
                <w:color w:val="auto"/>
                <w:lang w:val="en-US" w:eastAsia="zh-CN"/>
              </w:rPr>
              <w:t>5</w:t>
            </w:r>
            <w:r>
              <w:rPr>
                <w:rFonts w:ascii="Times New Roman" w:hAnsi="Times New Roman"/>
                <w:color w:val="auto"/>
              </w:rPr>
              <w:t>m，</w:t>
            </w:r>
            <w:r>
              <w:rPr>
                <w:rFonts w:hint="eastAsia" w:ascii="Times New Roman" w:hAnsi="Times New Roman"/>
                <w:color w:val="auto"/>
              </w:rPr>
              <w:t>清扫平台为8m，间隔两个安全平台设置一个清扫平台。</w:t>
            </w:r>
            <w:r>
              <w:rPr>
                <w:rFonts w:ascii="Times New Roman" w:hAnsi="Times New Roman"/>
                <w:color w:val="auto"/>
              </w:rPr>
              <w:t>最终边坡角4</w:t>
            </w:r>
            <w:r>
              <w:rPr>
                <w:rFonts w:hint="eastAsia" w:ascii="Times New Roman" w:hAnsi="Times New Roman"/>
                <w:color w:val="auto"/>
                <w:lang w:val="en-US" w:eastAsia="zh-CN"/>
              </w:rPr>
              <w:t>6</w:t>
            </w:r>
            <w:r>
              <w:rPr>
                <w:rFonts w:ascii="Times New Roman" w:hAnsi="Times New Roman"/>
                <w:color w:val="auto"/>
              </w:rPr>
              <w:t>°。</w:t>
            </w:r>
          </w:p>
        </w:tc>
        <w:tc>
          <w:tcPr>
            <w:tcW w:w="590" w:type="pct"/>
            <w:noWrap w:val="0"/>
            <w:vAlign w:val="center"/>
          </w:tcPr>
          <w:p w14:paraId="216F6086">
            <w:pPr>
              <w:pStyle w:val="17"/>
              <w:bidi w:val="0"/>
              <w:rPr>
                <w:rFonts w:ascii="Times New Roman" w:hAnsi="Times New Roman"/>
                <w:color w:val="auto"/>
              </w:rPr>
            </w:pPr>
            <w:r>
              <w:rPr>
                <w:rFonts w:ascii="Times New Roman" w:hAnsi="Times New Roman"/>
                <w:color w:val="auto"/>
              </w:rPr>
              <w:t>符合</w:t>
            </w:r>
          </w:p>
        </w:tc>
      </w:tr>
      <w:tr w14:paraId="402C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noWrap w:val="0"/>
            <w:vAlign w:val="center"/>
          </w:tcPr>
          <w:p w14:paraId="4CDA5C63">
            <w:pPr>
              <w:pStyle w:val="17"/>
              <w:bidi w:val="0"/>
              <w:rPr>
                <w:rFonts w:ascii="Times New Roman" w:hAnsi="Times New Roman"/>
                <w:color w:val="auto"/>
              </w:rPr>
            </w:pPr>
            <w:r>
              <w:rPr>
                <w:rFonts w:ascii="Times New Roman" w:hAnsi="Times New Roman"/>
                <w:color w:val="auto"/>
              </w:rPr>
              <w:t>台阶超前距离</w:t>
            </w:r>
          </w:p>
        </w:tc>
        <w:tc>
          <w:tcPr>
            <w:tcW w:w="1829" w:type="pct"/>
            <w:gridSpan w:val="3"/>
            <w:noWrap w:val="0"/>
            <w:vAlign w:val="center"/>
          </w:tcPr>
          <w:p w14:paraId="5268E3D3">
            <w:pPr>
              <w:pStyle w:val="17"/>
              <w:bidi w:val="0"/>
              <w:rPr>
                <w:rFonts w:ascii="Times New Roman" w:hAnsi="Times New Roman"/>
                <w:color w:val="auto"/>
              </w:rPr>
            </w:pPr>
            <w:r>
              <w:rPr>
                <w:rFonts w:ascii="Times New Roman" w:hAnsi="Times New Roman"/>
                <w:color w:val="auto"/>
              </w:rPr>
              <w:t>上、下台阶同时作业时，上部台阶的铲装设备应超前下部台阶铲装设备；超前距离不小于铲装设备最大工作半径的3倍，且不小于50m。</w:t>
            </w:r>
          </w:p>
        </w:tc>
        <w:tc>
          <w:tcPr>
            <w:tcW w:w="932" w:type="pct"/>
            <w:noWrap w:val="0"/>
            <w:vAlign w:val="center"/>
          </w:tcPr>
          <w:p w14:paraId="741DC713">
            <w:pPr>
              <w:pStyle w:val="17"/>
              <w:bidi w:val="0"/>
              <w:rPr>
                <w:rFonts w:ascii="Times New Roman" w:hAnsi="Times New Roman"/>
                <w:color w:val="auto"/>
              </w:rPr>
            </w:pPr>
            <w:r>
              <w:rPr>
                <w:rFonts w:ascii="Times New Roman" w:hAnsi="Times New Roman"/>
                <w:color w:val="auto"/>
              </w:rPr>
              <w:t>GB16423-2020第5.2.3.6条</w:t>
            </w:r>
          </w:p>
        </w:tc>
        <w:tc>
          <w:tcPr>
            <w:tcW w:w="1012" w:type="pct"/>
            <w:noWrap w:val="0"/>
            <w:vAlign w:val="center"/>
          </w:tcPr>
          <w:p w14:paraId="3C9D294C">
            <w:pPr>
              <w:pStyle w:val="17"/>
              <w:bidi w:val="0"/>
              <w:rPr>
                <w:rFonts w:ascii="Times New Roman" w:hAnsi="Times New Roman"/>
                <w:color w:val="auto"/>
              </w:rPr>
            </w:pPr>
            <w:r>
              <w:rPr>
                <w:rFonts w:hint="eastAsia" w:ascii="Times New Roman" w:hAnsi="Times New Roman"/>
                <w:color w:val="auto"/>
                <w:lang w:eastAsia="zh-CN"/>
              </w:rPr>
              <w:t>初步设计（代可研）</w:t>
            </w:r>
            <w:r>
              <w:rPr>
                <w:rFonts w:hint="eastAsia" w:ascii="Times New Roman" w:hAnsi="Times New Roman"/>
                <w:color w:val="auto"/>
                <w:lang w:val="en-US" w:eastAsia="zh-CN"/>
              </w:rPr>
              <w:t>未</w:t>
            </w:r>
            <w:r>
              <w:rPr>
                <w:rFonts w:ascii="Times New Roman" w:hAnsi="Times New Roman"/>
                <w:color w:val="auto"/>
              </w:rPr>
              <w:t>进行说明。</w:t>
            </w:r>
          </w:p>
        </w:tc>
        <w:tc>
          <w:tcPr>
            <w:tcW w:w="590" w:type="pct"/>
            <w:noWrap w:val="0"/>
            <w:vAlign w:val="center"/>
          </w:tcPr>
          <w:p w14:paraId="4714A0EE">
            <w:pPr>
              <w:pStyle w:val="17"/>
              <w:bidi w:val="0"/>
              <w:rPr>
                <w:rFonts w:ascii="Times New Roman" w:hAnsi="Times New Roman"/>
                <w:color w:val="auto"/>
              </w:rPr>
            </w:pPr>
            <w:r>
              <w:rPr>
                <w:rFonts w:hint="eastAsia" w:ascii="Times New Roman" w:hAnsi="Times New Roman"/>
                <w:color w:val="auto"/>
                <w:lang w:val="en-US" w:eastAsia="zh-CN"/>
              </w:rPr>
              <w:t>不</w:t>
            </w:r>
            <w:r>
              <w:rPr>
                <w:rFonts w:ascii="Times New Roman" w:hAnsi="Times New Roman"/>
                <w:color w:val="auto"/>
              </w:rPr>
              <w:t>符合</w:t>
            </w:r>
          </w:p>
        </w:tc>
      </w:tr>
      <w:tr w14:paraId="654D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noWrap w:val="0"/>
            <w:vAlign w:val="center"/>
          </w:tcPr>
          <w:p w14:paraId="09199A84">
            <w:pPr>
              <w:pStyle w:val="17"/>
              <w:bidi w:val="0"/>
              <w:rPr>
                <w:rFonts w:ascii="Times New Roman" w:hAnsi="Times New Roman"/>
                <w:color w:val="auto"/>
              </w:rPr>
            </w:pPr>
            <w:r>
              <w:rPr>
                <w:rFonts w:ascii="Times New Roman" w:hAnsi="Times New Roman"/>
                <w:color w:val="auto"/>
              </w:rPr>
              <w:t>露天警戒</w:t>
            </w:r>
          </w:p>
        </w:tc>
        <w:tc>
          <w:tcPr>
            <w:tcW w:w="1829" w:type="pct"/>
            <w:gridSpan w:val="3"/>
            <w:noWrap w:val="0"/>
            <w:vAlign w:val="center"/>
          </w:tcPr>
          <w:p w14:paraId="549E6657">
            <w:pPr>
              <w:pStyle w:val="17"/>
              <w:bidi w:val="0"/>
              <w:rPr>
                <w:rFonts w:ascii="Times New Roman" w:hAnsi="Times New Roman"/>
                <w:color w:val="auto"/>
              </w:rPr>
            </w:pPr>
            <w:bookmarkStart w:id="124" w:name="_Toc73940471"/>
            <w:bookmarkStart w:id="125" w:name="_Toc72553650"/>
            <w:bookmarkStart w:id="126" w:name="_Toc72552712"/>
            <w:r>
              <w:rPr>
                <w:rFonts w:ascii="Times New Roman" w:hAnsi="Times New Roman"/>
                <w:color w:val="auto"/>
              </w:rPr>
              <w:t>露天坑入口和露天坑周围易于发生危险的区域应设置围栏和警示标志，防止无关人员进入。</w:t>
            </w:r>
            <w:bookmarkEnd w:id="124"/>
            <w:bookmarkEnd w:id="125"/>
            <w:bookmarkEnd w:id="126"/>
          </w:p>
        </w:tc>
        <w:tc>
          <w:tcPr>
            <w:tcW w:w="932" w:type="pct"/>
            <w:noWrap w:val="0"/>
            <w:vAlign w:val="center"/>
          </w:tcPr>
          <w:p w14:paraId="78959CD0">
            <w:pPr>
              <w:pStyle w:val="17"/>
              <w:bidi w:val="0"/>
              <w:rPr>
                <w:rFonts w:ascii="Times New Roman" w:hAnsi="Times New Roman"/>
                <w:color w:val="auto"/>
              </w:rPr>
            </w:pPr>
            <w:r>
              <w:rPr>
                <w:rFonts w:ascii="Times New Roman" w:hAnsi="Times New Roman"/>
                <w:color w:val="auto"/>
              </w:rPr>
              <w:t>GB16423-2020第5.1.8条</w:t>
            </w:r>
          </w:p>
        </w:tc>
        <w:tc>
          <w:tcPr>
            <w:tcW w:w="1012" w:type="pct"/>
            <w:noWrap w:val="0"/>
            <w:vAlign w:val="center"/>
          </w:tcPr>
          <w:p w14:paraId="5269F92A">
            <w:pPr>
              <w:pStyle w:val="17"/>
              <w:bidi w:val="0"/>
              <w:rPr>
                <w:rFonts w:hint="eastAsia" w:ascii="Times New Roman" w:hAnsi="Times New Roman" w:eastAsia="宋体"/>
                <w:color w:val="auto"/>
                <w:lang w:eastAsia="zh-CN"/>
              </w:rPr>
            </w:pPr>
            <w:r>
              <w:rPr>
                <w:rFonts w:hint="eastAsia" w:ascii="Times New Roman" w:hAnsi="Times New Roman"/>
                <w:color w:val="auto"/>
                <w:lang w:eastAsia="zh-CN"/>
              </w:rPr>
              <w:t>初步设计（代可研）</w:t>
            </w:r>
            <w:r>
              <w:rPr>
                <w:rFonts w:hint="eastAsia" w:ascii="Times New Roman" w:hAnsi="Times New Roman"/>
                <w:color w:val="auto"/>
                <w:lang w:val="en-US" w:eastAsia="zh-CN"/>
              </w:rPr>
              <w:t>未</w:t>
            </w:r>
            <w:r>
              <w:rPr>
                <w:rFonts w:ascii="Times New Roman" w:hAnsi="Times New Roman"/>
                <w:color w:val="auto"/>
              </w:rPr>
              <w:t>进行说明</w:t>
            </w:r>
            <w:r>
              <w:rPr>
                <w:rFonts w:hint="eastAsia" w:ascii="Times New Roman" w:hAnsi="Times New Roman"/>
                <w:color w:val="auto"/>
                <w:lang w:eastAsia="zh-CN"/>
              </w:rPr>
              <w:t>。</w:t>
            </w:r>
          </w:p>
        </w:tc>
        <w:tc>
          <w:tcPr>
            <w:tcW w:w="590" w:type="pct"/>
            <w:noWrap w:val="0"/>
            <w:vAlign w:val="center"/>
          </w:tcPr>
          <w:p w14:paraId="22517B2F">
            <w:pPr>
              <w:pStyle w:val="17"/>
              <w:bidi w:val="0"/>
              <w:rPr>
                <w:rFonts w:ascii="Times New Roman" w:hAnsi="Times New Roman"/>
                <w:color w:val="auto"/>
              </w:rPr>
            </w:pPr>
            <w:r>
              <w:rPr>
                <w:rFonts w:hint="eastAsia" w:ascii="Times New Roman" w:hAnsi="Times New Roman"/>
                <w:color w:val="auto"/>
                <w:lang w:val="en-US" w:eastAsia="zh-CN"/>
              </w:rPr>
              <w:t>不</w:t>
            </w:r>
            <w:r>
              <w:rPr>
                <w:rFonts w:ascii="Times New Roman" w:hAnsi="Times New Roman"/>
                <w:color w:val="auto"/>
              </w:rPr>
              <w:t>符合</w:t>
            </w:r>
          </w:p>
        </w:tc>
      </w:tr>
      <w:tr w14:paraId="03DE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5" w:type="pct"/>
            <w:noWrap w:val="0"/>
            <w:vAlign w:val="center"/>
          </w:tcPr>
          <w:p w14:paraId="42EDB2D0">
            <w:pPr>
              <w:pStyle w:val="17"/>
              <w:bidi w:val="0"/>
              <w:rPr>
                <w:rFonts w:ascii="Times New Roman" w:hAnsi="Times New Roman"/>
                <w:color w:val="auto"/>
              </w:rPr>
            </w:pPr>
            <w:r>
              <w:rPr>
                <w:rFonts w:ascii="Times New Roman" w:hAnsi="Times New Roman"/>
                <w:color w:val="auto"/>
              </w:rPr>
              <w:t>防护设施</w:t>
            </w:r>
          </w:p>
        </w:tc>
        <w:tc>
          <w:tcPr>
            <w:tcW w:w="1829" w:type="pct"/>
            <w:gridSpan w:val="3"/>
            <w:noWrap w:val="0"/>
            <w:vAlign w:val="center"/>
          </w:tcPr>
          <w:p w14:paraId="62D80D1B">
            <w:pPr>
              <w:pStyle w:val="17"/>
              <w:bidi w:val="0"/>
              <w:rPr>
                <w:rFonts w:ascii="Times New Roman" w:hAnsi="Times New Roman"/>
                <w:color w:val="auto"/>
              </w:rPr>
            </w:pPr>
            <w:r>
              <w:rPr>
                <w:rFonts w:ascii="Times New Roman" w:hAnsi="Times New Roman"/>
                <w:color w:val="auto"/>
              </w:rPr>
              <w:t>距坠落基准面2m及2m以上，有人员坠落危险的作业场所应设安全网等防护设施，作业人员应佩戴安全带。有六级以上强风时，不应进行高处作业和露天起重作业。</w:t>
            </w:r>
          </w:p>
        </w:tc>
        <w:tc>
          <w:tcPr>
            <w:tcW w:w="932" w:type="pct"/>
            <w:noWrap w:val="0"/>
            <w:vAlign w:val="center"/>
          </w:tcPr>
          <w:p w14:paraId="3E3C6F6E">
            <w:pPr>
              <w:pStyle w:val="17"/>
              <w:bidi w:val="0"/>
              <w:rPr>
                <w:rFonts w:ascii="Times New Roman" w:hAnsi="Times New Roman"/>
                <w:color w:val="auto"/>
              </w:rPr>
            </w:pPr>
            <w:r>
              <w:rPr>
                <w:rFonts w:ascii="Times New Roman" w:hAnsi="Times New Roman"/>
                <w:color w:val="auto"/>
              </w:rPr>
              <w:t>GB16423-2020第5.1.13条</w:t>
            </w:r>
          </w:p>
        </w:tc>
        <w:tc>
          <w:tcPr>
            <w:tcW w:w="1012" w:type="pct"/>
            <w:noWrap w:val="0"/>
            <w:vAlign w:val="center"/>
          </w:tcPr>
          <w:p w14:paraId="71E16F32">
            <w:pPr>
              <w:pStyle w:val="17"/>
              <w:bidi w:val="0"/>
              <w:rPr>
                <w:rFonts w:hint="eastAsia" w:ascii="Times New Roman" w:hAnsi="Times New Roman" w:eastAsia="宋体"/>
                <w:color w:val="auto"/>
                <w:lang w:eastAsia="zh-CN"/>
              </w:rPr>
            </w:pPr>
            <w:r>
              <w:rPr>
                <w:rFonts w:hint="eastAsia" w:ascii="Times New Roman" w:hAnsi="Times New Roman"/>
                <w:color w:val="auto"/>
                <w:lang w:eastAsia="zh-CN"/>
              </w:rPr>
              <w:t>初步设计（代可研）</w:t>
            </w:r>
            <w:r>
              <w:rPr>
                <w:rFonts w:ascii="Times New Roman" w:hAnsi="Times New Roman"/>
                <w:color w:val="auto"/>
              </w:rPr>
              <w:t>未进行说明</w:t>
            </w:r>
            <w:r>
              <w:rPr>
                <w:rFonts w:hint="eastAsia" w:ascii="Times New Roman" w:hAnsi="Times New Roman"/>
                <w:color w:val="auto"/>
                <w:lang w:eastAsia="zh-CN"/>
              </w:rPr>
              <w:t>。</w:t>
            </w:r>
          </w:p>
        </w:tc>
        <w:tc>
          <w:tcPr>
            <w:tcW w:w="590" w:type="pct"/>
            <w:noWrap w:val="0"/>
            <w:vAlign w:val="center"/>
          </w:tcPr>
          <w:p w14:paraId="7EB35FDB">
            <w:pPr>
              <w:pStyle w:val="17"/>
              <w:bidi w:val="0"/>
              <w:rPr>
                <w:rFonts w:ascii="Times New Roman" w:hAnsi="Times New Roman"/>
                <w:color w:val="auto"/>
              </w:rPr>
            </w:pPr>
            <w:r>
              <w:rPr>
                <w:rFonts w:ascii="Times New Roman" w:hAnsi="Times New Roman"/>
                <w:color w:val="auto"/>
              </w:rPr>
              <w:t>不符合</w:t>
            </w:r>
          </w:p>
        </w:tc>
      </w:tr>
    </w:tbl>
    <w:p w14:paraId="30E21D83">
      <w:pPr>
        <w:pStyle w:val="16"/>
        <w:bidi w:val="0"/>
        <w:rPr>
          <w:rFonts w:ascii="Times New Roman" w:hAnsi="Times New Roman"/>
          <w:color w:val="auto"/>
        </w:rPr>
      </w:pPr>
      <w:r>
        <w:rPr>
          <w:rFonts w:ascii="Times New Roman" w:hAnsi="Times New Roman"/>
          <w:color w:val="auto"/>
        </w:rPr>
        <w:t>表3.3-</w:t>
      </w:r>
      <w:r>
        <w:rPr>
          <w:rFonts w:hint="eastAsia" w:ascii="Times New Roman" w:hAnsi="Times New Roman"/>
          <w:color w:val="auto"/>
          <w:lang w:val="en-US" w:eastAsia="zh-CN"/>
        </w:rPr>
        <w:t>11</w:t>
      </w:r>
      <w:r>
        <w:rPr>
          <w:rFonts w:ascii="Times New Roman" w:hAnsi="Times New Roman"/>
          <w:color w:val="auto"/>
        </w:rPr>
        <w:t xml:space="preserve">  边坡监测安全检查表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3435"/>
        <w:gridCol w:w="1755"/>
        <w:gridCol w:w="1933"/>
        <w:gridCol w:w="1082"/>
      </w:tblGrid>
      <w:tr w14:paraId="653C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195" w:type="dxa"/>
            <w:noWrap w:val="0"/>
            <w:vAlign w:val="center"/>
          </w:tcPr>
          <w:p w14:paraId="1FB96BBA">
            <w:pPr>
              <w:pStyle w:val="17"/>
              <w:bidi w:val="0"/>
              <w:rPr>
                <w:rFonts w:ascii="Times New Roman" w:hAnsi="Times New Roman"/>
                <w:b/>
                <w:bCs/>
                <w:color w:val="auto"/>
              </w:rPr>
            </w:pPr>
            <w:r>
              <w:rPr>
                <w:rFonts w:ascii="Times New Roman" w:hAnsi="Times New Roman"/>
                <w:b/>
                <w:bCs/>
                <w:color w:val="auto"/>
              </w:rPr>
              <w:t>检查项目</w:t>
            </w:r>
          </w:p>
        </w:tc>
        <w:tc>
          <w:tcPr>
            <w:tcW w:w="3435" w:type="dxa"/>
            <w:noWrap w:val="0"/>
            <w:vAlign w:val="center"/>
          </w:tcPr>
          <w:p w14:paraId="3DFBE3D8">
            <w:pPr>
              <w:pStyle w:val="17"/>
              <w:bidi w:val="0"/>
              <w:rPr>
                <w:rFonts w:ascii="Times New Roman" w:hAnsi="Times New Roman"/>
                <w:b/>
                <w:bCs/>
                <w:color w:val="auto"/>
              </w:rPr>
            </w:pPr>
            <w:r>
              <w:rPr>
                <w:rFonts w:ascii="Times New Roman" w:hAnsi="Times New Roman"/>
                <w:b/>
                <w:bCs/>
                <w:color w:val="auto"/>
              </w:rPr>
              <w:t>检查条款内容</w:t>
            </w:r>
          </w:p>
        </w:tc>
        <w:tc>
          <w:tcPr>
            <w:tcW w:w="1755" w:type="dxa"/>
            <w:noWrap w:val="0"/>
            <w:vAlign w:val="center"/>
          </w:tcPr>
          <w:p w14:paraId="59AEE170">
            <w:pPr>
              <w:pStyle w:val="17"/>
              <w:bidi w:val="0"/>
              <w:rPr>
                <w:rFonts w:ascii="Times New Roman" w:hAnsi="Times New Roman"/>
                <w:b/>
                <w:bCs/>
                <w:color w:val="auto"/>
              </w:rPr>
            </w:pPr>
            <w:r>
              <w:rPr>
                <w:rFonts w:ascii="Times New Roman" w:hAnsi="Times New Roman"/>
                <w:b/>
                <w:bCs/>
                <w:color w:val="auto"/>
              </w:rPr>
              <w:t>依据标准条款</w:t>
            </w:r>
          </w:p>
        </w:tc>
        <w:tc>
          <w:tcPr>
            <w:tcW w:w="1933" w:type="dxa"/>
            <w:noWrap w:val="0"/>
            <w:vAlign w:val="center"/>
          </w:tcPr>
          <w:p w14:paraId="7DBA9C02">
            <w:pPr>
              <w:pStyle w:val="17"/>
              <w:bidi w:val="0"/>
              <w:rPr>
                <w:rFonts w:ascii="Times New Roman" w:hAnsi="Times New Roman"/>
                <w:b/>
                <w:bCs/>
                <w:color w:val="auto"/>
              </w:rPr>
            </w:pPr>
            <w:r>
              <w:rPr>
                <w:rFonts w:ascii="Times New Roman" w:hAnsi="Times New Roman"/>
                <w:b/>
                <w:bCs/>
                <w:color w:val="auto"/>
              </w:rPr>
              <w:t>检查情况</w:t>
            </w:r>
          </w:p>
        </w:tc>
        <w:tc>
          <w:tcPr>
            <w:tcW w:w="1082" w:type="dxa"/>
            <w:noWrap w:val="0"/>
            <w:vAlign w:val="center"/>
          </w:tcPr>
          <w:p w14:paraId="27730EC4">
            <w:pPr>
              <w:pStyle w:val="17"/>
              <w:bidi w:val="0"/>
              <w:rPr>
                <w:rFonts w:ascii="Times New Roman" w:hAnsi="Times New Roman"/>
                <w:b/>
                <w:bCs/>
                <w:color w:val="auto"/>
              </w:rPr>
            </w:pPr>
            <w:r>
              <w:rPr>
                <w:rFonts w:ascii="Times New Roman" w:hAnsi="Times New Roman"/>
                <w:b/>
                <w:bCs/>
                <w:color w:val="auto"/>
              </w:rPr>
              <w:t>检查结果</w:t>
            </w:r>
          </w:p>
        </w:tc>
      </w:tr>
      <w:tr w14:paraId="7307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noWrap w:val="0"/>
            <w:vAlign w:val="center"/>
          </w:tcPr>
          <w:p w14:paraId="51D6114C">
            <w:pPr>
              <w:pStyle w:val="17"/>
              <w:bidi w:val="0"/>
              <w:rPr>
                <w:rFonts w:ascii="Times New Roman" w:hAnsi="Times New Roman"/>
                <w:color w:val="auto"/>
              </w:rPr>
            </w:pPr>
            <w:r>
              <w:rPr>
                <w:rFonts w:ascii="Times New Roman" w:hAnsi="Times New Roman"/>
                <w:color w:val="auto"/>
              </w:rPr>
              <w:t>监测点设置</w:t>
            </w:r>
          </w:p>
        </w:tc>
        <w:tc>
          <w:tcPr>
            <w:tcW w:w="3435" w:type="dxa"/>
            <w:noWrap w:val="0"/>
            <w:vAlign w:val="center"/>
          </w:tcPr>
          <w:p w14:paraId="3DA1AFE4">
            <w:pPr>
              <w:pStyle w:val="17"/>
              <w:bidi w:val="0"/>
              <w:rPr>
                <w:rFonts w:ascii="Times New Roman" w:hAnsi="Times New Roman"/>
                <w:color w:val="auto"/>
              </w:rPr>
            </w:pPr>
            <w:r>
              <w:rPr>
                <w:rFonts w:ascii="Times New Roman" w:hAnsi="Times New Roman"/>
                <w:color w:val="auto"/>
              </w:rPr>
              <w:t>监测基点设置应不少于3个，且设在稳定区域内</w:t>
            </w:r>
          </w:p>
        </w:tc>
        <w:tc>
          <w:tcPr>
            <w:tcW w:w="1755" w:type="dxa"/>
            <w:noWrap w:val="0"/>
            <w:vAlign w:val="center"/>
          </w:tcPr>
          <w:p w14:paraId="38478D20">
            <w:pPr>
              <w:pStyle w:val="17"/>
              <w:bidi w:val="0"/>
              <w:rPr>
                <w:rFonts w:ascii="Times New Roman" w:hAnsi="Times New Roman"/>
                <w:color w:val="auto"/>
              </w:rPr>
            </w:pPr>
            <w:r>
              <w:rPr>
                <w:rFonts w:hint="eastAsia" w:ascii="Times New Roman" w:hAnsi="Times New Roman"/>
                <w:color w:val="auto"/>
              </w:rPr>
              <w:t>KA</w:t>
            </w:r>
            <w:r>
              <w:rPr>
                <w:rFonts w:ascii="Times New Roman" w:hAnsi="Times New Roman"/>
                <w:color w:val="auto"/>
              </w:rPr>
              <w:t>/T2063-2018</w:t>
            </w:r>
          </w:p>
          <w:p w14:paraId="69051562">
            <w:pPr>
              <w:pStyle w:val="17"/>
              <w:bidi w:val="0"/>
              <w:rPr>
                <w:rFonts w:ascii="Times New Roman" w:hAnsi="Times New Roman"/>
                <w:color w:val="auto"/>
              </w:rPr>
            </w:pPr>
            <w:r>
              <w:rPr>
                <w:rFonts w:ascii="Times New Roman" w:hAnsi="Times New Roman"/>
                <w:color w:val="auto"/>
              </w:rPr>
              <w:t>第5.2.2条</w:t>
            </w:r>
          </w:p>
        </w:tc>
        <w:tc>
          <w:tcPr>
            <w:tcW w:w="1933" w:type="dxa"/>
            <w:noWrap w:val="0"/>
            <w:vAlign w:val="center"/>
          </w:tcPr>
          <w:p w14:paraId="25F203CA">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中说明</w:t>
            </w:r>
            <w:r>
              <w:rPr>
                <w:rFonts w:hint="eastAsia" w:ascii="Times New Roman" w:hAnsi="Times New Roman"/>
                <w:color w:val="auto"/>
                <w:lang w:val="en-US" w:eastAsia="zh-CN"/>
              </w:rPr>
              <w:t>终了边坡监测，</w:t>
            </w:r>
            <w:r>
              <w:rPr>
                <w:rFonts w:ascii="Times New Roman" w:hAnsi="Times New Roman"/>
                <w:color w:val="auto"/>
              </w:rPr>
              <w:t>设置</w:t>
            </w:r>
            <w:r>
              <w:rPr>
                <w:rFonts w:hint="eastAsia" w:ascii="Times New Roman" w:hAnsi="Times New Roman"/>
                <w:color w:val="auto"/>
                <w:lang w:val="en-US" w:eastAsia="zh-CN"/>
              </w:rPr>
              <w:t>7</w:t>
            </w:r>
            <w:r>
              <w:rPr>
                <w:rFonts w:ascii="Times New Roman" w:hAnsi="Times New Roman"/>
                <w:color w:val="auto"/>
              </w:rPr>
              <w:t>个</w:t>
            </w:r>
            <w:r>
              <w:rPr>
                <w:rFonts w:hint="eastAsia" w:ascii="Times New Roman" w:hAnsi="Times New Roman"/>
                <w:color w:val="auto"/>
              </w:rPr>
              <w:t>表面</w:t>
            </w:r>
            <w:r>
              <w:rPr>
                <w:rFonts w:ascii="Times New Roman" w:hAnsi="Times New Roman"/>
                <w:color w:val="auto"/>
              </w:rPr>
              <w:t>监测点及</w:t>
            </w:r>
            <w:r>
              <w:rPr>
                <w:rFonts w:hint="eastAsia" w:ascii="Times New Roman" w:hAnsi="Times New Roman"/>
                <w:color w:val="auto"/>
              </w:rPr>
              <w:t>3</w:t>
            </w:r>
            <w:r>
              <w:rPr>
                <w:rFonts w:ascii="Times New Roman" w:hAnsi="Times New Roman"/>
                <w:color w:val="auto"/>
              </w:rPr>
              <w:t>个基准点</w:t>
            </w:r>
            <w:r>
              <w:rPr>
                <w:rFonts w:hint="eastAsia" w:ascii="Times New Roman" w:hAnsi="Times New Roman"/>
                <w:color w:val="auto"/>
              </w:rPr>
              <w:t>，视频监控</w:t>
            </w:r>
            <w:r>
              <w:rPr>
                <w:rFonts w:hint="eastAsia" w:ascii="Times New Roman" w:hAnsi="Times New Roman"/>
                <w:color w:val="auto"/>
                <w:lang w:val="en-US" w:eastAsia="zh-CN"/>
              </w:rPr>
              <w:t>2</w:t>
            </w:r>
            <w:r>
              <w:rPr>
                <w:rFonts w:hint="eastAsia" w:ascii="Times New Roman" w:hAnsi="Times New Roman"/>
                <w:color w:val="auto"/>
              </w:rPr>
              <w:t>个，降雨量监测1个</w:t>
            </w:r>
            <w:r>
              <w:rPr>
                <w:rFonts w:ascii="Times New Roman" w:hAnsi="Times New Roman"/>
                <w:color w:val="auto"/>
              </w:rPr>
              <w:t>。</w:t>
            </w:r>
          </w:p>
        </w:tc>
        <w:tc>
          <w:tcPr>
            <w:tcW w:w="1082" w:type="dxa"/>
            <w:noWrap w:val="0"/>
            <w:vAlign w:val="center"/>
          </w:tcPr>
          <w:p w14:paraId="28F4F3A0">
            <w:pPr>
              <w:pStyle w:val="17"/>
              <w:bidi w:val="0"/>
              <w:rPr>
                <w:rFonts w:ascii="Times New Roman" w:hAnsi="Times New Roman"/>
                <w:color w:val="auto"/>
              </w:rPr>
            </w:pPr>
            <w:r>
              <w:rPr>
                <w:rFonts w:ascii="Times New Roman" w:hAnsi="Times New Roman"/>
                <w:color w:val="auto"/>
              </w:rPr>
              <w:t>符合</w:t>
            </w:r>
          </w:p>
        </w:tc>
      </w:tr>
      <w:tr w14:paraId="247C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noWrap w:val="0"/>
            <w:vAlign w:val="center"/>
          </w:tcPr>
          <w:p w14:paraId="77D7BF13">
            <w:pPr>
              <w:pStyle w:val="17"/>
              <w:bidi w:val="0"/>
              <w:rPr>
                <w:rFonts w:ascii="Times New Roman" w:hAnsi="Times New Roman"/>
                <w:color w:val="auto"/>
              </w:rPr>
            </w:pPr>
            <w:r>
              <w:rPr>
                <w:rFonts w:ascii="Times New Roman" w:hAnsi="Times New Roman"/>
                <w:color w:val="auto"/>
              </w:rPr>
              <w:t>非接触式监测</w:t>
            </w:r>
          </w:p>
        </w:tc>
        <w:tc>
          <w:tcPr>
            <w:tcW w:w="3435" w:type="dxa"/>
            <w:noWrap w:val="0"/>
            <w:vAlign w:val="center"/>
          </w:tcPr>
          <w:p w14:paraId="51F78EF2">
            <w:pPr>
              <w:pStyle w:val="17"/>
              <w:bidi w:val="0"/>
              <w:rPr>
                <w:rFonts w:ascii="Times New Roman" w:hAnsi="Times New Roman"/>
                <w:color w:val="auto"/>
              </w:rPr>
            </w:pPr>
            <w:r>
              <w:rPr>
                <w:rFonts w:ascii="Times New Roman" w:hAnsi="Times New Roman"/>
                <w:color w:val="auto"/>
              </w:rPr>
              <w:t>采用非接触式位移监测方法时，应覆盖需监测的采场边坡分区，监测结果误差不大于6mm，有效监测点水平、垂直间距均不大于50m</w:t>
            </w:r>
          </w:p>
        </w:tc>
        <w:tc>
          <w:tcPr>
            <w:tcW w:w="1755" w:type="dxa"/>
            <w:noWrap w:val="0"/>
            <w:vAlign w:val="center"/>
          </w:tcPr>
          <w:p w14:paraId="03760BBE">
            <w:pPr>
              <w:pStyle w:val="17"/>
              <w:bidi w:val="0"/>
              <w:rPr>
                <w:rFonts w:ascii="Times New Roman" w:hAnsi="Times New Roman"/>
                <w:color w:val="auto"/>
              </w:rPr>
            </w:pPr>
            <w:r>
              <w:rPr>
                <w:rFonts w:hint="eastAsia" w:ascii="Times New Roman" w:hAnsi="Times New Roman"/>
                <w:color w:val="auto"/>
              </w:rPr>
              <w:t>KA</w:t>
            </w:r>
            <w:r>
              <w:rPr>
                <w:rFonts w:ascii="Times New Roman" w:hAnsi="Times New Roman"/>
                <w:color w:val="auto"/>
              </w:rPr>
              <w:t>/T2063-2018</w:t>
            </w:r>
          </w:p>
          <w:p w14:paraId="58052B60">
            <w:pPr>
              <w:pStyle w:val="17"/>
              <w:bidi w:val="0"/>
              <w:rPr>
                <w:rFonts w:ascii="Times New Roman" w:hAnsi="Times New Roman"/>
                <w:color w:val="auto"/>
              </w:rPr>
            </w:pPr>
            <w:r>
              <w:rPr>
                <w:rFonts w:ascii="Times New Roman" w:hAnsi="Times New Roman"/>
                <w:color w:val="auto"/>
              </w:rPr>
              <w:t>第5.2.4条</w:t>
            </w:r>
          </w:p>
        </w:tc>
        <w:tc>
          <w:tcPr>
            <w:tcW w:w="1933" w:type="dxa"/>
            <w:noWrap w:val="0"/>
            <w:vAlign w:val="center"/>
          </w:tcPr>
          <w:p w14:paraId="2302F506">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中监测点距离</w:t>
            </w:r>
            <w:r>
              <w:rPr>
                <w:rFonts w:hint="eastAsia" w:ascii="Times New Roman" w:hAnsi="Times New Roman"/>
                <w:color w:val="auto"/>
                <w:lang w:val="en-US" w:eastAsia="zh-CN"/>
              </w:rPr>
              <w:t>已</w:t>
            </w:r>
            <w:r>
              <w:rPr>
                <w:rFonts w:ascii="Times New Roman" w:hAnsi="Times New Roman"/>
                <w:color w:val="auto"/>
              </w:rPr>
              <w:t>进行说明</w:t>
            </w:r>
          </w:p>
        </w:tc>
        <w:tc>
          <w:tcPr>
            <w:tcW w:w="1082" w:type="dxa"/>
            <w:noWrap w:val="0"/>
            <w:vAlign w:val="center"/>
          </w:tcPr>
          <w:p w14:paraId="478EDD60">
            <w:pPr>
              <w:pStyle w:val="17"/>
              <w:bidi w:val="0"/>
              <w:rPr>
                <w:rFonts w:ascii="Times New Roman" w:hAnsi="Times New Roman"/>
                <w:color w:val="auto"/>
              </w:rPr>
            </w:pPr>
            <w:r>
              <w:rPr>
                <w:rFonts w:ascii="Times New Roman" w:hAnsi="Times New Roman"/>
                <w:color w:val="auto"/>
              </w:rPr>
              <w:t>符合</w:t>
            </w:r>
          </w:p>
        </w:tc>
      </w:tr>
      <w:tr w14:paraId="71A9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noWrap w:val="0"/>
            <w:vAlign w:val="center"/>
          </w:tcPr>
          <w:p w14:paraId="2C0B6768">
            <w:pPr>
              <w:pStyle w:val="17"/>
              <w:bidi w:val="0"/>
              <w:rPr>
                <w:rFonts w:ascii="Times New Roman" w:hAnsi="Times New Roman"/>
                <w:color w:val="auto"/>
              </w:rPr>
            </w:pPr>
            <w:r>
              <w:rPr>
                <w:rFonts w:ascii="Times New Roman" w:hAnsi="Times New Roman"/>
                <w:color w:val="auto"/>
              </w:rPr>
              <w:t>监测时间间隔</w:t>
            </w:r>
          </w:p>
        </w:tc>
        <w:tc>
          <w:tcPr>
            <w:tcW w:w="3435" w:type="dxa"/>
            <w:noWrap w:val="0"/>
            <w:vAlign w:val="center"/>
          </w:tcPr>
          <w:p w14:paraId="54B75F64">
            <w:pPr>
              <w:pStyle w:val="17"/>
              <w:bidi w:val="0"/>
              <w:rPr>
                <w:rFonts w:ascii="Times New Roman" w:hAnsi="Times New Roman"/>
                <w:color w:val="auto"/>
              </w:rPr>
            </w:pPr>
            <w:r>
              <w:rPr>
                <w:rFonts w:ascii="Times New Roman" w:hAnsi="Times New Roman"/>
                <w:color w:val="auto"/>
              </w:rPr>
              <w:t>人工监测应每月不少于一次，在雨季和融雪季节应每半月进行一次。出现等速变形时，应每周不少于1次，加速变形时应每日进行监测。</w:t>
            </w:r>
          </w:p>
        </w:tc>
        <w:tc>
          <w:tcPr>
            <w:tcW w:w="1755" w:type="dxa"/>
            <w:noWrap w:val="0"/>
            <w:vAlign w:val="center"/>
          </w:tcPr>
          <w:p w14:paraId="198B1B29">
            <w:pPr>
              <w:pStyle w:val="17"/>
              <w:bidi w:val="0"/>
              <w:rPr>
                <w:rFonts w:ascii="Times New Roman" w:hAnsi="Times New Roman"/>
                <w:color w:val="auto"/>
              </w:rPr>
            </w:pPr>
            <w:r>
              <w:rPr>
                <w:rFonts w:hint="eastAsia" w:ascii="Times New Roman" w:hAnsi="Times New Roman"/>
                <w:color w:val="auto"/>
              </w:rPr>
              <w:t>KA</w:t>
            </w:r>
            <w:r>
              <w:rPr>
                <w:rFonts w:ascii="Times New Roman" w:hAnsi="Times New Roman"/>
                <w:color w:val="auto"/>
              </w:rPr>
              <w:t>/T2063-2018</w:t>
            </w:r>
          </w:p>
          <w:p w14:paraId="7CA74CC5">
            <w:pPr>
              <w:pStyle w:val="17"/>
              <w:bidi w:val="0"/>
              <w:rPr>
                <w:rFonts w:ascii="Times New Roman" w:hAnsi="Times New Roman"/>
                <w:color w:val="auto"/>
              </w:rPr>
            </w:pPr>
            <w:r>
              <w:rPr>
                <w:rFonts w:ascii="Times New Roman" w:hAnsi="Times New Roman"/>
                <w:color w:val="auto"/>
              </w:rPr>
              <w:t>第5.2.5条</w:t>
            </w:r>
          </w:p>
        </w:tc>
        <w:tc>
          <w:tcPr>
            <w:tcW w:w="1933" w:type="dxa"/>
            <w:noWrap w:val="0"/>
            <w:vAlign w:val="center"/>
          </w:tcPr>
          <w:p w14:paraId="39CCDA80">
            <w:pPr>
              <w:pStyle w:val="17"/>
              <w:bidi w:val="0"/>
              <w:rPr>
                <w:rFonts w:hint="eastAsia" w:ascii="Times New Roman" w:hAnsi="Times New Roman"/>
                <w:color w:val="auto"/>
                <w:lang w:eastAsia="zh-CN"/>
              </w:rPr>
            </w:pPr>
            <w:r>
              <w:rPr>
                <w:rFonts w:hint="eastAsia" w:ascii="Times New Roman" w:hAnsi="Times New Roman"/>
                <w:color w:val="auto"/>
                <w:lang w:eastAsia="zh-CN"/>
              </w:rPr>
              <w:t>初步设计（代可研）</w:t>
            </w:r>
            <w:r>
              <w:rPr>
                <w:rFonts w:ascii="Times New Roman" w:hAnsi="Times New Roman"/>
                <w:color w:val="auto"/>
              </w:rPr>
              <w:t>中</w:t>
            </w:r>
            <w:r>
              <w:rPr>
                <w:rFonts w:hint="eastAsia" w:ascii="Times New Roman" w:hAnsi="Times New Roman"/>
                <w:color w:val="auto"/>
              </w:rPr>
              <w:t>说明位移变化不明显的监测点每月测1次，位移变化明显的监测点每周测1次，有显著位移变化的监测点每三天测量1次，位移变化剧烈的监测点每天测量</w:t>
            </w:r>
            <w:r>
              <w:rPr>
                <w:rFonts w:hint="eastAsia" w:ascii="Times New Roman" w:hAnsi="Times New Roman"/>
                <w:color w:val="auto"/>
                <w:lang w:eastAsia="zh-CN"/>
              </w:rPr>
              <w:t>。</w:t>
            </w:r>
          </w:p>
        </w:tc>
        <w:tc>
          <w:tcPr>
            <w:tcW w:w="1082" w:type="dxa"/>
            <w:noWrap w:val="0"/>
            <w:vAlign w:val="center"/>
          </w:tcPr>
          <w:p w14:paraId="09F86560">
            <w:pPr>
              <w:pStyle w:val="17"/>
              <w:bidi w:val="0"/>
              <w:rPr>
                <w:rFonts w:ascii="Times New Roman" w:hAnsi="Times New Roman"/>
                <w:color w:val="auto"/>
              </w:rPr>
            </w:pPr>
            <w:r>
              <w:rPr>
                <w:rFonts w:ascii="Times New Roman" w:hAnsi="Times New Roman"/>
                <w:color w:val="auto"/>
              </w:rPr>
              <w:t>符合</w:t>
            </w:r>
          </w:p>
        </w:tc>
      </w:tr>
      <w:tr w14:paraId="2DFB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5" w:type="dxa"/>
            <w:noWrap w:val="0"/>
            <w:vAlign w:val="center"/>
          </w:tcPr>
          <w:p w14:paraId="06F55C22">
            <w:pPr>
              <w:pStyle w:val="17"/>
              <w:bidi w:val="0"/>
              <w:rPr>
                <w:rFonts w:ascii="Times New Roman" w:hAnsi="Times New Roman"/>
                <w:color w:val="auto"/>
              </w:rPr>
            </w:pPr>
            <w:r>
              <w:rPr>
                <w:rFonts w:ascii="Times New Roman" w:hAnsi="Times New Roman"/>
                <w:color w:val="auto"/>
              </w:rPr>
              <w:t>爆破振动监测</w:t>
            </w:r>
          </w:p>
        </w:tc>
        <w:tc>
          <w:tcPr>
            <w:tcW w:w="3435" w:type="dxa"/>
            <w:noWrap w:val="0"/>
            <w:vAlign w:val="center"/>
          </w:tcPr>
          <w:p w14:paraId="497CFA18">
            <w:pPr>
              <w:pStyle w:val="17"/>
              <w:bidi w:val="0"/>
              <w:rPr>
                <w:rFonts w:ascii="Times New Roman" w:hAnsi="Times New Roman"/>
                <w:color w:val="auto"/>
              </w:rPr>
            </w:pPr>
            <w:r>
              <w:rPr>
                <w:rFonts w:ascii="Times New Roman" w:hAnsi="Times New Roman"/>
                <w:color w:val="auto"/>
              </w:rPr>
              <w:t>已经形成的最终边坡的爆破振动速度监测点应设在主滑方向最底部坡脚处，测点不少于3个；未形成最终边坡或最终边坡的露出高度小于50m时，应设置在边坡主滑方向的临时边坡面坡脚处，测点不少于3个</w:t>
            </w:r>
          </w:p>
        </w:tc>
        <w:tc>
          <w:tcPr>
            <w:tcW w:w="1755" w:type="dxa"/>
            <w:noWrap w:val="0"/>
            <w:vAlign w:val="center"/>
          </w:tcPr>
          <w:p w14:paraId="689D69BE">
            <w:pPr>
              <w:pStyle w:val="17"/>
              <w:bidi w:val="0"/>
              <w:rPr>
                <w:rFonts w:ascii="Times New Roman" w:hAnsi="Times New Roman"/>
                <w:color w:val="auto"/>
              </w:rPr>
            </w:pPr>
            <w:r>
              <w:rPr>
                <w:rFonts w:hint="eastAsia" w:ascii="Times New Roman" w:hAnsi="Times New Roman"/>
                <w:color w:val="auto"/>
              </w:rPr>
              <w:t>KA</w:t>
            </w:r>
            <w:r>
              <w:rPr>
                <w:rFonts w:ascii="Times New Roman" w:hAnsi="Times New Roman"/>
                <w:color w:val="auto"/>
              </w:rPr>
              <w:t>/T2063-2018</w:t>
            </w:r>
          </w:p>
          <w:p w14:paraId="3338EBB4">
            <w:pPr>
              <w:pStyle w:val="17"/>
              <w:bidi w:val="0"/>
              <w:rPr>
                <w:rFonts w:ascii="Times New Roman" w:hAnsi="Times New Roman"/>
                <w:color w:val="auto"/>
              </w:rPr>
            </w:pPr>
            <w:r>
              <w:rPr>
                <w:rFonts w:ascii="Times New Roman" w:hAnsi="Times New Roman"/>
                <w:color w:val="auto"/>
              </w:rPr>
              <w:t>第7.3条</w:t>
            </w:r>
          </w:p>
        </w:tc>
        <w:tc>
          <w:tcPr>
            <w:tcW w:w="1933" w:type="dxa"/>
            <w:noWrap w:val="0"/>
            <w:vAlign w:val="center"/>
          </w:tcPr>
          <w:p w14:paraId="722621D7">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w:t>
            </w:r>
            <w:r>
              <w:rPr>
                <w:rFonts w:hint="eastAsia" w:ascii="Times New Roman" w:hAnsi="Times New Roman"/>
                <w:color w:val="auto"/>
              </w:rPr>
              <w:t>说明矿山边坡滑坡风险等级为</w:t>
            </w:r>
            <w:r>
              <w:rPr>
                <w:rFonts w:hint="eastAsia" w:ascii="Times New Roman" w:hAnsi="Times New Roman"/>
                <w:color w:val="auto"/>
                <w:lang w:val="en-US" w:eastAsia="zh-CN"/>
              </w:rPr>
              <w:t>4</w:t>
            </w:r>
            <w:r>
              <w:rPr>
                <w:rFonts w:hint="eastAsia" w:ascii="Times New Roman" w:hAnsi="Times New Roman"/>
                <w:color w:val="auto"/>
              </w:rPr>
              <w:t>级</w:t>
            </w:r>
            <w:r>
              <w:rPr>
                <w:rFonts w:hint="eastAsia" w:ascii="Times New Roman" w:hAnsi="Times New Roman"/>
                <w:color w:val="auto"/>
                <w:lang w:eastAsia="zh-CN"/>
              </w:rPr>
              <w:t>，</w:t>
            </w:r>
            <w:r>
              <w:rPr>
                <w:rFonts w:hint="eastAsia" w:ascii="Times New Roman" w:hAnsi="Times New Roman"/>
                <w:color w:val="auto"/>
                <w:lang w:val="en-US" w:eastAsia="zh-CN"/>
              </w:rPr>
              <w:t>可不设置爆破振动监测</w:t>
            </w:r>
            <w:r>
              <w:rPr>
                <w:rFonts w:hint="eastAsia" w:ascii="Times New Roman" w:hAnsi="Times New Roman"/>
                <w:color w:val="auto"/>
              </w:rPr>
              <w:t>。</w:t>
            </w:r>
          </w:p>
        </w:tc>
        <w:tc>
          <w:tcPr>
            <w:tcW w:w="1082" w:type="dxa"/>
            <w:noWrap w:val="0"/>
            <w:vAlign w:val="center"/>
          </w:tcPr>
          <w:p w14:paraId="72EA2C95">
            <w:pPr>
              <w:pStyle w:val="17"/>
              <w:bidi w:val="0"/>
              <w:rPr>
                <w:rFonts w:hint="eastAsia" w:ascii="Times New Roman" w:hAnsi="Times New Roman"/>
                <w:color w:val="auto"/>
                <w:lang w:eastAsia="zh-CN"/>
              </w:rPr>
            </w:pPr>
            <w:r>
              <w:rPr>
                <w:rFonts w:hint="eastAsia" w:ascii="Times New Roman" w:hAnsi="Times New Roman"/>
                <w:color w:val="auto"/>
                <w:lang w:val="en-US" w:eastAsia="zh-CN"/>
              </w:rPr>
              <w:t>符合</w:t>
            </w:r>
          </w:p>
        </w:tc>
      </w:tr>
    </w:tbl>
    <w:p w14:paraId="62B2F5D2">
      <w:pPr>
        <w:pStyle w:val="5"/>
        <w:bidi w:val="0"/>
        <w:rPr>
          <w:rFonts w:ascii="Times New Roman" w:hAnsi="Times New Roman"/>
          <w:color w:val="auto"/>
        </w:rPr>
      </w:pPr>
      <w:r>
        <w:rPr>
          <w:rFonts w:ascii="Times New Roman" w:hAnsi="Times New Roman"/>
          <w:color w:val="auto"/>
        </w:rPr>
        <w:t>3.3.2.</w:t>
      </w:r>
      <w:r>
        <w:rPr>
          <w:rFonts w:hint="eastAsia" w:ascii="Times New Roman" w:hAnsi="Times New Roman"/>
          <w:color w:val="auto"/>
          <w:lang w:val="en-US" w:eastAsia="zh-CN"/>
        </w:rPr>
        <w:t xml:space="preserve">6 </w:t>
      </w:r>
      <w:r>
        <w:rPr>
          <w:rFonts w:ascii="Times New Roman" w:hAnsi="Times New Roman"/>
          <w:color w:val="auto"/>
        </w:rPr>
        <w:t>单元小结</w:t>
      </w:r>
    </w:p>
    <w:p w14:paraId="45C6A2AE">
      <w:pPr>
        <w:bidi w:val="0"/>
        <w:rPr>
          <w:rFonts w:ascii="Times New Roman" w:hAnsi="Times New Roman"/>
          <w:color w:val="auto"/>
          <w:lang w:val="zh-CN"/>
        </w:rPr>
      </w:pPr>
      <w:r>
        <w:rPr>
          <w:rFonts w:hint="eastAsia" w:ascii="Times New Roman" w:hAnsi="Times New Roman"/>
          <w:color w:val="auto"/>
          <w:lang w:val="zh-CN"/>
        </w:rPr>
        <w:t>初步设计（代可研）</w:t>
      </w:r>
      <w:r>
        <w:rPr>
          <w:rFonts w:ascii="Times New Roman" w:hAnsi="Times New Roman"/>
          <w:color w:val="auto"/>
          <w:lang w:val="zh-CN"/>
        </w:rPr>
        <w:t>中设计的露天矿山的台阶高度、台阶坡面角、最小工作平台宽度、终了边坡角边坡等参数与所采用的采剥工艺，符合《金属非金属矿山安全规程》</w:t>
      </w:r>
      <w:r>
        <w:rPr>
          <w:rFonts w:hint="eastAsia" w:ascii="Times New Roman" w:hAnsi="Times New Roman"/>
          <w:color w:val="auto"/>
          <w:lang w:val="zh-CN"/>
        </w:rPr>
        <w:t>（</w:t>
      </w:r>
      <w:r>
        <w:rPr>
          <w:rFonts w:ascii="Times New Roman" w:hAnsi="Times New Roman"/>
          <w:color w:val="auto"/>
          <w:lang w:val="zh-CN"/>
        </w:rPr>
        <w:t>GB16423-20</w:t>
      </w:r>
      <w:r>
        <w:rPr>
          <w:rFonts w:ascii="Times New Roman" w:hAnsi="Times New Roman"/>
          <w:color w:val="auto"/>
        </w:rPr>
        <w:t>20</w:t>
      </w:r>
      <w:r>
        <w:rPr>
          <w:rFonts w:hint="eastAsia" w:ascii="Times New Roman" w:hAnsi="Times New Roman"/>
          <w:color w:val="auto"/>
          <w:lang w:val="zh-CN"/>
        </w:rPr>
        <w:t>）</w:t>
      </w:r>
      <w:r>
        <w:rPr>
          <w:rFonts w:ascii="Times New Roman" w:hAnsi="Times New Roman"/>
          <w:color w:val="auto"/>
          <w:lang w:val="zh-CN"/>
        </w:rPr>
        <w:t>的相关规定。</w:t>
      </w:r>
    </w:p>
    <w:p w14:paraId="06EEFDCA">
      <w:pPr>
        <w:bidi w:val="0"/>
        <w:rPr>
          <w:rFonts w:ascii="Times New Roman" w:hAnsi="Times New Roman"/>
          <w:color w:val="auto"/>
        </w:rPr>
      </w:pPr>
      <w:r>
        <w:rPr>
          <w:rFonts w:ascii="Times New Roman" w:hAnsi="Times New Roman"/>
          <w:color w:val="auto"/>
        </w:rPr>
        <w:t>本单元应注意以下问题：</w:t>
      </w:r>
    </w:p>
    <w:p w14:paraId="5E3924CB">
      <w:pPr>
        <w:bidi w:val="0"/>
        <w:rPr>
          <w:rFonts w:ascii="Times New Roman" w:hAnsi="Times New Roman"/>
          <w:color w:val="auto"/>
        </w:rPr>
      </w:pPr>
      <w:r>
        <w:rPr>
          <w:rFonts w:ascii="Times New Roman" w:hAnsi="Times New Roman"/>
          <w:color w:val="auto"/>
        </w:rPr>
        <w:t>（</w:t>
      </w:r>
      <w:r>
        <w:rPr>
          <w:rFonts w:hint="eastAsia" w:ascii="Times New Roman" w:hAnsi="Times New Roman"/>
          <w:color w:val="auto"/>
          <w:lang w:val="en-US" w:eastAsia="zh-CN"/>
        </w:rPr>
        <w:t>1</w:t>
      </w:r>
      <w:r>
        <w:rPr>
          <w:rFonts w:ascii="Times New Roman" w:hAnsi="Times New Roman"/>
          <w:color w:val="auto"/>
        </w:rPr>
        <w:t>）下一步设计中应完善采场应采取的安全措施，矿山在露天坑入口和露天坑周围易于发生危险的区域应设置围栏和警示标志，防止无关人员误入。</w:t>
      </w:r>
    </w:p>
    <w:p w14:paraId="7BCC3A6C">
      <w:pPr>
        <w:bidi w:val="0"/>
        <w:rPr>
          <w:rFonts w:ascii="Times New Roman" w:hAnsi="Times New Roman"/>
          <w:color w:val="auto"/>
        </w:rPr>
      </w:pPr>
      <w:r>
        <w:rPr>
          <w:rFonts w:ascii="Times New Roman" w:hAnsi="Times New Roman"/>
          <w:color w:val="auto"/>
        </w:rPr>
        <w:t>（</w:t>
      </w:r>
      <w:r>
        <w:rPr>
          <w:rFonts w:hint="eastAsia" w:ascii="Times New Roman" w:hAnsi="Times New Roman"/>
          <w:color w:val="auto"/>
          <w:lang w:val="en-US" w:eastAsia="zh-CN"/>
        </w:rPr>
        <w:t>2</w:t>
      </w:r>
      <w:r>
        <w:rPr>
          <w:rFonts w:ascii="Times New Roman" w:hAnsi="Times New Roman"/>
          <w:color w:val="auto"/>
        </w:rPr>
        <w:t>）作业人员在距坠落基准面2m及2m以上，有人员坠落危险的作业场所进行高处作业时，作业人员应佩戴安全带。有六级以上强风时，不应进行高处作业和露天起重作业。</w:t>
      </w:r>
    </w:p>
    <w:p w14:paraId="33736D28">
      <w:pPr>
        <w:bidi w:val="0"/>
        <w:rPr>
          <w:rFonts w:ascii="Times New Roman" w:hAnsi="Times New Roman"/>
          <w:color w:val="auto"/>
        </w:rPr>
      </w:pPr>
      <w:r>
        <w:rPr>
          <w:rFonts w:ascii="Times New Roman" w:hAnsi="Times New Roman"/>
          <w:color w:val="auto"/>
        </w:rPr>
        <w:t>（</w:t>
      </w:r>
      <w:r>
        <w:rPr>
          <w:rFonts w:hint="eastAsia" w:ascii="Times New Roman" w:hAnsi="Times New Roman"/>
          <w:color w:val="auto"/>
          <w:lang w:val="en-US" w:eastAsia="zh-CN"/>
        </w:rPr>
        <w:t>3</w:t>
      </w:r>
      <w:r>
        <w:rPr>
          <w:rFonts w:ascii="Times New Roman" w:hAnsi="Times New Roman"/>
          <w:color w:val="auto"/>
        </w:rPr>
        <w:t>）定期对</w:t>
      </w:r>
      <w:r>
        <w:rPr>
          <w:rFonts w:hint="eastAsia" w:ascii="Times New Roman" w:hAnsi="Times New Roman"/>
          <w:color w:val="auto"/>
        </w:rPr>
        <w:t>矿</w:t>
      </w:r>
      <w:r>
        <w:rPr>
          <w:rFonts w:ascii="Times New Roman" w:hAnsi="Times New Roman"/>
          <w:color w:val="auto"/>
        </w:rPr>
        <w:t>区进行检查，发现灾害隐患时及时采取相应的控制及治理措施。</w:t>
      </w:r>
    </w:p>
    <w:p w14:paraId="5DED9099">
      <w:pPr>
        <w:bidi w:val="0"/>
        <w:rPr>
          <w:rFonts w:ascii="Times New Roman" w:hAnsi="Times New Roman"/>
          <w:color w:val="auto"/>
        </w:rPr>
      </w:pPr>
      <w:r>
        <w:rPr>
          <w:rFonts w:ascii="Times New Roman" w:hAnsi="Times New Roman"/>
          <w:color w:val="auto"/>
        </w:rPr>
        <w:t>（</w:t>
      </w:r>
      <w:r>
        <w:rPr>
          <w:rFonts w:hint="eastAsia" w:ascii="Times New Roman" w:hAnsi="Times New Roman"/>
          <w:color w:val="auto"/>
          <w:lang w:val="en-US" w:eastAsia="zh-CN"/>
        </w:rPr>
        <w:t>4</w:t>
      </w:r>
      <w:r>
        <w:rPr>
          <w:rFonts w:ascii="Times New Roman" w:hAnsi="Times New Roman"/>
          <w:color w:val="auto"/>
        </w:rPr>
        <w:t>）露天采场工作边坡应每季度检查1次，运输或者行人的非工作边坡每半年检查1次；边坡出现滑坡或者坍塌迹象时，应立即停止受影响区域的生产作业，撤出相关人员和设备，采取安全措施。</w:t>
      </w:r>
    </w:p>
    <w:p w14:paraId="72F311F8">
      <w:pPr>
        <w:bidi w:val="0"/>
        <w:rPr>
          <w:rFonts w:hint="eastAsia" w:ascii="Times New Roman" w:hAnsi="Times New Roman" w:eastAsia="宋体"/>
          <w:color w:val="auto"/>
          <w:lang w:eastAsia="zh-CN"/>
        </w:rPr>
      </w:pPr>
      <w:r>
        <w:rPr>
          <w:rFonts w:hint="eastAsia" w:ascii="Times New Roman" w:hAnsi="Times New Roman"/>
          <w:color w:val="auto"/>
          <w:lang w:eastAsia="zh-CN"/>
        </w:rPr>
        <w:t>（</w:t>
      </w:r>
      <w:r>
        <w:rPr>
          <w:rFonts w:hint="eastAsia" w:ascii="Times New Roman" w:hAnsi="Times New Roman"/>
          <w:color w:val="auto"/>
          <w:lang w:val="en-US" w:eastAsia="zh-CN"/>
        </w:rPr>
        <w:t>5</w:t>
      </w:r>
      <w:r>
        <w:rPr>
          <w:rFonts w:hint="eastAsia" w:ascii="Times New Roman" w:hAnsi="Times New Roman"/>
          <w:color w:val="auto"/>
          <w:lang w:eastAsia="zh-CN"/>
        </w:rPr>
        <w:t>）</w:t>
      </w:r>
      <w:r>
        <w:rPr>
          <w:rFonts w:hint="eastAsia" w:ascii="Times New Roman" w:hAnsi="Times New Roman"/>
          <w:color w:val="auto"/>
        </w:rPr>
        <w:t>下一步设计中应明确上、下台阶同时作业时，上部台阶的铲装设备应超前下部台阶铲装设备，超前距离不小于铲装设备最大工作半径的3倍，且不小于50m</w:t>
      </w:r>
      <w:r>
        <w:rPr>
          <w:rFonts w:hint="eastAsia" w:ascii="Times New Roman" w:hAnsi="Times New Roman"/>
          <w:color w:val="auto"/>
          <w:lang w:eastAsia="zh-CN"/>
        </w:rPr>
        <w:t>。</w:t>
      </w:r>
    </w:p>
    <w:p w14:paraId="39DC557F">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6</w:t>
      </w:r>
      <w:r>
        <w:rPr>
          <w:rFonts w:hint="eastAsia" w:ascii="Times New Roman" w:hAnsi="Times New Roman"/>
          <w:color w:val="auto"/>
          <w:lang w:eastAsia="zh-CN"/>
        </w:rPr>
        <w:t>）定期进行边坡稳定性研究分析及监测，发现灾害隐患时及时采取相应的控制及治理措施。</w:t>
      </w:r>
    </w:p>
    <w:p w14:paraId="5B019339">
      <w:pPr>
        <w:bidi w:val="0"/>
        <w:rPr>
          <w:rFonts w:hint="default" w:ascii="Times New Roman" w:hAnsi="Times New Roman" w:eastAsia="宋体"/>
          <w:color w:val="auto"/>
          <w:lang w:val="en-US" w:eastAsia="zh-CN"/>
        </w:rPr>
      </w:pPr>
      <w:r>
        <w:rPr>
          <w:rFonts w:hint="eastAsia" w:ascii="Times New Roman" w:hAnsi="Times New Roman"/>
          <w:color w:val="auto"/>
          <w:lang w:eastAsia="zh-CN"/>
        </w:rPr>
        <w:t>（</w:t>
      </w:r>
      <w:r>
        <w:rPr>
          <w:rFonts w:hint="eastAsia" w:ascii="Times New Roman" w:hAnsi="Times New Roman"/>
          <w:color w:val="auto"/>
          <w:lang w:val="en-US" w:eastAsia="zh-CN"/>
        </w:rPr>
        <w:t>7</w:t>
      </w:r>
      <w:r>
        <w:rPr>
          <w:rFonts w:hint="eastAsia" w:ascii="Times New Roman" w:hAnsi="Times New Roman"/>
          <w:color w:val="auto"/>
          <w:lang w:eastAsia="zh-CN"/>
        </w:rPr>
        <w:t>）</w:t>
      </w:r>
      <w:r>
        <w:rPr>
          <w:rFonts w:hint="eastAsia" w:ascii="Times New Roman" w:hAnsi="Times New Roman"/>
          <w:color w:val="auto"/>
          <w:lang w:val="en-US" w:eastAsia="zh-CN"/>
        </w:rPr>
        <w:t>下一步设计中应补充原有采场过渡衔接的安全措施。</w:t>
      </w:r>
    </w:p>
    <w:p w14:paraId="7090AB07">
      <w:pPr>
        <w:pStyle w:val="4"/>
        <w:bidi w:val="0"/>
        <w:rPr>
          <w:rFonts w:ascii="Times New Roman" w:hAnsi="Times New Roman"/>
          <w:b w:val="0"/>
          <w:bCs w:val="0"/>
          <w:color w:val="auto"/>
          <w:sz w:val="28"/>
          <w:szCs w:val="28"/>
        </w:rPr>
      </w:pPr>
      <w:bookmarkStart w:id="127" w:name="_Toc14425"/>
      <w:bookmarkStart w:id="128" w:name="_Toc15954"/>
      <w:bookmarkStart w:id="129" w:name="_Toc13818"/>
      <w:bookmarkStart w:id="130" w:name="_Toc3955"/>
      <w:r>
        <w:rPr>
          <w:rFonts w:ascii="Times New Roman" w:hAnsi="Times New Roman"/>
          <w:color w:val="auto"/>
          <w:sz w:val="28"/>
          <w:szCs w:val="28"/>
          <w:lang w:val="en-GB"/>
        </w:rPr>
        <w:t>3.3.</w:t>
      </w:r>
      <w:r>
        <w:rPr>
          <w:rFonts w:ascii="Times New Roman" w:hAnsi="Times New Roman"/>
          <w:color w:val="auto"/>
          <w:sz w:val="28"/>
          <w:szCs w:val="28"/>
        </w:rPr>
        <w:t>3</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rPr>
        <w:t>穿孔爆破</w:t>
      </w:r>
      <w:r>
        <w:rPr>
          <w:rFonts w:ascii="Times New Roman" w:hAnsi="Times New Roman"/>
          <w:color w:val="auto"/>
          <w:sz w:val="28"/>
          <w:szCs w:val="28"/>
          <w:lang w:val="en-GB"/>
        </w:rPr>
        <w:t>子单元</w:t>
      </w:r>
      <w:bookmarkEnd w:id="127"/>
      <w:bookmarkEnd w:id="128"/>
      <w:bookmarkEnd w:id="129"/>
      <w:bookmarkEnd w:id="130"/>
    </w:p>
    <w:p w14:paraId="16B32BEA">
      <w:pPr>
        <w:pStyle w:val="5"/>
        <w:bidi w:val="0"/>
        <w:rPr>
          <w:rFonts w:hint="eastAsia" w:ascii="Times New Roman" w:hAnsi="Times New Roman" w:eastAsia="宋体"/>
          <w:color w:val="auto"/>
          <w:lang w:eastAsia="zh-CN"/>
        </w:rPr>
      </w:pPr>
      <w:r>
        <w:rPr>
          <w:rFonts w:ascii="Times New Roman" w:hAnsi="Times New Roman"/>
          <w:color w:val="auto"/>
        </w:rPr>
        <w:t>3.3.3.1</w:t>
      </w:r>
      <w:r>
        <w:rPr>
          <w:rFonts w:hint="eastAsia" w:ascii="Times New Roman" w:hAnsi="Times New Roman"/>
          <w:color w:val="auto"/>
          <w:lang w:val="en-US" w:eastAsia="zh-CN"/>
        </w:rPr>
        <w:t xml:space="preserve"> </w:t>
      </w:r>
      <w:r>
        <w:rPr>
          <w:rFonts w:ascii="Times New Roman" w:hAnsi="Times New Roman"/>
          <w:color w:val="auto"/>
        </w:rPr>
        <w:t>预先危险性分析</w:t>
      </w:r>
      <w:r>
        <w:rPr>
          <w:rFonts w:hint="eastAsia" w:ascii="Times New Roman" w:hAnsi="Times New Roman"/>
          <w:color w:val="auto"/>
          <w:lang w:eastAsia="zh-CN"/>
        </w:rPr>
        <w:t>（</w:t>
      </w:r>
      <w:r>
        <w:rPr>
          <w:rFonts w:ascii="Times New Roman" w:hAnsi="Times New Roman"/>
          <w:color w:val="auto"/>
        </w:rPr>
        <w:t>PHA</w:t>
      </w:r>
      <w:r>
        <w:rPr>
          <w:rFonts w:hint="eastAsia" w:ascii="Times New Roman" w:hAnsi="Times New Roman"/>
          <w:color w:val="auto"/>
          <w:lang w:eastAsia="zh-CN"/>
        </w:rPr>
        <w:t>）</w:t>
      </w:r>
    </w:p>
    <w:p w14:paraId="3A405AC2">
      <w:pPr>
        <w:pStyle w:val="16"/>
        <w:bidi w:val="0"/>
        <w:rPr>
          <w:rFonts w:ascii="Times New Roman" w:hAnsi="Times New Roman"/>
          <w:bCs/>
          <w:color w:val="auto"/>
          <w:kern w:val="0"/>
          <w:szCs w:val="21"/>
        </w:rPr>
      </w:pPr>
      <w:r>
        <w:rPr>
          <w:rFonts w:ascii="Times New Roman" w:hAnsi="Times New Roman"/>
          <w:bCs/>
          <w:color w:val="auto"/>
          <w:kern w:val="0"/>
          <w:szCs w:val="21"/>
          <w:lang w:eastAsia="zh-TW"/>
        </w:rPr>
        <w:t>表</w:t>
      </w:r>
      <w:r>
        <w:rPr>
          <w:rFonts w:ascii="Times New Roman" w:hAnsi="Times New Roman"/>
          <w:bCs/>
          <w:color w:val="auto"/>
          <w:kern w:val="0"/>
          <w:szCs w:val="21"/>
        </w:rPr>
        <w:t>3.3-</w:t>
      </w:r>
      <w:r>
        <w:rPr>
          <w:rFonts w:hint="eastAsia" w:ascii="Times New Roman" w:hAnsi="Times New Roman"/>
          <w:bCs/>
          <w:color w:val="auto"/>
          <w:kern w:val="0"/>
          <w:szCs w:val="21"/>
          <w:lang w:val="en-US" w:eastAsia="zh-CN"/>
        </w:rPr>
        <w:t>12</w:t>
      </w:r>
      <w:r>
        <w:rPr>
          <w:rFonts w:ascii="Times New Roman" w:hAnsi="Times New Roman"/>
          <w:bCs/>
          <w:color w:val="auto"/>
          <w:kern w:val="0"/>
          <w:szCs w:val="21"/>
          <w:lang w:eastAsia="zh-TW"/>
        </w:rPr>
        <w:t xml:space="preserve"> </w:t>
      </w:r>
      <w:r>
        <w:rPr>
          <w:rFonts w:ascii="Times New Roman" w:hAnsi="Times New Roman"/>
          <w:bCs/>
          <w:color w:val="auto"/>
          <w:kern w:val="0"/>
          <w:szCs w:val="21"/>
        </w:rPr>
        <w:t xml:space="preserve"> </w:t>
      </w:r>
      <w:r>
        <w:rPr>
          <w:rFonts w:ascii="Times New Roman" w:hAnsi="Times New Roman"/>
          <w:bCs/>
          <w:color w:val="auto"/>
          <w:kern w:val="0"/>
          <w:szCs w:val="21"/>
          <w:lang w:eastAsia="zh-TW"/>
        </w:rPr>
        <w:t>穿孔爆破单元预先危险性分析表</w:t>
      </w:r>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628"/>
        <w:gridCol w:w="692"/>
        <w:gridCol w:w="780"/>
        <w:gridCol w:w="701"/>
        <w:gridCol w:w="3799"/>
      </w:tblGrid>
      <w:tr w14:paraId="0767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423" w:type="pct"/>
            <w:noWrap w:val="0"/>
            <w:vAlign w:val="center"/>
          </w:tcPr>
          <w:p w14:paraId="1BA0B30B">
            <w:pPr>
              <w:pStyle w:val="17"/>
              <w:bidi w:val="0"/>
              <w:rPr>
                <w:rFonts w:ascii="Times New Roman" w:hAnsi="Times New Roman"/>
                <w:b/>
                <w:bCs/>
                <w:color w:val="auto"/>
              </w:rPr>
            </w:pPr>
            <w:r>
              <w:rPr>
                <w:rFonts w:ascii="Times New Roman" w:hAnsi="Times New Roman"/>
                <w:b/>
                <w:bCs/>
                <w:color w:val="auto"/>
              </w:rPr>
              <w:t>危害因素</w:t>
            </w:r>
          </w:p>
        </w:tc>
        <w:tc>
          <w:tcPr>
            <w:tcW w:w="1398" w:type="pct"/>
            <w:noWrap w:val="0"/>
            <w:vAlign w:val="center"/>
          </w:tcPr>
          <w:p w14:paraId="233E63E7">
            <w:pPr>
              <w:pStyle w:val="17"/>
              <w:bidi w:val="0"/>
              <w:jc w:val="center"/>
              <w:rPr>
                <w:rFonts w:ascii="Times New Roman" w:hAnsi="Times New Roman"/>
                <w:b/>
                <w:bCs/>
                <w:color w:val="auto"/>
              </w:rPr>
            </w:pPr>
            <w:r>
              <w:rPr>
                <w:rFonts w:ascii="Times New Roman" w:hAnsi="Times New Roman"/>
                <w:b/>
                <w:bCs/>
                <w:color w:val="auto"/>
              </w:rPr>
              <w:t>诱发事故原因</w:t>
            </w:r>
          </w:p>
        </w:tc>
        <w:tc>
          <w:tcPr>
            <w:tcW w:w="368" w:type="pct"/>
            <w:noWrap w:val="0"/>
            <w:vAlign w:val="center"/>
          </w:tcPr>
          <w:p w14:paraId="1F5E21B0">
            <w:pPr>
              <w:pStyle w:val="17"/>
              <w:bidi w:val="0"/>
              <w:rPr>
                <w:rFonts w:ascii="Times New Roman" w:hAnsi="Times New Roman"/>
                <w:b/>
                <w:bCs/>
                <w:color w:val="auto"/>
              </w:rPr>
            </w:pPr>
            <w:r>
              <w:rPr>
                <w:rFonts w:ascii="Times New Roman" w:hAnsi="Times New Roman"/>
                <w:b/>
                <w:bCs/>
                <w:color w:val="auto"/>
              </w:rPr>
              <w:t>事故模式</w:t>
            </w:r>
          </w:p>
        </w:tc>
        <w:tc>
          <w:tcPr>
            <w:tcW w:w="415" w:type="pct"/>
            <w:noWrap w:val="0"/>
            <w:vAlign w:val="center"/>
          </w:tcPr>
          <w:p w14:paraId="1A5F2138">
            <w:pPr>
              <w:pStyle w:val="17"/>
              <w:bidi w:val="0"/>
              <w:rPr>
                <w:rFonts w:ascii="Times New Roman" w:hAnsi="Times New Roman"/>
                <w:b/>
                <w:bCs/>
                <w:color w:val="auto"/>
              </w:rPr>
            </w:pPr>
            <w:r>
              <w:rPr>
                <w:rFonts w:ascii="Times New Roman" w:hAnsi="Times New Roman"/>
                <w:b/>
                <w:bCs/>
                <w:color w:val="auto"/>
              </w:rPr>
              <w:t>事故后果</w:t>
            </w:r>
          </w:p>
        </w:tc>
        <w:tc>
          <w:tcPr>
            <w:tcW w:w="373" w:type="pct"/>
            <w:noWrap w:val="0"/>
            <w:vAlign w:val="center"/>
          </w:tcPr>
          <w:p w14:paraId="28795280">
            <w:pPr>
              <w:pStyle w:val="17"/>
              <w:bidi w:val="0"/>
              <w:rPr>
                <w:rFonts w:ascii="Times New Roman" w:hAnsi="Times New Roman"/>
                <w:b/>
                <w:bCs/>
                <w:color w:val="auto"/>
              </w:rPr>
            </w:pPr>
            <w:r>
              <w:rPr>
                <w:rFonts w:ascii="Times New Roman" w:hAnsi="Times New Roman"/>
                <w:b/>
                <w:bCs/>
                <w:color w:val="auto"/>
              </w:rPr>
              <w:t>危险等级</w:t>
            </w:r>
          </w:p>
        </w:tc>
        <w:tc>
          <w:tcPr>
            <w:tcW w:w="2021" w:type="pct"/>
            <w:noWrap w:val="0"/>
            <w:vAlign w:val="center"/>
          </w:tcPr>
          <w:p w14:paraId="15CFF78D">
            <w:pPr>
              <w:pStyle w:val="17"/>
              <w:bidi w:val="0"/>
              <w:jc w:val="center"/>
              <w:rPr>
                <w:rFonts w:ascii="Times New Roman" w:hAnsi="Times New Roman"/>
                <w:b/>
                <w:bCs/>
                <w:color w:val="auto"/>
              </w:rPr>
            </w:pPr>
            <w:r>
              <w:rPr>
                <w:rFonts w:ascii="Times New Roman" w:hAnsi="Times New Roman"/>
                <w:b/>
                <w:bCs/>
                <w:color w:val="auto"/>
              </w:rPr>
              <w:t>对策措施</w:t>
            </w:r>
          </w:p>
        </w:tc>
      </w:tr>
      <w:tr w14:paraId="5DFE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noWrap w:val="0"/>
            <w:vAlign w:val="center"/>
          </w:tcPr>
          <w:p w14:paraId="2CDB35AE">
            <w:pPr>
              <w:pStyle w:val="17"/>
              <w:bidi w:val="0"/>
              <w:rPr>
                <w:rFonts w:ascii="Times New Roman" w:hAnsi="Times New Roman"/>
                <w:color w:val="auto"/>
              </w:rPr>
            </w:pPr>
            <w:r>
              <w:rPr>
                <w:rFonts w:ascii="Times New Roman" w:hAnsi="Times New Roman"/>
                <w:color w:val="auto"/>
              </w:rPr>
              <w:t>放炮</w:t>
            </w:r>
          </w:p>
          <w:p w14:paraId="3131336B">
            <w:pPr>
              <w:pStyle w:val="17"/>
              <w:bidi w:val="0"/>
              <w:rPr>
                <w:rFonts w:ascii="Times New Roman" w:hAnsi="Times New Roman"/>
                <w:color w:val="auto"/>
              </w:rPr>
            </w:pPr>
            <w:r>
              <w:rPr>
                <w:rFonts w:ascii="Times New Roman" w:hAnsi="Times New Roman"/>
                <w:color w:val="auto"/>
              </w:rPr>
              <w:t>伤害</w:t>
            </w:r>
          </w:p>
        </w:tc>
        <w:tc>
          <w:tcPr>
            <w:tcW w:w="1398" w:type="pct"/>
            <w:noWrap w:val="0"/>
            <w:vAlign w:val="center"/>
          </w:tcPr>
          <w:p w14:paraId="657F7FC9">
            <w:pPr>
              <w:pStyle w:val="17"/>
              <w:bidi w:val="0"/>
              <w:jc w:val="both"/>
              <w:rPr>
                <w:rFonts w:ascii="Times New Roman" w:hAnsi="Times New Roman"/>
                <w:color w:val="auto"/>
              </w:rPr>
            </w:pPr>
            <w:r>
              <w:rPr>
                <w:rFonts w:ascii="Times New Roman" w:hAnsi="Times New Roman"/>
                <w:color w:val="auto"/>
              </w:rPr>
              <w:t>1.爆破工艺不合理；</w:t>
            </w:r>
          </w:p>
          <w:p w14:paraId="0FA0EEBE">
            <w:pPr>
              <w:pStyle w:val="17"/>
              <w:bidi w:val="0"/>
              <w:jc w:val="both"/>
              <w:rPr>
                <w:rFonts w:ascii="Times New Roman" w:hAnsi="Times New Roman"/>
                <w:color w:val="auto"/>
              </w:rPr>
            </w:pPr>
            <w:r>
              <w:rPr>
                <w:rFonts w:ascii="Times New Roman" w:hAnsi="Times New Roman"/>
                <w:color w:val="auto"/>
              </w:rPr>
              <w:t>2.违反爆破安全操作规程；</w:t>
            </w:r>
          </w:p>
          <w:p w14:paraId="00A6D197">
            <w:pPr>
              <w:pStyle w:val="17"/>
              <w:bidi w:val="0"/>
              <w:jc w:val="both"/>
              <w:rPr>
                <w:rFonts w:ascii="Times New Roman" w:hAnsi="Times New Roman"/>
                <w:color w:val="auto"/>
              </w:rPr>
            </w:pPr>
            <w:r>
              <w:rPr>
                <w:rFonts w:ascii="Times New Roman" w:hAnsi="Times New Roman"/>
                <w:color w:val="auto"/>
              </w:rPr>
              <w:t>3.爆破区域未有效设置警戒；</w:t>
            </w:r>
          </w:p>
          <w:p w14:paraId="63D22376">
            <w:pPr>
              <w:pStyle w:val="17"/>
              <w:bidi w:val="0"/>
              <w:jc w:val="both"/>
              <w:rPr>
                <w:rFonts w:hint="eastAsia" w:ascii="Times New Roman" w:hAnsi="Times New Roman"/>
                <w:color w:val="auto"/>
                <w:lang w:eastAsia="zh-CN"/>
              </w:rPr>
            </w:pPr>
            <w:r>
              <w:rPr>
                <w:rFonts w:ascii="Times New Roman" w:hAnsi="Times New Roman"/>
                <w:color w:val="auto"/>
              </w:rPr>
              <w:t>4.雷雨天露天爆破作业</w:t>
            </w:r>
            <w:r>
              <w:rPr>
                <w:rFonts w:hint="eastAsia" w:ascii="Times New Roman" w:hAnsi="Times New Roman"/>
                <w:color w:val="auto"/>
                <w:lang w:eastAsia="zh-CN"/>
              </w:rPr>
              <w:t>。</w:t>
            </w:r>
          </w:p>
        </w:tc>
        <w:tc>
          <w:tcPr>
            <w:tcW w:w="368" w:type="pct"/>
            <w:noWrap w:val="0"/>
            <w:vAlign w:val="center"/>
          </w:tcPr>
          <w:p w14:paraId="33A4A053">
            <w:pPr>
              <w:pStyle w:val="17"/>
              <w:bidi w:val="0"/>
              <w:rPr>
                <w:rFonts w:ascii="Times New Roman" w:hAnsi="Times New Roman"/>
                <w:color w:val="auto"/>
              </w:rPr>
            </w:pPr>
            <w:r>
              <w:rPr>
                <w:rFonts w:ascii="Times New Roman" w:hAnsi="Times New Roman"/>
                <w:color w:val="auto"/>
              </w:rPr>
              <w:t>爆破伤害</w:t>
            </w:r>
          </w:p>
          <w:p w14:paraId="433A786A">
            <w:pPr>
              <w:pStyle w:val="17"/>
              <w:bidi w:val="0"/>
              <w:rPr>
                <w:rFonts w:ascii="Times New Roman" w:hAnsi="Times New Roman"/>
                <w:color w:val="auto"/>
              </w:rPr>
            </w:pPr>
            <w:r>
              <w:rPr>
                <w:rFonts w:ascii="Times New Roman" w:hAnsi="Times New Roman"/>
                <w:color w:val="auto"/>
              </w:rPr>
              <w:t>飞石打击</w:t>
            </w:r>
          </w:p>
          <w:p w14:paraId="014A2E0B">
            <w:pPr>
              <w:pStyle w:val="17"/>
              <w:bidi w:val="0"/>
              <w:rPr>
                <w:rFonts w:ascii="Times New Roman" w:hAnsi="Times New Roman"/>
                <w:color w:val="auto"/>
              </w:rPr>
            </w:pPr>
            <w:r>
              <w:rPr>
                <w:rFonts w:ascii="Times New Roman" w:hAnsi="Times New Roman"/>
                <w:color w:val="auto"/>
              </w:rPr>
              <w:t>爆破地震</w:t>
            </w:r>
          </w:p>
        </w:tc>
        <w:tc>
          <w:tcPr>
            <w:tcW w:w="415" w:type="pct"/>
            <w:noWrap w:val="0"/>
            <w:vAlign w:val="center"/>
          </w:tcPr>
          <w:p w14:paraId="63B6DE7D">
            <w:pPr>
              <w:pStyle w:val="17"/>
              <w:bidi w:val="0"/>
              <w:rPr>
                <w:rFonts w:ascii="Times New Roman" w:hAnsi="Times New Roman"/>
                <w:color w:val="auto"/>
              </w:rPr>
            </w:pPr>
            <w:r>
              <w:rPr>
                <w:rFonts w:ascii="Times New Roman" w:hAnsi="Times New Roman"/>
                <w:color w:val="auto"/>
              </w:rPr>
              <w:t>人员伤亡</w:t>
            </w:r>
          </w:p>
          <w:p w14:paraId="1AE635FF">
            <w:pPr>
              <w:pStyle w:val="17"/>
              <w:bidi w:val="0"/>
              <w:rPr>
                <w:rFonts w:ascii="Times New Roman" w:hAnsi="Times New Roman"/>
                <w:color w:val="auto"/>
              </w:rPr>
            </w:pPr>
            <w:r>
              <w:rPr>
                <w:rFonts w:ascii="Times New Roman" w:hAnsi="Times New Roman"/>
                <w:color w:val="auto"/>
              </w:rPr>
              <w:t>财产损失</w:t>
            </w:r>
          </w:p>
        </w:tc>
        <w:tc>
          <w:tcPr>
            <w:tcW w:w="373" w:type="pct"/>
            <w:noWrap w:val="0"/>
            <w:vAlign w:val="center"/>
          </w:tcPr>
          <w:p w14:paraId="4ABA1E22">
            <w:pPr>
              <w:pStyle w:val="17"/>
              <w:bidi w:val="0"/>
              <w:rPr>
                <w:rFonts w:ascii="Times New Roman" w:hAnsi="Times New Roman"/>
                <w:color w:val="auto"/>
              </w:rPr>
            </w:pPr>
            <w:r>
              <w:rPr>
                <w:rFonts w:ascii="Times New Roman" w:hAnsi="Times New Roman"/>
                <w:color w:val="auto"/>
              </w:rPr>
              <w:t>Ⅲ</w:t>
            </w:r>
          </w:p>
        </w:tc>
        <w:tc>
          <w:tcPr>
            <w:tcW w:w="2021" w:type="pct"/>
            <w:noWrap w:val="0"/>
            <w:vAlign w:val="center"/>
          </w:tcPr>
          <w:p w14:paraId="7B336CCE">
            <w:pPr>
              <w:pStyle w:val="17"/>
              <w:bidi w:val="0"/>
              <w:jc w:val="both"/>
              <w:rPr>
                <w:rFonts w:ascii="Times New Roman" w:hAnsi="Times New Roman"/>
                <w:color w:val="auto"/>
              </w:rPr>
            </w:pPr>
            <w:r>
              <w:rPr>
                <w:rFonts w:ascii="Times New Roman" w:hAnsi="Times New Roman"/>
                <w:color w:val="auto"/>
              </w:rPr>
              <w:t>1.采用</w:t>
            </w:r>
            <w:r>
              <w:rPr>
                <w:rFonts w:hint="eastAsia" w:ascii="Times New Roman" w:hAnsi="Times New Roman"/>
                <w:color w:val="auto"/>
              </w:rPr>
              <w:t>数码电子雷管起爆</w:t>
            </w:r>
            <w:r>
              <w:rPr>
                <w:rFonts w:ascii="Times New Roman" w:hAnsi="Times New Roman"/>
                <w:color w:val="auto"/>
              </w:rPr>
              <w:t>；合理选择爆破参数；</w:t>
            </w:r>
          </w:p>
          <w:p w14:paraId="7C441C8D">
            <w:pPr>
              <w:pStyle w:val="17"/>
              <w:bidi w:val="0"/>
              <w:jc w:val="both"/>
              <w:rPr>
                <w:rFonts w:ascii="Times New Roman" w:hAnsi="Times New Roman"/>
                <w:color w:val="auto"/>
              </w:rPr>
            </w:pPr>
            <w:r>
              <w:rPr>
                <w:rFonts w:ascii="Times New Roman" w:hAnsi="Times New Roman"/>
                <w:color w:val="auto"/>
              </w:rPr>
              <w:t>2.控制爆破指向、药量；</w:t>
            </w:r>
          </w:p>
          <w:p w14:paraId="59861D2F">
            <w:pPr>
              <w:pStyle w:val="17"/>
              <w:bidi w:val="0"/>
              <w:jc w:val="both"/>
              <w:rPr>
                <w:rFonts w:ascii="Times New Roman" w:hAnsi="Times New Roman"/>
                <w:color w:val="auto"/>
              </w:rPr>
            </w:pPr>
            <w:r>
              <w:rPr>
                <w:rFonts w:ascii="Times New Roman" w:hAnsi="Times New Roman"/>
                <w:color w:val="auto"/>
              </w:rPr>
              <w:t>3.严格执行爆破安全操作规程；</w:t>
            </w:r>
          </w:p>
          <w:p w14:paraId="45EF1FAA">
            <w:pPr>
              <w:pStyle w:val="17"/>
              <w:bidi w:val="0"/>
              <w:jc w:val="both"/>
              <w:rPr>
                <w:rFonts w:ascii="Times New Roman" w:hAnsi="Times New Roman"/>
                <w:color w:val="auto"/>
              </w:rPr>
            </w:pPr>
            <w:r>
              <w:rPr>
                <w:rFonts w:ascii="Times New Roman" w:hAnsi="Times New Roman"/>
                <w:color w:val="auto"/>
              </w:rPr>
              <w:t>4.爆破工持证上岗；</w:t>
            </w:r>
          </w:p>
          <w:p w14:paraId="2DA29190">
            <w:pPr>
              <w:pStyle w:val="17"/>
              <w:bidi w:val="0"/>
              <w:jc w:val="both"/>
              <w:rPr>
                <w:rFonts w:ascii="Times New Roman" w:hAnsi="Times New Roman"/>
                <w:color w:val="auto"/>
              </w:rPr>
            </w:pPr>
            <w:r>
              <w:rPr>
                <w:rFonts w:ascii="Times New Roman" w:hAnsi="Times New Roman"/>
                <w:color w:val="auto"/>
              </w:rPr>
              <w:t>5.爆破前，圈定警戒范围并设岗警戒；</w:t>
            </w:r>
          </w:p>
          <w:p w14:paraId="416831CA">
            <w:pPr>
              <w:pStyle w:val="17"/>
              <w:bidi w:val="0"/>
              <w:jc w:val="both"/>
              <w:rPr>
                <w:rFonts w:ascii="Times New Roman" w:hAnsi="Times New Roman"/>
                <w:color w:val="auto"/>
              </w:rPr>
            </w:pPr>
            <w:r>
              <w:rPr>
                <w:rFonts w:ascii="Times New Roman" w:hAnsi="Times New Roman"/>
                <w:color w:val="auto"/>
              </w:rPr>
              <w:t>6.雷雨天禁止爆破作业。</w:t>
            </w:r>
          </w:p>
        </w:tc>
      </w:tr>
      <w:tr w14:paraId="4286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noWrap w:val="0"/>
            <w:vAlign w:val="center"/>
          </w:tcPr>
          <w:p w14:paraId="2743C62E">
            <w:pPr>
              <w:pStyle w:val="17"/>
              <w:bidi w:val="0"/>
              <w:rPr>
                <w:rFonts w:ascii="Times New Roman" w:hAnsi="Times New Roman"/>
                <w:color w:val="auto"/>
              </w:rPr>
            </w:pPr>
            <w:r>
              <w:rPr>
                <w:rFonts w:ascii="Times New Roman" w:hAnsi="Times New Roman"/>
                <w:color w:val="auto"/>
              </w:rPr>
              <w:t>机械伤害</w:t>
            </w:r>
          </w:p>
        </w:tc>
        <w:tc>
          <w:tcPr>
            <w:tcW w:w="1398" w:type="pct"/>
            <w:noWrap w:val="0"/>
            <w:vAlign w:val="center"/>
          </w:tcPr>
          <w:p w14:paraId="52B38C40">
            <w:pPr>
              <w:pStyle w:val="17"/>
              <w:bidi w:val="0"/>
              <w:jc w:val="both"/>
              <w:rPr>
                <w:rFonts w:ascii="Times New Roman" w:hAnsi="Times New Roman"/>
                <w:color w:val="auto"/>
              </w:rPr>
            </w:pPr>
            <w:r>
              <w:rPr>
                <w:rFonts w:ascii="Times New Roman" w:hAnsi="Times New Roman"/>
                <w:color w:val="auto"/>
              </w:rPr>
              <w:t>1.作业环境差，作业地点不安全；</w:t>
            </w:r>
          </w:p>
          <w:p w14:paraId="58EC9E9D">
            <w:pPr>
              <w:pStyle w:val="17"/>
              <w:bidi w:val="0"/>
              <w:jc w:val="both"/>
              <w:rPr>
                <w:rFonts w:ascii="Times New Roman" w:hAnsi="Times New Roman"/>
                <w:color w:val="auto"/>
              </w:rPr>
            </w:pPr>
            <w:r>
              <w:rPr>
                <w:rFonts w:ascii="Times New Roman" w:hAnsi="Times New Roman"/>
                <w:color w:val="auto"/>
              </w:rPr>
              <w:t>2.操作不熟练或违章操作，钻杆砸、夹、挤伤人，钻架倾倒；风管摆动、飞出伤人；</w:t>
            </w:r>
          </w:p>
          <w:p w14:paraId="5E149914">
            <w:pPr>
              <w:pStyle w:val="17"/>
              <w:bidi w:val="0"/>
              <w:jc w:val="both"/>
              <w:rPr>
                <w:rFonts w:ascii="Times New Roman" w:hAnsi="Times New Roman"/>
                <w:color w:val="auto"/>
              </w:rPr>
            </w:pPr>
            <w:r>
              <w:rPr>
                <w:rFonts w:ascii="Times New Roman" w:hAnsi="Times New Roman"/>
                <w:color w:val="auto"/>
              </w:rPr>
              <w:t>3.凿岩机械缺乏维护、凿岩位置选择不当，缺乏稳固措施；</w:t>
            </w:r>
          </w:p>
          <w:p w14:paraId="13C143FD">
            <w:pPr>
              <w:pStyle w:val="17"/>
              <w:bidi w:val="0"/>
              <w:jc w:val="both"/>
              <w:rPr>
                <w:rFonts w:ascii="Times New Roman" w:hAnsi="Times New Roman"/>
                <w:color w:val="auto"/>
              </w:rPr>
            </w:pPr>
            <w:r>
              <w:rPr>
                <w:rFonts w:ascii="Times New Roman" w:hAnsi="Times New Roman"/>
                <w:color w:val="auto"/>
              </w:rPr>
              <w:t>4.机械振动。</w:t>
            </w:r>
          </w:p>
        </w:tc>
        <w:tc>
          <w:tcPr>
            <w:tcW w:w="368" w:type="pct"/>
            <w:noWrap w:val="0"/>
            <w:vAlign w:val="center"/>
          </w:tcPr>
          <w:p w14:paraId="17FAB3A6">
            <w:pPr>
              <w:pStyle w:val="17"/>
              <w:bidi w:val="0"/>
              <w:rPr>
                <w:rFonts w:ascii="Times New Roman" w:hAnsi="Times New Roman"/>
                <w:color w:val="auto"/>
              </w:rPr>
            </w:pPr>
            <w:r>
              <w:rPr>
                <w:rFonts w:ascii="Times New Roman" w:hAnsi="Times New Roman"/>
                <w:color w:val="auto"/>
              </w:rPr>
              <w:t>机械伤害</w:t>
            </w:r>
          </w:p>
        </w:tc>
        <w:tc>
          <w:tcPr>
            <w:tcW w:w="415" w:type="pct"/>
            <w:noWrap w:val="0"/>
            <w:vAlign w:val="center"/>
          </w:tcPr>
          <w:p w14:paraId="01D9F41E">
            <w:pPr>
              <w:pStyle w:val="17"/>
              <w:bidi w:val="0"/>
              <w:rPr>
                <w:rFonts w:ascii="Times New Roman" w:hAnsi="Times New Roman"/>
                <w:color w:val="auto"/>
              </w:rPr>
            </w:pPr>
            <w:r>
              <w:rPr>
                <w:rFonts w:ascii="Times New Roman" w:hAnsi="Times New Roman"/>
                <w:color w:val="auto"/>
              </w:rPr>
              <w:t>人员伤害</w:t>
            </w:r>
          </w:p>
        </w:tc>
        <w:tc>
          <w:tcPr>
            <w:tcW w:w="373" w:type="pct"/>
            <w:noWrap w:val="0"/>
            <w:vAlign w:val="center"/>
          </w:tcPr>
          <w:p w14:paraId="1682E591">
            <w:pPr>
              <w:pStyle w:val="17"/>
              <w:bidi w:val="0"/>
              <w:rPr>
                <w:rFonts w:ascii="Times New Roman" w:hAnsi="Times New Roman"/>
                <w:color w:val="auto"/>
              </w:rPr>
            </w:pPr>
            <w:r>
              <w:rPr>
                <w:rFonts w:ascii="Times New Roman" w:hAnsi="Times New Roman"/>
                <w:color w:val="auto"/>
              </w:rPr>
              <w:t>Ⅱ</w:t>
            </w:r>
          </w:p>
        </w:tc>
        <w:tc>
          <w:tcPr>
            <w:tcW w:w="2021" w:type="pct"/>
            <w:noWrap w:val="0"/>
            <w:vAlign w:val="center"/>
          </w:tcPr>
          <w:p w14:paraId="5F37D720">
            <w:pPr>
              <w:pStyle w:val="17"/>
              <w:bidi w:val="0"/>
              <w:jc w:val="both"/>
              <w:rPr>
                <w:rFonts w:ascii="Times New Roman" w:hAnsi="Times New Roman"/>
                <w:color w:val="auto"/>
              </w:rPr>
            </w:pPr>
            <w:r>
              <w:rPr>
                <w:rFonts w:ascii="Times New Roman" w:hAnsi="Times New Roman"/>
                <w:color w:val="auto"/>
              </w:rPr>
              <w:t>1.穿孔凿岩工按规程操作；</w:t>
            </w:r>
          </w:p>
          <w:p w14:paraId="106C6305">
            <w:pPr>
              <w:pStyle w:val="17"/>
              <w:bidi w:val="0"/>
              <w:jc w:val="both"/>
              <w:rPr>
                <w:rFonts w:ascii="Times New Roman" w:hAnsi="Times New Roman"/>
                <w:color w:val="auto"/>
              </w:rPr>
            </w:pPr>
            <w:r>
              <w:rPr>
                <w:rFonts w:ascii="Times New Roman" w:hAnsi="Times New Roman"/>
                <w:color w:val="auto"/>
              </w:rPr>
              <w:t>2.加强维护保养、合理选位、加强稳固措施；</w:t>
            </w:r>
          </w:p>
          <w:p w14:paraId="4059649A">
            <w:pPr>
              <w:pStyle w:val="17"/>
              <w:bidi w:val="0"/>
              <w:jc w:val="both"/>
              <w:rPr>
                <w:rFonts w:ascii="Times New Roman" w:hAnsi="Times New Roman"/>
                <w:color w:val="auto"/>
              </w:rPr>
            </w:pPr>
            <w:r>
              <w:rPr>
                <w:rFonts w:ascii="Times New Roman" w:hAnsi="Times New Roman"/>
                <w:color w:val="auto"/>
              </w:rPr>
              <w:t>3.系安全带，戴安全帽；</w:t>
            </w:r>
          </w:p>
          <w:p w14:paraId="438FFD75">
            <w:pPr>
              <w:pStyle w:val="17"/>
              <w:bidi w:val="0"/>
              <w:jc w:val="both"/>
              <w:rPr>
                <w:rFonts w:ascii="Times New Roman" w:hAnsi="Times New Roman"/>
                <w:color w:val="auto"/>
              </w:rPr>
            </w:pPr>
            <w:r>
              <w:rPr>
                <w:rFonts w:ascii="Times New Roman" w:hAnsi="Times New Roman"/>
                <w:color w:val="auto"/>
              </w:rPr>
              <w:t>4.通过调整开采工艺，实现分台阶开采，改善作业环境。</w:t>
            </w:r>
          </w:p>
        </w:tc>
      </w:tr>
      <w:tr w14:paraId="7F56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noWrap w:val="0"/>
            <w:vAlign w:val="center"/>
          </w:tcPr>
          <w:p w14:paraId="3FD42D8B">
            <w:pPr>
              <w:pStyle w:val="17"/>
              <w:bidi w:val="0"/>
              <w:rPr>
                <w:rFonts w:ascii="Times New Roman" w:hAnsi="Times New Roman"/>
                <w:color w:val="auto"/>
              </w:rPr>
            </w:pPr>
            <w:r>
              <w:rPr>
                <w:rFonts w:ascii="Times New Roman" w:hAnsi="Times New Roman"/>
                <w:color w:val="auto"/>
              </w:rPr>
              <w:t>高处坠落</w:t>
            </w:r>
          </w:p>
        </w:tc>
        <w:tc>
          <w:tcPr>
            <w:tcW w:w="1398" w:type="pct"/>
            <w:noWrap w:val="0"/>
            <w:vAlign w:val="center"/>
          </w:tcPr>
          <w:p w14:paraId="087E42FC">
            <w:pPr>
              <w:pStyle w:val="17"/>
              <w:bidi w:val="0"/>
              <w:jc w:val="both"/>
              <w:rPr>
                <w:rFonts w:ascii="Times New Roman" w:hAnsi="Times New Roman"/>
                <w:color w:val="auto"/>
              </w:rPr>
            </w:pPr>
            <w:r>
              <w:rPr>
                <w:rFonts w:ascii="Times New Roman" w:hAnsi="Times New Roman"/>
                <w:color w:val="auto"/>
              </w:rPr>
              <w:t>1.安全绳固定不牢靠；</w:t>
            </w:r>
          </w:p>
          <w:p w14:paraId="2755FAEF">
            <w:pPr>
              <w:pStyle w:val="17"/>
              <w:bidi w:val="0"/>
              <w:jc w:val="both"/>
              <w:rPr>
                <w:rFonts w:ascii="Times New Roman" w:hAnsi="Times New Roman"/>
                <w:color w:val="auto"/>
              </w:rPr>
            </w:pPr>
            <w:r>
              <w:rPr>
                <w:rFonts w:ascii="Times New Roman" w:hAnsi="Times New Roman"/>
                <w:color w:val="auto"/>
              </w:rPr>
              <w:t>2.安全绳质次、强度不符合要求；</w:t>
            </w:r>
          </w:p>
          <w:p w14:paraId="11F29A6B">
            <w:pPr>
              <w:pStyle w:val="17"/>
              <w:bidi w:val="0"/>
              <w:jc w:val="both"/>
              <w:rPr>
                <w:rFonts w:ascii="Times New Roman" w:hAnsi="Times New Roman"/>
                <w:color w:val="auto"/>
              </w:rPr>
            </w:pPr>
            <w:r>
              <w:rPr>
                <w:rFonts w:ascii="Times New Roman" w:hAnsi="Times New Roman"/>
                <w:color w:val="auto"/>
              </w:rPr>
              <w:t>3.无安全警示标志；</w:t>
            </w:r>
          </w:p>
          <w:p w14:paraId="79AA543B">
            <w:pPr>
              <w:pStyle w:val="17"/>
              <w:bidi w:val="0"/>
              <w:jc w:val="both"/>
              <w:rPr>
                <w:rFonts w:ascii="Times New Roman" w:hAnsi="Times New Roman"/>
                <w:color w:val="auto"/>
              </w:rPr>
            </w:pPr>
            <w:r>
              <w:rPr>
                <w:rFonts w:ascii="Times New Roman" w:hAnsi="Times New Roman"/>
                <w:color w:val="auto"/>
              </w:rPr>
              <w:t>4.人工清理浮石。</w:t>
            </w:r>
          </w:p>
        </w:tc>
        <w:tc>
          <w:tcPr>
            <w:tcW w:w="368" w:type="pct"/>
            <w:noWrap w:val="0"/>
            <w:vAlign w:val="center"/>
          </w:tcPr>
          <w:p w14:paraId="16B7C2C3">
            <w:pPr>
              <w:pStyle w:val="17"/>
              <w:bidi w:val="0"/>
              <w:rPr>
                <w:rFonts w:ascii="Times New Roman" w:hAnsi="Times New Roman"/>
                <w:color w:val="auto"/>
              </w:rPr>
            </w:pPr>
            <w:r>
              <w:rPr>
                <w:rFonts w:ascii="Times New Roman" w:hAnsi="Times New Roman"/>
                <w:color w:val="auto"/>
              </w:rPr>
              <w:t>高处坠落</w:t>
            </w:r>
          </w:p>
        </w:tc>
        <w:tc>
          <w:tcPr>
            <w:tcW w:w="415" w:type="pct"/>
            <w:noWrap w:val="0"/>
            <w:vAlign w:val="center"/>
          </w:tcPr>
          <w:p w14:paraId="407373ED">
            <w:pPr>
              <w:pStyle w:val="17"/>
              <w:bidi w:val="0"/>
              <w:rPr>
                <w:rFonts w:ascii="Times New Roman" w:hAnsi="Times New Roman"/>
                <w:color w:val="auto"/>
              </w:rPr>
            </w:pPr>
            <w:r>
              <w:rPr>
                <w:rFonts w:ascii="Times New Roman" w:hAnsi="Times New Roman"/>
                <w:color w:val="auto"/>
              </w:rPr>
              <w:t xml:space="preserve">人员伤亡 </w:t>
            </w:r>
          </w:p>
        </w:tc>
        <w:tc>
          <w:tcPr>
            <w:tcW w:w="373" w:type="pct"/>
            <w:noWrap w:val="0"/>
            <w:vAlign w:val="center"/>
          </w:tcPr>
          <w:p w14:paraId="10258733">
            <w:pPr>
              <w:pStyle w:val="17"/>
              <w:bidi w:val="0"/>
              <w:rPr>
                <w:rFonts w:ascii="Times New Roman" w:hAnsi="Times New Roman"/>
                <w:color w:val="auto"/>
              </w:rPr>
            </w:pPr>
            <w:r>
              <w:rPr>
                <w:rFonts w:ascii="Times New Roman" w:hAnsi="Times New Roman"/>
                <w:color w:val="auto"/>
              </w:rPr>
              <w:t>Ⅱ</w:t>
            </w:r>
          </w:p>
        </w:tc>
        <w:tc>
          <w:tcPr>
            <w:tcW w:w="2021" w:type="pct"/>
            <w:noWrap w:val="0"/>
            <w:vAlign w:val="center"/>
          </w:tcPr>
          <w:p w14:paraId="0F3BFE85">
            <w:pPr>
              <w:pStyle w:val="17"/>
              <w:bidi w:val="0"/>
              <w:jc w:val="both"/>
              <w:rPr>
                <w:rFonts w:ascii="Times New Roman" w:hAnsi="Times New Roman"/>
                <w:color w:val="auto"/>
              </w:rPr>
            </w:pPr>
            <w:r>
              <w:rPr>
                <w:rFonts w:ascii="Times New Roman" w:hAnsi="Times New Roman"/>
                <w:color w:val="auto"/>
              </w:rPr>
              <w:t>1.选择牢靠地点固定安全绳或带；</w:t>
            </w:r>
          </w:p>
          <w:p w14:paraId="0408A353">
            <w:pPr>
              <w:pStyle w:val="17"/>
              <w:bidi w:val="0"/>
              <w:jc w:val="both"/>
              <w:rPr>
                <w:rFonts w:ascii="Times New Roman" w:hAnsi="Times New Roman"/>
                <w:color w:val="auto"/>
              </w:rPr>
            </w:pPr>
            <w:r>
              <w:rPr>
                <w:rFonts w:ascii="Times New Roman" w:hAnsi="Times New Roman"/>
                <w:color w:val="auto"/>
              </w:rPr>
              <w:t>2.使用合格安全绳</w:t>
            </w:r>
            <w:r>
              <w:rPr>
                <w:rFonts w:hint="eastAsia" w:ascii="Times New Roman" w:hAnsi="Times New Roman"/>
                <w:color w:val="auto"/>
                <w:lang w:eastAsia="zh-CN"/>
              </w:rPr>
              <w:t>（</w:t>
            </w:r>
            <w:r>
              <w:rPr>
                <w:rFonts w:ascii="Times New Roman" w:hAnsi="Times New Roman"/>
                <w:color w:val="auto"/>
              </w:rPr>
              <w:t>带</w:t>
            </w:r>
            <w:r>
              <w:rPr>
                <w:rFonts w:hint="eastAsia" w:ascii="Times New Roman" w:hAnsi="Times New Roman"/>
                <w:color w:val="auto"/>
                <w:lang w:eastAsia="zh-CN"/>
              </w:rPr>
              <w:t>）</w:t>
            </w:r>
            <w:r>
              <w:rPr>
                <w:rFonts w:ascii="Times New Roman" w:hAnsi="Times New Roman"/>
                <w:color w:val="auto"/>
              </w:rPr>
              <w:t>；</w:t>
            </w:r>
          </w:p>
          <w:p w14:paraId="0CD107B7">
            <w:pPr>
              <w:pStyle w:val="17"/>
              <w:bidi w:val="0"/>
              <w:jc w:val="both"/>
              <w:rPr>
                <w:rFonts w:ascii="Times New Roman" w:hAnsi="Times New Roman"/>
                <w:color w:val="auto"/>
              </w:rPr>
            </w:pPr>
            <w:r>
              <w:rPr>
                <w:rFonts w:ascii="Times New Roman" w:hAnsi="Times New Roman"/>
                <w:color w:val="auto"/>
              </w:rPr>
              <w:t>3.边坡上部设置明显安全警示标志。</w:t>
            </w:r>
          </w:p>
        </w:tc>
      </w:tr>
      <w:tr w14:paraId="7033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tcBorders>
              <w:top w:val="single" w:color="auto" w:sz="4" w:space="0"/>
              <w:left w:val="single" w:color="auto" w:sz="4" w:space="0"/>
              <w:bottom w:val="single" w:color="auto" w:sz="4" w:space="0"/>
              <w:right w:val="single" w:color="auto" w:sz="4" w:space="0"/>
            </w:tcBorders>
            <w:noWrap w:val="0"/>
            <w:vAlign w:val="center"/>
          </w:tcPr>
          <w:p w14:paraId="4D653168">
            <w:pPr>
              <w:pStyle w:val="17"/>
              <w:bidi w:val="0"/>
              <w:rPr>
                <w:rFonts w:ascii="Times New Roman" w:hAnsi="Times New Roman"/>
                <w:color w:val="auto"/>
              </w:rPr>
            </w:pPr>
            <w:r>
              <w:rPr>
                <w:rFonts w:ascii="Times New Roman" w:hAnsi="Times New Roman"/>
                <w:color w:val="auto"/>
              </w:rPr>
              <w:t>爆破伤害</w:t>
            </w:r>
          </w:p>
        </w:tc>
        <w:tc>
          <w:tcPr>
            <w:tcW w:w="1398" w:type="pct"/>
            <w:tcBorders>
              <w:top w:val="single" w:color="auto" w:sz="4" w:space="0"/>
              <w:left w:val="single" w:color="auto" w:sz="4" w:space="0"/>
              <w:bottom w:val="single" w:color="auto" w:sz="4" w:space="0"/>
              <w:right w:val="single" w:color="auto" w:sz="4" w:space="0"/>
            </w:tcBorders>
            <w:noWrap w:val="0"/>
            <w:vAlign w:val="center"/>
          </w:tcPr>
          <w:p w14:paraId="25361383">
            <w:pPr>
              <w:pStyle w:val="17"/>
              <w:bidi w:val="0"/>
              <w:jc w:val="both"/>
              <w:rPr>
                <w:rFonts w:ascii="Times New Roman" w:hAnsi="Times New Roman"/>
                <w:color w:val="auto"/>
              </w:rPr>
            </w:pPr>
            <w:r>
              <w:rPr>
                <w:rFonts w:ascii="Times New Roman" w:hAnsi="Times New Roman"/>
                <w:color w:val="auto"/>
              </w:rPr>
              <w:t>爆破器材管理不规范，无制度、规程或未执行制度、规程；</w:t>
            </w:r>
          </w:p>
          <w:p w14:paraId="26B61573">
            <w:pPr>
              <w:pStyle w:val="17"/>
              <w:bidi w:val="0"/>
              <w:jc w:val="both"/>
              <w:rPr>
                <w:rFonts w:ascii="Times New Roman" w:hAnsi="Times New Roman"/>
                <w:color w:val="auto"/>
              </w:rPr>
            </w:pPr>
            <w:r>
              <w:rPr>
                <w:rFonts w:ascii="Times New Roman" w:hAnsi="Times New Roman"/>
                <w:color w:val="auto"/>
              </w:rPr>
              <w:t>炸药控制不严格；</w:t>
            </w:r>
          </w:p>
          <w:p w14:paraId="6D22A087">
            <w:pPr>
              <w:pStyle w:val="17"/>
              <w:bidi w:val="0"/>
              <w:jc w:val="both"/>
              <w:rPr>
                <w:rFonts w:ascii="Times New Roman" w:hAnsi="Times New Roman"/>
                <w:color w:val="auto"/>
              </w:rPr>
            </w:pPr>
            <w:r>
              <w:rPr>
                <w:rFonts w:ascii="Times New Roman" w:hAnsi="Times New Roman"/>
                <w:color w:val="auto"/>
              </w:rPr>
              <w:t>爆破器材不合格；</w:t>
            </w:r>
          </w:p>
          <w:p w14:paraId="4A3B3B3D">
            <w:pPr>
              <w:pStyle w:val="17"/>
              <w:bidi w:val="0"/>
              <w:jc w:val="both"/>
              <w:rPr>
                <w:rFonts w:ascii="Times New Roman" w:hAnsi="Times New Roman"/>
                <w:color w:val="auto"/>
              </w:rPr>
            </w:pPr>
            <w:r>
              <w:rPr>
                <w:rFonts w:ascii="Times New Roman" w:hAnsi="Times New Roman"/>
                <w:color w:val="auto"/>
              </w:rPr>
              <w:t>爆破器材运输、储存过程中，遇到明火、高温、强烈振动或摩擦；</w:t>
            </w:r>
          </w:p>
          <w:p w14:paraId="15AE51BB">
            <w:pPr>
              <w:pStyle w:val="17"/>
              <w:bidi w:val="0"/>
              <w:jc w:val="both"/>
              <w:rPr>
                <w:rFonts w:ascii="Times New Roman" w:hAnsi="Times New Roman"/>
                <w:color w:val="auto"/>
              </w:rPr>
            </w:pPr>
            <w:r>
              <w:rPr>
                <w:rFonts w:ascii="Times New Roman" w:hAnsi="Times New Roman"/>
                <w:color w:val="auto"/>
              </w:rPr>
              <w:t>使用不合格的爆破器材；</w:t>
            </w:r>
          </w:p>
        </w:tc>
        <w:tc>
          <w:tcPr>
            <w:tcW w:w="368" w:type="pct"/>
            <w:tcBorders>
              <w:top w:val="single" w:color="auto" w:sz="4" w:space="0"/>
              <w:left w:val="single" w:color="auto" w:sz="4" w:space="0"/>
              <w:bottom w:val="single" w:color="auto" w:sz="4" w:space="0"/>
              <w:right w:val="single" w:color="auto" w:sz="4" w:space="0"/>
            </w:tcBorders>
            <w:noWrap w:val="0"/>
            <w:vAlign w:val="center"/>
          </w:tcPr>
          <w:p w14:paraId="7EA201E9">
            <w:pPr>
              <w:pStyle w:val="17"/>
              <w:bidi w:val="0"/>
              <w:rPr>
                <w:rFonts w:ascii="Times New Roman" w:hAnsi="Times New Roman"/>
                <w:color w:val="auto"/>
              </w:rPr>
            </w:pPr>
          </w:p>
          <w:p w14:paraId="06CFA773">
            <w:pPr>
              <w:pStyle w:val="17"/>
              <w:bidi w:val="0"/>
              <w:rPr>
                <w:rFonts w:ascii="Times New Roman" w:hAnsi="Times New Roman"/>
                <w:color w:val="auto"/>
              </w:rPr>
            </w:pPr>
            <w:r>
              <w:rPr>
                <w:rFonts w:ascii="Times New Roman" w:hAnsi="Times New Roman"/>
                <w:color w:val="auto"/>
              </w:rPr>
              <w:t>爆炸伤亡事故</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5D899771">
            <w:pPr>
              <w:pStyle w:val="17"/>
              <w:bidi w:val="0"/>
              <w:rPr>
                <w:rFonts w:ascii="Times New Roman" w:hAnsi="Times New Roman"/>
                <w:color w:val="auto"/>
              </w:rPr>
            </w:pPr>
            <w:r>
              <w:rPr>
                <w:rFonts w:ascii="Times New Roman" w:hAnsi="Times New Roman"/>
                <w:color w:val="auto"/>
              </w:rPr>
              <w:t>致残或死亡</w:t>
            </w:r>
          </w:p>
        </w:tc>
        <w:tc>
          <w:tcPr>
            <w:tcW w:w="373" w:type="pct"/>
            <w:tcBorders>
              <w:top w:val="single" w:color="auto" w:sz="4" w:space="0"/>
              <w:left w:val="single" w:color="auto" w:sz="4" w:space="0"/>
              <w:bottom w:val="single" w:color="auto" w:sz="4" w:space="0"/>
              <w:right w:val="single" w:color="auto" w:sz="4" w:space="0"/>
            </w:tcBorders>
            <w:noWrap w:val="0"/>
            <w:vAlign w:val="center"/>
          </w:tcPr>
          <w:p w14:paraId="1817D11B">
            <w:pPr>
              <w:pStyle w:val="17"/>
              <w:bidi w:val="0"/>
              <w:rPr>
                <w:rFonts w:ascii="Times New Roman" w:hAnsi="Times New Roman"/>
                <w:color w:val="auto"/>
              </w:rPr>
            </w:pPr>
            <w:r>
              <w:rPr>
                <w:rFonts w:ascii="Times New Roman" w:hAnsi="Times New Roman"/>
                <w:color w:val="auto"/>
              </w:rPr>
              <w:t>Ⅲ</w:t>
            </w:r>
          </w:p>
        </w:tc>
        <w:tc>
          <w:tcPr>
            <w:tcW w:w="2021" w:type="pct"/>
            <w:tcBorders>
              <w:top w:val="single" w:color="auto" w:sz="4" w:space="0"/>
              <w:left w:val="single" w:color="auto" w:sz="4" w:space="0"/>
              <w:bottom w:val="single" w:color="auto" w:sz="4" w:space="0"/>
              <w:right w:val="single" w:color="auto" w:sz="4" w:space="0"/>
            </w:tcBorders>
            <w:noWrap w:val="0"/>
            <w:vAlign w:val="center"/>
          </w:tcPr>
          <w:p w14:paraId="06D8C3A3">
            <w:pPr>
              <w:pStyle w:val="17"/>
              <w:bidi w:val="0"/>
              <w:jc w:val="both"/>
              <w:rPr>
                <w:rFonts w:ascii="Times New Roman" w:hAnsi="Times New Roman"/>
                <w:color w:val="auto"/>
              </w:rPr>
            </w:pPr>
            <w:r>
              <w:rPr>
                <w:rFonts w:ascii="Times New Roman" w:hAnsi="Times New Roman"/>
                <w:color w:val="auto"/>
              </w:rPr>
              <w:t>1.严格执行《爆破安全规程》；</w:t>
            </w:r>
          </w:p>
          <w:p w14:paraId="4502BF94">
            <w:pPr>
              <w:pStyle w:val="17"/>
              <w:bidi w:val="0"/>
              <w:jc w:val="both"/>
              <w:rPr>
                <w:rFonts w:ascii="Times New Roman" w:hAnsi="Times New Roman"/>
                <w:color w:val="auto"/>
              </w:rPr>
            </w:pPr>
            <w:r>
              <w:rPr>
                <w:rFonts w:ascii="Times New Roman" w:hAnsi="Times New Roman"/>
                <w:color w:val="auto"/>
              </w:rPr>
              <w:t>2.严格执行爆破器材检验制度；</w:t>
            </w:r>
          </w:p>
          <w:p w14:paraId="3D460FB3">
            <w:pPr>
              <w:pStyle w:val="17"/>
              <w:bidi w:val="0"/>
              <w:jc w:val="both"/>
              <w:rPr>
                <w:rFonts w:ascii="Times New Roman" w:hAnsi="Times New Roman"/>
                <w:color w:val="auto"/>
              </w:rPr>
            </w:pPr>
            <w:r>
              <w:rPr>
                <w:rFonts w:ascii="Times New Roman" w:hAnsi="Times New Roman"/>
                <w:color w:val="auto"/>
              </w:rPr>
              <w:t>3.建立健全爆破器材的安全管理制度、操作规程，加强爆破器材安全管理。</w:t>
            </w:r>
          </w:p>
        </w:tc>
      </w:tr>
      <w:tr w14:paraId="7534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tcBorders>
              <w:top w:val="single" w:color="auto" w:sz="4" w:space="0"/>
              <w:left w:val="single" w:color="auto" w:sz="4" w:space="0"/>
              <w:bottom w:val="single" w:color="auto" w:sz="4" w:space="0"/>
              <w:right w:val="single" w:color="auto" w:sz="4" w:space="0"/>
            </w:tcBorders>
            <w:noWrap w:val="0"/>
            <w:vAlign w:val="center"/>
          </w:tcPr>
          <w:p w14:paraId="479AD2BD">
            <w:pPr>
              <w:pStyle w:val="17"/>
              <w:bidi w:val="0"/>
              <w:rPr>
                <w:rFonts w:ascii="Times New Roman" w:hAnsi="Times New Roman"/>
                <w:color w:val="auto"/>
              </w:rPr>
            </w:pPr>
            <w:r>
              <w:rPr>
                <w:rFonts w:ascii="Times New Roman" w:hAnsi="Times New Roman"/>
                <w:color w:val="auto"/>
              </w:rPr>
              <w:t>火灾</w:t>
            </w:r>
          </w:p>
        </w:tc>
        <w:tc>
          <w:tcPr>
            <w:tcW w:w="1398" w:type="pct"/>
            <w:tcBorders>
              <w:top w:val="single" w:color="auto" w:sz="4" w:space="0"/>
              <w:left w:val="single" w:color="auto" w:sz="4" w:space="0"/>
              <w:bottom w:val="single" w:color="auto" w:sz="4" w:space="0"/>
              <w:right w:val="single" w:color="auto" w:sz="4" w:space="0"/>
            </w:tcBorders>
            <w:noWrap w:val="0"/>
            <w:vAlign w:val="center"/>
          </w:tcPr>
          <w:p w14:paraId="504BE003">
            <w:pPr>
              <w:pStyle w:val="17"/>
              <w:bidi w:val="0"/>
              <w:jc w:val="both"/>
              <w:rPr>
                <w:rFonts w:ascii="Times New Roman" w:hAnsi="Times New Roman"/>
                <w:color w:val="auto"/>
              </w:rPr>
            </w:pPr>
            <w:r>
              <w:rPr>
                <w:rFonts w:ascii="Times New Roman" w:hAnsi="Times New Roman"/>
                <w:color w:val="auto"/>
              </w:rPr>
              <w:t>明火；</w:t>
            </w:r>
          </w:p>
          <w:p w14:paraId="18C131A8">
            <w:pPr>
              <w:pStyle w:val="17"/>
              <w:bidi w:val="0"/>
              <w:jc w:val="both"/>
              <w:rPr>
                <w:rFonts w:ascii="Times New Roman" w:hAnsi="Times New Roman"/>
                <w:color w:val="auto"/>
              </w:rPr>
            </w:pPr>
            <w:r>
              <w:rPr>
                <w:rFonts w:ascii="Times New Roman" w:hAnsi="Times New Roman"/>
                <w:color w:val="auto"/>
              </w:rPr>
              <w:t>机械作用</w:t>
            </w:r>
            <w:r>
              <w:rPr>
                <w:rFonts w:hint="eastAsia" w:ascii="Times New Roman" w:hAnsi="Times New Roman"/>
                <w:color w:val="auto"/>
                <w:lang w:eastAsia="zh-CN"/>
              </w:rPr>
              <w:t>（</w:t>
            </w:r>
            <w:r>
              <w:rPr>
                <w:rFonts w:ascii="Times New Roman" w:hAnsi="Times New Roman"/>
                <w:color w:val="auto"/>
              </w:rPr>
              <w:t>包括摩擦、震动冲击等</w:t>
            </w:r>
            <w:r>
              <w:rPr>
                <w:rFonts w:hint="eastAsia" w:ascii="Times New Roman" w:hAnsi="Times New Roman"/>
                <w:color w:val="auto"/>
                <w:lang w:eastAsia="zh-CN"/>
              </w:rPr>
              <w:t>）</w:t>
            </w:r>
            <w:r>
              <w:rPr>
                <w:rFonts w:ascii="Times New Roman" w:hAnsi="Times New Roman"/>
                <w:color w:val="auto"/>
              </w:rPr>
              <w:t>所引起；</w:t>
            </w:r>
          </w:p>
          <w:p w14:paraId="0806FAB3">
            <w:pPr>
              <w:pStyle w:val="17"/>
              <w:bidi w:val="0"/>
              <w:jc w:val="both"/>
              <w:rPr>
                <w:rFonts w:ascii="Times New Roman" w:hAnsi="Times New Roman"/>
                <w:color w:val="auto"/>
              </w:rPr>
            </w:pPr>
            <w:r>
              <w:rPr>
                <w:rFonts w:ascii="Times New Roman" w:hAnsi="Times New Roman"/>
                <w:color w:val="auto"/>
              </w:rPr>
              <w:t>绝缘、保护装置未检查，未维护；</w:t>
            </w:r>
          </w:p>
          <w:p w14:paraId="206D9293">
            <w:pPr>
              <w:pStyle w:val="17"/>
              <w:bidi w:val="0"/>
              <w:jc w:val="both"/>
              <w:rPr>
                <w:rFonts w:ascii="Times New Roman" w:hAnsi="Times New Roman"/>
                <w:color w:val="auto"/>
              </w:rPr>
            </w:pPr>
            <w:r>
              <w:rPr>
                <w:rFonts w:ascii="Times New Roman" w:hAnsi="Times New Roman"/>
                <w:color w:val="auto"/>
              </w:rPr>
              <w:t>装置失效；</w:t>
            </w:r>
          </w:p>
          <w:p w14:paraId="4BDAED36">
            <w:pPr>
              <w:pStyle w:val="17"/>
              <w:bidi w:val="0"/>
              <w:jc w:val="both"/>
              <w:rPr>
                <w:rFonts w:ascii="Times New Roman" w:hAnsi="Times New Roman"/>
                <w:color w:val="auto"/>
              </w:rPr>
            </w:pPr>
            <w:r>
              <w:rPr>
                <w:rFonts w:ascii="Times New Roman" w:hAnsi="Times New Roman"/>
                <w:color w:val="auto"/>
              </w:rPr>
              <w:t>未设置消防灭火设施</w:t>
            </w:r>
          </w:p>
          <w:p w14:paraId="17369E02">
            <w:pPr>
              <w:pStyle w:val="17"/>
              <w:bidi w:val="0"/>
              <w:jc w:val="both"/>
              <w:rPr>
                <w:rFonts w:ascii="Times New Roman" w:hAnsi="Times New Roman"/>
                <w:color w:val="auto"/>
              </w:rPr>
            </w:pPr>
            <w:r>
              <w:rPr>
                <w:rFonts w:ascii="Times New Roman" w:hAnsi="Times New Roman"/>
                <w:color w:val="auto"/>
              </w:rPr>
              <w:t>其他违章操作。</w:t>
            </w:r>
          </w:p>
        </w:tc>
        <w:tc>
          <w:tcPr>
            <w:tcW w:w="368" w:type="pct"/>
            <w:tcBorders>
              <w:top w:val="single" w:color="auto" w:sz="4" w:space="0"/>
              <w:left w:val="single" w:color="auto" w:sz="4" w:space="0"/>
              <w:bottom w:val="single" w:color="auto" w:sz="4" w:space="0"/>
              <w:right w:val="single" w:color="auto" w:sz="4" w:space="0"/>
            </w:tcBorders>
            <w:noWrap w:val="0"/>
            <w:vAlign w:val="center"/>
          </w:tcPr>
          <w:p w14:paraId="5BF2356D">
            <w:pPr>
              <w:pStyle w:val="17"/>
              <w:bidi w:val="0"/>
              <w:rPr>
                <w:rFonts w:ascii="Times New Roman" w:hAnsi="Times New Roman"/>
                <w:color w:val="auto"/>
              </w:rPr>
            </w:pPr>
            <w:r>
              <w:rPr>
                <w:rFonts w:ascii="Times New Roman" w:hAnsi="Times New Roman"/>
                <w:color w:val="auto"/>
              </w:rPr>
              <w:t>短路、明火引发火灾</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685DE159">
            <w:pPr>
              <w:pStyle w:val="17"/>
              <w:bidi w:val="0"/>
              <w:rPr>
                <w:rFonts w:ascii="Times New Roman" w:hAnsi="Times New Roman"/>
                <w:color w:val="auto"/>
              </w:rPr>
            </w:pPr>
            <w:r>
              <w:rPr>
                <w:rFonts w:ascii="Times New Roman" w:hAnsi="Times New Roman"/>
                <w:color w:val="auto"/>
              </w:rPr>
              <w:t>人员伤亡、设备设施损坏</w:t>
            </w:r>
          </w:p>
        </w:tc>
        <w:tc>
          <w:tcPr>
            <w:tcW w:w="373" w:type="pct"/>
            <w:tcBorders>
              <w:top w:val="single" w:color="auto" w:sz="4" w:space="0"/>
              <w:left w:val="single" w:color="auto" w:sz="4" w:space="0"/>
              <w:bottom w:val="single" w:color="auto" w:sz="4" w:space="0"/>
              <w:right w:val="single" w:color="auto" w:sz="4" w:space="0"/>
            </w:tcBorders>
            <w:noWrap w:val="0"/>
            <w:vAlign w:val="center"/>
          </w:tcPr>
          <w:p w14:paraId="65A11678">
            <w:pPr>
              <w:pStyle w:val="17"/>
              <w:bidi w:val="0"/>
              <w:rPr>
                <w:rFonts w:ascii="Times New Roman" w:hAnsi="Times New Roman"/>
                <w:color w:val="auto"/>
              </w:rPr>
            </w:pPr>
            <w:r>
              <w:rPr>
                <w:rFonts w:ascii="Times New Roman" w:hAnsi="Times New Roman"/>
                <w:color w:val="auto"/>
              </w:rPr>
              <w:t>Ⅱ</w:t>
            </w:r>
          </w:p>
        </w:tc>
        <w:tc>
          <w:tcPr>
            <w:tcW w:w="2021" w:type="pct"/>
            <w:tcBorders>
              <w:top w:val="single" w:color="auto" w:sz="4" w:space="0"/>
              <w:left w:val="single" w:color="auto" w:sz="4" w:space="0"/>
              <w:bottom w:val="single" w:color="auto" w:sz="4" w:space="0"/>
              <w:right w:val="single" w:color="auto" w:sz="4" w:space="0"/>
            </w:tcBorders>
            <w:noWrap w:val="0"/>
            <w:vAlign w:val="center"/>
          </w:tcPr>
          <w:p w14:paraId="79C5768A">
            <w:pPr>
              <w:pStyle w:val="17"/>
              <w:bidi w:val="0"/>
              <w:jc w:val="both"/>
              <w:rPr>
                <w:rFonts w:ascii="Times New Roman" w:hAnsi="Times New Roman"/>
                <w:color w:val="auto"/>
              </w:rPr>
            </w:pPr>
            <w:r>
              <w:rPr>
                <w:rFonts w:ascii="Times New Roman" w:hAnsi="Times New Roman"/>
                <w:color w:val="auto"/>
              </w:rPr>
              <w:t>1.严格执行操作规程；</w:t>
            </w:r>
          </w:p>
          <w:p w14:paraId="64BDFA33">
            <w:pPr>
              <w:pStyle w:val="17"/>
              <w:bidi w:val="0"/>
              <w:jc w:val="both"/>
              <w:rPr>
                <w:rFonts w:ascii="Times New Roman" w:hAnsi="Times New Roman"/>
                <w:color w:val="auto"/>
              </w:rPr>
            </w:pPr>
            <w:r>
              <w:rPr>
                <w:rFonts w:ascii="Times New Roman" w:hAnsi="Times New Roman"/>
                <w:color w:val="auto"/>
              </w:rPr>
              <w:t>2.加强个人防护措施；</w:t>
            </w:r>
          </w:p>
          <w:p w14:paraId="1E8457A8">
            <w:pPr>
              <w:pStyle w:val="17"/>
              <w:bidi w:val="0"/>
              <w:jc w:val="both"/>
              <w:rPr>
                <w:rFonts w:ascii="Times New Roman" w:hAnsi="Times New Roman"/>
                <w:color w:val="auto"/>
              </w:rPr>
            </w:pPr>
            <w:r>
              <w:rPr>
                <w:rFonts w:ascii="Times New Roman" w:hAnsi="Times New Roman"/>
                <w:color w:val="auto"/>
              </w:rPr>
              <w:t>3.严格执行《爆破安全规程》电气照明的有关规定和GB16423-2020的有关规定；设置消防设施；</w:t>
            </w:r>
          </w:p>
          <w:p w14:paraId="2E534582">
            <w:pPr>
              <w:pStyle w:val="17"/>
              <w:bidi w:val="0"/>
              <w:jc w:val="both"/>
              <w:rPr>
                <w:rFonts w:ascii="Times New Roman" w:hAnsi="Times New Roman"/>
                <w:color w:val="auto"/>
              </w:rPr>
            </w:pPr>
            <w:r>
              <w:rPr>
                <w:rFonts w:ascii="Times New Roman" w:hAnsi="Times New Roman"/>
                <w:color w:val="auto"/>
              </w:rPr>
              <w:t>4.加强电气设备及其线路的检查、维护。</w:t>
            </w:r>
          </w:p>
        </w:tc>
      </w:tr>
      <w:tr w14:paraId="6056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tcBorders>
              <w:top w:val="single" w:color="auto" w:sz="4" w:space="0"/>
              <w:left w:val="single" w:color="auto" w:sz="4" w:space="0"/>
              <w:bottom w:val="single" w:color="auto" w:sz="4" w:space="0"/>
              <w:right w:val="single" w:color="auto" w:sz="4" w:space="0"/>
            </w:tcBorders>
            <w:noWrap w:val="0"/>
            <w:vAlign w:val="center"/>
          </w:tcPr>
          <w:p w14:paraId="60E5A22D">
            <w:pPr>
              <w:pStyle w:val="17"/>
              <w:bidi w:val="0"/>
              <w:rPr>
                <w:rFonts w:ascii="Times New Roman" w:hAnsi="Times New Roman"/>
                <w:color w:val="auto"/>
              </w:rPr>
            </w:pPr>
            <w:r>
              <w:rPr>
                <w:rFonts w:ascii="Times New Roman" w:hAnsi="Times New Roman"/>
                <w:color w:val="auto"/>
              </w:rPr>
              <w:t>触电</w:t>
            </w:r>
          </w:p>
        </w:tc>
        <w:tc>
          <w:tcPr>
            <w:tcW w:w="1398" w:type="pct"/>
            <w:tcBorders>
              <w:top w:val="single" w:color="auto" w:sz="4" w:space="0"/>
              <w:left w:val="single" w:color="auto" w:sz="4" w:space="0"/>
              <w:bottom w:val="single" w:color="auto" w:sz="4" w:space="0"/>
              <w:right w:val="single" w:color="auto" w:sz="4" w:space="0"/>
            </w:tcBorders>
            <w:noWrap w:val="0"/>
            <w:vAlign w:val="center"/>
          </w:tcPr>
          <w:p w14:paraId="3E620904">
            <w:pPr>
              <w:pStyle w:val="17"/>
              <w:bidi w:val="0"/>
              <w:jc w:val="both"/>
              <w:rPr>
                <w:rFonts w:ascii="Times New Roman" w:hAnsi="Times New Roman"/>
                <w:color w:val="auto"/>
              </w:rPr>
            </w:pPr>
            <w:r>
              <w:rPr>
                <w:rFonts w:ascii="Times New Roman" w:hAnsi="Times New Roman"/>
                <w:color w:val="auto"/>
              </w:rPr>
              <w:t>工作面潮湿；</w:t>
            </w:r>
          </w:p>
          <w:p w14:paraId="28303430">
            <w:pPr>
              <w:pStyle w:val="17"/>
              <w:bidi w:val="0"/>
              <w:jc w:val="both"/>
              <w:rPr>
                <w:rFonts w:ascii="Times New Roman" w:hAnsi="Times New Roman"/>
                <w:color w:val="auto"/>
              </w:rPr>
            </w:pPr>
            <w:r>
              <w:rPr>
                <w:rFonts w:ascii="Times New Roman" w:hAnsi="Times New Roman"/>
                <w:color w:val="auto"/>
              </w:rPr>
              <w:t>使用电气设备绝缘老化；</w:t>
            </w:r>
          </w:p>
          <w:p w14:paraId="2002DBB4">
            <w:pPr>
              <w:pStyle w:val="17"/>
              <w:bidi w:val="0"/>
              <w:jc w:val="both"/>
              <w:rPr>
                <w:rFonts w:ascii="Times New Roman" w:hAnsi="Times New Roman"/>
                <w:color w:val="auto"/>
              </w:rPr>
            </w:pPr>
            <w:r>
              <w:rPr>
                <w:rFonts w:ascii="Times New Roman" w:hAnsi="Times New Roman"/>
                <w:color w:val="auto"/>
              </w:rPr>
              <w:t>安全装置失效。</w:t>
            </w:r>
          </w:p>
        </w:tc>
        <w:tc>
          <w:tcPr>
            <w:tcW w:w="368" w:type="pct"/>
            <w:tcBorders>
              <w:top w:val="single" w:color="auto" w:sz="4" w:space="0"/>
              <w:left w:val="single" w:color="auto" w:sz="4" w:space="0"/>
              <w:bottom w:val="single" w:color="auto" w:sz="4" w:space="0"/>
              <w:right w:val="single" w:color="auto" w:sz="4" w:space="0"/>
            </w:tcBorders>
            <w:noWrap w:val="0"/>
            <w:vAlign w:val="center"/>
          </w:tcPr>
          <w:p w14:paraId="1EAB91D5">
            <w:pPr>
              <w:pStyle w:val="17"/>
              <w:bidi w:val="0"/>
              <w:rPr>
                <w:rFonts w:ascii="Times New Roman" w:hAnsi="Times New Roman"/>
                <w:color w:val="auto"/>
              </w:rPr>
            </w:pPr>
            <w:r>
              <w:rPr>
                <w:rFonts w:ascii="Times New Roman" w:hAnsi="Times New Roman"/>
                <w:color w:val="auto"/>
              </w:rPr>
              <w:t>短路、引发漏电、触电</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411DA150">
            <w:pPr>
              <w:pStyle w:val="17"/>
              <w:bidi w:val="0"/>
              <w:rPr>
                <w:rFonts w:ascii="Times New Roman" w:hAnsi="Times New Roman"/>
                <w:color w:val="auto"/>
              </w:rPr>
            </w:pPr>
            <w:r>
              <w:rPr>
                <w:rFonts w:ascii="Times New Roman" w:hAnsi="Times New Roman"/>
                <w:color w:val="auto"/>
              </w:rPr>
              <w:t>人员伤亡、设施损坏</w:t>
            </w:r>
          </w:p>
        </w:tc>
        <w:tc>
          <w:tcPr>
            <w:tcW w:w="373" w:type="pct"/>
            <w:tcBorders>
              <w:top w:val="single" w:color="auto" w:sz="4" w:space="0"/>
              <w:left w:val="single" w:color="auto" w:sz="4" w:space="0"/>
              <w:bottom w:val="single" w:color="auto" w:sz="4" w:space="0"/>
              <w:right w:val="single" w:color="auto" w:sz="4" w:space="0"/>
            </w:tcBorders>
            <w:noWrap w:val="0"/>
            <w:vAlign w:val="center"/>
          </w:tcPr>
          <w:p w14:paraId="22C8CB2B">
            <w:pPr>
              <w:pStyle w:val="17"/>
              <w:bidi w:val="0"/>
              <w:rPr>
                <w:rFonts w:ascii="Times New Roman" w:hAnsi="Times New Roman"/>
                <w:color w:val="auto"/>
              </w:rPr>
            </w:pPr>
            <w:r>
              <w:rPr>
                <w:rFonts w:ascii="Times New Roman" w:hAnsi="Times New Roman"/>
                <w:color w:val="auto"/>
              </w:rPr>
              <w:t>Ⅱ</w:t>
            </w:r>
          </w:p>
        </w:tc>
        <w:tc>
          <w:tcPr>
            <w:tcW w:w="2021" w:type="pct"/>
            <w:tcBorders>
              <w:top w:val="single" w:color="auto" w:sz="4" w:space="0"/>
              <w:left w:val="single" w:color="auto" w:sz="4" w:space="0"/>
              <w:bottom w:val="single" w:color="auto" w:sz="4" w:space="0"/>
              <w:right w:val="single" w:color="auto" w:sz="4" w:space="0"/>
            </w:tcBorders>
            <w:noWrap w:val="0"/>
            <w:vAlign w:val="center"/>
          </w:tcPr>
          <w:p w14:paraId="5D08D046">
            <w:pPr>
              <w:pStyle w:val="17"/>
              <w:bidi w:val="0"/>
              <w:jc w:val="both"/>
              <w:rPr>
                <w:rFonts w:ascii="Times New Roman" w:hAnsi="Times New Roman"/>
                <w:color w:val="auto"/>
              </w:rPr>
            </w:pPr>
            <w:r>
              <w:rPr>
                <w:rFonts w:ascii="Times New Roman" w:hAnsi="Times New Roman"/>
                <w:color w:val="auto"/>
              </w:rPr>
              <w:t>1.严格执行操作规程；</w:t>
            </w:r>
          </w:p>
          <w:p w14:paraId="4A21BFF9">
            <w:pPr>
              <w:pStyle w:val="17"/>
              <w:bidi w:val="0"/>
              <w:jc w:val="both"/>
              <w:rPr>
                <w:rFonts w:ascii="Times New Roman" w:hAnsi="Times New Roman"/>
                <w:color w:val="auto"/>
              </w:rPr>
            </w:pPr>
            <w:r>
              <w:rPr>
                <w:rFonts w:ascii="Times New Roman" w:hAnsi="Times New Roman"/>
                <w:color w:val="auto"/>
              </w:rPr>
              <w:t>2.加强个人防护措施；</w:t>
            </w:r>
          </w:p>
          <w:p w14:paraId="66649B07">
            <w:pPr>
              <w:pStyle w:val="17"/>
              <w:bidi w:val="0"/>
              <w:jc w:val="both"/>
              <w:rPr>
                <w:rFonts w:ascii="Times New Roman" w:hAnsi="Times New Roman"/>
                <w:color w:val="auto"/>
              </w:rPr>
            </w:pPr>
            <w:r>
              <w:rPr>
                <w:rFonts w:ascii="Times New Roman" w:hAnsi="Times New Roman"/>
                <w:color w:val="auto"/>
              </w:rPr>
              <w:t>3.严格执行《爆破安全规程》电气照明的有关规定和GB16423-2020的有关规定；</w:t>
            </w:r>
          </w:p>
          <w:p w14:paraId="14A714C6">
            <w:pPr>
              <w:pStyle w:val="17"/>
              <w:bidi w:val="0"/>
              <w:jc w:val="both"/>
              <w:rPr>
                <w:rFonts w:ascii="Times New Roman" w:hAnsi="Times New Roman"/>
                <w:color w:val="auto"/>
              </w:rPr>
            </w:pPr>
            <w:r>
              <w:rPr>
                <w:rFonts w:ascii="Times New Roman" w:hAnsi="Times New Roman"/>
                <w:color w:val="auto"/>
              </w:rPr>
              <w:t>4.加强电气设备及其线路的检查、维护。</w:t>
            </w:r>
          </w:p>
        </w:tc>
      </w:tr>
      <w:tr w14:paraId="3540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3" w:type="pct"/>
            <w:tcBorders>
              <w:top w:val="single" w:color="auto" w:sz="4" w:space="0"/>
              <w:left w:val="single" w:color="auto" w:sz="4" w:space="0"/>
              <w:bottom w:val="single" w:color="auto" w:sz="4" w:space="0"/>
              <w:right w:val="single" w:color="auto" w:sz="4" w:space="0"/>
            </w:tcBorders>
            <w:noWrap w:val="0"/>
            <w:vAlign w:val="center"/>
          </w:tcPr>
          <w:p w14:paraId="6B34D754">
            <w:pPr>
              <w:pStyle w:val="17"/>
              <w:bidi w:val="0"/>
              <w:rPr>
                <w:rFonts w:hint="eastAsia" w:ascii="Times New Roman" w:hAnsi="Times New Roman" w:eastAsia="宋体"/>
                <w:color w:val="auto"/>
                <w:lang w:eastAsia="zh-CN"/>
              </w:rPr>
            </w:pPr>
            <w:r>
              <w:rPr>
                <w:rFonts w:ascii="Times New Roman" w:hAnsi="Times New Roman"/>
                <w:color w:val="auto"/>
              </w:rPr>
              <w:t>其它伤害</w:t>
            </w:r>
            <w:r>
              <w:rPr>
                <w:rFonts w:hint="eastAsia" w:ascii="Times New Roman" w:hAnsi="Times New Roman"/>
                <w:color w:val="auto"/>
                <w:lang w:eastAsia="zh-CN"/>
              </w:rPr>
              <w:t>（</w:t>
            </w:r>
            <w:r>
              <w:rPr>
                <w:rFonts w:ascii="Times New Roman" w:hAnsi="Times New Roman"/>
                <w:color w:val="auto"/>
              </w:rPr>
              <w:t>职业危害</w:t>
            </w:r>
            <w:r>
              <w:rPr>
                <w:rFonts w:hint="eastAsia" w:ascii="Times New Roman" w:hAnsi="Times New Roman"/>
                <w:color w:val="auto"/>
                <w:lang w:eastAsia="zh-CN"/>
              </w:rPr>
              <w:t>）</w:t>
            </w:r>
          </w:p>
        </w:tc>
        <w:tc>
          <w:tcPr>
            <w:tcW w:w="1398" w:type="pct"/>
            <w:tcBorders>
              <w:top w:val="single" w:color="auto" w:sz="4" w:space="0"/>
              <w:left w:val="single" w:color="auto" w:sz="4" w:space="0"/>
              <w:bottom w:val="single" w:color="auto" w:sz="4" w:space="0"/>
              <w:right w:val="single" w:color="auto" w:sz="4" w:space="0"/>
            </w:tcBorders>
            <w:noWrap w:val="0"/>
            <w:vAlign w:val="center"/>
          </w:tcPr>
          <w:p w14:paraId="2D942DBE">
            <w:pPr>
              <w:pStyle w:val="17"/>
              <w:bidi w:val="0"/>
              <w:jc w:val="both"/>
              <w:rPr>
                <w:rFonts w:ascii="Times New Roman" w:hAnsi="Times New Roman"/>
                <w:color w:val="auto"/>
              </w:rPr>
            </w:pPr>
            <w:r>
              <w:rPr>
                <w:rFonts w:ascii="Times New Roman" w:hAnsi="Times New Roman"/>
                <w:color w:val="auto"/>
              </w:rPr>
              <w:t>1.打干眼；</w:t>
            </w:r>
          </w:p>
          <w:p w14:paraId="0536F5D8">
            <w:pPr>
              <w:pStyle w:val="17"/>
              <w:bidi w:val="0"/>
              <w:jc w:val="both"/>
              <w:rPr>
                <w:rFonts w:ascii="Times New Roman" w:hAnsi="Times New Roman"/>
                <w:color w:val="auto"/>
              </w:rPr>
            </w:pPr>
            <w:r>
              <w:rPr>
                <w:rFonts w:ascii="Times New Roman" w:hAnsi="Times New Roman"/>
                <w:color w:val="auto"/>
              </w:rPr>
              <w:t>2.长期在高粉尘、高噪声环境下作业。</w:t>
            </w:r>
          </w:p>
        </w:tc>
        <w:tc>
          <w:tcPr>
            <w:tcW w:w="368" w:type="pct"/>
            <w:tcBorders>
              <w:top w:val="single" w:color="auto" w:sz="4" w:space="0"/>
              <w:left w:val="single" w:color="auto" w:sz="4" w:space="0"/>
              <w:bottom w:val="single" w:color="auto" w:sz="4" w:space="0"/>
              <w:right w:val="single" w:color="auto" w:sz="4" w:space="0"/>
            </w:tcBorders>
            <w:noWrap w:val="0"/>
            <w:vAlign w:val="center"/>
          </w:tcPr>
          <w:p w14:paraId="555BA5F2">
            <w:pPr>
              <w:pStyle w:val="17"/>
              <w:bidi w:val="0"/>
              <w:rPr>
                <w:rFonts w:ascii="Times New Roman" w:hAnsi="Times New Roman"/>
                <w:color w:val="auto"/>
              </w:rPr>
            </w:pPr>
            <w:r>
              <w:rPr>
                <w:rFonts w:ascii="Times New Roman" w:hAnsi="Times New Roman"/>
                <w:color w:val="auto"/>
              </w:rPr>
              <w:t>职业病</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25868921">
            <w:pPr>
              <w:pStyle w:val="17"/>
              <w:bidi w:val="0"/>
              <w:rPr>
                <w:rFonts w:ascii="Times New Roman" w:hAnsi="Times New Roman"/>
                <w:color w:val="auto"/>
              </w:rPr>
            </w:pPr>
            <w:r>
              <w:rPr>
                <w:rFonts w:ascii="Times New Roman" w:hAnsi="Times New Roman"/>
                <w:color w:val="auto"/>
              </w:rPr>
              <w:t>人员慢性伤害</w:t>
            </w:r>
          </w:p>
        </w:tc>
        <w:tc>
          <w:tcPr>
            <w:tcW w:w="373" w:type="pct"/>
            <w:tcBorders>
              <w:top w:val="single" w:color="auto" w:sz="4" w:space="0"/>
              <w:left w:val="single" w:color="auto" w:sz="4" w:space="0"/>
              <w:bottom w:val="single" w:color="auto" w:sz="4" w:space="0"/>
              <w:right w:val="single" w:color="auto" w:sz="4" w:space="0"/>
            </w:tcBorders>
            <w:noWrap w:val="0"/>
            <w:vAlign w:val="center"/>
          </w:tcPr>
          <w:p w14:paraId="29C5C554">
            <w:pPr>
              <w:pStyle w:val="17"/>
              <w:bidi w:val="0"/>
              <w:rPr>
                <w:rFonts w:ascii="Times New Roman" w:hAnsi="Times New Roman"/>
                <w:color w:val="auto"/>
              </w:rPr>
            </w:pPr>
            <w:r>
              <w:rPr>
                <w:rFonts w:ascii="Times New Roman" w:hAnsi="Times New Roman"/>
                <w:color w:val="auto"/>
              </w:rPr>
              <w:t>Ⅱ</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713D8024">
            <w:pPr>
              <w:pStyle w:val="17"/>
              <w:bidi w:val="0"/>
              <w:jc w:val="both"/>
              <w:rPr>
                <w:rFonts w:ascii="Times New Roman" w:hAnsi="Times New Roman"/>
                <w:color w:val="auto"/>
              </w:rPr>
            </w:pPr>
            <w:r>
              <w:rPr>
                <w:rFonts w:ascii="Times New Roman" w:hAnsi="Times New Roman"/>
                <w:color w:val="auto"/>
              </w:rPr>
              <w:t>1.加强个体防护，如佩戴防尘口罩、耳塞；</w:t>
            </w:r>
          </w:p>
          <w:p w14:paraId="4C0E6819">
            <w:pPr>
              <w:pStyle w:val="17"/>
              <w:bidi w:val="0"/>
              <w:jc w:val="both"/>
              <w:rPr>
                <w:rFonts w:ascii="Times New Roman" w:hAnsi="Times New Roman"/>
                <w:color w:val="auto"/>
              </w:rPr>
            </w:pPr>
            <w:r>
              <w:rPr>
                <w:rFonts w:ascii="Times New Roman" w:hAnsi="Times New Roman"/>
                <w:color w:val="auto"/>
              </w:rPr>
              <w:t>2.增加消声、隔音设施。</w:t>
            </w:r>
          </w:p>
        </w:tc>
      </w:tr>
    </w:tbl>
    <w:p w14:paraId="004F9B94">
      <w:pPr>
        <w:bidi w:val="0"/>
        <w:rPr>
          <w:rFonts w:ascii="Times New Roman" w:hAnsi="Times New Roman"/>
          <w:color w:val="auto"/>
        </w:rPr>
      </w:pPr>
      <w:r>
        <w:rPr>
          <w:rFonts w:ascii="Times New Roman" w:hAnsi="Times New Roman"/>
          <w:color w:val="auto"/>
        </w:rPr>
        <w:t>通过PHA分析，Ⅲ级或Ⅲ级以上是危险的，会造成人员伤亡和系统损坏。爆破事故是主要危险有害因素，生产中应积极采取措施加以预防和控制。</w:t>
      </w:r>
    </w:p>
    <w:p w14:paraId="3573EBEA">
      <w:pPr>
        <w:pStyle w:val="5"/>
        <w:bidi w:val="0"/>
        <w:rPr>
          <w:rFonts w:ascii="Times New Roman" w:hAnsi="Times New Roman"/>
          <w:color w:val="auto"/>
        </w:rPr>
      </w:pPr>
      <w:r>
        <w:rPr>
          <w:rFonts w:ascii="Times New Roman" w:hAnsi="Times New Roman"/>
          <w:color w:val="auto"/>
        </w:rPr>
        <w:t>3.3.3.2</w:t>
      </w:r>
      <w:r>
        <w:rPr>
          <w:rFonts w:hint="eastAsia" w:ascii="Times New Roman" w:hAnsi="Times New Roman"/>
          <w:color w:val="auto"/>
          <w:lang w:val="en-US" w:eastAsia="zh-CN"/>
        </w:rPr>
        <w:t xml:space="preserve"> </w:t>
      </w:r>
      <w:r>
        <w:rPr>
          <w:rFonts w:ascii="Times New Roman" w:hAnsi="Times New Roman"/>
          <w:color w:val="auto"/>
        </w:rPr>
        <w:t>爆破事故鱼刺图分析</w:t>
      </w:r>
    </w:p>
    <w:p w14:paraId="1F78441D">
      <w:pPr>
        <w:bidi w:val="0"/>
        <w:rPr>
          <w:rFonts w:ascii="Times New Roman" w:hAnsi="Times New Roman"/>
          <w:color w:val="auto"/>
        </w:rPr>
      </w:pPr>
      <w:r>
        <w:rPr>
          <w:rFonts w:ascii="Times New Roman" w:hAnsi="Times New Roman"/>
          <w:color w:val="auto"/>
        </w:rPr>
        <w:t>一、爆破事故鱼刺图</w:t>
      </w:r>
    </w:p>
    <w:p w14:paraId="15A72785">
      <w:pPr>
        <w:bidi w:val="0"/>
        <w:rPr>
          <w:rFonts w:ascii="Times New Roman" w:hAnsi="Times New Roman"/>
          <w:color w:val="auto"/>
        </w:rPr>
      </w:pPr>
      <w:r>
        <w:rPr>
          <w:rFonts w:ascii="Times New Roman" w:hAnsi="Times New Roman"/>
          <w:color w:val="auto"/>
        </w:rPr>
        <w:t>爆破事故一般在矿山采矿作业中较易发生，且原因较多，要因较杂，是要控制的重点之一。所以，特选取爆破事故作为因果定性分析的对象。见图3.3-</w:t>
      </w:r>
      <w:r>
        <w:rPr>
          <w:rFonts w:hint="eastAsia" w:ascii="Times New Roman" w:hAnsi="Times New Roman"/>
          <w:color w:val="auto"/>
          <w:lang w:val="en-US" w:eastAsia="zh-CN"/>
        </w:rPr>
        <w:t>8</w:t>
      </w:r>
      <w:r>
        <w:rPr>
          <w:rFonts w:ascii="Times New Roman" w:hAnsi="Times New Roman"/>
          <w:color w:val="auto"/>
        </w:rPr>
        <w:t>爆破事故原因、结果分析图。</w:t>
      </w:r>
    </w:p>
    <w:p w14:paraId="710B4131">
      <w:pPr>
        <w:ind w:left="0" w:leftChars="0" w:firstLine="0" w:firstLineChars="0"/>
        <w:jc w:val="center"/>
        <w:rPr>
          <w:rFonts w:ascii="Times New Roman" w:hAnsi="Times New Roman"/>
          <w:color w:val="auto"/>
          <w:szCs w:val="28"/>
        </w:rPr>
      </w:pPr>
      <w:bookmarkStart w:id="367" w:name="_GoBack"/>
      <w:r>
        <w:rPr>
          <w:rFonts w:ascii="Times New Roman" w:hAnsi="Times New Roman"/>
          <w:color w:val="auto"/>
          <w:szCs w:val="28"/>
        </w:rPr>
        <mc:AlternateContent>
          <mc:Choice Requires="wpg">
            <w:drawing>
              <wp:inline distT="0" distB="0" distL="114300" distR="114300">
                <wp:extent cx="5855335" cy="3382010"/>
                <wp:effectExtent l="0" t="0" r="0" b="0"/>
                <wp:docPr id="106" name="组合 106"/>
                <wp:cNvGraphicFramePr/>
                <a:graphic xmlns:a="http://schemas.openxmlformats.org/drawingml/2006/main">
                  <a:graphicData uri="http://schemas.microsoft.com/office/word/2010/wordprocessingGroup">
                    <wpg:wgp>
                      <wpg:cNvGrpSpPr>
                        <a:grpSpLocks noRot="1"/>
                      </wpg:cNvGrpSpPr>
                      <wpg:grpSpPr>
                        <a:xfrm>
                          <a:off x="0" y="0"/>
                          <a:ext cx="5855344" cy="3381937"/>
                          <a:chOff x="-144" y="-103"/>
                          <a:chExt cx="9899" cy="5662"/>
                        </a:xfrm>
                      </wpg:grpSpPr>
                      <wps:wsp>
                        <wps:cNvPr id="60" name="矩形 60"/>
                        <wps:cNvSpPr>
                          <a:spLocks noChangeAspect="1" noTextEdit="1"/>
                        </wps:cNvSpPr>
                        <wps:spPr>
                          <a:xfrm>
                            <a:off x="0" y="-103"/>
                            <a:ext cx="9755" cy="5662"/>
                          </a:xfrm>
                          <a:prstGeom prst="rect">
                            <a:avLst/>
                          </a:prstGeom>
                          <a:noFill/>
                          <a:ln>
                            <a:noFill/>
                          </a:ln>
                        </wps:spPr>
                        <wps:bodyPr upright="1"/>
                      </wps:wsp>
                      <wps:wsp>
                        <wps:cNvPr id="61" name="直接箭头连接符 61"/>
                        <wps:cNvCnPr/>
                        <wps:spPr>
                          <a:xfrm flipV="1">
                            <a:off x="1272" y="2925"/>
                            <a:ext cx="7380" cy="15"/>
                          </a:xfrm>
                          <a:prstGeom prst="straightConnector1">
                            <a:avLst/>
                          </a:prstGeom>
                          <a:ln w="44450" cap="flat" cmpd="sng">
                            <a:solidFill>
                              <a:srgbClr val="000000"/>
                            </a:solidFill>
                            <a:prstDash val="solid"/>
                            <a:headEnd type="none" w="med" len="med"/>
                            <a:tailEnd type="triangle" w="med" len="med"/>
                          </a:ln>
                        </wps:spPr>
                        <wps:bodyPr/>
                      </wps:wsp>
                      <wps:wsp>
                        <wps:cNvPr id="62" name="矩形 62"/>
                        <wps:cNvSpPr/>
                        <wps:spPr>
                          <a:xfrm>
                            <a:off x="8652" y="1635"/>
                            <a:ext cx="669" cy="2593"/>
                          </a:xfrm>
                          <a:prstGeom prst="rect">
                            <a:avLst/>
                          </a:prstGeom>
                          <a:noFill/>
                          <a:ln>
                            <a:noFill/>
                          </a:ln>
                        </wps:spPr>
                        <wps:txbx>
                          <w:txbxContent>
                            <w:p w14:paraId="21857B97">
                              <w:pPr>
                                <w:spacing w:line="500" w:lineRule="exact"/>
                                <w:ind w:left="0" w:leftChars="0" w:firstLine="0" w:firstLineChars="0"/>
                                <w:jc w:val="both"/>
                                <w:rPr>
                                  <w:b/>
                                  <w:sz w:val="30"/>
                                  <w:szCs w:val="32"/>
                                </w:rPr>
                              </w:pPr>
                              <w:r>
                                <w:rPr>
                                  <w:rFonts w:hint="eastAsia"/>
                                  <w:b/>
                                  <w:sz w:val="30"/>
                                  <w:szCs w:val="32"/>
                                </w:rPr>
                                <w:t>爆破事故</w:t>
                              </w:r>
                            </w:p>
                          </w:txbxContent>
                        </wps:txbx>
                        <wps:bodyPr lIns="85954" tIns="42977" rIns="85954" bIns="42977" upright="1"/>
                      </wps:wsp>
                      <wps:wsp>
                        <wps:cNvPr id="63" name="矩形 63"/>
                        <wps:cNvSpPr/>
                        <wps:spPr>
                          <a:xfrm>
                            <a:off x="237" y="0"/>
                            <a:ext cx="1980" cy="660"/>
                          </a:xfrm>
                          <a:prstGeom prst="rect">
                            <a:avLst/>
                          </a:prstGeom>
                          <a:noFill/>
                          <a:ln>
                            <a:noFill/>
                          </a:ln>
                        </wps:spPr>
                        <wps:txbx>
                          <w:txbxContent>
                            <w:p w14:paraId="35665809">
                              <w:pPr>
                                <w:spacing w:line="500" w:lineRule="exact"/>
                                <w:ind w:left="0" w:leftChars="0" w:firstLine="0" w:firstLineChars="0"/>
                                <w:jc w:val="both"/>
                                <w:rPr>
                                  <w:sz w:val="24"/>
                                  <w:szCs w:val="24"/>
                                </w:rPr>
                              </w:pPr>
                              <w:r>
                                <w:rPr>
                                  <w:rFonts w:hint="eastAsia"/>
                                  <w:sz w:val="24"/>
                                  <w:szCs w:val="24"/>
                                </w:rPr>
                                <w:t>信号、警戒</w:t>
                              </w:r>
                            </w:p>
                          </w:txbxContent>
                        </wps:txbx>
                        <wps:bodyPr lIns="85954" tIns="42977" rIns="85954" bIns="42977" upright="1"/>
                      </wps:wsp>
                      <wps:wsp>
                        <wps:cNvPr id="64" name="矩形 64"/>
                        <wps:cNvSpPr/>
                        <wps:spPr>
                          <a:xfrm>
                            <a:off x="5322" y="0"/>
                            <a:ext cx="1980" cy="660"/>
                          </a:xfrm>
                          <a:prstGeom prst="rect">
                            <a:avLst/>
                          </a:prstGeom>
                          <a:noFill/>
                          <a:ln>
                            <a:noFill/>
                          </a:ln>
                        </wps:spPr>
                        <wps:txbx>
                          <w:txbxContent>
                            <w:p w14:paraId="5E124A61">
                              <w:pPr>
                                <w:spacing w:line="500" w:lineRule="exact"/>
                                <w:ind w:left="0" w:leftChars="0" w:firstLine="0" w:firstLineChars="0"/>
                                <w:jc w:val="both"/>
                                <w:rPr>
                                  <w:sz w:val="24"/>
                                  <w:szCs w:val="24"/>
                                </w:rPr>
                              </w:pPr>
                              <w:r>
                                <w:rPr>
                                  <w:rFonts w:hint="eastAsia"/>
                                  <w:sz w:val="24"/>
                                  <w:szCs w:val="24"/>
                                </w:rPr>
                                <w:t>安全管理</w:t>
                              </w:r>
                            </w:p>
                          </w:txbxContent>
                        </wps:txbx>
                        <wps:bodyPr lIns="85954" tIns="42977" rIns="85954" bIns="42977" upright="1"/>
                      </wps:wsp>
                      <wps:wsp>
                        <wps:cNvPr id="65" name="矩形 65"/>
                        <wps:cNvSpPr/>
                        <wps:spPr>
                          <a:xfrm>
                            <a:off x="2460" y="2009"/>
                            <a:ext cx="1560" cy="435"/>
                          </a:xfrm>
                          <a:prstGeom prst="rect">
                            <a:avLst/>
                          </a:prstGeom>
                          <a:noFill/>
                          <a:ln>
                            <a:noFill/>
                          </a:ln>
                        </wps:spPr>
                        <wps:txbx>
                          <w:txbxContent>
                            <w:p w14:paraId="1166E453">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8"/>
                                  <w:szCs w:val="22"/>
                                </w:rPr>
                              </w:pPr>
                              <w:r>
                                <w:rPr>
                                  <w:rFonts w:hint="eastAsia"/>
                                  <w:sz w:val="16"/>
                                  <w:szCs w:val="16"/>
                                </w:rPr>
                                <w:t>未发出施爆信号</w:t>
                              </w:r>
                            </w:p>
                          </w:txbxContent>
                        </wps:txbx>
                        <wps:bodyPr lIns="85954" tIns="42977" rIns="85954" bIns="42977" upright="1"/>
                      </wps:wsp>
                      <wps:wsp>
                        <wps:cNvPr id="66" name="直接箭头连接符 66"/>
                        <wps:cNvCnPr/>
                        <wps:spPr>
                          <a:xfrm>
                            <a:off x="1272" y="765"/>
                            <a:ext cx="1394" cy="2265"/>
                          </a:xfrm>
                          <a:prstGeom prst="straightConnector1">
                            <a:avLst/>
                          </a:prstGeom>
                          <a:ln w="25400" cap="flat" cmpd="sng">
                            <a:solidFill>
                              <a:srgbClr val="000000"/>
                            </a:solidFill>
                            <a:prstDash val="solid"/>
                            <a:headEnd type="none" w="med" len="med"/>
                            <a:tailEnd type="triangle" w="med" len="med"/>
                          </a:ln>
                        </wps:spPr>
                        <wps:bodyPr/>
                      </wps:wsp>
                      <wps:wsp>
                        <wps:cNvPr id="67" name="直接箭头连接符 67"/>
                        <wps:cNvCnPr/>
                        <wps:spPr>
                          <a:xfrm flipH="1">
                            <a:off x="2460" y="2547"/>
                            <a:ext cx="1560" cy="1"/>
                          </a:xfrm>
                          <a:prstGeom prst="straightConnector1">
                            <a:avLst/>
                          </a:prstGeom>
                          <a:ln w="9525" cap="flat" cmpd="sng">
                            <a:solidFill>
                              <a:srgbClr val="000000"/>
                            </a:solidFill>
                            <a:prstDash val="solid"/>
                            <a:headEnd type="none" w="med" len="med"/>
                            <a:tailEnd type="triangle" w="med" len="med"/>
                          </a:ln>
                        </wps:spPr>
                        <wps:bodyPr/>
                      </wps:wsp>
                      <wps:wsp>
                        <wps:cNvPr id="68" name="直接箭头连接符 68"/>
                        <wps:cNvCnPr>
                          <a:stCxn id="64" idx="2"/>
                        </wps:cNvCnPr>
                        <wps:spPr>
                          <a:xfrm>
                            <a:off x="6312" y="660"/>
                            <a:ext cx="1755" cy="2265"/>
                          </a:xfrm>
                          <a:prstGeom prst="straightConnector1">
                            <a:avLst/>
                          </a:prstGeom>
                          <a:ln w="25400" cap="flat" cmpd="sng">
                            <a:solidFill>
                              <a:srgbClr val="000000"/>
                            </a:solidFill>
                            <a:prstDash val="solid"/>
                            <a:headEnd type="none" w="med" len="med"/>
                            <a:tailEnd type="triangle" w="med" len="med"/>
                          </a:ln>
                        </wps:spPr>
                        <wps:bodyPr/>
                      </wps:wsp>
                      <wps:wsp>
                        <wps:cNvPr id="69" name="直接箭头连接符 69"/>
                        <wps:cNvCnPr>
                          <a:stCxn id="64" idx="2"/>
                        </wps:cNvCnPr>
                        <wps:spPr>
                          <a:xfrm>
                            <a:off x="5481" y="1275"/>
                            <a:ext cx="1275" cy="1"/>
                          </a:xfrm>
                          <a:prstGeom prst="straightConnector1">
                            <a:avLst/>
                          </a:prstGeom>
                          <a:ln w="9525" cap="flat" cmpd="sng">
                            <a:solidFill>
                              <a:srgbClr val="000000"/>
                            </a:solidFill>
                            <a:prstDash val="solid"/>
                            <a:headEnd type="none" w="med" len="med"/>
                            <a:tailEnd type="triangle" w="med" len="med"/>
                          </a:ln>
                        </wps:spPr>
                        <wps:bodyPr/>
                      </wps:wsp>
                      <wps:wsp>
                        <wps:cNvPr id="70" name="矩形 70"/>
                        <wps:cNvSpPr/>
                        <wps:spPr>
                          <a:xfrm>
                            <a:off x="5292" y="765"/>
                            <a:ext cx="1074" cy="435"/>
                          </a:xfrm>
                          <a:prstGeom prst="rect">
                            <a:avLst/>
                          </a:prstGeom>
                          <a:noFill/>
                          <a:ln>
                            <a:noFill/>
                          </a:ln>
                        </wps:spPr>
                        <wps:txbx>
                          <w:txbxContent>
                            <w:p w14:paraId="1185D67E">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无证作业</w:t>
                              </w:r>
                            </w:p>
                          </w:txbxContent>
                        </wps:txbx>
                        <wps:bodyPr lIns="85954" tIns="42977" rIns="85954" bIns="42977" upright="1"/>
                      </wps:wsp>
                      <wps:wsp>
                        <wps:cNvPr id="71" name="矩形 71"/>
                        <wps:cNvSpPr/>
                        <wps:spPr>
                          <a:xfrm>
                            <a:off x="6852" y="765"/>
                            <a:ext cx="2184" cy="435"/>
                          </a:xfrm>
                          <a:prstGeom prst="rect">
                            <a:avLst/>
                          </a:prstGeom>
                          <a:noFill/>
                          <a:ln>
                            <a:noFill/>
                          </a:ln>
                        </wps:spPr>
                        <wps:txbx>
                          <w:txbxContent>
                            <w:p w14:paraId="03FE7AF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爆破物品未经检验使用</w:t>
                              </w:r>
                            </w:p>
                          </w:txbxContent>
                        </wps:txbx>
                        <wps:bodyPr lIns="85954" tIns="42977" rIns="85954" bIns="42977" upright="1"/>
                      </wps:wsp>
                      <wps:wsp>
                        <wps:cNvPr id="72" name="直接箭头连接符 72"/>
                        <wps:cNvCnPr>
                          <a:stCxn id="64" idx="2"/>
                        </wps:cNvCnPr>
                        <wps:spPr>
                          <a:xfrm flipH="1">
                            <a:off x="6822" y="1275"/>
                            <a:ext cx="2424" cy="1"/>
                          </a:xfrm>
                          <a:prstGeom prst="straightConnector1">
                            <a:avLst/>
                          </a:prstGeom>
                          <a:ln w="9525" cap="flat" cmpd="sng">
                            <a:solidFill>
                              <a:srgbClr val="000000"/>
                            </a:solidFill>
                            <a:prstDash val="solid"/>
                            <a:headEnd type="none" w="med" len="med"/>
                            <a:tailEnd type="triangle" w="med" len="med"/>
                          </a:ln>
                        </wps:spPr>
                        <wps:bodyPr/>
                      </wps:wsp>
                      <wps:wsp>
                        <wps:cNvPr id="73" name="矩形 73"/>
                        <wps:cNvSpPr/>
                        <wps:spPr>
                          <a:xfrm>
                            <a:off x="7452" y="1545"/>
                            <a:ext cx="1074" cy="465"/>
                          </a:xfrm>
                          <a:prstGeom prst="rect">
                            <a:avLst/>
                          </a:prstGeom>
                          <a:noFill/>
                          <a:ln>
                            <a:noFill/>
                          </a:ln>
                        </wps:spPr>
                        <wps:txbx>
                          <w:txbxContent>
                            <w:p w14:paraId="51468F39">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督导不力</w:t>
                              </w:r>
                            </w:p>
                          </w:txbxContent>
                        </wps:txbx>
                        <wps:bodyPr lIns="85954" tIns="42977" rIns="85954" bIns="42977" upright="1"/>
                      </wps:wsp>
                      <wps:wsp>
                        <wps:cNvPr id="74" name="直接箭头连接符 74"/>
                        <wps:cNvCnPr>
                          <a:stCxn id="64" idx="2"/>
                        </wps:cNvCnPr>
                        <wps:spPr>
                          <a:xfrm flipH="1">
                            <a:off x="7452" y="2115"/>
                            <a:ext cx="1074" cy="0"/>
                          </a:xfrm>
                          <a:prstGeom prst="straightConnector1">
                            <a:avLst/>
                          </a:prstGeom>
                          <a:ln w="9525" cap="flat" cmpd="sng">
                            <a:solidFill>
                              <a:srgbClr val="000000"/>
                            </a:solidFill>
                            <a:prstDash val="solid"/>
                            <a:headEnd type="none" w="med" len="med"/>
                            <a:tailEnd type="triangle" w="med" len="med"/>
                          </a:ln>
                        </wps:spPr>
                        <wps:bodyPr/>
                      </wps:wsp>
                      <wps:wsp>
                        <wps:cNvPr id="75" name="矩形 75"/>
                        <wps:cNvSpPr/>
                        <wps:spPr>
                          <a:xfrm>
                            <a:off x="1548" y="4899"/>
                            <a:ext cx="2294" cy="660"/>
                          </a:xfrm>
                          <a:prstGeom prst="rect">
                            <a:avLst/>
                          </a:prstGeom>
                          <a:noFill/>
                          <a:ln>
                            <a:noFill/>
                          </a:ln>
                        </wps:spPr>
                        <wps:txbx>
                          <w:txbxContent>
                            <w:p w14:paraId="22B577DB">
                              <w:pPr>
                                <w:spacing w:line="500" w:lineRule="exact"/>
                                <w:ind w:left="0" w:leftChars="0" w:firstLine="0" w:firstLineChars="0"/>
                                <w:jc w:val="both"/>
                                <w:rPr>
                                  <w:sz w:val="24"/>
                                  <w:szCs w:val="24"/>
                                </w:rPr>
                              </w:pPr>
                              <w:r>
                                <w:rPr>
                                  <w:rFonts w:hint="eastAsia"/>
                                  <w:sz w:val="24"/>
                                  <w:szCs w:val="24"/>
                                </w:rPr>
                                <w:t>装药引爆及材料</w:t>
                              </w:r>
                            </w:p>
                          </w:txbxContent>
                        </wps:txbx>
                        <wps:bodyPr lIns="85954" tIns="42977" rIns="85954" bIns="42977" upright="1"/>
                      </wps:wsp>
                      <wps:wsp>
                        <wps:cNvPr id="76" name="直接箭头连接符 76"/>
                        <wps:cNvCnPr>
                          <a:stCxn id="75" idx="0"/>
                        </wps:cNvCnPr>
                        <wps:spPr>
                          <a:xfrm flipV="1">
                            <a:off x="2695" y="2939"/>
                            <a:ext cx="1689" cy="1960"/>
                          </a:xfrm>
                          <a:prstGeom prst="straightConnector1">
                            <a:avLst/>
                          </a:prstGeom>
                          <a:ln w="25400" cap="flat" cmpd="sng">
                            <a:solidFill>
                              <a:srgbClr val="000000"/>
                            </a:solidFill>
                            <a:prstDash val="solid"/>
                            <a:headEnd type="none" w="med" len="med"/>
                            <a:tailEnd type="triangle" w="med" len="med"/>
                          </a:ln>
                        </wps:spPr>
                        <wps:bodyPr/>
                      </wps:wsp>
                      <wps:wsp>
                        <wps:cNvPr id="77" name="矩形 77"/>
                        <wps:cNvSpPr/>
                        <wps:spPr>
                          <a:xfrm>
                            <a:off x="1737" y="3158"/>
                            <a:ext cx="1884" cy="436"/>
                          </a:xfrm>
                          <a:prstGeom prst="rect">
                            <a:avLst/>
                          </a:prstGeom>
                          <a:noFill/>
                          <a:ln>
                            <a:noFill/>
                          </a:ln>
                        </wps:spPr>
                        <wps:txbx>
                          <w:txbxContent>
                            <w:p w14:paraId="0E8BC190">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时间不够，看回头炮</w:t>
                              </w:r>
                            </w:p>
                          </w:txbxContent>
                        </wps:txbx>
                        <wps:bodyPr lIns="85954" tIns="42977" rIns="85954" bIns="42977" upright="1"/>
                      </wps:wsp>
                      <wps:wsp>
                        <wps:cNvPr id="78" name="直接箭头连接符 78"/>
                        <wps:cNvCnPr>
                          <a:stCxn id="75" idx="0"/>
                        </wps:cNvCnPr>
                        <wps:spPr>
                          <a:xfrm>
                            <a:off x="1393" y="3683"/>
                            <a:ext cx="2249" cy="16"/>
                          </a:xfrm>
                          <a:prstGeom prst="straightConnector1">
                            <a:avLst/>
                          </a:prstGeom>
                          <a:ln w="9525" cap="flat" cmpd="sng">
                            <a:solidFill>
                              <a:srgbClr val="000000"/>
                            </a:solidFill>
                            <a:prstDash val="solid"/>
                            <a:headEnd type="none" w="med" len="med"/>
                            <a:tailEnd type="triangle" w="med" len="med"/>
                          </a:ln>
                        </wps:spPr>
                        <wps:bodyPr/>
                      </wps:wsp>
                      <wps:wsp>
                        <wps:cNvPr id="79" name="直接箭头连接符 79"/>
                        <wps:cNvCnPr>
                          <a:stCxn id="75" idx="0"/>
                        </wps:cNvCnPr>
                        <wps:spPr>
                          <a:xfrm>
                            <a:off x="1393" y="4464"/>
                            <a:ext cx="1625" cy="1"/>
                          </a:xfrm>
                          <a:prstGeom prst="straightConnector1">
                            <a:avLst/>
                          </a:prstGeom>
                          <a:ln w="9525" cap="flat" cmpd="sng">
                            <a:solidFill>
                              <a:srgbClr val="000000"/>
                            </a:solidFill>
                            <a:prstDash val="solid"/>
                            <a:headEnd type="none" w="med" len="med"/>
                            <a:tailEnd type="triangle" w="med" len="med"/>
                          </a:ln>
                        </wps:spPr>
                        <wps:bodyPr/>
                      </wps:wsp>
                      <wps:wsp>
                        <wps:cNvPr id="80" name="矩形 80"/>
                        <wps:cNvSpPr/>
                        <wps:spPr>
                          <a:xfrm>
                            <a:off x="1695" y="3894"/>
                            <a:ext cx="1323" cy="435"/>
                          </a:xfrm>
                          <a:prstGeom prst="rect">
                            <a:avLst/>
                          </a:prstGeom>
                          <a:noFill/>
                          <a:ln>
                            <a:noFill/>
                          </a:ln>
                        </wps:spPr>
                        <wps:txbx>
                          <w:txbxContent>
                            <w:p w14:paraId="316B0786">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踩压导爆管</w:t>
                              </w:r>
                            </w:p>
                          </w:txbxContent>
                        </wps:txbx>
                        <wps:bodyPr lIns="85954" tIns="42977" rIns="85954" bIns="42977" upright="1"/>
                      </wps:wsp>
                      <wps:wsp>
                        <wps:cNvPr id="81" name="矩形 81"/>
                        <wps:cNvSpPr/>
                        <wps:spPr>
                          <a:xfrm>
                            <a:off x="3947" y="3342"/>
                            <a:ext cx="2071" cy="436"/>
                          </a:xfrm>
                          <a:prstGeom prst="rect">
                            <a:avLst/>
                          </a:prstGeom>
                          <a:noFill/>
                          <a:ln>
                            <a:noFill/>
                          </a:ln>
                        </wps:spPr>
                        <wps:txbx>
                          <w:txbxContent>
                            <w:p w14:paraId="21D7D2AA">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用炮棍捣捅起爆药包</w:t>
                              </w:r>
                            </w:p>
                          </w:txbxContent>
                        </wps:txbx>
                        <wps:bodyPr lIns="85954" tIns="42977" rIns="85954" bIns="42977" upright="1"/>
                      </wps:wsp>
                      <wps:wsp>
                        <wps:cNvPr id="82" name="直接箭头连接符 82"/>
                        <wps:cNvCnPr>
                          <a:stCxn id="75" idx="0"/>
                        </wps:cNvCnPr>
                        <wps:spPr>
                          <a:xfrm flipH="1" flipV="1">
                            <a:off x="3642" y="3864"/>
                            <a:ext cx="2060" cy="30"/>
                          </a:xfrm>
                          <a:prstGeom prst="straightConnector1">
                            <a:avLst/>
                          </a:prstGeom>
                          <a:ln w="9525" cap="flat" cmpd="sng">
                            <a:solidFill>
                              <a:srgbClr val="000000"/>
                            </a:solidFill>
                            <a:prstDash val="solid"/>
                            <a:headEnd type="none" w="med" len="med"/>
                            <a:tailEnd type="triangle" w="med" len="med"/>
                          </a:ln>
                        </wps:spPr>
                        <wps:bodyPr/>
                      </wps:wsp>
                      <wps:wsp>
                        <wps:cNvPr id="83" name="矩形 83"/>
                        <wps:cNvSpPr/>
                        <wps:spPr>
                          <a:xfrm>
                            <a:off x="5922" y="4899"/>
                            <a:ext cx="1980" cy="660"/>
                          </a:xfrm>
                          <a:prstGeom prst="rect">
                            <a:avLst/>
                          </a:prstGeom>
                          <a:noFill/>
                          <a:ln>
                            <a:noFill/>
                          </a:ln>
                        </wps:spPr>
                        <wps:txbx>
                          <w:txbxContent>
                            <w:p w14:paraId="39038F5A">
                              <w:pPr>
                                <w:spacing w:line="500" w:lineRule="exact"/>
                                <w:ind w:left="0" w:leftChars="0" w:firstLine="0" w:firstLineChars="0"/>
                                <w:jc w:val="both"/>
                                <w:rPr>
                                  <w:sz w:val="24"/>
                                  <w:szCs w:val="24"/>
                                </w:rPr>
                              </w:pPr>
                              <w:r>
                                <w:rPr>
                                  <w:rFonts w:hint="eastAsia"/>
                                  <w:sz w:val="24"/>
                                  <w:szCs w:val="24"/>
                                </w:rPr>
                                <w:t>加工药包</w:t>
                              </w:r>
                            </w:p>
                          </w:txbxContent>
                        </wps:txbx>
                        <wps:bodyPr lIns="85954" tIns="42977" rIns="85954" bIns="42977" upright="1"/>
                      </wps:wsp>
                      <wps:wsp>
                        <wps:cNvPr id="84" name="直接箭头连接符 84"/>
                        <wps:cNvCnPr>
                          <a:stCxn id="75" idx="0"/>
                        </wps:cNvCnPr>
                        <wps:spPr>
                          <a:xfrm>
                            <a:off x="6552" y="3519"/>
                            <a:ext cx="1359" cy="1"/>
                          </a:xfrm>
                          <a:prstGeom prst="straightConnector1">
                            <a:avLst/>
                          </a:prstGeom>
                          <a:ln w="9525" cap="flat" cmpd="sng">
                            <a:solidFill>
                              <a:srgbClr val="000000"/>
                            </a:solidFill>
                            <a:prstDash val="solid"/>
                            <a:headEnd type="none" w="med" len="med"/>
                            <a:tailEnd type="triangle" w="med" len="med"/>
                          </a:ln>
                        </wps:spPr>
                        <wps:bodyPr/>
                      </wps:wsp>
                      <wps:wsp>
                        <wps:cNvPr id="85" name="矩形 85"/>
                        <wps:cNvSpPr/>
                        <wps:spPr>
                          <a:xfrm>
                            <a:off x="5645" y="2994"/>
                            <a:ext cx="2257" cy="435"/>
                          </a:xfrm>
                          <a:prstGeom prst="rect">
                            <a:avLst/>
                          </a:prstGeom>
                          <a:noFill/>
                          <a:ln>
                            <a:noFill/>
                          </a:ln>
                        </wps:spPr>
                        <wps:txbx>
                          <w:txbxContent>
                            <w:p w14:paraId="5F0E530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装药过程中附近有明火</w:t>
                              </w:r>
                            </w:p>
                          </w:txbxContent>
                        </wps:txbx>
                        <wps:bodyPr lIns="85954" tIns="42977" rIns="85954" bIns="42977" upright="1"/>
                      </wps:wsp>
                      <wps:wsp>
                        <wps:cNvPr id="86" name="矩形 86"/>
                        <wps:cNvSpPr/>
                        <wps:spPr>
                          <a:xfrm>
                            <a:off x="5481" y="4029"/>
                            <a:ext cx="1680" cy="435"/>
                          </a:xfrm>
                          <a:prstGeom prst="rect">
                            <a:avLst/>
                          </a:prstGeom>
                          <a:noFill/>
                          <a:ln>
                            <a:noFill/>
                          </a:ln>
                        </wps:spPr>
                        <wps:txbx>
                          <w:txbxContent>
                            <w:p w14:paraId="39C97F04">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导爆管受挤、</w:t>
                              </w:r>
                              <w:r>
                                <w:rPr>
                                  <w:rFonts w:hint="eastAsia"/>
                                  <w:sz w:val="17"/>
                                  <w:szCs w:val="18"/>
                                  <w:lang w:val="en-US" w:eastAsia="zh-CN"/>
                                </w:rPr>
                                <w:t>折</w:t>
                              </w:r>
                              <w:r>
                                <w:rPr>
                                  <w:rFonts w:hint="eastAsia"/>
                                  <w:sz w:val="17"/>
                                  <w:szCs w:val="18"/>
                                </w:rPr>
                                <w:t>损</w:t>
                              </w:r>
                            </w:p>
                          </w:txbxContent>
                        </wps:txbx>
                        <wps:bodyPr lIns="85954" tIns="42977" rIns="85954" bIns="42977" upright="1"/>
                      </wps:wsp>
                      <wps:wsp>
                        <wps:cNvPr id="87" name="直接箭头连接符 87"/>
                        <wps:cNvCnPr>
                          <a:stCxn id="75" idx="0"/>
                        </wps:cNvCnPr>
                        <wps:spPr>
                          <a:xfrm>
                            <a:off x="5481" y="4569"/>
                            <a:ext cx="1680" cy="0"/>
                          </a:xfrm>
                          <a:prstGeom prst="straightConnector1">
                            <a:avLst/>
                          </a:prstGeom>
                          <a:ln w="9525" cap="flat" cmpd="sng">
                            <a:solidFill>
                              <a:srgbClr val="000000"/>
                            </a:solidFill>
                            <a:prstDash val="solid"/>
                            <a:headEnd type="none" w="med" len="med"/>
                            <a:tailEnd type="triangle" w="med" len="med"/>
                          </a:ln>
                        </wps:spPr>
                        <wps:bodyPr/>
                      </wps:wsp>
                      <wps:wsp>
                        <wps:cNvPr id="88" name="矩形 88"/>
                        <wps:cNvSpPr/>
                        <wps:spPr>
                          <a:xfrm>
                            <a:off x="7669" y="3785"/>
                            <a:ext cx="1288" cy="509"/>
                          </a:xfrm>
                          <a:prstGeom prst="rect">
                            <a:avLst/>
                          </a:prstGeom>
                          <a:noFill/>
                          <a:ln>
                            <a:noFill/>
                          </a:ln>
                        </wps:spPr>
                        <wps:txbx>
                          <w:txbxContent>
                            <w:p w14:paraId="7EC54B0A">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导爆管过短</w:t>
                              </w:r>
                            </w:p>
                          </w:txbxContent>
                        </wps:txbx>
                        <wps:bodyPr lIns="85954" tIns="42977" rIns="85954" bIns="42977" upright="1"/>
                      </wps:wsp>
                      <wps:wsp>
                        <wps:cNvPr id="89" name="直接箭头连接符 89"/>
                        <wps:cNvCnPr>
                          <a:stCxn id="75" idx="0"/>
                        </wps:cNvCnPr>
                        <wps:spPr>
                          <a:xfrm flipH="1">
                            <a:off x="7302" y="4329"/>
                            <a:ext cx="969" cy="1"/>
                          </a:xfrm>
                          <a:prstGeom prst="straightConnector1">
                            <a:avLst/>
                          </a:prstGeom>
                          <a:ln w="9525" cap="flat" cmpd="sng">
                            <a:solidFill>
                              <a:srgbClr val="000000"/>
                            </a:solidFill>
                            <a:prstDash val="solid"/>
                            <a:headEnd type="none" w="med" len="med"/>
                            <a:tailEnd type="triangle" w="med" len="med"/>
                          </a:ln>
                        </wps:spPr>
                        <wps:bodyPr/>
                      </wps:wsp>
                      <wps:wsp>
                        <wps:cNvPr id="90" name="矩形 90"/>
                        <wps:cNvSpPr/>
                        <wps:spPr>
                          <a:xfrm>
                            <a:off x="7437" y="4344"/>
                            <a:ext cx="1323" cy="435"/>
                          </a:xfrm>
                          <a:prstGeom prst="rect">
                            <a:avLst/>
                          </a:prstGeom>
                          <a:noFill/>
                          <a:ln>
                            <a:noFill/>
                          </a:ln>
                        </wps:spPr>
                        <wps:txbx>
                          <w:txbxContent>
                            <w:p w14:paraId="5E39FA97">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导爆管松脱</w:t>
                              </w:r>
                            </w:p>
                          </w:txbxContent>
                        </wps:txbx>
                        <wps:bodyPr lIns="85954" tIns="42977" rIns="85954" bIns="42977" upright="1"/>
                      </wps:wsp>
                      <wps:wsp>
                        <wps:cNvPr id="91" name="直接箭头连接符 91"/>
                        <wps:cNvCnPr>
                          <a:stCxn id="75" idx="0"/>
                        </wps:cNvCnPr>
                        <wps:spPr>
                          <a:xfrm flipH="1">
                            <a:off x="7019" y="4779"/>
                            <a:ext cx="1383" cy="1"/>
                          </a:xfrm>
                          <a:prstGeom prst="straightConnector1">
                            <a:avLst/>
                          </a:prstGeom>
                          <a:ln w="9525" cap="flat" cmpd="sng">
                            <a:solidFill>
                              <a:srgbClr val="000000"/>
                            </a:solidFill>
                            <a:prstDash val="solid"/>
                            <a:headEnd type="none" w="med" len="med"/>
                            <a:tailEnd type="triangle" w="med" len="med"/>
                          </a:ln>
                        </wps:spPr>
                        <wps:bodyPr/>
                      </wps:wsp>
                      <wps:wsp>
                        <wps:cNvPr id="92" name="直接箭头连接符 92"/>
                        <wps:cNvCnPr>
                          <a:stCxn id="83" idx="0"/>
                        </wps:cNvCnPr>
                        <wps:spPr>
                          <a:xfrm flipV="1">
                            <a:off x="6913" y="2994"/>
                            <a:ext cx="1359" cy="1905"/>
                          </a:xfrm>
                          <a:prstGeom prst="straightConnector1">
                            <a:avLst/>
                          </a:prstGeom>
                          <a:ln w="25400" cap="flat" cmpd="sng">
                            <a:solidFill>
                              <a:srgbClr val="000000"/>
                            </a:solidFill>
                            <a:prstDash val="solid"/>
                            <a:headEnd type="none" w="med" len="med"/>
                            <a:tailEnd type="triangle" w="med" len="med"/>
                          </a:ln>
                        </wps:spPr>
                        <wps:bodyPr/>
                      </wps:wsp>
                      <wps:wsp>
                        <wps:cNvPr id="93" name="矩形 93"/>
                        <wps:cNvSpPr/>
                        <wps:spPr>
                          <a:xfrm>
                            <a:off x="2916" y="0"/>
                            <a:ext cx="1980" cy="660"/>
                          </a:xfrm>
                          <a:prstGeom prst="rect">
                            <a:avLst/>
                          </a:prstGeom>
                          <a:noFill/>
                          <a:ln>
                            <a:noFill/>
                          </a:ln>
                        </wps:spPr>
                        <wps:txbx>
                          <w:txbxContent>
                            <w:p w14:paraId="22509DFC">
                              <w:pPr>
                                <w:spacing w:line="500" w:lineRule="exact"/>
                                <w:ind w:left="0" w:leftChars="0" w:firstLine="0" w:firstLineChars="0"/>
                                <w:jc w:val="both"/>
                                <w:rPr>
                                  <w:sz w:val="24"/>
                                  <w:szCs w:val="24"/>
                                </w:rPr>
                              </w:pPr>
                              <w:r>
                                <w:rPr>
                                  <w:rFonts w:hint="eastAsia"/>
                                  <w:sz w:val="24"/>
                                  <w:szCs w:val="24"/>
                                </w:rPr>
                                <w:t>爆破设计</w:t>
                              </w:r>
                            </w:p>
                          </w:txbxContent>
                        </wps:txbx>
                        <wps:bodyPr lIns="85954" tIns="42977" rIns="85954" bIns="42977" upright="1"/>
                      </wps:wsp>
                      <wps:wsp>
                        <wps:cNvPr id="94" name="直接箭头连接符 94"/>
                        <wps:cNvCnPr>
                          <a:stCxn id="83" idx="0"/>
                        </wps:cNvCnPr>
                        <wps:spPr>
                          <a:xfrm>
                            <a:off x="3942" y="659"/>
                            <a:ext cx="1395" cy="2265"/>
                          </a:xfrm>
                          <a:prstGeom prst="straightConnector1">
                            <a:avLst/>
                          </a:prstGeom>
                          <a:ln w="25400" cap="flat" cmpd="sng">
                            <a:solidFill>
                              <a:srgbClr val="000000"/>
                            </a:solidFill>
                            <a:prstDash val="solid"/>
                            <a:headEnd type="none" w="med" len="med"/>
                            <a:tailEnd type="triangle" w="med" len="med"/>
                          </a:ln>
                        </wps:spPr>
                        <wps:bodyPr/>
                      </wps:wsp>
                      <wps:wsp>
                        <wps:cNvPr id="95" name="直接箭头连接符 95"/>
                        <wps:cNvCnPr>
                          <a:stCxn id="83" idx="0"/>
                        </wps:cNvCnPr>
                        <wps:spPr>
                          <a:xfrm flipH="1">
                            <a:off x="4668" y="1874"/>
                            <a:ext cx="1560" cy="1"/>
                          </a:xfrm>
                          <a:prstGeom prst="straightConnector1">
                            <a:avLst/>
                          </a:prstGeom>
                          <a:ln w="9525" cap="flat" cmpd="sng">
                            <a:solidFill>
                              <a:srgbClr val="000000"/>
                            </a:solidFill>
                            <a:prstDash val="solid"/>
                            <a:headEnd type="none" w="med" len="med"/>
                            <a:tailEnd type="triangle" w="med" len="med"/>
                          </a:ln>
                        </wps:spPr>
                        <wps:bodyPr/>
                      </wps:wsp>
                      <wps:wsp>
                        <wps:cNvPr id="96" name="直接箭头连接符 96"/>
                        <wps:cNvCnPr>
                          <a:stCxn id="83" idx="0"/>
                        </wps:cNvCnPr>
                        <wps:spPr>
                          <a:xfrm>
                            <a:off x="1766" y="1202"/>
                            <a:ext cx="2466" cy="1"/>
                          </a:xfrm>
                          <a:prstGeom prst="straightConnector1">
                            <a:avLst/>
                          </a:prstGeom>
                          <a:ln w="9525" cap="flat" cmpd="sng">
                            <a:solidFill>
                              <a:srgbClr val="000000"/>
                            </a:solidFill>
                            <a:prstDash val="solid"/>
                            <a:headEnd type="none" w="med" len="med"/>
                            <a:tailEnd type="triangle" w="med" len="med"/>
                          </a:ln>
                        </wps:spPr>
                        <wps:bodyPr/>
                      </wps:wsp>
                      <wps:wsp>
                        <wps:cNvPr id="97" name="矩形 97"/>
                        <wps:cNvSpPr/>
                        <wps:spPr>
                          <a:xfrm>
                            <a:off x="1766" y="690"/>
                            <a:ext cx="2076" cy="435"/>
                          </a:xfrm>
                          <a:prstGeom prst="rect">
                            <a:avLst/>
                          </a:prstGeom>
                          <a:noFill/>
                          <a:ln>
                            <a:noFill/>
                          </a:ln>
                        </wps:spPr>
                        <wps:txbx>
                          <w:txbxContent>
                            <w:p w14:paraId="29023EA3">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爆破参数设计不合理</w:t>
                              </w:r>
                            </w:p>
                          </w:txbxContent>
                        </wps:txbx>
                        <wps:bodyPr lIns="85954" tIns="42977" rIns="85954" bIns="42977" upright="1"/>
                      </wps:wsp>
                      <wps:wsp>
                        <wps:cNvPr id="98" name="直接箭头连接符 98"/>
                        <wps:cNvCnPr>
                          <a:stCxn id="83" idx="0"/>
                        </wps:cNvCnPr>
                        <wps:spPr>
                          <a:xfrm flipV="1">
                            <a:off x="0" y="2008"/>
                            <a:ext cx="2026" cy="1"/>
                          </a:xfrm>
                          <a:prstGeom prst="straightConnector1">
                            <a:avLst/>
                          </a:prstGeom>
                          <a:ln w="9525" cap="flat" cmpd="sng">
                            <a:solidFill>
                              <a:srgbClr val="000000"/>
                            </a:solidFill>
                            <a:prstDash val="solid"/>
                            <a:headEnd type="none" w="med" len="med"/>
                            <a:tailEnd type="triangle" w="med" len="med"/>
                          </a:ln>
                        </wps:spPr>
                        <wps:bodyPr/>
                      </wps:wsp>
                      <wps:wsp>
                        <wps:cNvPr id="99" name="矩形 99"/>
                        <wps:cNvSpPr/>
                        <wps:spPr>
                          <a:xfrm>
                            <a:off x="-144" y="1438"/>
                            <a:ext cx="1881" cy="512"/>
                          </a:xfrm>
                          <a:prstGeom prst="rect">
                            <a:avLst/>
                          </a:prstGeom>
                          <a:noFill/>
                          <a:ln>
                            <a:noFill/>
                          </a:ln>
                        </wps:spPr>
                        <wps:txbx>
                          <w:txbxContent>
                            <w:p w14:paraId="1269DCD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未设置警戒或岗哨</w:t>
                              </w:r>
                            </w:p>
                          </w:txbxContent>
                        </wps:txbx>
                        <wps:bodyPr lIns="85954" tIns="42977" rIns="85954" bIns="42977" upright="1"/>
                      </wps:wsp>
                      <wps:wsp>
                        <wps:cNvPr id="100" name="矩形 100"/>
                        <wps:cNvSpPr/>
                        <wps:spPr>
                          <a:xfrm>
                            <a:off x="4801" y="1355"/>
                            <a:ext cx="1565" cy="435"/>
                          </a:xfrm>
                          <a:prstGeom prst="rect">
                            <a:avLst/>
                          </a:prstGeom>
                          <a:noFill/>
                          <a:ln>
                            <a:noFill/>
                          </a:ln>
                        </wps:spPr>
                        <wps:txbx>
                          <w:txbxContent>
                            <w:p w14:paraId="7A3CDA8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6"/>
                                  <w:szCs w:val="16"/>
                                </w:rPr>
                              </w:pPr>
                              <w:r>
                                <w:rPr>
                                  <w:rFonts w:hint="eastAsia"/>
                                  <w:sz w:val="16"/>
                                  <w:szCs w:val="16"/>
                                </w:rPr>
                                <w:t>孔网布置不合理</w:t>
                              </w:r>
                            </w:p>
                          </w:txbxContent>
                        </wps:txbx>
                        <wps:bodyPr lIns="85954" tIns="42977" rIns="85954" bIns="42977" upright="1"/>
                      </wps:wsp>
                      <wps:wsp>
                        <wps:cNvPr id="101" name="直接箭头连接符 101"/>
                        <wps:cNvCnPr>
                          <a:stCxn id="83" idx="0"/>
                        </wps:cNvCnPr>
                        <wps:spPr>
                          <a:xfrm flipV="1">
                            <a:off x="2559" y="1875"/>
                            <a:ext cx="2109" cy="1"/>
                          </a:xfrm>
                          <a:prstGeom prst="straightConnector1">
                            <a:avLst/>
                          </a:prstGeom>
                          <a:ln w="9525" cap="flat" cmpd="sng">
                            <a:solidFill>
                              <a:srgbClr val="000000"/>
                            </a:solidFill>
                            <a:prstDash val="solid"/>
                            <a:headEnd type="none" w="med" len="med"/>
                            <a:tailEnd type="triangle" w="med" len="med"/>
                          </a:ln>
                        </wps:spPr>
                        <wps:bodyPr/>
                      </wps:wsp>
                      <wps:wsp>
                        <wps:cNvPr id="102" name="矩形 102"/>
                        <wps:cNvSpPr/>
                        <wps:spPr>
                          <a:xfrm>
                            <a:off x="2460" y="1355"/>
                            <a:ext cx="1772" cy="435"/>
                          </a:xfrm>
                          <a:prstGeom prst="rect">
                            <a:avLst/>
                          </a:prstGeom>
                          <a:noFill/>
                          <a:ln>
                            <a:noFill/>
                          </a:ln>
                        </wps:spPr>
                        <wps:txbx>
                          <w:txbxContent>
                            <w:p w14:paraId="0E49E94C">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安全距离计算错误</w:t>
                              </w:r>
                            </w:p>
                          </w:txbxContent>
                        </wps:txbx>
                        <wps:bodyPr lIns="85954" tIns="42977" rIns="85954" bIns="42977" upright="1"/>
                      </wps:wsp>
                      <wps:wsp>
                        <wps:cNvPr id="103" name="直接箭头连接符 103"/>
                        <wps:cNvCnPr>
                          <a:stCxn id="83" idx="0"/>
                        </wps:cNvCnPr>
                        <wps:spPr>
                          <a:xfrm>
                            <a:off x="482" y="2703"/>
                            <a:ext cx="1978" cy="1"/>
                          </a:xfrm>
                          <a:prstGeom prst="straightConnector1">
                            <a:avLst/>
                          </a:prstGeom>
                          <a:ln>
                            <a:noFill/>
                          </a:ln>
                        </wps:spPr>
                        <wps:bodyPr/>
                      </wps:wsp>
                      <wps:wsp>
                        <wps:cNvPr id="104" name="直接箭头连接符 104"/>
                        <wps:cNvCnPr>
                          <a:stCxn id="83" idx="0"/>
                        </wps:cNvCnPr>
                        <wps:spPr>
                          <a:xfrm flipH="1" flipV="1">
                            <a:off x="2916" y="4719"/>
                            <a:ext cx="2060" cy="30"/>
                          </a:xfrm>
                          <a:prstGeom prst="straightConnector1">
                            <a:avLst/>
                          </a:prstGeom>
                          <a:ln w="9525" cap="flat" cmpd="sng">
                            <a:solidFill>
                              <a:srgbClr val="000000"/>
                            </a:solidFill>
                            <a:prstDash val="solid"/>
                            <a:headEnd type="none" w="med" len="med"/>
                            <a:tailEnd type="triangle" w="med" len="med"/>
                          </a:ln>
                        </wps:spPr>
                        <wps:bodyPr/>
                      </wps:wsp>
                      <wps:wsp>
                        <wps:cNvPr id="105" name="矩形 105"/>
                        <wps:cNvSpPr/>
                        <wps:spPr>
                          <a:xfrm>
                            <a:off x="3376" y="3881"/>
                            <a:ext cx="2218" cy="843"/>
                          </a:xfrm>
                          <a:prstGeom prst="rect">
                            <a:avLst/>
                          </a:prstGeom>
                          <a:noFill/>
                          <a:ln>
                            <a:noFill/>
                          </a:ln>
                        </wps:spPr>
                        <wps:txbx>
                          <w:txbxContent>
                            <w:p w14:paraId="4DB34C32">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使用过期或质量不合格的爆炸物品</w:t>
                              </w:r>
                            </w:p>
                          </w:txbxContent>
                        </wps:txbx>
                        <wps:bodyPr lIns="85954" tIns="42977" rIns="85954" bIns="42977" upright="1"/>
                      </wps:wsp>
                    </wpg:wgp>
                  </a:graphicData>
                </a:graphic>
              </wp:inline>
            </w:drawing>
          </mc:Choice>
          <mc:Fallback>
            <w:pict>
              <v:group id="_x0000_s1026" o:spid="_x0000_s1026" o:spt="203" style="height:266.3pt;width:461.05pt;" coordorigin="-144,-103" coordsize="9899,5662" o:gfxdata="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">
                <o:lock v:ext="edit" rotation="t" aspectratio="f"/>
                <v:rect id="_x0000_s1026" o:spid="_x0000_s1026" o:spt="1" style="position:absolute;left:0;top:-103;height:5662;width:9755;" filled="f" stroked="f" coordsize="21600,21600" o:gfxdata="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DnXbbsAAADb&#10;AAAADwAAAAAAAAABACAAAAAiAAAAZHJzL2Rvd25yZXYueG1sUEsBAhQAFAAAAAgAh07iQDMvBZ47&#10;AAAAOQAAABAAAAAAAAAAAQAgAAAACgEAAGRycy9zaGFwZXhtbC54bWxQSwUGAAAAAAYABgBbAQAA&#10;tAMAAAAA&#10;">
                  <v:fill on="f" focussize="0,0"/>
                  <v:stroke on="f"/>
                  <v:imagedata o:title=""/>
                  <o:lock v:ext="edit" text="t" aspectratio="t"/>
                </v:rect>
                <v:shape id="_x0000_s1026" o:spid="_x0000_s1026" o:spt="32" type="#_x0000_t32" style="position:absolute;left:1272;top:2925;flip:y;height:15;width:7380;" filled="f" stroked="t" coordsize="21600,21600" o:gfxdata="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H4+7e8AAAA&#10;2wAAAA8AAAAAAAAAAQAgAAAAIgAAAGRycy9kb3ducmV2LnhtbFBLAQIUABQAAAAIAIdO4kAzLwWe&#10;OwAAADkAAAAQAAAAAAAAAAEAIAAAAAsBAABkcnMvc2hhcGV4bWwueG1sUEsFBgAAAAAGAAYAWwEA&#10;ALUDAAAAAA==&#10;">
                  <v:fill on="f" focussize="0,0"/>
                  <v:stroke weight="3.5pt" color="#000000" joinstyle="round" endarrow="block"/>
                  <v:imagedata o:title=""/>
                  <o:lock v:ext="edit" aspectratio="f"/>
                </v:shape>
                <v:rect id="_x0000_s1026" o:spid="_x0000_s1026" o:spt="1" style="position:absolute;left:8652;top:1635;height:2593;width:669;" filled="f" stroked="f" coordsize="21600,21600" o:gfxdata="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55FFG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21857B97">
                        <w:pPr>
                          <w:spacing w:line="500" w:lineRule="exact"/>
                          <w:ind w:left="0" w:leftChars="0" w:firstLine="0" w:firstLineChars="0"/>
                          <w:jc w:val="both"/>
                          <w:rPr>
                            <w:b/>
                            <w:sz w:val="30"/>
                            <w:szCs w:val="32"/>
                          </w:rPr>
                        </w:pPr>
                        <w:r>
                          <w:rPr>
                            <w:rFonts w:hint="eastAsia"/>
                            <w:b/>
                            <w:sz w:val="30"/>
                            <w:szCs w:val="32"/>
                          </w:rPr>
                          <w:t>爆破事故</w:t>
                        </w:r>
                      </w:p>
                    </w:txbxContent>
                  </v:textbox>
                </v:rect>
                <v:rect id="_x0000_s1026" o:spid="_x0000_s1026" o:spt="1" style="position:absolute;left:237;top:0;height:660;width:1980;" filled="f" stroked="f" coordsize="21600,21600" o:gfxdata="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E1scq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35665809">
                        <w:pPr>
                          <w:spacing w:line="500" w:lineRule="exact"/>
                          <w:ind w:left="0" w:leftChars="0" w:firstLine="0" w:firstLineChars="0"/>
                          <w:jc w:val="both"/>
                          <w:rPr>
                            <w:sz w:val="24"/>
                            <w:szCs w:val="24"/>
                          </w:rPr>
                        </w:pPr>
                        <w:r>
                          <w:rPr>
                            <w:rFonts w:hint="eastAsia"/>
                            <w:sz w:val="24"/>
                            <w:szCs w:val="24"/>
                          </w:rPr>
                          <w:t>信号、警戒</w:t>
                        </w:r>
                      </w:p>
                    </w:txbxContent>
                  </v:textbox>
                </v:rect>
                <v:rect id="_x0000_s1026" o:spid="_x0000_s1026" o:spt="1" style="position:absolute;left:5322;top:0;height:660;width:1980;" filled="f" stroked="f" coordsize="21600,21600" o:gfxdata="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7cKb6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5E124A61">
                        <w:pPr>
                          <w:spacing w:line="500" w:lineRule="exact"/>
                          <w:ind w:left="0" w:leftChars="0" w:firstLine="0" w:firstLineChars="0"/>
                          <w:jc w:val="both"/>
                          <w:rPr>
                            <w:sz w:val="24"/>
                            <w:szCs w:val="24"/>
                          </w:rPr>
                        </w:pPr>
                        <w:r>
                          <w:rPr>
                            <w:rFonts w:hint="eastAsia"/>
                            <w:sz w:val="24"/>
                            <w:szCs w:val="24"/>
                          </w:rPr>
                          <w:t>安全管理</w:t>
                        </w:r>
                      </w:p>
                    </w:txbxContent>
                  </v:textbox>
                </v:rect>
                <v:rect id="_x0000_s1026" o:spid="_x0000_s1026" o:spt="1" style="position:absolute;left:2460;top:2009;height:435;width:1560;" filled="f" stroked="f" coordsize="21600,21600" o:gfxdata="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QjCW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1166E453">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8"/>
                            <w:szCs w:val="22"/>
                          </w:rPr>
                        </w:pPr>
                        <w:r>
                          <w:rPr>
                            <w:rFonts w:hint="eastAsia"/>
                            <w:sz w:val="16"/>
                            <w:szCs w:val="16"/>
                          </w:rPr>
                          <w:t>未发出施爆信号</w:t>
                        </w:r>
                      </w:p>
                    </w:txbxContent>
                  </v:textbox>
                </v:rect>
                <v:shape id="_x0000_s1026" o:spid="_x0000_s1026" o:spt="32" type="#_x0000_t32" style="position:absolute;left:1272;top:765;height:2265;width:1394;" filled="f" stroked="t" coordsize="21600,21600" o:gfxdata="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DbTMvQAA&#10;ANsAAAAPAAAAAAAAAAEAIAAAACIAAABkcnMvZG93bnJldi54bWxQSwECFAAUAAAACACHTuJAMy8F&#10;njsAAAA5AAAAEAAAAAAAAAABACAAAAAMAQAAZHJzL3NoYXBleG1sLnhtbFBLBQYAAAAABgAGAFsB&#10;AAC2AwAAAAA=&#10;">
                  <v:fill on="f" focussize="0,0"/>
                  <v:stroke weight="2pt" color="#000000" joinstyle="round" endarrow="block"/>
                  <v:imagedata o:title=""/>
                  <o:lock v:ext="edit" aspectratio="f"/>
                </v:shape>
                <v:shape id="_x0000_s1026" o:spid="_x0000_s1026" o:spt="32" type="#_x0000_t32" style="position:absolute;left:2460;top:2547;flip:x;height:1;width:1560;" filled="f" stroked="t" coordsize="21600,21600" o:gfxdata="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Eldd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32" type="#_x0000_t32" style="position:absolute;left:6312;top:660;height:2265;width:1755;" filled="f" stroked="t" coordsize="21600,21600" o:gfxdata="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jehSW5AAAA2wAA&#10;AA8AAAAAAAAAAQAgAAAAIgAAAGRycy9kb3ducmV2LnhtbFBLAQIUABQAAAAIAIdO4kAzLwWeOwAA&#10;ADkAAAAQAAAAAAAAAAEAIAAAAAgBAABkcnMvc2hhcGV4bWwueG1sUEsFBgAAAAAGAAYAWwEAALID&#10;AAAAAA==&#10;">
                  <v:fill on="f" focussize="0,0"/>
                  <v:stroke weight="2pt" color="#000000" joinstyle="round" endarrow="block"/>
                  <v:imagedata o:title=""/>
                  <o:lock v:ext="edit" aspectratio="f"/>
                </v:shape>
                <v:shape id="_x0000_s1026" o:spid="_x0000_s1026" o:spt="32" type="#_x0000_t32" style="position:absolute;left:5481;top:1275;height:1;width:1275;" filled="f" stroked="t" coordsize="21600,21600" o:gfxdata="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rAzG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5292;top:765;height:435;width:1074;" filled="f" stroked="f" coordsize="21600,21600" o:gfxdata="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D65YLgAAADbAAAA&#10;DwAAAAAAAAABACAAAAAiAAAAZHJzL2Rvd25yZXYueG1sUEsBAhQAFAAAAAgAh07iQDMvBZ47AAAA&#10;OQAAABAAAAAAAAAAAQAgAAAABwEAAGRycy9zaGFwZXhtbC54bWxQSwUGAAAAAAYABgBbAQAAsQMA&#10;AAAA&#10;">
                  <v:fill on="f" focussize="0,0"/>
                  <v:stroke on="f"/>
                  <v:imagedata o:title=""/>
                  <o:lock v:ext="edit" aspectratio="f"/>
                  <v:textbox inset="6.76803149606299pt,3.3840157480315pt,6.76803149606299pt,3.3840157480315pt">
                    <w:txbxContent>
                      <w:p w14:paraId="1185D67E">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无证作业</w:t>
                        </w:r>
                      </w:p>
                    </w:txbxContent>
                  </v:textbox>
                </v:rect>
                <v:rect id="_x0000_s1026" o:spid="_x0000_s1026" o:spt="1" style="position:absolute;left:6852;top:765;height:435;width:2184;" filled="f" stroked="f" coordsize="21600,21600" o:gfxdata="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chz7vQAA&#10;ANsAAAAPAAAAAAAAAAEAIAAAACIAAABkcnMvZG93bnJldi54bWxQSwECFAAUAAAACACHTuJAMy8F&#10;njsAAAA5AAAAEAAAAAAAAAABACAAAAAMAQAAZHJzL3NoYXBleG1sLnhtbFBLBQYAAAAABgAGAFsB&#10;AAC2AwAAAAA=&#10;">
                  <v:fill on="f" focussize="0,0"/>
                  <v:stroke on="f"/>
                  <v:imagedata o:title=""/>
                  <o:lock v:ext="edit" aspectratio="f"/>
                  <v:textbox inset="6.76803149606299pt,3.3840157480315pt,6.76803149606299pt,3.3840157480315pt">
                    <w:txbxContent>
                      <w:p w14:paraId="03FE7AF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爆破物品未经检验使用</w:t>
                        </w:r>
                      </w:p>
                    </w:txbxContent>
                  </v:textbox>
                </v:rect>
                <v:shape id="_x0000_s1026" o:spid="_x0000_s1026" o:spt="32" type="#_x0000_t32" style="position:absolute;left:6822;top:1275;flip:x;height:1;width:2424;" filled="f" stroked="t" coordsize="21600,21600" o:gfxdata="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vGIY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_x0000_s1026" o:spid="_x0000_s1026" o:spt="1" style="position:absolute;left:7452;top:1545;height:465;width:1074;" filled="f" stroked="f" coordsize="21600,21600" o:gfxdata="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TsJxe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51468F39">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督导不力</w:t>
                        </w:r>
                      </w:p>
                    </w:txbxContent>
                  </v:textbox>
                </v:rect>
                <v:shape id="_x0000_s1026" o:spid="_x0000_s1026" o:spt="32" type="#_x0000_t32" style="position:absolute;left:7452;top:2115;flip:x;height:0;width:1074;" filled="f" stroked="t" coordsize="21600,21600" o:gfxdata="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lf9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1548;top:4899;height:660;width:2294;" filled="f" stroked="f" coordsize="21600,21600" o:gfxdata="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Eka+L4A&#10;AADbAAAADwAAAAAAAAABACAAAAAiAAAAZHJzL2Rvd25yZXYueG1sUEsBAhQAFAAAAAgAh07iQDMv&#10;BZ47AAAAOQAAABAAAAAAAAAAAQAgAAAADQEAAGRycy9zaGFwZXhtbC54bWxQSwUGAAAAAAYABgBb&#10;AQAAtwMAAAAA&#10;">
                  <v:fill on="f" focussize="0,0"/>
                  <v:stroke on="f"/>
                  <v:imagedata o:title=""/>
                  <o:lock v:ext="edit" aspectratio="f"/>
                  <v:textbox inset="6.76803149606299pt,3.3840157480315pt,6.76803149606299pt,3.3840157480315pt">
                    <w:txbxContent>
                      <w:p w14:paraId="22B577DB">
                        <w:pPr>
                          <w:spacing w:line="500" w:lineRule="exact"/>
                          <w:ind w:left="0" w:leftChars="0" w:firstLine="0" w:firstLineChars="0"/>
                          <w:jc w:val="both"/>
                          <w:rPr>
                            <w:sz w:val="24"/>
                            <w:szCs w:val="24"/>
                          </w:rPr>
                        </w:pPr>
                        <w:r>
                          <w:rPr>
                            <w:rFonts w:hint="eastAsia"/>
                            <w:sz w:val="24"/>
                            <w:szCs w:val="24"/>
                          </w:rPr>
                          <w:t>装药引爆及材料</w:t>
                        </w:r>
                      </w:p>
                    </w:txbxContent>
                  </v:textbox>
                </v:rect>
                <v:shape id="_x0000_s1026" o:spid="_x0000_s1026" o:spt="32" type="#_x0000_t32" style="position:absolute;left:2695;top:2939;flip:y;height:1960;width:1689;" filled="f" stroked="t" coordsize="21600,21600" o:gfxdata="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9IbXr4A&#10;AADbAAAADwAAAAAAAAABACAAAAAiAAAAZHJzL2Rvd25yZXYueG1sUEsBAhQAFAAAAAgAh07iQDMv&#10;BZ47AAAAOQAAABAAAAAAAAAAAQAgAAAADQEAAGRycy9zaGFwZXhtbC54bWxQSwUGAAAAAAYABgBb&#10;AQAAtwMAAAAA&#10;">
                  <v:fill on="f" focussize="0,0"/>
                  <v:stroke weight="2pt" color="#000000" joinstyle="round" endarrow="block"/>
                  <v:imagedata o:title=""/>
                  <o:lock v:ext="edit" aspectratio="f"/>
                </v:shape>
                <v:rect id="_x0000_s1026" o:spid="_x0000_s1026" o:spt="1" style="position:absolute;left:1737;top:3158;height:436;width:1884;" filled="f" stroked="f" coordsize="21600,21600" o:gfxdata="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chFLsAAADb&#10;AAAADwAAAAAAAAABACAAAAAiAAAAZHJzL2Rvd25yZXYueG1sUEsBAhQAFAAAAAgAh07iQDMvBZ47&#10;AAAAOQAAABAAAAAAAAAAAQAgAAAACgEAAGRycy9zaGFwZXhtbC54bWxQSwUGAAAAAAYABgBbAQAA&#10;tAMAAAAA&#10;">
                  <v:fill on="f" focussize="0,0"/>
                  <v:stroke on="f"/>
                  <v:imagedata o:title=""/>
                  <o:lock v:ext="edit" aspectratio="f"/>
                  <v:textbox inset="6.76803149606299pt,3.3840157480315pt,6.76803149606299pt,3.3840157480315pt">
                    <w:txbxContent>
                      <w:p w14:paraId="0E8BC190">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时间不够，看回头炮</w:t>
                        </w:r>
                      </w:p>
                    </w:txbxContent>
                  </v:textbox>
                </v:rect>
                <v:shape id="_x0000_s1026" o:spid="_x0000_s1026" o:spt="32" type="#_x0000_t32" style="position:absolute;left:1393;top:3683;height:16;width:2249;" filled="f" stroked="t" coordsize="21600,21600" o:gfxdata="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lA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32" type="#_x0000_t32" style="position:absolute;left:1393;top:4464;height:1;width:1625;" filled="f" stroked="t" coordsize="21600,21600" o:gfxdata="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aaXH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_x0000_s1026" o:spid="_x0000_s1026" o:spt="1" style="position:absolute;left:1695;top:3894;height:435;width:1323;" filled="f" stroked="f" coordsize="21600,21600" o:gfxdata="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HryUe5AAAA2wAA&#10;AA8AAAAAAAAAAQAgAAAAIgAAAGRycy9kb3ducmV2LnhtbFBLAQIUABQAAAAIAIdO4kAzLwWeOwAA&#10;ADkAAAAQAAAAAAAAAAEAIAAAAAgBAABkcnMvc2hhcGV4bWwueG1sUEsFBgAAAAAGAAYAWwEAALID&#10;AAAAAA==&#10;">
                  <v:fill on="f" focussize="0,0"/>
                  <v:stroke on="f"/>
                  <v:imagedata o:title=""/>
                  <o:lock v:ext="edit" aspectratio="f"/>
                  <v:textbox inset="6.76803149606299pt,3.3840157480315pt,6.76803149606299pt,3.3840157480315pt">
                    <w:txbxContent>
                      <w:p w14:paraId="316B0786">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踩压导爆管</w:t>
                        </w:r>
                      </w:p>
                    </w:txbxContent>
                  </v:textbox>
                </v:rect>
                <v:rect id="_x0000_s1026" o:spid="_x0000_s1026" o:spt="1" style="position:absolute;left:3947;top:3342;height:436;width:2071;" filled="f" stroked="f" coordsize="21600,21600" o:gfxdata="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6nbNy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21D7D2AA">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用炮棍捣捅起爆药包</w:t>
                        </w:r>
                      </w:p>
                    </w:txbxContent>
                  </v:textbox>
                </v:rect>
                <v:shape id="_x0000_s1026" o:spid="_x0000_s1026" o:spt="32" type="#_x0000_t32" style="position:absolute;left:3642;top:3864;flip:x y;height:30;width:2060;" filled="f" stroked="t" coordsize="21600,21600" o:gfxdata="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KIt6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_x0000_s1026" o:spid="_x0000_s1026" o:spt="1" style="position:absolute;left:5922;top:4899;height:660;width:1980;" filled="f" stroked="f" coordsize="21600,21600" o:gfxdata="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TlXMLsAAADb&#10;AAAADwAAAAAAAAABACAAAAAiAAAAZHJzL2Rvd25yZXYueG1sUEsBAhQAFAAAAAgAh07iQDMvBZ47&#10;AAAAOQAAABAAAAAAAAAAAQAgAAAACgEAAGRycy9zaGFwZXhtbC54bWxQSwUGAAAAAAYABgBbAQAA&#10;tAMAAAAA&#10;">
                  <v:fill on="f" focussize="0,0"/>
                  <v:stroke on="f"/>
                  <v:imagedata o:title=""/>
                  <o:lock v:ext="edit" aspectratio="f"/>
                  <v:textbox inset="6.76803149606299pt,3.3840157480315pt,6.76803149606299pt,3.3840157480315pt">
                    <w:txbxContent>
                      <w:p w14:paraId="39038F5A">
                        <w:pPr>
                          <w:spacing w:line="500" w:lineRule="exact"/>
                          <w:ind w:left="0" w:leftChars="0" w:firstLine="0" w:firstLineChars="0"/>
                          <w:jc w:val="both"/>
                          <w:rPr>
                            <w:sz w:val="24"/>
                            <w:szCs w:val="24"/>
                          </w:rPr>
                        </w:pPr>
                        <w:r>
                          <w:rPr>
                            <w:rFonts w:hint="eastAsia"/>
                            <w:sz w:val="24"/>
                            <w:szCs w:val="24"/>
                          </w:rPr>
                          <w:t>加工药包</w:t>
                        </w:r>
                      </w:p>
                    </w:txbxContent>
                  </v:textbox>
                </v:rect>
                <v:shape id="_x0000_s1026" o:spid="_x0000_s1026" o:spt="32" type="#_x0000_t32" style="position:absolute;left:6552;top:3519;height:1;width:1359;" filled="f" stroked="t" coordsize="21600,21600" o:gfxdata="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16f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5645;top:2994;height:435;width:2257;" filled="f" stroked="f" coordsize="21600,21600" o:gfxdata="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cat+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5F0E530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装药过程中附近有明火</w:t>
                        </w:r>
                      </w:p>
                    </w:txbxContent>
                  </v:textbox>
                </v:rect>
                <v:rect id="_x0000_s1026" o:spid="_x0000_s1026" o:spt="1" style="position:absolute;left:5481;top:4029;height:435;width:1680;" filled="f" stroked="f" coordsize="21600,21600" o:gfxdata="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O9Ki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39C97F04">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导爆管受挤、</w:t>
                        </w:r>
                        <w:r>
                          <w:rPr>
                            <w:rFonts w:hint="eastAsia"/>
                            <w:sz w:val="17"/>
                            <w:szCs w:val="18"/>
                            <w:lang w:val="en-US" w:eastAsia="zh-CN"/>
                          </w:rPr>
                          <w:t>折</w:t>
                        </w:r>
                        <w:r>
                          <w:rPr>
                            <w:rFonts w:hint="eastAsia"/>
                            <w:sz w:val="17"/>
                            <w:szCs w:val="18"/>
                          </w:rPr>
                          <w:t>损</w:t>
                        </w:r>
                      </w:p>
                    </w:txbxContent>
                  </v:textbox>
                </v:rect>
                <v:shape id="_x0000_s1026" o:spid="_x0000_s1026" o:spt="32" type="#_x0000_t32" style="position:absolute;left:5481;top:4569;height:0;width:1680;" filled="f" stroked="t" coordsize="21600,21600" o:gfxdata="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G/kC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7669;top:3785;height:509;width:1288;" filled="f" stroked="f" coordsize="21600,21600" o:gfxdata="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dxUG5AAAA2wAA&#10;AA8AAAAAAAAAAQAgAAAAIgAAAGRycy9kb3ducmV2LnhtbFBLAQIUABQAAAAIAIdO4kAzLwWeOwAA&#10;ADkAAAAQAAAAAAAAAAEAIAAAAAgBAABkcnMvc2hhcGV4bWwueG1sUEsFBgAAAAAGAAYAWwEAALID&#10;AAAAAA==&#10;">
                  <v:fill on="f" focussize="0,0"/>
                  <v:stroke on="f"/>
                  <v:imagedata o:title=""/>
                  <o:lock v:ext="edit" aspectratio="f"/>
                  <v:textbox inset="6.76803149606299pt,3.3840157480315pt,6.76803149606299pt,3.3840157480315pt">
                    <w:txbxContent>
                      <w:p w14:paraId="7EC54B0A">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导爆管过短</w:t>
                        </w:r>
                      </w:p>
                    </w:txbxContent>
                  </v:textbox>
                </v:rect>
                <v:shape id="_x0000_s1026" o:spid="_x0000_s1026" o:spt="32" type="#_x0000_t32" style="position:absolute;left:7302;top:4329;flip:x;height:1;width:969;" filled="f" stroked="t" coordsize="21600,21600" o:gfxdata="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LNgE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7437;top:4344;height:435;width:1323;" filled="f" stroked="f" coordsize="21600,21600" o:gfxdata="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Ml+augAAANsA&#10;AAAPAAAAAAAAAAEAIAAAACIAAABkcnMvZG93bnJldi54bWxQSwECFAAUAAAACACHTuJAMy8FnjsA&#10;AAA5AAAAEAAAAAAAAAABACAAAAAJAQAAZHJzL3NoYXBleG1sLnhtbFBLBQYAAAAABgAGAFsBAACz&#10;AwAAAAA=&#10;">
                  <v:fill on="f" focussize="0,0"/>
                  <v:stroke on="f"/>
                  <v:imagedata o:title=""/>
                  <o:lock v:ext="edit" aspectratio="f"/>
                  <v:textbox inset="6.76803149606299pt,3.3840157480315pt,6.76803149606299pt,3.3840157480315pt">
                    <w:txbxContent>
                      <w:p w14:paraId="5E39FA97">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导爆管松脱</w:t>
                        </w:r>
                      </w:p>
                    </w:txbxContent>
                  </v:textbox>
                </v:rect>
                <v:shape id="_x0000_s1026" o:spid="_x0000_s1026" o:spt="32" type="#_x0000_t32" style="position:absolute;left:7019;top:4779;flip:x;height:1;width:1383;" filled="f" stroked="t" coordsize="21600,21600" o:gfxdata="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YhqV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32" type="#_x0000_t32" style="position:absolute;left:6913;top:2994;flip:y;height:1905;width:1359;" filled="f" stroked="t" coordsize="21600,21600" o:gfxdata="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OX7p74A&#10;AADbAAAADwAAAAAAAAABACAAAAAiAAAAZHJzL2Rvd25yZXYueG1sUEsBAhQAFAAAAAgAh07iQDMv&#10;BZ47AAAAOQAAABAAAAAAAAAAAQAgAAAADQEAAGRycy9zaGFwZXhtbC54bWxQSwUGAAAAAAYABgBb&#10;AQAAtwMAAAAA&#10;">
                  <v:fill on="f" focussize="0,0"/>
                  <v:stroke weight="2pt" color="#000000" joinstyle="round" endarrow="block"/>
                  <v:imagedata o:title=""/>
                  <o:lock v:ext="edit" aspectratio="f"/>
                </v:shape>
                <v:rect id="_x0000_s1026" o:spid="_x0000_s1026" o:spt="1" style="position:absolute;left:2916;top:0;height:660;width:1980;" filled="f" stroked="f" coordsize="21600,21600" o:gfxdata="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Tgwe28AAAA&#10;2w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22509DFC">
                        <w:pPr>
                          <w:spacing w:line="500" w:lineRule="exact"/>
                          <w:ind w:left="0" w:leftChars="0" w:firstLine="0" w:firstLineChars="0"/>
                          <w:jc w:val="both"/>
                          <w:rPr>
                            <w:sz w:val="24"/>
                            <w:szCs w:val="24"/>
                          </w:rPr>
                        </w:pPr>
                        <w:r>
                          <w:rPr>
                            <w:rFonts w:hint="eastAsia"/>
                            <w:sz w:val="24"/>
                            <w:szCs w:val="24"/>
                          </w:rPr>
                          <w:t>爆破设计</w:t>
                        </w:r>
                      </w:p>
                    </w:txbxContent>
                  </v:textbox>
                </v:rect>
                <v:shape id="_x0000_s1026" o:spid="_x0000_s1026" o:spt="32" type="#_x0000_t32" style="position:absolute;left:3942;top:659;height:2265;width:1395;" filled="f" stroked="t" coordsize="21600,21600" o:gfxdata="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G/we8AAAA&#10;2wAAAA8AAAAAAAAAAQAgAAAAIgAAAGRycy9kb3ducmV2LnhtbFBLAQIUABQAAAAIAIdO4kAzLwWe&#10;OwAAADkAAAAQAAAAAAAAAAEAIAAAAAsBAABkcnMvc2hhcGV4bWwueG1sUEsFBgAAAAAGAAYAWwEA&#10;ALUDAAAAAA==&#10;">
                  <v:fill on="f" focussize="0,0"/>
                  <v:stroke weight="2pt" color="#000000" joinstyle="round" endarrow="block"/>
                  <v:imagedata o:title=""/>
                  <o:lock v:ext="edit" aspectratio="f"/>
                </v:shape>
                <v:shape id="_x0000_s1026" o:spid="_x0000_s1026" o:spt="32" type="#_x0000_t32" style="position:absolute;left:4668;top:1874;flip:x;height:1;width:1560;" filled="f" stroked="t" coordsize="21600,21600" o:gfxdata="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ZHJ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2" type="#_x0000_t32" style="position:absolute;left:1766;top:1202;height:1;width:2466;" filled="f" stroked="t" coordsize="21600,21600" o:gfxdata="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vrXT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1766;top:690;height:435;width:2076;" filled="f" stroked="f" coordsize="21600,21600" o:gfxdata="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28fuvQAA&#10;ANsAAAAPAAAAAAAAAAEAIAAAACIAAABkcnMvZG93bnJldi54bWxQSwECFAAUAAAACACHTuJAMy8F&#10;njsAAAA5AAAAEAAAAAAAAAABACAAAAAMAQAAZHJzL3NoYXBleG1sLnhtbFBLBQYAAAAABgAGAFsB&#10;AAC2AwAAAAA=&#10;">
                  <v:fill on="f" focussize="0,0"/>
                  <v:stroke on="f"/>
                  <v:imagedata o:title=""/>
                  <o:lock v:ext="edit" aspectratio="f"/>
                  <v:textbox inset="6.76803149606299pt,3.3840157480315pt,6.76803149606299pt,3.3840157480315pt">
                    <w:txbxContent>
                      <w:p w14:paraId="29023EA3">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爆破参数设计不合理</w:t>
                        </w:r>
                      </w:p>
                    </w:txbxContent>
                  </v:textbox>
                </v:rect>
                <v:shape id="_x0000_s1026" o:spid="_x0000_s1026" o:spt="32" type="#_x0000_t32" style="position:absolute;left:0;top:2008;flip:y;height:1;width:2026;" filled="f" stroked="t" coordsize="21600,21600" o:gfxdata="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WLMIugAAANs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shape>
                <v:rect id="_x0000_s1026" o:spid="_x0000_s1026" o:spt="1" style="position:absolute;left:-144;top:1438;height:512;width:1881;" filled="f" stroked="f" coordsize="21600,21600" o:gfxdata="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Qj2B74A&#10;AADbAAAADwAAAAAAAAABACAAAAAiAAAAZHJzL2Rvd25yZXYueG1sUEsBAhQAFAAAAAgAh07iQDMv&#10;BZ47AAAAOQAAABAAAAAAAAAAAQAgAAAADQEAAGRycy9zaGFwZXhtbC54bWxQSwUGAAAAAAYABgBb&#10;AQAAtwMAAAAA&#10;">
                  <v:fill on="f" focussize="0,0"/>
                  <v:stroke on="f"/>
                  <v:imagedata o:title=""/>
                  <o:lock v:ext="edit" aspectratio="f"/>
                  <v:textbox inset="6.76803149606299pt,3.3840157480315pt,6.76803149606299pt,3.3840157480315pt">
                    <w:txbxContent>
                      <w:p w14:paraId="1269DCD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未设置警戒或岗哨</w:t>
                        </w:r>
                      </w:p>
                    </w:txbxContent>
                  </v:textbox>
                </v:rect>
                <v:rect id="_x0000_s1026" o:spid="_x0000_s1026" o:spt="1" style="position:absolute;left:4801;top:1355;height:435;width:1565;" filled="f" stroked="f" coordsize="21600,21600" o:gfxdata="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t/xLb4A&#10;AADcAAAADwAAAAAAAAABACAAAAAiAAAAZHJzL2Rvd25yZXYueG1sUEsBAhQAFAAAAAgAh07iQDMv&#10;BZ47AAAAOQAAABAAAAAAAAAAAQAgAAAADQEAAGRycy9zaGFwZXhtbC54bWxQSwUGAAAAAAYABgBb&#10;AQAAtwMAAAAA&#10;">
                  <v:fill on="f" focussize="0,0"/>
                  <v:stroke on="f"/>
                  <v:imagedata o:title=""/>
                  <o:lock v:ext="edit" aspectratio="f"/>
                  <v:textbox inset="6.76803149606299pt,3.3840157480315pt,6.76803149606299pt,3.3840157480315pt">
                    <w:txbxContent>
                      <w:p w14:paraId="7A3CDA8D">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6"/>
                            <w:szCs w:val="16"/>
                          </w:rPr>
                        </w:pPr>
                        <w:r>
                          <w:rPr>
                            <w:rFonts w:hint="eastAsia"/>
                            <w:sz w:val="16"/>
                            <w:szCs w:val="16"/>
                          </w:rPr>
                          <w:t>孔网布置不合理</w:t>
                        </w:r>
                      </w:p>
                    </w:txbxContent>
                  </v:textbox>
                </v:rect>
                <v:shape id="_x0000_s1026" o:spid="_x0000_s1026" o:spt="32" type="#_x0000_t32" style="position:absolute;left:2559;top:1875;flip:y;height:1;width:2109;" filled="f" stroked="t" coordsize="21600,21600" o:gfxdata="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MqBj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_x0000_s1026" o:spid="_x0000_s1026" o:spt="1" style="position:absolute;left:2460;top:1355;height:435;width:1772;" filled="f" stroked="f" coordsize="21600,21600" o:gfxdata="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BysG8AAAA&#10;3A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0E49E94C">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17"/>
                            <w:szCs w:val="18"/>
                          </w:rPr>
                        </w:pPr>
                        <w:r>
                          <w:rPr>
                            <w:rFonts w:hint="eastAsia"/>
                            <w:sz w:val="17"/>
                            <w:szCs w:val="18"/>
                          </w:rPr>
                          <w:t>安全距离计算错误</w:t>
                        </w:r>
                      </w:p>
                    </w:txbxContent>
                  </v:textbox>
                </v:rect>
                <v:shape id="_x0000_s1026" o:spid="_x0000_s1026" o:spt="32" type="#_x0000_t32" style="position:absolute;left:482;top:2703;height:1;width:1978;" filled="f" stroked="f" coordsize="21600,21600" o:gfxdata="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uhAe8AAAA&#10;3AAAAA8AAAAAAAAAAQAgAAAAIgAAAGRycy9kb3ducmV2LnhtbFBLAQIUABQAAAAIAIdO4kAzLwWe&#10;OwAAADkAAAAQAAAAAAAAAAEAIAAAAAsBAABkcnMvc2hhcGV4bWwueG1sUEsFBgAAAAAGAAYAWwEA&#10;ALUDAAAAAA==&#10;">
                  <v:fill on="f" focussize="0,0"/>
                  <v:stroke on="f"/>
                  <v:imagedata o:title=""/>
                  <o:lock v:ext="edit" aspectratio="f"/>
                </v:shape>
                <v:shape id="_x0000_s1026" o:spid="_x0000_s1026" o:spt="32" type="#_x0000_t32" style="position:absolute;left:2916;top:4719;flip:x y;height:30;width:2060;" filled="f" stroked="t" coordsize="21600,21600" o:gfxdata="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yMtmr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rect id="_x0000_s1026" o:spid="_x0000_s1026" o:spt="1" style="position:absolute;left:3376;top:3881;height:843;width:2218;" filled="f" stroked="f" coordsize="21600,21600" o:gfxdata="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6oUrW8AAAA&#10;3AAAAA8AAAAAAAAAAQAgAAAAIgAAAGRycy9kb3ducmV2LnhtbFBLAQIUABQAAAAIAIdO4kAzLwWe&#10;OwAAADkAAAAQAAAAAAAAAAEAIAAAAAsBAABkcnMvc2hhcGV4bWwueG1sUEsFBgAAAAAGAAYAWwEA&#10;ALUDAAAAAA==&#10;">
                  <v:fill on="f" focussize="0,0"/>
                  <v:stroke on="f"/>
                  <v:imagedata o:title=""/>
                  <o:lock v:ext="edit" aspectratio="f"/>
                  <v:textbox inset="6.76803149606299pt,3.3840157480315pt,6.76803149606299pt,3.3840157480315pt">
                    <w:txbxContent>
                      <w:p w14:paraId="4DB34C32">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sz w:val="20"/>
                          </w:rPr>
                        </w:pPr>
                        <w:r>
                          <w:rPr>
                            <w:rFonts w:hint="eastAsia"/>
                            <w:sz w:val="17"/>
                            <w:szCs w:val="18"/>
                          </w:rPr>
                          <w:t>使用过期或质量不合格的爆炸物品</w:t>
                        </w:r>
                      </w:p>
                    </w:txbxContent>
                  </v:textbox>
                </v:rect>
                <w10:wrap type="none"/>
                <w10:anchorlock/>
              </v:group>
            </w:pict>
          </mc:Fallback>
        </mc:AlternateContent>
      </w:r>
      <w:bookmarkEnd w:id="367"/>
    </w:p>
    <w:p w14:paraId="33D96C88">
      <w:pPr>
        <w:pStyle w:val="16"/>
        <w:bidi w:val="0"/>
        <w:rPr>
          <w:rFonts w:ascii="Times New Roman" w:hAnsi="Times New Roman"/>
          <w:color w:val="auto"/>
        </w:rPr>
      </w:pPr>
      <w:r>
        <w:rPr>
          <w:rFonts w:ascii="Times New Roman" w:hAnsi="Times New Roman"/>
          <w:color w:val="auto"/>
        </w:rPr>
        <w:t>图3.3-</w:t>
      </w:r>
      <w:r>
        <w:rPr>
          <w:rFonts w:hint="eastAsia" w:ascii="Times New Roman" w:hAnsi="Times New Roman"/>
          <w:color w:val="auto"/>
          <w:lang w:val="en-US" w:eastAsia="zh-CN"/>
        </w:rPr>
        <w:t>8</w:t>
      </w:r>
      <w:r>
        <w:rPr>
          <w:rFonts w:ascii="Times New Roman" w:hAnsi="Times New Roman"/>
          <w:color w:val="auto"/>
        </w:rPr>
        <w:t xml:space="preserve">  爆破事故原因、结果分析图</w:t>
      </w:r>
    </w:p>
    <w:p w14:paraId="77A9A518">
      <w:pPr>
        <w:bidi w:val="0"/>
        <w:rPr>
          <w:rFonts w:ascii="Times New Roman" w:hAnsi="Times New Roman"/>
          <w:color w:val="auto"/>
        </w:rPr>
      </w:pPr>
      <w:r>
        <w:rPr>
          <w:rFonts w:ascii="Times New Roman" w:hAnsi="Times New Roman"/>
          <w:color w:val="auto"/>
        </w:rPr>
        <w:t>从图3.3-</w:t>
      </w:r>
      <w:r>
        <w:rPr>
          <w:rFonts w:hint="eastAsia" w:ascii="Times New Roman" w:hAnsi="Times New Roman"/>
          <w:color w:val="auto"/>
          <w:lang w:val="en-US" w:eastAsia="zh-CN"/>
        </w:rPr>
        <w:t>8</w:t>
      </w:r>
      <w:r>
        <w:rPr>
          <w:rFonts w:ascii="Times New Roman" w:hAnsi="Times New Roman"/>
          <w:color w:val="auto"/>
        </w:rPr>
        <w:t>可看出，造成爆破事故的原因主要有：违反爆破操作规程、安全管理不到位、未设警戒和信号、爆破器材不合格等。</w:t>
      </w:r>
    </w:p>
    <w:p w14:paraId="55DFAD54">
      <w:pPr>
        <w:bidi w:val="0"/>
        <w:rPr>
          <w:rFonts w:ascii="Times New Roman" w:hAnsi="Times New Roman"/>
          <w:color w:val="auto"/>
        </w:rPr>
      </w:pPr>
      <w:r>
        <w:rPr>
          <w:rFonts w:ascii="Times New Roman" w:hAnsi="Times New Roman"/>
          <w:color w:val="auto"/>
        </w:rPr>
        <w:t>二、可能导致项目爆破事故的影响因素</w:t>
      </w:r>
    </w:p>
    <w:p w14:paraId="7BEE19A0">
      <w:pPr>
        <w:bidi w:val="0"/>
        <w:rPr>
          <w:rFonts w:ascii="Times New Roman" w:hAnsi="Times New Roman"/>
          <w:color w:val="auto"/>
        </w:rPr>
      </w:pPr>
      <w:r>
        <w:rPr>
          <w:rFonts w:ascii="Times New Roman" w:hAnsi="Times New Roman"/>
          <w:color w:val="auto"/>
        </w:rPr>
        <w:t>1</w:t>
      </w:r>
      <w:r>
        <w:rPr>
          <w:rFonts w:hint="eastAsia" w:ascii="Times New Roman" w:hAnsi="Times New Roman"/>
          <w:color w:val="auto"/>
          <w:lang w:eastAsia="zh-CN"/>
        </w:rPr>
        <w:t>）</w:t>
      </w:r>
      <w:r>
        <w:rPr>
          <w:rFonts w:ascii="Times New Roman" w:hAnsi="Times New Roman"/>
          <w:color w:val="auto"/>
        </w:rPr>
        <w:t>未圈定爆破安全警戒范围和未设置哨岗警戒；</w:t>
      </w:r>
    </w:p>
    <w:p w14:paraId="45473177">
      <w:pPr>
        <w:bidi w:val="0"/>
        <w:rPr>
          <w:rFonts w:ascii="Times New Roman" w:hAnsi="Times New Roman"/>
          <w:color w:val="auto"/>
        </w:rPr>
      </w:pPr>
      <w:r>
        <w:rPr>
          <w:rFonts w:ascii="Times New Roman" w:hAnsi="Times New Roman"/>
          <w:color w:val="auto"/>
        </w:rPr>
        <w:t>2</w:t>
      </w:r>
      <w:r>
        <w:rPr>
          <w:rFonts w:hint="eastAsia" w:ascii="Times New Roman" w:hAnsi="Times New Roman"/>
          <w:color w:val="auto"/>
          <w:lang w:eastAsia="zh-CN"/>
        </w:rPr>
        <w:t>）</w:t>
      </w:r>
      <w:r>
        <w:rPr>
          <w:rFonts w:ascii="Times New Roman" w:hAnsi="Times New Roman"/>
          <w:color w:val="auto"/>
        </w:rPr>
        <w:t>未对瞎炮进行处理；</w:t>
      </w:r>
    </w:p>
    <w:p w14:paraId="14B6710E">
      <w:pPr>
        <w:bidi w:val="0"/>
        <w:rPr>
          <w:rFonts w:ascii="Times New Roman" w:hAnsi="Times New Roman"/>
          <w:color w:val="auto"/>
        </w:rPr>
      </w:pPr>
      <w:r>
        <w:rPr>
          <w:rFonts w:ascii="Times New Roman" w:hAnsi="Times New Roman"/>
          <w:color w:val="auto"/>
        </w:rPr>
        <w:t>3</w:t>
      </w:r>
      <w:r>
        <w:rPr>
          <w:rFonts w:hint="eastAsia" w:ascii="Times New Roman" w:hAnsi="Times New Roman"/>
          <w:color w:val="auto"/>
          <w:lang w:eastAsia="zh-CN"/>
        </w:rPr>
        <w:t>）</w:t>
      </w:r>
      <w:r>
        <w:rPr>
          <w:rFonts w:ascii="Times New Roman" w:hAnsi="Times New Roman"/>
          <w:color w:val="auto"/>
        </w:rPr>
        <w:t>违反爆破操作规程；</w:t>
      </w:r>
    </w:p>
    <w:p w14:paraId="4EFCD491">
      <w:pPr>
        <w:bidi w:val="0"/>
        <w:rPr>
          <w:rFonts w:ascii="Times New Roman" w:hAnsi="Times New Roman"/>
          <w:color w:val="auto"/>
        </w:rPr>
      </w:pPr>
      <w:r>
        <w:rPr>
          <w:rFonts w:ascii="Times New Roman" w:hAnsi="Times New Roman"/>
          <w:color w:val="auto"/>
        </w:rPr>
        <w:t>4</w:t>
      </w:r>
      <w:r>
        <w:rPr>
          <w:rFonts w:hint="eastAsia" w:ascii="Times New Roman" w:hAnsi="Times New Roman"/>
          <w:color w:val="auto"/>
          <w:lang w:eastAsia="zh-CN"/>
        </w:rPr>
        <w:t>）</w:t>
      </w:r>
      <w:r>
        <w:rPr>
          <w:rFonts w:ascii="Times New Roman" w:hAnsi="Times New Roman"/>
          <w:color w:val="auto"/>
        </w:rPr>
        <w:t>安全管理不到位；</w:t>
      </w:r>
    </w:p>
    <w:p w14:paraId="5F996E67">
      <w:pPr>
        <w:bidi w:val="0"/>
        <w:rPr>
          <w:rFonts w:ascii="Times New Roman" w:hAnsi="Times New Roman"/>
          <w:color w:val="auto"/>
        </w:rPr>
      </w:pPr>
      <w:r>
        <w:rPr>
          <w:rFonts w:ascii="Times New Roman" w:hAnsi="Times New Roman"/>
          <w:color w:val="auto"/>
        </w:rPr>
        <w:t>5</w:t>
      </w:r>
      <w:r>
        <w:rPr>
          <w:rFonts w:hint="eastAsia" w:ascii="Times New Roman" w:hAnsi="Times New Roman"/>
          <w:color w:val="auto"/>
          <w:lang w:eastAsia="zh-CN"/>
        </w:rPr>
        <w:t>）</w:t>
      </w:r>
      <w:r>
        <w:rPr>
          <w:rFonts w:ascii="Times New Roman" w:hAnsi="Times New Roman"/>
          <w:color w:val="auto"/>
        </w:rPr>
        <w:t>雷雨天进行爆破作业；</w:t>
      </w:r>
    </w:p>
    <w:p w14:paraId="06C95C98">
      <w:pPr>
        <w:bidi w:val="0"/>
        <w:rPr>
          <w:rFonts w:ascii="Times New Roman" w:hAnsi="Times New Roman"/>
          <w:color w:val="auto"/>
        </w:rPr>
      </w:pPr>
      <w:r>
        <w:rPr>
          <w:rFonts w:ascii="Times New Roman" w:hAnsi="Times New Roman"/>
          <w:color w:val="auto"/>
        </w:rPr>
        <w:t>6</w:t>
      </w:r>
      <w:r>
        <w:rPr>
          <w:rFonts w:hint="eastAsia" w:ascii="Times New Roman" w:hAnsi="Times New Roman"/>
          <w:color w:val="auto"/>
          <w:lang w:eastAsia="zh-CN"/>
        </w:rPr>
        <w:t>）</w:t>
      </w:r>
      <w:r>
        <w:rPr>
          <w:rFonts w:ascii="Times New Roman" w:hAnsi="Times New Roman"/>
          <w:color w:val="auto"/>
        </w:rPr>
        <w:t>爆破作业人员未经培训，无证上岗；</w:t>
      </w:r>
    </w:p>
    <w:p w14:paraId="53800EF0">
      <w:pPr>
        <w:bidi w:val="0"/>
        <w:rPr>
          <w:rFonts w:ascii="Times New Roman" w:hAnsi="Times New Roman"/>
          <w:color w:val="auto"/>
        </w:rPr>
      </w:pPr>
      <w:r>
        <w:rPr>
          <w:rFonts w:ascii="Times New Roman" w:hAnsi="Times New Roman"/>
          <w:color w:val="auto"/>
        </w:rPr>
        <w:t>7</w:t>
      </w:r>
      <w:r>
        <w:rPr>
          <w:rFonts w:hint="eastAsia" w:ascii="Times New Roman" w:hAnsi="Times New Roman"/>
          <w:color w:val="auto"/>
          <w:lang w:eastAsia="zh-CN"/>
        </w:rPr>
        <w:t>）</w:t>
      </w:r>
      <w:r>
        <w:rPr>
          <w:rFonts w:ascii="Times New Roman" w:hAnsi="Times New Roman"/>
          <w:color w:val="auto"/>
        </w:rPr>
        <w:t>使用质量不合格的爆破器材。</w:t>
      </w:r>
    </w:p>
    <w:p w14:paraId="2AB6E114">
      <w:pPr>
        <w:pStyle w:val="5"/>
        <w:bidi w:val="0"/>
        <w:rPr>
          <w:rFonts w:ascii="Times New Roman" w:hAnsi="Times New Roman"/>
          <w:color w:val="auto"/>
        </w:rPr>
      </w:pPr>
      <w:r>
        <w:rPr>
          <w:rFonts w:ascii="Times New Roman" w:hAnsi="Times New Roman"/>
          <w:color w:val="auto"/>
        </w:rPr>
        <w:t>3.3.3.3</w:t>
      </w:r>
      <w:r>
        <w:rPr>
          <w:rFonts w:hint="eastAsia" w:ascii="Times New Roman" w:hAnsi="Times New Roman"/>
          <w:color w:val="auto"/>
          <w:lang w:val="en-US" w:eastAsia="zh-CN"/>
        </w:rPr>
        <w:t xml:space="preserve"> </w:t>
      </w:r>
      <w:r>
        <w:rPr>
          <w:rFonts w:ascii="Times New Roman" w:hAnsi="Times New Roman"/>
          <w:color w:val="auto"/>
        </w:rPr>
        <w:t>爆破飞石安全影响分析</w:t>
      </w:r>
    </w:p>
    <w:p w14:paraId="663FBB19">
      <w:pPr>
        <w:bidi w:val="0"/>
        <w:rPr>
          <w:rFonts w:ascii="Times New Roman" w:hAnsi="Times New Roman"/>
          <w:bCs/>
          <w:color w:val="auto"/>
          <w:kern w:val="0"/>
          <w:szCs w:val="21"/>
          <w:lang w:eastAsia="zh-TW"/>
        </w:rPr>
      </w:pPr>
      <w:r>
        <w:rPr>
          <w:rFonts w:ascii="Times New Roman" w:hAnsi="Times New Roman"/>
          <w:color w:val="auto"/>
        </w:rPr>
        <w:t>爆破飞石的安全距离与爆破控制方式有关。《爆破安全规程》</w:t>
      </w:r>
      <w:r>
        <w:rPr>
          <w:rFonts w:ascii="Times New Roman" w:hAnsi="Times New Roman"/>
          <w:color w:val="auto"/>
          <w:lang w:val="sq-AL"/>
        </w:rPr>
        <w:t>（GB6722-2014/XG1-2016）</w:t>
      </w:r>
      <w:r>
        <w:rPr>
          <w:rFonts w:ascii="Times New Roman" w:hAnsi="Times New Roman"/>
          <w:color w:val="auto"/>
        </w:rPr>
        <w:t>对爆破时，个别飞散物对人员的安全距离的规定，见表3.3-</w:t>
      </w:r>
      <w:r>
        <w:rPr>
          <w:rFonts w:hint="eastAsia" w:ascii="Times New Roman" w:hAnsi="Times New Roman"/>
          <w:color w:val="auto"/>
          <w:lang w:val="en-US" w:eastAsia="zh-CN"/>
        </w:rPr>
        <w:t>13</w:t>
      </w:r>
      <w:r>
        <w:rPr>
          <w:rFonts w:ascii="Times New Roman" w:hAnsi="Times New Roman"/>
          <w:color w:val="auto"/>
        </w:rPr>
        <w:t>。</w:t>
      </w:r>
    </w:p>
    <w:p w14:paraId="1E68FAD5">
      <w:pPr>
        <w:pStyle w:val="16"/>
        <w:bidi w:val="0"/>
        <w:rPr>
          <w:rFonts w:ascii="Times New Roman" w:hAnsi="Times New Roman"/>
          <w:bCs/>
          <w:color w:val="auto"/>
          <w:kern w:val="0"/>
          <w:szCs w:val="21"/>
        </w:rPr>
      </w:pPr>
      <w:r>
        <w:rPr>
          <w:rFonts w:ascii="Times New Roman" w:hAnsi="Times New Roman"/>
          <w:bCs/>
          <w:color w:val="auto"/>
          <w:kern w:val="0"/>
          <w:szCs w:val="21"/>
          <w:lang w:eastAsia="zh-TW"/>
        </w:rPr>
        <w:t>表</w:t>
      </w:r>
      <w:r>
        <w:rPr>
          <w:rFonts w:ascii="Times New Roman" w:hAnsi="Times New Roman"/>
          <w:bCs/>
          <w:color w:val="auto"/>
          <w:kern w:val="0"/>
          <w:szCs w:val="21"/>
        </w:rPr>
        <w:t>3.3-</w:t>
      </w:r>
      <w:r>
        <w:rPr>
          <w:rFonts w:hint="eastAsia" w:ascii="Times New Roman" w:hAnsi="Times New Roman"/>
          <w:bCs/>
          <w:color w:val="auto"/>
          <w:kern w:val="0"/>
          <w:szCs w:val="21"/>
          <w:lang w:val="en-US" w:eastAsia="zh-CN"/>
        </w:rPr>
        <w:t>13</w:t>
      </w:r>
      <w:r>
        <w:rPr>
          <w:rFonts w:ascii="Times New Roman" w:hAnsi="Times New Roman"/>
          <w:bCs/>
          <w:color w:val="auto"/>
          <w:kern w:val="0"/>
          <w:szCs w:val="21"/>
        </w:rPr>
        <w:t xml:space="preserve"> </w:t>
      </w:r>
      <w:r>
        <w:rPr>
          <w:rFonts w:ascii="Times New Roman" w:hAnsi="Times New Roman"/>
          <w:bCs/>
          <w:color w:val="auto"/>
          <w:kern w:val="0"/>
          <w:szCs w:val="21"/>
          <w:lang w:eastAsia="zh-TW"/>
        </w:rPr>
        <w:t xml:space="preserve"> 爆破飞散物安全距离表</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6"/>
        <w:gridCol w:w="2906"/>
        <w:gridCol w:w="4577"/>
      </w:tblGrid>
      <w:tr w14:paraId="242F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65" w:type="pct"/>
            <w:gridSpan w:val="2"/>
            <w:noWrap w:val="0"/>
            <w:vAlign w:val="center"/>
          </w:tcPr>
          <w:p w14:paraId="7CBCB1C3">
            <w:pPr>
              <w:pStyle w:val="17"/>
              <w:bidi w:val="0"/>
              <w:rPr>
                <w:rFonts w:ascii="Times New Roman" w:hAnsi="Times New Roman"/>
                <w:b/>
                <w:bCs/>
                <w:color w:val="auto"/>
              </w:rPr>
            </w:pPr>
            <w:r>
              <w:rPr>
                <w:rFonts w:ascii="Times New Roman" w:hAnsi="Times New Roman"/>
                <w:b/>
                <w:bCs/>
                <w:color w:val="auto"/>
              </w:rPr>
              <w:t>爆破类型和方法</w:t>
            </w:r>
          </w:p>
        </w:tc>
        <w:tc>
          <w:tcPr>
            <w:tcW w:w="2434" w:type="pct"/>
            <w:noWrap w:val="0"/>
            <w:vAlign w:val="center"/>
          </w:tcPr>
          <w:p w14:paraId="6D766604">
            <w:pPr>
              <w:pStyle w:val="17"/>
              <w:bidi w:val="0"/>
              <w:rPr>
                <w:rFonts w:ascii="Times New Roman" w:hAnsi="Times New Roman"/>
                <w:b/>
                <w:bCs/>
                <w:color w:val="auto"/>
              </w:rPr>
            </w:pPr>
            <w:r>
              <w:rPr>
                <w:rFonts w:ascii="Times New Roman" w:hAnsi="Times New Roman"/>
                <w:b/>
                <w:bCs/>
                <w:color w:val="auto"/>
              </w:rPr>
              <w:t>最小安全允许距离/m</w:t>
            </w:r>
          </w:p>
        </w:tc>
      </w:tr>
      <w:tr w14:paraId="0D2C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9" w:type="pct"/>
            <w:vMerge w:val="restart"/>
            <w:noWrap w:val="0"/>
            <w:vAlign w:val="center"/>
          </w:tcPr>
          <w:p w14:paraId="21A31C00">
            <w:pPr>
              <w:pStyle w:val="17"/>
              <w:bidi w:val="0"/>
              <w:rPr>
                <w:rFonts w:ascii="Times New Roman" w:hAnsi="Times New Roman"/>
                <w:color w:val="auto"/>
              </w:rPr>
            </w:pPr>
            <w:r>
              <w:rPr>
                <w:rFonts w:ascii="Times New Roman" w:hAnsi="Times New Roman"/>
                <w:color w:val="auto"/>
              </w:rPr>
              <w:t>露天岩石爆破</w:t>
            </w:r>
          </w:p>
        </w:tc>
        <w:tc>
          <w:tcPr>
            <w:tcW w:w="1546" w:type="pct"/>
            <w:noWrap w:val="0"/>
            <w:vAlign w:val="center"/>
          </w:tcPr>
          <w:p w14:paraId="61763DEC">
            <w:pPr>
              <w:pStyle w:val="17"/>
              <w:bidi w:val="0"/>
              <w:rPr>
                <w:rFonts w:ascii="Times New Roman" w:hAnsi="Times New Roman"/>
                <w:color w:val="auto"/>
              </w:rPr>
            </w:pPr>
            <w:r>
              <w:rPr>
                <w:rFonts w:ascii="Times New Roman" w:hAnsi="Times New Roman"/>
                <w:color w:val="auto"/>
              </w:rPr>
              <w:t>裸露药包爆破法破大块</w:t>
            </w:r>
          </w:p>
          <w:p w14:paraId="39B44659">
            <w:pPr>
              <w:pStyle w:val="17"/>
              <w:bidi w:val="0"/>
              <w:rPr>
                <w:rFonts w:ascii="Times New Roman" w:hAnsi="Times New Roman"/>
                <w:color w:val="auto"/>
              </w:rPr>
            </w:pPr>
            <w:r>
              <w:rPr>
                <w:rFonts w:ascii="Times New Roman" w:hAnsi="Times New Roman"/>
                <w:color w:val="auto"/>
              </w:rPr>
              <w:t>浅孔爆破法破大块</w:t>
            </w:r>
          </w:p>
        </w:tc>
        <w:tc>
          <w:tcPr>
            <w:tcW w:w="2434" w:type="pct"/>
            <w:noWrap w:val="0"/>
            <w:vAlign w:val="center"/>
          </w:tcPr>
          <w:p w14:paraId="123FD82E">
            <w:pPr>
              <w:pStyle w:val="17"/>
              <w:bidi w:val="0"/>
              <w:rPr>
                <w:rFonts w:ascii="Times New Roman" w:hAnsi="Times New Roman"/>
                <w:color w:val="auto"/>
              </w:rPr>
            </w:pPr>
            <w:r>
              <w:rPr>
                <w:rFonts w:ascii="Times New Roman" w:hAnsi="Times New Roman"/>
                <w:color w:val="auto"/>
              </w:rPr>
              <w:t>400m</w:t>
            </w:r>
          </w:p>
          <w:p w14:paraId="145736C2">
            <w:pPr>
              <w:pStyle w:val="17"/>
              <w:bidi w:val="0"/>
              <w:rPr>
                <w:rFonts w:ascii="Times New Roman" w:hAnsi="Times New Roman"/>
                <w:color w:val="auto"/>
              </w:rPr>
            </w:pPr>
            <w:r>
              <w:rPr>
                <w:rFonts w:ascii="Times New Roman" w:hAnsi="Times New Roman"/>
                <w:color w:val="auto"/>
              </w:rPr>
              <w:t>300m</w:t>
            </w:r>
          </w:p>
        </w:tc>
      </w:tr>
      <w:tr w14:paraId="2AAD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9" w:type="pct"/>
            <w:vMerge w:val="continue"/>
            <w:noWrap w:val="0"/>
            <w:vAlign w:val="center"/>
          </w:tcPr>
          <w:p w14:paraId="5ACCDDCE">
            <w:pPr>
              <w:pStyle w:val="17"/>
              <w:bidi w:val="0"/>
              <w:rPr>
                <w:rFonts w:ascii="Times New Roman" w:hAnsi="Times New Roman"/>
                <w:color w:val="auto"/>
              </w:rPr>
            </w:pPr>
          </w:p>
        </w:tc>
        <w:tc>
          <w:tcPr>
            <w:tcW w:w="1546" w:type="pct"/>
            <w:noWrap w:val="0"/>
            <w:vAlign w:val="center"/>
          </w:tcPr>
          <w:p w14:paraId="6C284E08">
            <w:pPr>
              <w:pStyle w:val="17"/>
              <w:bidi w:val="0"/>
              <w:rPr>
                <w:rFonts w:ascii="Times New Roman" w:hAnsi="Times New Roman"/>
                <w:color w:val="auto"/>
              </w:rPr>
            </w:pPr>
            <w:r>
              <w:rPr>
                <w:rFonts w:ascii="Times New Roman" w:hAnsi="Times New Roman"/>
                <w:color w:val="auto"/>
              </w:rPr>
              <w:t>浅孔台阶爆破</w:t>
            </w:r>
          </w:p>
        </w:tc>
        <w:tc>
          <w:tcPr>
            <w:tcW w:w="2434" w:type="pct"/>
            <w:noWrap w:val="0"/>
            <w:vAlign w:val="center"/>
          </w:tcPr>
          <w:p w14:paraId="5D4F525F">
            <w:pPr>
              <w:pStyle w:val="17"/>
              <w:bidi w:val="0"/>
              <w:rPr>
                <w:rFonts w:hint="eastAsia" w:ascii="Times New Roman" w:hAnsi="Times New Roman" w:eastAsia="宋体"/>
                <w:color w:val="auto"/>
                <w:lang w:eastAsia="zh-CN"/>
              </w:rPr>
            </w:pPr>
            <w:r>
              <w:rPr>
                <w:rFonts w:ascii="Times New Roman" w:hAnsi="Times New Roman"/>
                <w:color w:val="auto"/>
              </w:rPr>
              <w:t>200</w:t>
            </w:r>
            <w:r>
              <w:rPr>
                <w:rFonts w:hint="eastAsia" w:ascii="Times New Roman" w:hAnsi="Times New Roman"/>
                <w:color w:val="auto"/>
                <w:lang w:eastAsia="zh-CN"/>
              </w:rPr>
              <w:t>（</w:t>
            </w:r>
            <w:r>
              <w:rPr>
                <w:rFonts w:ascii="Times New Roman" w:hAnsi="Times New Roman"/>
                <w:color w:val="auto"/>
              </w:rPr>
              <w:t>复杂地质条件下或未形成台阶工作面时不小于300</w:t>
            </w:r>
            <w:r>
              <w:rPr>
                <w:rFonts w:hint="eastAsia" w:ascii="Times New Roman" w:hAnsi="Times New Roman"/>
                <w:color w:val="auto"/>
                <w:lang w:eastAsia="zh-CN"/>
              </w:rPr>
              <w:t>）</w:t>
            </w:r>
          </w:p>
        </w:tc>
      </w:tr>
      <w:tr w14:paraId="454F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9" w:type="pct"/>
            <w:vMerge w:val="continue"/>
            <w:noWrap w:val="0"/>
            <w:vAlign w:val="center"/>
          </w:tcPr>
          <w:p w14:paraId="176FACE9">
            <w:pPr>
              <w:pStyle w:val="17"/>
              <w:bidi w:val="0"/>
              <w:rPr>
                <w:rFonts w:ascii="Times New Roman" w:hAnsi="Times New Roman"/>
                <w:color w:val="auto"/>
              </w:rPr>
            </w:pPr>
          </w:p>
        </w:tc>
        <w:tc>
          <w:tcPr>
            <w:tcW w:w="1546" w:type="pct"/>
            <w:noWrap w:val="0"/>
            <w:vAlign w:val="center"/>
          </w:tcPr>
          <w:p w14:paraId="2A9A78D1">
            <w:pPr>
              <w:pStyle w:val="17"/>
              <w:bidi w:val="0"/>
              <w:rPr>
                <w:rFonts w:ascii="Times New Roman" w:hAnsi="Times New Roman"/>
                <w:color w:val="auto"/>
              </w:rPr>
            </w:pPr>
            <w:r>
              <w:rPr>
                <w:rFonts w:ascii="Times New Roman" w:hAnsi="Times New Roman"/>
                <w:color w:val="auto"/>
              </w:rPr>
              <w:t>深孔台阶爆破</w:t>
            </w:r>
          </w:p>
        </w:tc>
        <w:tc>
          <w:tcPr>
            <w:tcW w:w="2434" w:type="pct"/>
            <w:noWrap w:val="0"/>
            <w:vAlign w:val="center"/>
          </w:tcPr>
          <w:p w14:paraId="3F43DEDA">
            <w:pPr>
              <w:pStyle w:val="17"/>
              <w:bidi w:val="0"/>
              <w:rPr>
                <w:rFonts w:ascii="Times New Roman" w:hAnsi="Times New Roman"/>
                <w:color w:val="auto"/>
              </w:rPr>
            </w:pPr>
            <w:r>
              <w:rPr>
                <w:rFonts w:ascii="Times New Roman" w:hAnsi="Times New Roman"/>
                <w:color w:val="auto"/>
              </w:rPr>
              <w:t>按设计，但不小于200m</w:t>
            </w:r>
          </w:p>
        </w:tc>
      </w:tr>
      <w:tr w14:paraId="13EA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19" w:type="pct"/>
            <w:vMerge w:val="continue"/>
            <w:noWrap w:val="0"/>
            <w:vAlign w:val="center"/>
          </w:tcPr>
          <w:p w14:paraId="17ECF16D">
            <w:pPr>
              <w:pStyle w:val="17"/>
              <w:bidi w:val="0"/>
              <w:rPr>
                <w:rFonts w:ascii="Times New Roman" w:hAnsi="Times New Roman"/>
                <w:color w:val="auto"/>
              </w:rPr>
            </w:pPr>
          </w:p>
        </w:tc>
        <w:tc>
          <w:tcPr>
            <w:tcW w:w="1546" w:type="pct"/>
            <w:noWrap w:val="0"/>
            <w:vAlign w:val="center"/>
          </w:tcPr>
          <w:p w14:paraId="40B4931B">
            <w:pPr>
              <w:pStyle w:val="17"/>
              <w:bidi w:val="0"/>
              <w:rPr>
                <w:rFonts w:ascii="Times New Roman" w:hAnsi="Times New Roman"/>
                <w:color w:val="auto"/>
              </w:rPr>
            </w:pPr>
            <w:r>
              <w:rPr>
                <w:rFonts w:ascii="Times New Roman" w:hAnsi="Times New Roman"/>
                <w:color w:val="auto"/>
              </w:rPr>
              <w:t>硐室爆破</w:t>
            </w:r>
          </w:p>
        </w:tc>
        <w:tc>
          <w:tcPr>
            <w:tcW w:w="2434" w:type="pct"/>
            <w:noWrap w:val="0"/>
            <w:vAlign w:val="center"/>
          </w:tcPr>
          <w:p w14:paraId="7F5248BE">
            <w:pPr>
              <w:pStyle w:val="17"/>
              <w:bidi w:val="0"/>
              <w:rPr>
                <w:rFonts w:ascii="Times New Roman" w:hAnsi="Times New Roman"/>
                <w:color w:val="auto"/>
              </w:rPr>
            </w:pPr>
            <w:r>
              <w:rPr>
                <w:rFonts w:ascii="Times New Roman" w:hAnsi="Times New Roman"/>
                <w:color w:val="auto"/>
              </w:rPr>
              <w:t>按设计，但不小于300m</w:t>
            </w:r>
          </w:p>
        </w:tc>
      </w:tr>
      <w:tr w14:paraId="124E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noWrap w:val="0"/>
            <w:vAlign w:val="center"/>
          </w:tcPr>
          <w:p w14:paraId="52153849">
            <w:pPr>
              <w:pStyle w:val="17"/>
              <w:bidi w:val="0"/>
              <w:rPr>
                <w:rFonts w:ascii="Times New Roman" w:hAnsi="Times New Roman"/>
                <w:color w:val="auto"/>
              </w:rPr>
            </w:pPr>
            <w:r>
              <w:rPr>
                <w:rFonts w:ascii="Times New Roman" w:hAnsi="Times New Roman"/>
                <w:color w:val="auto"/>
              </w:rPr>
              <w:t>沿山坡爆破时，下坡方向的飞石安全允许距离应增大50%。</w:t>
            </w:r>
          </w:p>
        </w:tc>
      </w:tr>
    </w:tbl>
    <w:p w14:paraId="76455357">
      <w:pPr>
        <w:bidi w:val="0"/>
        <w:rPr>
          <w:rFonts w:hint="eastAsia" w:ascii="Times New Roman" w:hAnsi="Times New Roman" w:eastAsia="宋体"/>
          <w:color w:val="auto"/>
          <w:lang w:eastAsia="zh-CN"/>
        </w:rPr>
      </w:pPr>
      <w:r>
        <w:rPr>
          <w:rFonts w:hint="eastAsia" w:ascii="Times New Roman" w:hAnsi="Times New Roman"/>
          <w:color w:val="auto"/>
          <w:lang w:eastAsia="zh-CN"/>
        </w:rPr>
        <w:t>初步设计（代可研）</w:t>
      </w:r>
      <w:r>
        <w:rPr>
          <w:rFonts w:ascii="Times New Roman" w:hAnsi="Times New Roman"/>
          <w:color w:val="auto"/>
        </w:rPr>
        <w:t>中明确，</w:t>
      </w:r>
      <w:r>
        <w:rPr>
          <w:rFonts w:hint="eastAsia" w:ascii="Times New Roman" w:hAnsi="Times New Roman"/>
          <w:color w:val="auto"/>
        </w:rPr>
        <w:t>爆破安全距离300m</w:t>
      </w:r>
      <w:r>
        <w:rPr>
          <w:rFonts w:hint="eastAsia" w:ascii="Times New Roman" w:hAnsi="Times New Roman"/>
          <w:color w:val="auto"/>
          <w:lang w:eastAsia="zh-CN"/>
        </w:rPr>
        <w:t>。</w:t>
      </w:r>
    </w:p>
    <w:p w14:paraId="72B1CFF5">
      <w:pPr>
        <w:pStyle w:val="5"/>
        <w:bidi w:val="0"/>
        <w:rPr>
          <w:rFonts w:ascii="Times New Roman" w:hAnsi="Times New Roman"/>
          <w:color w:val="auto"/>
        </w:rPr>
      </w:pPr>
      <w:r>
        <w:rPr>
          <w:rFonts w:ascii="Times New Roman" w:hAnsi="Times New Roman"/>
          <w:color w:val="auto"/>
        </w:rPr>
        <w:t>3.3.3.</w:t>
      </w:r>
      <w:r>
        <w:rPr>
          <w:rFonts w:hint="eastAsia" w:ascii="Times New Roman" w:hAnsi="Times New Roman"/>
          <w:color w:val="auto"/>
        </w:rPr>
        <w:t>4爆破对周边设施的影响</w:t>
      </w:r>
    </w:p>
    <w:p w14:paraId="46994363">
      <w:pPr>
        <w:bidi w:val="0"/>
        <w:rPr>
          <w:rFonts w:hint="eastAsia" w:ascii="Times New Roman" w:hAnsi="Times New Roman"/>
          <w:color w:val="auto"/>
        </w:rPr>
      </w:pPr>
      <w:r>
        <w:rPr>
          <w:rFonts w:hint="eastAsia" w:ascii="Times New Roman" w:hAnsi="Times New Roman"/>
          <w:color w:val="auto"/>
        </w:rPr>
        <w:t>东北侧村组道路距离设计露天境界最近为82m</w:t>
      </w:r>
      <w:r>
        <w:rPr>
          <w:rFonts w:hint="eastAsia" w:ascii="Times New Roman" w:hAnsi="Times New Roman"/>
          <w:color w:val="auto"/>
          <w:lang w:eastAsia="zh-CN"/>
        </w:rPr>
        <w:t>，</w:t>
      </w:r>
      <w:r>
        <w:rPr>
          <w:rFonts w:hint="eastAsia" w:ascii="Times New Roman" w:hAnsi="Times New Roman"/>
          <w:color w:val="auto"/>
        </w:rPr>
        <w:t>西侧村组道路距离设计露天境界最近为78m</w:t>
      </w:r>
      <w:r>
        <w:rPr>
          <w:rFonts w:hint="eastAsia" w:ascii="Times New Roman" w:hAnsi="Times New Roman"/>
          <w:color w:val="auto"/>
          <w:lang w:eastAsia="zh-CN"/>
        </w:rPr>
        <w:t>，</w:t>
      </w:r>
      <w:r>
        <w:rPr>
          <w:rFonts w:hint="eastAsia" w:ascii="Times New Roman" w:hAnsi="Times New Roman"/>
          <w:color w:val="auto"/>
        </w:rPr>
        <w:t>农耕道路局部在矿区范围内穿过</w:t>
      </w:r>
      <w:r>
        <w:rPr>
          <w:rFonts w:hint="eastAsia" w:ascii="Times New Roman" w:hAnsi="Times New Roman"/>
          <w:color w:val="auto"/>
          <w:lang w:eastAsia="zh-CN"/>
        </w:rPr>
        <w:t>，</w:t>
      </w:r>
      <w:r>
        <w:rPr>
          <w:rFonts w:hint="eastAsia" w:ascii="Times New Roman" w:hAnsi="Times New Roman"/>
          <w:color w:val="auto"/>
          <w:lang w:val="en-US" w:eastAsia="zh-CN"/>
        </w:rPr>
        <w:t>处于爆破飞石范围内，</w:t>
      </w:r>
      <w:r>
        <w:rPr>
          <w:rFonts w:hint="eastAsia" w:ascii="Times New Roman" w:hAnsi="Times New Roman"/>
          <w:color w:val="auto"/>
        </w:rPr>
        <w:t>在矿山进行爆破时，存在爆破飞石对道路</w:t>
      </w:r>
      <w:r>
        <w:rPr>
          <w:rFonts w:hint="eastAsia" w:ascii="Times New Roman" w:hAnsi="Times New Roman"/>
          <w:color w:val="auto"/>
          <w:lang w:val="en-US" w:eastAsia="zh-CN"/>
        </w:rPr>
        <w:t>的</w:t>
      </w:r>
      <w:r>
        <w:rPr>
          <w:rFonts w:hint="eastAsia" w:ascii="Times New Roman" w:hAnsi="Times New Roman"/>
          <w:color w:val="auto"/>
        </w:rPr>
        <w:t>影响，须在爆破前安排专人在道路的爆破警戒范围外两端设置警戒点，禁止无关人员进入爆破警戒区域</w:t>
      </w:r>
      <w:r>
        <w:rPr>
          <w:rFonts w:hint="eastAsia" w:ascii="Times New Roman" w:hAnsi="Times New Roman"/>
          <w:color w:val="auto"/>
          <w:lang w:eastAsia="zh-CN"/>
        </w:rPr>
        <w:t>，</w:t>
      </w:r>
      <w:r>
        <w:rPr>
          <w:rFonts w:hint="eastAsia" w:ascii="Times New Roman" w:hAnsi="Times New Roman"/>
          <w:color w:val="auto"/>
        </w:rPr>
        <w:t>爆破对周边设施影响较小，风险可控。</w:t>
      </w:r>
    </w:p>
    <w:p w14:paraId="752921D8">
      <w:pPr>
        <w:bidi w:val="0"/>
        <w:rPr>
          <w:rFonts w:hint="eastAsia" w:ascii="Times New Roman" w:hAnsi="Times New Roman"/>
          <w:color w:val="auto"/>
          <w:lang w:val="en-US" w:eastAsia="zh-CN"/>
        </w:rPr>
      </w:pPr>
      <w:r>
        <w:rPr>
          <w:rFonts w:hint="eastAsia" w:ascii="Times New Roman" w:hAnsi="Times New Roman"/>
          <w:color w:val="auto"/>
          <w:lang w:val="en-US" w:eastAsia="zh-CN"/>
        </w:rPr>
        <w:t>中小湾子村位于矿区西部，距矿区短距离为193m；下小湾子村位于矿区西北部，距矿区短距离为129m。设计对两个村子预留了300m的安全距离作为禁采区，风险可控。</w:t>
      </w:r>
    </w:p>
    <w:p w14:paraId="754225FA">
      <w:pPr>
        <w:bidi w:val="0"/>
        <w:rPr>
          <w:rFonts w:hint="default" w:ascii="Times New Roman" w:hAnsi="Times New Roman"/>
          <w:color w:val="auto"/>
          <w:lang w:val="en-US" w:eastAsia="zh-CN"/>
        </w:rPr>
      </w:pPr>
      <w:r>
        <w:rPr>
          <w:rFonts w:hint="default" w:ascii="Times New Roman" w:hAnsi="Times New Roman"/>
          <w:color w:val="auto"/>
          <w:lang w:val="en-US" w:eastAsia="zh-CN"/>
        </w:rPr>
        <w:t>矿区南东部有500kV永甘甲线、500kV永甘乙线两档高压输电设施经过，其中，500kV永甘甲线（电力线路、杆塔）与昭阳区文辉矿业有限公司洒渔大桥石灰岩矿距离最近距离为207m；500kV永甘乙线（电力线路、杆塔）与昭阳区文辉矿业有限公司洒渔大桥石灰岩矿距离最近距离为120m，昭通市昭阳区文辉矿业有限公司已与电力产权部门签订相关电力设施的安全保护协议，风险可控。</w:t>
      </w:r>
    </w:p>
    <w:p w14:paraId="3FECAFD9">
      <w:pPr>
        <w:bidi w:val="0"/>
        <w:rPr>
          <w:rFonts w:hint="default" w:ascii="Times New Roman" w:hAnsi="Times New Roman"/>
          <w:color w:val="auto"/>
          <w:lang w:val="en-US" w:eastAsia="zh-CN"/>
        </w:rPr>
      </w:pPr>
      <w:r>
        <w:rPr>
          <w:rFonts w:hint="default" w:ascii="Times New Roman" w:hAnsi="Times New Roman"/>
          <w:color w:val="auto"/>
          <w:lang w:val="en-US" w:eastAsia="zh-CN"/>
        </w:rPr>
        <w:t>矿山破碎站位于矿区西部标高1922m处，距离设计露天境界150m</w:t>
      </w:r>
      <w:r>
        <w:rPr>
          <w:rFonts w:hint="eastAsia" w:ascii="Times New Roman" w:hAnsi="Times New Roman"/>
          <w:color w:val="auto"/>
          <w:lang w:val="en-US" w:eastAsia="zh-CN"/>
        </w:rPr>
        <w:t>，矿山工业场地、办公生活区位于破碎站旁，在300m爆破警戒范围，在爆破前组织所有无关人员撤出300m外安全地点，并在路口设置岗警戒，风险可控。</w:t>
      </w:r>
    </w:p>
    <w:p w14:paraId="25181C77">
      <w:pPr>
        <w:bidi w:val="0"/>
        <w:rPr>
          <w:rFonts w:hint="default" w:ascii="Times New Roman" w:hAnsi="Times New Roman"/>
          <w:color w:val="auto"/>
          <w:lang w:val="en-US" w:eastAsia="zh-CN"/>
        </w:rPr>
      </w:pPr>
      <w:r>
        <w:rPr>
          <w:rFonts w:hint="default" w:ascii="Times New Roman" w:hAnsi="Times New Roman"/>
          <w:color w:val="auto"/>
          <w:lang w:val="en-US" w:eastAsia="zh-CN"/>
        </w:rPr>
        <w:t>矿山周边有大量耕地，矿山生产爆破时位于爆破警戒范围内的所有人员必须撤离至爆破警戒线以外。企业爆破采取定时爆破，爆破前提前告知周边种植户，并配专人进行负责撤离爆破警戒范围内人员后方可爆破</w:t>
      </w:r>
      <w:r>
        <w:rPr>
          <w:rFonts w:hint="eastAsia" w:ascii="Times New Roman" w:hAnsi="Times New Roman"/>
          <w:color w:val="auto"/>
          <w:lang w:val="en-US" w:eastAsia="zh-CN"/>
        </w:rPr>
        <w:t>，风险可控。</w:t>
      </w:r>
    </w:p>
    <w:p w14:paraId="70582E56">
      <w:pPr>
        <w:pStyle w:val="5"/>
        <w:bidi w:val="0"/>
        <w:rPr>
          <w:rFonts w:ascii="Times New Roman" w:hAnsi="Times New Roman"/>
          <w:color w:val="auto"/>
        </w:rPr>
      </w:pPr>
      <w:r>
        <w:rPr>
          <w:rFonts w:ascii="Times New Roman" w:hAnsi="Times New Roman"/>
          <w:color w:val="auto"/>
        </w:rPr>
        <w:t>3.3.3.</w:t>
      </w:r>
      <w:r>
        <w:rPr>
          <w:rFonts w:hint="eastAsia" w:ascii="Times New Roman" w:hAnsi="Times New Roman"/>
          <w:color w:val="auto"/>
        </w:rPr>
        <w:t>5</w:t>
      </w:r>
      <w:r>
        <w:rPr>
          <w:rFonts w:hint="eastAsia" w:ascii="Times New Roman" w:hAnsi="Times New Roman"/>
          <w:color w:val="auto"/>
          <w:lang w:val="en-US" w:eastAsia="zh-CN"/>
        </w:rPr>
        <w:t xml:space="preserve"> </w:t>
      </w:r>
      <w:r>
        <w:rPr>
          <w:rFonts w:ascii="Times New Roman" w:hAnsi="Times New Roman"/>
          <w:color w:val="auto"/>
        </w:rPr>
        <w:t>单元小结</w:t>
      </w:r>
    </w:p>
    <w:p w14:paraId="368B9DC9">
      <w:pPr>
        <w:bidi w:val="0"/>
        <w:rPr>
          <w:rFonts w:hint="default" w:ascii="Times New Roman" w:hAnsi="Times New Roman"/>
          <w:color w:val="auto"/>
        </w:rPr>
      </w:pPr>
      <w:r>
        <w:rPr>
          <w:rFonts w:hint="eastAsia" w:ascii="Times New Roman" w:hAnsi="Times New Roman"/>
          <w:color w:val="auto"/>
          <w:lang w:eastAsia="zh-CN"/>
        </w:rPr>
        <w:t>初步设计（代可研）</w:t>
      </w:r>
      <w:r>
        <w:rPr>
          <w:rFonts w:hint="default" w:ascii="Times New Roman" w:hAnsi="Times New Roman"/>
          <w:color w:val="auto"/>
        </w:rPr>
        <w:t>报告中设计方案对穿孔爆破工艺等进行了说明，明确了穿孔爆破参数、爆破工艺、爆破安全措施等内容，基本符合《金属非金属矿山安全规程》</w:t>
      </w:r>
      <w:r>
        <w:rPr>
          <w:rFonts w:hint="eastAsia" w:ascii="Times New Roman" w:hAnsi="Times New Roman"/>
          <w:color w:val="auto"/>
          <w:lang w:eastAsia="zh-CN"/>
        </w:rPr>
        <w:t>（</w:t>
      </w:r>
      <w:r>
        <w:rPr>
          <w:rFonts w:hint="default" w:ascii="Times New Roman" w:hAnsi="Times New Roman"/>
          <w:color w:val="auto"/>
        </w:rPr>
        <w:t>GB16423-2020</w:t>
      </w:r>
      <w:r>
        <w:rPr>
          <w:rFonts w:hint="eastAsia" w:ascii="Times New Roman" w:hAnsi="Times New Roman"/>
          <w:color w:val="auto"/>
          <w:lang w:eastAsia="zh-CN"/>
        </w:rPr>
        <w:t>）</w:t>
      </w:r>
      <w:r>
        <w:rPr>
          <w:rFonts w:hint="default" w:ascii="Times New Roman" w:hAnsi="Times New Roman"/>
          <w:color w:val="auto"/>
        </w:rPr>
        <w:t>及《爆破安全规程》</w:t>
      </w:r>
      <w:r>
        <w:rPr>
          <w:rFonts w:hint="default" w:ascii="Times New Roman" w:hAnsi="Times New Roman"/>
          <w:color w:val="auto"/>
          <w:lang w:val="sq-AL"/>
        </w:rPr>
        <w:t>（GB6722-2014/XG1-2016）</w:t>
      </w:r>
      <w:r>
        <w:rPr>
          <w:rFonts w:hint="default" w:ascii="Times New Roman" w:hAnsi="Times New Roman"/>
          <w:color w:val="auto"/>
        </w:rPr>
        <w:t>的相关要求。</w:t>
      </w:r>
    </w:p>
    <w:p w14:paraId="395D8E46">
      <w:pPr>
        <w:bidi w:val="0"/>
        <w:rPr>
          <w:rFonts w:hint="default" w:ascii="Times New Roman" w:hAnsi="Times New Roman"/>
          <w:color w:val="auto"/>
        </w:rPr>
      </w:pPr>
      <w:r>
        <w:rPr>
          <w:rFonts w:hint="default" w:ascii="Times New Roman" w:hAnsi="Times New Roman"/>
          <w:color w:val="auto"/>
        </w:rPr>
        <w:t>本单元应注意以下问题：</w:t>
      </w:r>
    </w:p>
    <w:p w14:paraId="56FC909D">
      <w:pPr>
        <w:bidi w:val="0"/>
        <w:rPr>
          <w:rFonts w:ascii="Times New Roman" w:hAnsi="Times New Roman"/>
          <w:color w:val="auto"/>
        </w:rPr>
      </w:pPr>
      <w:r>
        <w:rPr>
          <w:rFonts w:ascii="Times New Roman" w:hAnsi="Times New Roman"/>
          <w:color w:val="auto"/>
        </w:rPr>
        <w:t>（1）爆破作业后应先清除边坡上的孤石、浮石，待清除完成后，方可进入采场进行铲装作业。</w:t>
      </w:r>
    </w:p>
    <w:p w14:paraId="1C5491C5">
      <w:pPr>
        <w:bidi w:val="0"/>
        <w:rPr>
          <w:rFonts w:ascii="Times New Roman" w:hAnsi="Times New Roman"/>
          <w:color w:val="auto"/>
        </w:rPr>
      </w:pPr>
      <w:r>
        <w:rPr>
          <w:rFonts w:ascii="Times New Roman" w:hAnsi="Times New Roman"/>
          <w:color w:val="auto"/>
        </w:rPr>
        <w:t>（2）矿山在爆破过程中应严格控制爆破指向，减少装药量，采取覆盖措施等，避免造成爆破伤害事故，并严格按照</w:t>
      </w:r>
      <w:r>
        <w:rPr>
          <w:rFonts w:hint="eastAsia" w:ascii="Times New Roman" w:hAnsi="Times New Roman"/>
          <w:color w:val="auto"/>
          <w:lang w:eastAsia="zh-CN"/>
        </w:rPr>
        <w:t>初步设计（代可研）</w:t>
      </w:r>
      <w:r>
        <w:rPr>
          <w:rFonts w:ascii="Times New Roman" w:hAnsi="Times New Roman"/>
          <w:color w:val="auto"/>
        </w:rPr>
        <w:t>要求圈定300m爆破警戒范围，所有无关人员撤出300m外安全地点，并在路口设置岗警戒。</w:t>
      </w:r>
    </w:p>
    <w:p w14:paraId="6688D989">
      <w:pPr>
        <w:bidi w:val="0"/>
        <w:rPr>
          <w:rFonts w:hint="default" w:ascii="Times New Roman" w:hAnsi="Times New Roman"/>
          <w:color w:val="auto"/>
          <w:lang w:val="en-US" w:eastAsia="zh-CN"/>
        </w:rPr>
      </w:pPr>
      <w:r>
        <w:rPr>
          <w:rFonts w:hint="eastAsia" w:ascii="Times New Roman" w:hAnsi="Times New Roman"/>
          <w:color w:val="auto"/>
          <w:lang w:val="en-US" w:eastAsia="zh-CN"/>
        </w:rPr>
        <w:t>（3）东北侧村组道路距离设计露天境界最近为82m，西侧村组道路距离设计露天境界最近为78m，农耕道路局部在矿区范围内穿过，矿区内存在未征地，在爆破前，应安排人员在爆破范围300m的道路两端设置警戒岗，避免无关人员进入办公室、未征地等。</w:t>
      </w:r>
    </w:p>
    <w:p w14:paraId="4CBC8870">
      <w:pPr>
        <w:pStyle w:val="4"/>
        <w:bidi w:val="0"/>
        <w:rPr>
          <w:rFonts w:ascii="Times New Roman" w:hAnsi="Times New Roman"/>
          <w:color w:val="auto"/>
          <w:sz w:val="28"/>
          <w:szCs w:val="28"/>
          <w:lang w:val="en-GB"/>
        </w:rPr>
      </w:pPr>
      <w:bookmarkStart w:id="131" w:name="_Toc11383"/>
      <w:bookmarkStart w:id="132" w:name="_Toc24258"/>
      <w:bookmarkStart w:id="133" w:name="_Toc24679"/>
      <w:bookmarkStart w:id="134" w:name="_Toc20884"/>
      <w:r>
        <w:rPr>
          <w:rFonts w:ascii="Times New Roman" w:hAnsi="Times New Roman"/>
          <w:color w:val="auto"/>
          <w:sz w:val="28"/>
          <w:szCs w:val="28"/>
          <w:lang w:val="en-GB"/>
        </w:rPr>
        <w:t>3.3.</w:t>
      </w:r>
      <w:r>
        <w:rPr>
          <w:rFonts w:ascii="Times New Roman" w:hAnsi="Times New Roman"/>
          <w:color w:val="auto"/>
          <w:sz w:val="28"/>
          <w:szCs w:val="28"/>
        </w:rPr>
        <w:t>4</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铲装运输子单元</w:t>
      </w:r>
      <w:bookmarkEnd w:id="131"/>
      <w:bookmarkEnd w:id="132"/>
      <w:bookmarkEnd w:id="133"/>
      <w:bookmarkEnd w:id="134"/>
    </w:p>
    <w:p w14:paraId="21D5D38E">
      <w:pPr>
        <w:pStyle w:val="5"/>
        <w:bidi w:val="0"/>
        <w:rPr>
          <w:rFonts w:ascii="Times New Roman" w:hAnsi="Times New Roman"/>
          <w:color w:val="auto"/>
        </w:rPr>
      </w:pPr>
      <w:bookmarkStart w:id="135" w:name="_Toc242849792"/>
      <w:bookmarkStart w:id="136" w:name="_Toc226963180"/>
      <w:bookmarkStart w:id="137" w:name="_Toc115141906"/>
      <w:r>
        <w:rPr>
          <w:rFonts w:ascii="Times New Roman" w:hAnsi="Times New Roman"/>
          <w:color w:val="auto"/>
        </w:rPr>
        <w:t>3.3.4.1</w:t>
      </w:r>
      <w:r>
        <w:rPr>
          <w:rFonts w:hint="eastAsia" w:ascii="Times New Roman" w:hAnsi="Times New Roman"/>
          <w:color w:val="auto"/>
          <w:lang w:val="en-US" w:eastAsia="zh-CN"/>
        </w:rPr>
        <w:t xml:space="preserve"> </w:t>
      </w:r>
      <w:r>
        <w:rPr>
          <w:rFonts w:ascii="Times New Roman" w:hAnsi="Times New Roman"/>
          <w:color w:val="auto"/>
        </w:rPr>
        <w:t>危险、有害因素分析</w:t>
      </w:r>
      <w:bookmarkEnd w:id="135"/>
      <w:bookmarkEnd w:id="136"/>
      <w:bookmarkEnd w:id="137"/>
    </w:p>
    <w:p w14:paraId="45E2FAF8">
      <w:pPr>
        <w:bidi w:val="0"/>
        <w:rPr>
          <w:rFonts w:ascii="Times New Roman" w:hAnsi="Times New Roman"/>
          <w:color w:val="auto"/>
        </w:rPr>
      </w:pPr>
      <w:r>
        <w:rPr>
          <w:rFonts w:ascii="Times New Roman" w:hAnsi="Times New Roman"/>
          <w:color w:val="auto"/>
        </w:rPr>
        <w:t>本单元存在的主要危险、有害因素有：车辆伤害、机械伤害、物体打击、其他伤害。</w:t>
      </w:r>
    </w:p>
    <w:p w14:paraId="68E1A76E">
      <w:pPr>
        <w:pStyle w:val="5"/>
        <w:bidi w:val="0"/>
        <w:rPr>
          <w:rFonts w:hint="eastAsia" w:ascii="Times New Roman" w:hAnsi="Times New Roman" w:eastAsia="宋体"/>
          <w:color w:val="auto"/>
          <w:lang w:eastAsia="zh-CN"/>
        </w:rPr>
      </w:pPr>
      <w:bookmarkStart w:id="138" w:name="_Toc242849793"/>
      <w:bookmarkStart w:id="139" w:name="_Toc226963181"/>
      <w:r>
        <w:rPr>
          <w:rFonts w:ascii="Times New Roman" w:hAnsi="Times New Roman"/>
          <w:color w:val="auto"/>
        </w:rPr>
        <w:t>3.3.4.2</w:t>
      </w:r>
      <w:r>
        <w:rPr>
          <w:rFonts w:hint="eastAsia" w:ascii="Times New Roman" w:hAnsi="Times New Roman"/>
          <w:color w:val="auto"/>
          <w:lang w:val="en-US" w:eastAsia="zh-CN"/>
        </w:rPr>
        <w:t xml:space="preserve"> </w:t>
      </w:r>
      <w:r>
        <w:rPr>
          <w:rFonts w:ascii="Times New Roman" w:hAnsi="Times New Roman"/>
          <w:color w:val="auto"/>
        </w:rPr>
        <w:t>预先危险性分析</w:t>
      </w:r>
      <w:r>
        <w:rPr>
          <w:rFonts w:hint="eastAsia" w:ascii="Times New Roman" w:hAnsi="Times New Roman"/>
          <w:color w:val="auto"/>
          <w:lang w:eastAsia="zh-CN"/>
        </w:rPr>
        <w:t>（</w:t>
      </w:r>
      <w:r>
        <w:rPr>
          <w:rFonts w:ascii="Times New Roman" w:hAnsi="Times New Roman"/>
          <w:color w:val="auto"/>
        </w:rPr>
        <w:t>PHA</w:t>
      </w:r>
      <w:bookmarkEnd w:id="138"/>
      <w:bookmarkEnd w:id="139"/>
      <w:r>
        <w:rPr>
          <w:rFonts w:hint="eastAsia" w:ascii="Times New Roman" w:hAnsi="Times New Roman"/>
          <w:color w:val="auto"/>
          <w:lang w:eastAsia="zh-CN"/>
        </w:rPr>
        <w:t>）</w:t>
      </w:r>
    </w:p>
    <w:p w14:paraId="69D34099">
      <w:pPr>
        <w:pStyle w:val="16"/>
        <w:bidi w:val="0"/>
        <w:rPr>
          <w:rFonts w:ascii="Times New Roman" w:hAnsi="Times New Roman"/>
          <w:color w:val="auto"/>
        </w:rPr>
      </w:pPr>
      <w:r>
        <w:rPr>
          <w:rFonts w:ascii="Times New Roman" w:hAnsi="Times New Roman"/>
          <w:color w:val="auto"/>
        </w:rPr>
        <w:t>表3.3-1</w:t>
      </w:r>
      <w:r>
        <w:rPr>
          <w:rFonts w:hint="eastAsia" w:ascii="Times New Roman" w:hAnsi="Times New Roman"/>
          <w:color w:val="auto"/>
          <w:lang w:val="en-US" w:eastAsia="zh-CN"/>
        </w:rPr>
        <w:t>4</w:t>
      </w:r>
      <w:r>
        <w:rPr>
          <w:rFonts w:ascii="Times New Roman" w:hAnsi="Times New Roman"/>
          <w:color w:val="auto"/>
        </w:rPr>
        <w:t xml:space="preserve">  铲装运输单元预先危险性分析表</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3052"/>
        <w:gridCol w:w="797"/>
        <w:gridCol w:w="799"/>
        <w:gridCol w:w="799"/>
        <w:gridCol w:w="3200"/>
      </w:tblGrid>
      <w:tr w14:paraId="103F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blHeader/>
          <w:jc w:val="center"/>
        </w:trPr>
        <w:tc>
          <w:tcPr>
            <w:tcW w:w="399" w:type="pct"/>
            <w:noWrap w:val="0"/>
            <w:vAlign w:val="center"/>
          </w:tcPr>
          <w:p w14:paraId="732A944A">
            <w:pPr>
              <w:pStyle w:val="17"/>
              <w:bidi w:val="0"/>
              <w:rPr>
                <w:rFonts w:ascii="Times New Roman" w:hAnsi="Times New Roman"/>
                <w:b/>
                <w:bCs/>
                <w:color w:val="auto"/>
              </w:rPr>
            </w:pPr>
            <w:r>
              <w:rPr>
                <w:rFonts w:ascii="Times New Roman" w:hAnsi="Times New Roman"/>
                <w:b/>
                <w:bCs/>
                <w:color w:val="auto"/>
              </w:rPr>
              <w:t>危害因素</w:t>
            </w:r>
          </w:p>
        </w:tc>
        <w:tc>
          <w:tcPr>
            <w:tcW w:w="1623" w:type="pct"/>
            <w:noWrap w:val="0"/>
            <w:vAlign w:val="center"/>
          </w:tcPr>
          <w:p w14:paraId="07FF29A5">
            <w:pPr>
              <w:pStyle w:val="17"/>
              <w:bidi w:val="0"/>
              <w:rPr>
                <w:rFonts w:ascii="Times New Roman" w:hAnsi="Times New Roman"/>
                <w:b/>
                <w:bCs/>
                <w:color w:val="auto"/>
              </w:rPr>
            </w:pPr>
            <w:r>
              <w:rPr>
                <w:rFonts w:ascii="Times New Roman" w:hAnsi="Times New Roman"/>
                <w:b/>
                <w:bCs/>
                <w:color w:val="auto"/>
              </w:rPr>
              <w:t>诱发事故原因</w:t>
            </w:r>
          </w:p>
        </w:tc>
        <w:tc>
          <w:tcPr>
            <w:tcW w:w="424" w:type="pct"/>
            <w:noWrap w:val="0"/>
            <w:vAlign w:val="center"/>
          </w:tcPr>
          <w:p w14:paraId="072EF4F7">
            <w:pPr>
              <w:pStyle w:val="17"/>
              <w:bidi w:val="0"/>
              <w:rPr>
                <w:rFonts w:ascii="Times New Roman" w:hAnsi="Times New Roman"/>
                <w:b/>
                <w:bCs/>
                <w:color w:val="auto"/>
              </w:rPr>
            </w:pPr>
            <w:r>
              <w:rPr>
                <w:rFonts w:ascii="Times New Roman" w:hAnsi="Times New Roman"/>
                <w:b/>
                <w:bCs/>
                <w:color w:val="auto"/>
              </w:rPr>
              <w:t>事故模式</w:t>
            </w:r>
          </w:p>
        </w:tc>
        <w:tc>
          <w:tcPr>
            <w:tcW w:w="425" w:type="pct"/>
            <w:noWrap w:val="0"/>
            <w:vAlign w:val="center"/>
          </w:tcPr>
          <w:p w14:paraId="2F6BB51C">
            <w:pPr>
              <w:pStyle w:val="17"/>
              <w:bidi w:val="0"/>
              <w:rPr>
                <w:rFonts w:ascii="Times New Roman" w:hAnsi="Times New Roman"/>
                <w:b/>
                <w:bCs/>
                <w:color w:val="auto"/>
              </w:rPr>
            </w:pPr>
            <w:r>
              <w:rPr>
                <w:rFonts w:ascii="Times New Roman" w:hAnsi="Times New Roman"/>
                <w:b/>
                <w:bCs/>
                <w:color w:val="auto"/>
              </w:rPr>
              <w:t>事故后果</w:t>
            </w:r>
          </w:p>
        </w:tc>
        <w:tc>
          <w:tcPr>
            <w:tcW w:w="425" w:type="pct"/>
            <w:noWrap w:val="0"/>
            <w:vAlign w:val="center"/>
          </w:tcPr>
          <w:p w14:paraId="1FCB5252">
            <w:pPr>
              <w:pStyle w:val="17"/>
              <w:bidi w:val="0"/>
              <w:rPr>
                <w:rFonts w:ascii="Times New Roman" w:hAnsi="Times New Roman"/>
                <w:b/>
                <w:bCs/>
                <w:color w:val="auto"/>
              </w:rPr>
            </w:pPr>
            <w:r>
              <w:rPr>
                <w:rFonts w:ascii="Times New Roman" w:hAnsi="Times New Roman"/>
                <w:b/>
                <w:bCs/>
                <w:color w:val="auto"/>
              </w:rPr>
              <w:t>危险等级</w:t>
            </w:r>
          </w:p>
        </w:tc>
        <w:tc>
          <w:tcPr>
            <w:tcW w:w="1702" w:type="pct"/>
            <w:noWrap w:val="0"/>
            <w:vAlign w:val="center"/>
          </w:tcPr>
          <w:p w14:paraId="126276F2">
            <w:pPr>
              <w:pStyle w:val="17"/>
              <w:bidi w:val="0"/>
              <w:rPr>
                <w:rFonts w:ascii="Times New Roman" w:hAnsi="Times New Roman"/>
                <w:b/>
                <w:bCs/>
                <w:color w:val="auto"/>
              </w:rPr>
            </w:pPr>
            <w:r>
              <w:rPr>
                <w:rFonts w:ascii="Times New Roman" w:hAnsi="Times New Roman"/>
                <w:b/>
                <w:bCs/>
                <w:color w:val="auto"/>
              </w:rPr>
              <w:t>对策措施</w:t>
            </w:r>
          </w:p>
        </w:tc>
      </w:tr>
      <w:tr w14:paraId="04D3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99" w:type="pct"/>
            <w:noWrap w:val="0"/>
            <w:vAlign w:val="center"/>
          </w:tcPr>
          <w:p w14:paraId="561B5974">
            <w:pPr>
              <w:pStyle w:val="17"/>
              <w:bidi w:val="0"/>
              <w:rPr>
                <w:rFonts w:ascii="Times New Roman" w:hAnsi="Times New Roman"/>
                <w:color w:val="auto"/>
              </w:rPr>
            </w:pPr>
            <w:r>
              <w:rPr>
                <w:rFonts w:ascii="Times New Roman" w:hAnsi="Times New Roman"/>
                <w:color w:val="auto"/>
              </w:rPr>
              <w:t>物体</w:t>
            </w:r>
          </w:p>
          <w:p w14:paraId="076D60ED">
            <w:pPr>
              <w:pStyle w:val="17"/>
              <w:bidi w:val="0"/>
              <w:rPr>
                <w:rFonts w:ascii="Times New Roman" w:hAnsi="Times New Roman"/>
                <w:color w:val="auto"/>
              </w:rPr>
            </w:pPr>
            <w:r>
              <w:rPr>
                <w:rFonts w:ascii="Times New Roman" w:hAnsi="Times New Roman"/>
                <w:color w:val="auto"/>
              </w:rPr>
              <w:t>打击</w:t>
            </w:r>
          </w:p>
        </w:tc>
        <w:tc>
          <w:tcPr>
            <w:tcW w:w="1623" w:type="pct"/>
            <w:noWrap w:val="0"/>
            <w:vAlign w:val="center"/>
          </w:tcPr>
          <w:p w14:paraId="5B7D06FB">
            <w:pPr>
              <w:pStyle w:val="17"/>
              <w:bidi w:val="0"/>
              <w:jc w:val="both"/>
              <w:rPr>
                <w:rFonts w:ascii="Times New Roman" w:hAnsi="Times New Roman"/>
                <w:color w:val="auto"/>
              </w:rPr>
            </w:pPr>
            <w:r>
              <w:rPr>
                <w:rFonts w:ascii="Times New Roman" w:hAnsi="Times New Roman"/>
                <w:color w:val="auto"/>
              </w:rPr>
              <w:t>铲装作业时铲斗下方有人，矿岩掉落；边坡上浮石未清理干净；未佩戴劳保用品或佩戴劳保用品不规范；滚石伤人。</w:t>
            </w:r>
          </w:p>
        </w:tc>
        <w:tc>
          <w:tcPr>
            <w:tcW w:w="424" w:type="pct"/>
            <w:noWrap w:val="0"/>
            <w:vAlign w:val="center"/>
          </w:tcPr>
          <w:p w14:paraId="354C98A9">
            <w:pPr>
              <w:pStyle w:val="17"/>
              <w:bidi w:val="0"/>
              <w:rPr>
                <w:rFonts w:ascii="Times New Roman" w:hAnsi="Times New Roman"/>
                <w:color w:val="auto"/>
              </w:rPr>
            </w:pPr>
            <w:r>
              <w:rPr>
                <w:rFonts w:ascii="Times New Roman" w:hAnsi="Times New Roman"/>
                <w:color w:val="auto"/>
              </w:rPr>
              <w:t>物体掉落</w:t>
            </w:r>
          </w:p>
        </w:tc>
        <w:tc>
          <w:tcPr>
            <w:tcW w:w="425" w:type="pct"/>
            <w:noWrap w:val="0"/>
            <w:vAlign w:val="center"/>
          </w:tcPr>
          <w:p w14:paraId="2829C670">
            <w:pPr>
              <w:pStyle w:val="17"/>
              <w:bidi w:val="0"/>
              <w:rPr>
                <w:rFonts w:ascii="Times New Roman" w:hAnsi="Times New Roman"/>
                <w:color w:val="auto"/>
              </w:rPr>
            </w:pPr>
            <w:r>
              <w:rPr>
                <w:rFonts w:ascii="Times New Roman" w:hAnsi="Times New Roman"/>
                <w:color w:val="auto"/>
              </w:rPr>
              <w:t>人员</w:t>
            </w:r>
          </w:p>
          <w:p w14:paraId="0CFEEA4C">
            <w:pPr>
              <w:pStyle w:val="17"/>
              <w:bidi w:val="0"/>
              <w:rPr>
                <w:rFonts w:ascii="Times New Roman" w:hAnsi="Times New Roman"/>
                <w:color w:val="auto"/>
              </w:rPr>
            </w:pPr>
            <w:r>
              <w:rPr>
                <w:rFonts w:ascii="Times New Roman" w:hAnsi="Times New Roman"/>
                <w:color w:val="auto"/>
              </w:rPr>
              <w:t>伤亡</w:t>
            </w:r>
          </w:p>
          <w:p w14:paraId="7C0CE7F5">
            <w:pPr>
              <w:pStyle w:val="17"/>
              <w:bidi w:val="0"/>
              <w:rPr>
                <w:rFonts w:ascii="Times New Roman" w:hAnsi="Times New Roman"/>
                <w:color w:val="auto"/>
              </w:rPr>
            </w:pPr>
            <w:r>
              <w:rPr>
                <w:rFonts w:ascii="Times New Roman" w:hAnsi="Times New Roman"/>
                <w:color w:val="auto"/>
              </w:rPr>
              <w:t>设备</w:t>
            </w:r>
          </w:p>
          <w:p w14:paraId="70B2BF9F">
            <w:pPr>
              <w:pStyle w:val="17"/>
              <w:bidi w:val="0"/>
              <w:rPr>
                <w:rFonts w:ascii="Times New Roman" w:hAnsi="Times New Roman"/>
                <w:color w:val="auto"/>
              </w:rPr>
            </w:pPr>
            <w:r>
              <w:rPr>
                <w:rFonts w:ascii="Times New Roman" w:hAnsi="Times New Roman"/>
                <w:color w:val="auto"/>
              </w:rPr>
              <w:t>损坏</w:t>
            </w:r>
          </w:p>
        </w:tc>
        <w:tc>
          <w:tcPr>
            <w:tcW w:w="425" w:type="pct"/>
            <w:noWrap w:val="0"/>
            <w:vAlign w:val="center"/>
          </w:tcPr>
          <w:p w14:paraId="21C3AA2A">
            <w:pPr>
              <w:pStyle w:val="17"/>
              <w:bidi w:val="0"/>
              <w:rPr>
                <w:rFonts w:ascii="Times New Roman" w:hAnsi="Times New Roman"/>
                <w:color w:val="auto"/>
              </w:rPr>
            </w:pPr>
            <w:r>
              <w:rPr>
                <w:rFonts w:ascii="Times New Roman" w:hAnsi="Times New Roman"/>
                <w:color w:val="auto"/>
              </w:rPr>
              <w:t>II</w:t>
            </w:r>
          </w:p>
        </w:tc>
        <w:tc>
          <w:tcPr>
            <w:tcW w:w="1702" w:type="pct"/>
            <w:noWrap w:val="0"/>
            <w:vAlign w:val="center"/>
          </w:tcPr>
          <w:p w14:paraId="5F87C8E0">
            <w:pPr>
              <w:pStyle w:val="17"/>
              <w:bidi w:val="0"/>
              <w:jc w:val="both"/>
              <w:rPr>
                <w:rFonts w:ascii="Times New Roman" w:hAnsi="Times New Roman"/>
                <w:color w:val="auto"/>
              </w:rPr>
            </w:pPr>
            <w:r>
              <w:rPr>
                <w:rFonts w:ascii="Times New Roman" w:hAnsi="Times New Roman"/>
                <w:color w:val="auto"/>
              </w:rPr>
              <w:t>1.铲装作业时铲斗下方禁止有人，严格控制满斗率；</w:t>
            </w:r>
          </w:p>
          <w:p w14:paraId="1A5C3915">
            <w:pPr>
              <w:pStyle w:val="17"/>
              <w:bidi w:val="0"/>
              <w:jc w:val="both"/>
              <w:rPr>
                <w:rFonts w:ascii="Times New Roman" w:hAnsi="Times New Roman"/>
                <w:color w:val="auto"/>
              </w:rPr>
            </w:pPr>
            <w:r>
              <w:rPr>
                <w:rFonts w:ascii="Times New Roman" w:hAnsi="Times New Roman"/>
                <w:color w:val="auto"/>
              </w:rPr>
              <w:t>2.禁止在边坡下坐卧、停留；</w:t>
            </w:r>
          </w:p>
          <w:p w14:paraId="788366B3">
            <w:pPr>
              <w:pStyle w:val="17"/>
              <w:bidi w:val="0"/>
              <w:jc w:val="both"/>
              <w:rPr>
                <w:rFonts w:ascii="Times New Roman" w:hAnsi="Times New Roman"/>
                <w:color w:val="auto"/>
              </w:rPr>
            </w:pPr>
            <w:r>
              <w:rPr>
                <w:rFonts w:ascii="Times New Roman" w:hAnsi="Times New Roman"/>
                <w:color w:val="auto"/>
              </w:rPr>
              <w:t>3.加强安全教育，按照规程操作；</w:t>
            </w:r>
          </w:p>
          <w:p w14:paraId="591DEB40">
            <w:pPr>
              <w:pStyle w:val="17"/>
              <w:bidi w:val="0"/>
              <w:jc w:val="both"/>
              <w:rPr>
                <w:rFonts w:ascii="Times New Roman" w:hAnsi="Times New Roman"/>
                <w:color w:val="auto"/>
              </w:rPr>
            </w:pPr>
            <w:r>
              <w:rPr>
                <w:rFonts w:ascii="Times New Roman" w:hAnsi="Times New Roman"/>
                <w:color w:val="auto"/>
              </w:rPr>
              <w:t>4.坚持工作前对工作面的安全处理，加强个人防护措施，注意滚石伤人。</w:t>
            </w:r>
          </w:p>
        </w:tc>
      </w:tr>
      <w:tr w14:paraId="7239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99" w:type="pct"/>
            <w:noWrap w:val="0"/>
            <w:vAlign w:val="center"/>
          </w:tcPr>
          <w:p w14:paraId="36CC03C7">
            <w:pPr>
              <w:pStyle w:val="17"/>
              <w:bidi w:val="0"/>
              <w:rPr>
                <w:rFonts w:ascii="Times New Roman" w:hAnsi="Times New Roman"/>
                <w:color w:val="auto"/>
              </w:rPr>
            </w:pPr>
            <w:r>
              <w:rPr>
                <w:rFonts w:ascii="Times New Roman" w:hAnsi="Times New Roman"/>
                <w:color w:val="auto"/>
              </w:rPr>
              <w:t>车辆</w:t>
            </w:r>
          </w:p>
          <w:p w14:paraId="1F333F7E">
            <w:pPr>
              <w:pStyle w:val="17"/>
              <w:bidi w:val="0"/>
              <w:rPr>
                <w:rFonts w:ascii="Times New Roman" w:hAnsi="Times New Roman"/>
                <w:color w:val="auto"/>
              </w:rPr>
            </w:pPr>
            <w:r>
              <w:rPr>
                <w:rFonts w:ascii="Times New Roman" w:hAnsi="Times New Roman"/>
                <w:color w:val="auto"/>
              </w:rPr>
              <w:t>伤害</w:t>
            </w:r>
          </w:p>
        </w:tc>
        <w:tc>
          <w:tcPr>
            <w:tcW w:w="1623" w:type="pct"/>
            <w:noWrap w:val="0"/>
            <w:vAlign w:val="center"/>
          </w:tcPr>
          <w:p w14:paraId="677B728B">
            <w:pPr>
              <w:pStyle w:val="17"/>
              <w:bidi w:val="0"/>
              <w:jc w:val="both"/>
              <w:rPr>
                <w:rFonts w:ascii="Times New Roman" w:hAnsi="Times New Roman"/>
                <w:color w:val="auto"/>
              </w:rPr>
            </w:pPr>
            <w:r>
              <w:rPr>
                <w:rFonts w:ascii="Times New Roman" w:hAnsi="Times New Roman"/>
                <w:color w:val="auto"/>
              </w:rPr>
              <w:t>车辆带病运行，设备故障；道路不符合设计要求，如双车道的路面宽度不能保证会车安全，弯道处会车视距不能满足要求，且未设分车道，错车时，易发生撞车事故；在高路堤或山坡填方的弯道处，坡度较大的填方地段，道路外侧未设置护栏、挡车土堆等；主要运输道路及联络道的长大坡道上，未设置汽车避难道；雨季路面车辆未采取有效的防滑措施；倒车时车速过快；安全设施失灵；信号不畅、失灵；司机精力不集中；违章驾驶。</w:t>
            </w:r>
          </w:p>
        </w:tc>
        <w:tc>
          <w:tcPr>
            <w:tcW w:w="424" w:type="pct"/>
            <w:noWrap w:val="0"/>
            <w:vAlign w:val="center"/>
          </w:tcPr>
          <w:p w14:paraId="67BC0C91">
            <w:pPr>
              <w:pStyle w:val="17"/>
              <w:bidi w:val="0"/>
              <w:rPr>
                <w:rFonts w:ascii="Times New Roman" w:hAnsi="Times New Roman"/>
                <w:color w:val="auto"/>
              </w:rPr>
            </w:pPr>
            <w:r>
              <w:rPr>
                <w:rFonts w:ascii="Times New Roman" w:hAnsi="Times New Roman"/>
                <w:color w:val="auto"/>
              </w:rPr>
              <w:t>以挤夹、碾压、碰撞等形式危害人员及设备，</w:t>
            </w:r>
          </w:p>
        </w:tc>
        <w:tc>
          <w:tcPr>
            <w:tcW w:w="425" w:type="pct"/>
            <w:noWrap w:val="0"/>
            <w:vAlign w:val="center"/>
          </w:tcPr>
          <w:p w14:paraId="511945D3">
            <w:pPr>
              <w:pStyle w:val="17"/>
              <w:bidi w:val="0"/>
              <w:rPr>
                <w:rFonts w:ascii="Times New Roman" w:hAnsi="Times New Roman"/>
                <w:color w:val="auto"/>
              </w:rPr>
            </w:pPr>
            <w:r>
              <w:rPr>
                <w:rFonts w:ascii="Times New Roman" w:hAnsi="Times New Roman"/>
                <w:color w:val="auto"/>
              </w:rPr>
              <w:t>人员伤亡、设备损害、车辆坠落</w:t>
            </w:r>
          </w:p>
        </w:tc>
        <w:tc>
          <w:tcPr>
            <w:tcW w:w="425" w:type="pct"/>
            <w:noWrap w:val="0"/>
            <w:vAlign w:val="center"/>
          </w:tcPr>
          <w:p w14:paraId="65ED5CEE">
            <w:pPr>
              <w:pStyle w:val="17"/>
              <w:bidi w:val="0"/>
              <w:rPr>
                <w:rFonts w:ascii="Times New Roman" w:hAnsi="Times New Roman"/>
                <w:color w:val="auto"/>
              </w:rPr>
            </w:pPr>
            <w:r>
              <w:rPr>
                <w:rFonts w:ascii="Times New Roman" w:hAnsi="Times New Roman"/>
                <w:color w:val="auto"/>
              </w:rPr>
              <w:t>II～Ⅲ</w:t>
            </w:r>
          </w:p>
        </w:tc>
        <w:tc>
          <w:tcPr>
            <w:tcW w:w="1702" w:type="pct"/>
            <w:noWrap w:val="0"/>
            <w:vAlign w:val="center"/>
          </w:tcPr>
          <w:p w14:paraId="5C0A7110">
            <w:pPr>
              <w:pStyle w:val="17"/>
              <w:bidi w:val="0"/>
              <w:jc w:val="both"/>
              <w:rPr>
                <w:rFonts w:ascii="Times New Roman" w:hAnsi="Times New Roman"/>
                <w:color w:val="auto"/>
              </w:rPr>
            </w:pPr>
            <w:r>
              <w:rPr>
                <w:rFonts w:ascii="Times New Roman" w:hAnsi="Times New Roman"/>
                <w:color w:val="auto"/>
              </w:rPr>
              <w:t>1.车辆应定期维护检修，保持车况良好；</w:t>
            </w:r>
          </w:p>
          <w:p w14:paraId="7A29E0DE">
            <w:pPr>
              <w:pStyle w:val="17"/>
              <w:bidi w:val="0"/>
              <w:jc w:val="both"/>
              <w:rPr>
                <w:rFonts w:ascii="Times New Roman" w:hAnsi="Times New Roman"/>
                <w:color w:val="auto"/>
              </w:rPr>
            </w:pPr>
            <w:r>
              <w:rPr>
                <w:rFonts w:ascii="Times New Roman" w:hAnsi="Times New Roman"/>
                <w:color w:val="auto"/>
              </w:rPr>
              <w:t>2.按照设计进行道路施工，经常维护，弯道处会车视距不能满足要求时，应设分车道；</w:t>
            </w:r>
          </w:p>
          <w:p w14:paraId="1F839915">
            <w:pPr>
              <w:pStyle w:val="17"/>
              <w:bidi w:val="0"/>
              <w:jc w:val="both"/>
              <w:rPr>
                <w:rFonts w:ascii="Times New Roman" w:hAnsi="Times New Roman"/>
                <w:color w:val="auto"/>
              </w:rPr>
            </w:pPr>
            <w:r>
              <w:rPr>
                <w:rFonts w:ascii="Times New Roman" w:hAnsi="Times New Roman"/>
                <w:color w:val="auto"/>
              </w:rPr>
              <w:t>3.具体规定矿区道路上各地段的车速，并设置路标；</w:t>
            </w:r>
          </w:p>
          <w:p w14:paraId="5793E10C">
            <w:pPr>
              <w:pStyle w:val="17"/>
              <w:bidi w:val="0"/>
              <w:jc w:val="both"/>
              <w:rPr>
                <w:rFonts w:ascii="Times New Roman" w:hAnsi="Times New Roman"/>
                <w:color w:val="auto"/>
              </w:rPr>
            </w:pPr>
            <w:r>
              <w:rPr>
                <w:rFonts w:ascii="Times New Roman" w:hAnsi="Times New Roman"/>
                <w:color w:val="auto"/>
              </w:rPr>
              <w:t>4.在高路堤或山坡填方的弯道处，坡度较大的填方地段，道路外侧应设置护栏或挡车土堆等，挡车土堆的高度根据实际情况具体规定；</w:t>
            </w:r>
          </w:p>
          <w:p w14:paraId="1312D1C8">
            <w:pPr>
              <w:pStyle w:val="17"/>
              <w:bidi w:val="0"/>
              <w:jc w:val="both"/>
              <w:rPr>
                <w:rFonts w:ascii="Times New Roman" w:hAnsi="Times New Roman"/>
                <w:color w:val="auto"/>
              </w:rPr>
            </w:pPr>
            <w:r>
              <w:rPr>
                <w:rFonts w:ascii="Times New Roman" w:hAnsi="Times New Roman"/>
                <w:color w:val="auto"/>
              </w:rPr>
              <w:t>5.雨季路面、车辆采取有效的防滑措施；</w:t>
            </w:r>
          </w:p>
          <w:p w14:paraId="10911537">
            <w:pPr>
              <w:pStyle w:val="17"/>
              <w:bidi w:val="0"/>
              <w:jc w:val="both"/>
              <w:rPr>
                <w:rFonts w:ascii="Times New Roman" w:hAnsi="Times New Roman"/>
                <w:color w:val="auto"/>
              </w:rPr>
            </w:pPr>
            <w:r>
              <w:rPr>
                <w:rFonts w:ascii="Times New Roman" w:hAnsi="Times New Roman"/>
                <w:color w:val="auto"/>
              </w:rPr>
              <w:t>6.加强司机安全教育，禁止疲劳驾驶、违章驾驶。</w:t>
            </w:r>
          </w:p>
        </w:tc>
      </w:tr>
      <w:tr w14:paraId="3093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399" w:type="pct"/>
            <w:noWrap w:val="0"/>
            <w:vAlign w:val="center"/>
          </w:tcPr>
          <w:p w14:paraId="004CE8D8">
            <w:pPr>
              <w:pStyle w:val="17"/>
              <w:bidi w:val="0"/>
              <w:rPr>
                <w:rFonts w:ascii="Times New Roman" w:hAnsi="Times New Roman"/>
                <w:color w:val="auto"/>
              </w:rPr>
            </w:pPr>
            <w:r>
              <w:rPr>
                <w:rFonts w:ascii="Times New Roman" w:hAnsi="Times New Roman"/>
                <w:color w:val="auto"/>
              </w:rPr>
              <w:t>机械</w:t>
            </w:r>
          </w:p>
          <w:p w14:paraId="7CAD637C">
            <w:pPr>
              <w:pStyle w:val="17"/>
              <w:bidi w:val="0"/>
              <w:rPr>
                <w:rFonts w:ascii="Times New Roman" w:hAnsi="Times New Roman"/>
                <w:color w:val="auto"/>
              </w:rPr>
            </w:pPr>
            <w:r>
              <w:rPr>
                <w:rFonts w:ascii="Times New Roman" w:hAnsi="Times New Roman"/>
                <w:color w:val="auto"/>
              </w:rPr>
              <w:t>伤害</w:t>
            </w:r>
          </w:p>
        </w:tc>
        <w:tc>
          <w:tcPr>
            <w:tcW w:w="1623" w:type="pct"/>
            <w:noWrap w:val="0"/>
            <w:vAlign w:val="center"/>
          </w:tcPr>
          <w:p w14:paraId="1D6E415D">
            <w:pPr>
              <w:pStyle w:val="17"/>
              <w:bidi w:val="0"/>
              <w:jc w:val="both"/>
              <w:rPr>
                <w:rFonts w:ascii="Times New Roman" w:hAnsi="Times New Roman"/>
                <w:color w:val="auto"/>
              </w:rPr>
            </w:pPr>
            <w:r>
              <w:rPr>
                <w:rFonts w:ascii="Times New Roman" w:hAnsi="Times New Roman"/>
                <w:color w:val="auto"/>
              </w:rPr>
              <w:t>设备质量不合格或缺乏检修维护；规程缺乏或未执行规；操作失误。</w:t>
            </w:r>
          </w:p>
        </w:tc>
        <w:tc>
          <w:tcPr>
            <w:tcW w:w="424" w:type="pct"/>
            <w:noWrap w:val="0"/>
            <w:vAlign w:val="center"/>
          </w:tcPr>
          <w:p w14:paraId="40BC72C1">
            <w:pPr>
              <w:pStyle w:val="17"/>
              <w:bidi w:val="0"/>
              <w:rPr>
                <w:rFonts w:ascii="Times New Roman" w:hAnsi="Times New Roman"/>
                <w:color w:val="auto"/>
              </w:rPr>
            </w:pPr>
            <w:r>
              <w:rPr>
                <w:rFonts w:ascii="Times New Roman" w:hAnsi="Times New Roman"/>
                <w:color w:val="auto"/>
              </w:rPr>
              <w:t>机械</w:t>
            </w:r>
          </w:p>
          <w:p w14:paraId="0CCB94EC">
            <w:pPr>
              <w:pStyle w:val="17"/>
              <w:bidi w:val="0"/>
              <w:rPr>
                <w:rFonts w:ascii="Times New Roman" w:hAnsi="Times New Roman"/>
                <w:color w:val="auto"/>
              </w:rPr>
            </w:pPr>
            <w:r>
              <w:rPr>
                <w:rFonts w:ascii="Times New Roman" w:hAnsi="Times New Roman"/>
                <w:color w:val="auto"/>
              </w:rPr>
              <w:t>伤害</w:t>
            </w:r>
          </w:p>
        </w:tc>
        <w:tc>
          <w:tcPr>
            <w:tcW w:w="425" w:type="pct"/>
            <w:noWrap w:val="0"/>
            <w:vAlign w:val="center"/>
          </w:tcPr>
          <w:p w14:paraId="5CC692B0">
            <w:pPr>
              <w:pStyle w:val="17"/>
              <w:bidi w:val="0"/>
              <w:rPr>
                <w:rFonts w:ascii="Times New Roman" w:hAnsi="Times New Roman"/>
                <w:color w:val="auto"/>
              </w:rPr>
            </w:pPr>
            <w:r>
              <w:rPr>
                <w:rFonts w:ascii="Times New Roman" w:hAnsi="Times New Roman"/>
                <w:color w:val="auto"/>
              </w:rPr>
              <w:t>人员伤亡</w:t>
            </w:r>
          </w:p>
        </w:tc>
        <w:tc>
          <w:tcPr>
            <w:tcW w:w="425" w:type="pct"/>
            <w:noWrap w:val="0"/>
            <w:vAlign w:val="center"/>
          </w:tcPr>
          <w:p w14:paraId="3FBA59FE">
            <w:pPr>
              <w:pStyle w:val="17"/>
              <w:bidi w:val="0"/>
              <w:rPr>
                <w:rFonts w:ascii="Times New Roman" w:hAnsi="Times New Roman"/>
                <w:color w:val="auto"/>
              </w:rPr>
            </w:pPr>
            <w:r>
              <w:rPr>
                <w:rFonts w:ascii="Times New Roman" w:hAnsi="Times New Roman"/>
                <w:color w:val="auto"/>
              </w:rPr>
              <w:t>II</w:t>
            </w:r>
          </w:p>
        </w:tc>
        <w:tc>
          <w:tcPr>
            <w:tcW w:w="1702" w:type="pct"/>
            <w:noWrap w:val="0"/>
            <w:vAlign w:val="center"/>
          </w:tcPr>
          <w:p w14:paraId="55F5E13E">
            <w:pPr>
              <w:pStyle w:val="17"/>
              <w:bidi w:val="0"/>
              <w:jc w:val="both"/>
              <w:rPr>
                <w:rFonts w:ascii="Times New Roman" w:hAnsi="Times New Roman"/>
                <w:color w:val="auto"/>
              </w:rPr>
            </w:pPr>
            <w:r>
              <w:rPr>
                <w:rFonts w:ascii="Times New Roman" w:hAnsi="Times New Roman"/>
                <w:color w:val="auto"/>
              </w:rPr>
              <w:t>1.加强设备检修维护；</w:t>
            </w:r>
          </w:p>
          <w:p w14:paraId="53823219">
            <w:pPr>
              <w:pStyle w:val="17"/>
              <w:bidi w:val="0"/>
              <w:jc w:val="both"/>
              <w:rPr>
                <w:rFonts w:ascii="Times New Roman" w:hAnsi="Times New Roman"/>
                <w:color w:val="auto"/>
              </w:rPr>
            </w:pPr>
            <w:r>
              <w:rPr>
                <w:rFonts w:ascii="Times New Roman" w:hAnsi="Times New Roman"/>
                <w:color w:val="auto"/>
              </w:rPr>
              <w:t>2.制定各种安全操作规程，并严格执行。</w:t>
            </w:r>
          </w:p>
        </w:tc>
      </w:tr>
      <w:tr w14:paraId="6A1A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99" w:type="pct"/>
            <w:noWrap w:val="0"/>
            <w:vAlign w:val="center"/>
          </w:tcPr>
          <w:p w14:paraId="7A39BE4F">
            <w:pPr>
              <w:pStyle w:val="17"/>
              <w:bidi w:val="0"/>
              <w:rPr>
                <w:rFonts w:ascii="Times New Roman" w:hAnsi="Times New Roman"/>
                <w:color w:val="auto"/>
              </w:rPr>
            </w:pPr>
            <w:r>
              <w:rPr>
                <w:rFonts w:ascii="Times New Roman" w:hAnsi="Times New Roman"/>
                <w:color w:val="auto"/>
              </w:rPr>
              <w:t>高处</w:t>
            </w:r>
          </w:p>
          <w:p w14:paraId="3FD1FBA3">
            <w:pPr>
              <w:pStyle w:val="17"/>
              <w:bidi w:val="0"/>
              <w:rPr>
                <w:rFonts w:ascii="Times New Roman" w:hAnsi="Times New Roman"/>
                <w:color w:val="auto"/>
              </w:rPr>
            </w:pPr>
            <w:r>
              <w:rPr>
                <w:rFonts w:ascii="Times New Roman" w:hAnsi="Times New Roman"/>
                <w:color w:val="auto"/>
              </w:rPr>
              <w:t>坠落</w:t>
            </w:r>
          </w:p>
        </w:tc>
        <w:tc>
          <w:tcPr>
            <w:tcW w:w="1623" w:type="pct"/>
            <w:noWrap w:val="0"/>
            <w:vAlign w:val="center"/>
          </w:tcPr>
          <w:p w14:paraId="4735FCD0">
            <w:pPr>
              <w:pStyle w:val="17"/>
              <w:bidi w:val="0"/>
              <w:jc w:val="both"/>
              <w:rPr>
                <w:rFonts w:ascii="Times New Roman" w:hAnsi="Times New Roman"/>
                <w:color w:val="auto"/>
              </w:rPr>
            </w:pPr>
            <w:r>
              <w:rPr>
                <w:rFonts w:ascii="Times New Roman" w:hAnsi="Times New Roman"/>
                <w:color w:val="auto"/>
              </w:rPr>
              <w:t>汽车卸载点未设置安全栏杆和格筛；</w:t>
            </w:r>
          </w:p>
          <w:p w14:paraId="73C7555D">
            <w:pPr>
              <w:pStyle w:val="17"/>
              <w:bidi w:val="0"/>
              <w:jc w:val="both"/>
              <w:rPr>
                <w:rFonts w:ascii="Times New Roman" w:hAnsi="Times New Roman"/>
                <w:color w:val="auto"/>
              </w:rPr>
            </w:pPr>
            <w:r>
              <w:rPr>
                <w:rFonts w:ascii="Times New Roman" w:hAnsi="Times New Roman"/>
                <w:color w:val="auto"/>
              </w:rPr>
              <w:t>高处作业人员没有按要求使用安全防护用品。</w:t>
            </w:r>
          </w:p>
        </w:tc>
        <w:tc>
          <w:tcPr>
            <w:tcW w:w="424" w:type="pct"/>
            <w:noWrap w:val="0"/>
            <w:vAlign w:val="center"/>
          </w:tcPr>
          <w:p w14:paraId="32D9073C">
            <w:pPr>
              <w:pStyle w:val="17"/>
              <w:bidi w:val="0"/>
              <w:rPr>
                <w:rFonts w:ascii="Times New Roman" w:hAnsi="Times New Roman"/>
                <w:color w:val="auto"/>
              </w:rPr>
            </w:pPr>
            <w:r>
              <w:rPr>
                <w:rFonts w:ascii="Times New Roman" w:hAnsi="Times New Roman"/>
                <w:color w:val="auto"/>
              </w:rPr>
              <w:t>坠落</w:t>
            </w:r>
          </w:p>
        </w:tc>
        <w:tc>
          <w:tcPr>
            <w:tcW w:w="425" w:type="pct"/>
            <w:noWrap w:val="0"/>
            <w:vAlign w:val="center"/>
          </w:tcPr>
          <w:p w14:paraId="5D986168">
            <w:pPr>
              <w:pStyle w:val="17"/>
              <w:bidi w:val="0"/>
              <w:rPr>
                <w:rFonts w:ascii="Times New Roman" w:hAnsi="Times New Roman"/>
                <w:color w:val="auto"/>
              </w:rPr>
            </w:pPr>
            <w:r>
              <w:rPr>
                <w:rFonts w:ascii="Times New Roman" w:hAnsi="Times New Roman"/>
                <w:color w:val="auto"/>
              </w:rPr>
              <w:t>人员伤亡、设备损坏</w:t>
            </w:r>
          </w:p>
        </w:tc>
        <w:tc>
          <w:tcPr>
            <w:tcW w:w="425" w:type="pct"/>
            <w:noWrap w:val="0"/>
            <w:vAlign w:val="center"/>
          </w:tcPr>
          <w:p w14:paraId="1AE96A01">
            <w:pPr>
              <w:pStyle w:val="17"/>
              <w:bidi w:val="0"/>
              <w:rPr>
                <w:rFonts w:ascii="Times New Roman" w:hAnsi="Times New Roman"/>
                <w:color w:val="auto"/>
              </w:rPr>
            </w:pPr>
            <w:r>
              <w:rPr>
                <w:rFonts w:ascii="Times New Roman" w:hAnsi="Times New Roman"/>
                <w:color w:val="auto"/>
              </w:rPr>
              <w:t>Ⅱ</w:t>
            </w:r>
          </w:p>
        </w:tc>
        <w:tc>
          <w:tcPr>
            <w:tcW w:w="1702" w:type="pct"/>
            <w:noWrap w:val="0"/>
            <w:vAlign w:val="center"/>
          </w:tcPr>
          <w:p w14:paraId="362DD5C4">
            <w:pPr>
              <w:pStyle w:val="17"/>
              <w:bidi w:val="0"/>
              <w:jc w:val="both"/>
              <w:rPr>
                <w:rFonts w:ascii="Times New Roman" w:hAnsi="Times New Roman"/>
                <w:color w:val="auto"/>
              </w:rPr>
            </w:pPr>
            <w:r>
              <w:rPr>
                <w:rFonts w:ascii="Times New Roman" w:hAnsi="Times New Roman"/>
                <w:color w:val="auto"/>
              </w:rPr>
              <w:t>1.卸矿作业人员按规程操作；</w:t>
            </w:r>
          </w:p>
          <w:p w14:paraId="76797053">
            <w:pPr>
              <w:pStyle w:val="17"/>
              <w:bidi w:val="0"/>
              <w:jc w:val="both"/>
              <w:rPr>
                <w:rFonts w:ascii="Times New Roman" w:hAnsi="Times New Roman"/>
                <w:color w:val="auto"/>
              </w:rPr>
            </w:pPr>
            <w:r>
              <w:rPr>
                <w:rFonts w:ascii="Times New Roman" w:hAnsi="Times New Roman"/>
                <w:color w:val="auto"/>
              </w:rPr>
              <w:t>2.卸载点设置安全装置和格筛；</w:t>
            </w:r>
          </w:p>
          <w:p w14:paraId="23701EBC">
            <w:pPr>
              <w:pStyle w:val="17"/>
              <w:bidi w:val="0"/>
              <w:jc w:val="both"/>
              <w:rPr>
                <w:rFonts w:ascii="Times New Roman" w:hAnsi="Times New Roman"/>
                <w:color w:val="auto"/>
              </w:rPr>
            </w:pPr>
            <w:r>
              <w:rPr>
                <w:rFonts w:ascii="Times New Roman" w:hAnsi="Times New Roman"/>
                <w:color w:val="auto"/>
              </w:rPr>
              <w:t>3.高处作业人员严格按要求使用安全防护用品。</w:t>
            </w:r>
          </w:p>
        </w:tc>
      </w:tr>
      <w:tr w14:paraId="220F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99" w:type="pct"/>
            <w:noWrap w:val="0"/>
            <w:vAlign w:val="center"/>
          </w:tcPr>
          <w:p w14:paraId="612EFD9C">
            <w:pPr>
              <w:pStyle w:val="17"/>
              <w:bidi w:val="0"/>
              <w:rPr>
                <w:rFonts w:ascii="Times New Roman" w:hAnsi="Times New Roman"/>
                <w:color w:val="auto"/>
              </w:rPr>
            </w:pPr>
            <w:r>
              <w:rPr>
                <w:rFonts w:ascii="Times New Roman" w:hAnsi="Times New Roman"/>
                <w:color w:val="auto"/>
              </w:rPr>
              <w:t>职业</w:t>
            </w:r>
          </w:p>
          <w:p w14:paraId="41328A03">
            <w:pPr>
              <w:pStyle w:val="17"/>
              <w:bidi w:val="0"/>
              <w:rPr>
                <w:rFonts w:ascii="Times New Roman" w:hAnsi="Times New Roman"/>
                <w:color w:val="auto"/>
              </w:rPr>
            </w:pPr>
            <w:r>
              <w:rPr>
                <w:rFonts w:ascii="Times New Roman" w:hAnsi="Times New Roman"/>
                <w:color w:val="auto"/>
              </w:rPr>
              <w:t>危害</w:t>
            </w:r>
          </w:p>
        </w:tc>
        <w:tc>
          <w:tcPr>
            <w:tcW w:w="1623" w:type="pct"/>
            <w:noWrap w:val="0"/>
            <w:vAlign w:val="center"/>
          </w:tcPr>
          <w:p w14:paraId="039FB52C">
            <w:pPr>
              <w:pStyle w:val="17"/>
              <w:bidi w:val="0"/>
              <w:jc w:val="both"/>
              <w:rPr>
                <w:rFonts w:ascii="Times New Roman" w:hAnsi="Times New Roman"/>
                <w:color w:val="auto"/>
              </w:rPr>
            </w:pPr>
            <w:r>
              <w:rPr>
                <w:rFonts w:ascii="Times New Roman" w:hAnsi="Times New Roman"/>
                <w:color w:val="auto"/>
              </w:rPr>
              <w:t>粉尘中游离二氧化硅含量超标、噪声超标；</w:t>
            </w:r>
          </w:p>
          <w:p w14:paraId="35554FD9">
            <w:pPr>
              <w:pStyle w:val="17"/>
              <w:bidi w:val="0"/>
              <w:jc w:val="both"/>
              <w:rPr>
                <w:rFonts w:ascii="Times New Roman" w:hAnsi="Times New Roman"/>
                <w:color w:val="auto"/>
              </w:rPr>
            </w:pPr>
            <w:r>
              <w:rPr>
                <w:rFonts w:ascii="Times New Roman" w:hAnsi="Times New Roman"/>
                <w:color w:val="auto"/>
              </w:rPr>
              <w:t>长期在高粉尘、噪声作业环境中下作业；未采取洒水降尘措施和消声、隔音措施；未佩戴个人防护用品。</w:t>
            </w:r>
          </w:p>
        </w:tc>
        <w:tc>
          <w:tcPr>
            <w:tcW w:w="424" w:type="pct"/>
            <w:noWrap w:val="0"/>
            <w:vAlign w:val="center"/>
          </w:tcPr>
          <w:p w14:paraId="01517473">
            <w:pPr>
              <w:pStyle w:val="17"/>
              <w:bidi w:val="0"/>
              <w:rPr>
                <w:rFonts w:ascii="Times New Roman" w:hAnsi="Times New Roman"/>
                <w:color w:val="auto"/>
              </w:rPr>
            </w:pPr>
            <w:r>
              <w:rPr>
                <w:rFonts w:ascii="Times New Roman" w:hAnsi="Times New Roman"/>
                <w:color w:val="auto"/>
              </w:rPr>
              <w:t>慢性中毒、听力减弱</w:t>
            </w:r>
          </w:p>
        </w:tc>
        <w:tc>
          <w:tcPr>
            <w:tcW w:w="425" w:type="pct"/>
            <w:noWrap w:val="0"/>
            <w:vAlign w:val="center"/>
          </w:tcPr>
          <w:p w14:paraId="302B2011">
            <w:pPr>
              <w:pStyle w:val="17"/>
              <w:bidi w:val="0"/>
              <w:rPr>
                <w:rFonts w:ascii="Times New Roman" w:hAnsi="Times New Roman"/>
                <w:color w:val="auto"/>
              </w:rPr>
            </w:pPr>
            <w:r>
              <w:rPr>
                <w:rFonts w:ascii="Times New Roman" w:hAnsi="Times New Roman"/>
                <w:color w:val="auto"/>
              </w:rPr>
              <w:t>职业病</w:t>
            </w:r>
          </w:p>
        </w:tc>
        <w:tc>
          <w:tcPr>
            <w:tcW w:w="425" w:type="pct"/>
            <w:noWrap w:val="0"/>
            <w:vAlign w:val="center"/>
          </w:tcPr>
          <w:p w14:paraId="287EA3A7">
            <w:pPr>
              <w:pStyle w:val="17"/>
              <w:bidi w:val="0"/>
              <w:rPr>
                <w:rFonts w:ascii="Times New Roman" w:hAnsi="Times New Roman"/>
                <w:color w:val="auto"/>
              </w:rPr>
            </w:pPr>
            <w:r>
              <w:rPr>
                <w:rFonts w:ascii="Times New Roman" w:hAnsi="Times New Roman"/>
                <w:color w:val="auto"/>
              </w:rPr>
              <w:t>II</w:t>
            </w:r>
          </w:p>
        </w:tc>
        <w:tc>
          <w:tcPr>
            <w:tcW w:w="1702" w:type="pct"/>
            <w:noWrap w:val="0"/>
            <w:vAlign w:val="center"/>
          </w:tcPr>
          <w:p w14:paraId="0BC87776">
            <w:pPr>
              <w:pStyle w:val="17"/>
              <w:bidi w:val="0"/>
              <w:jc w:val="both"/>
              <w:rPr>
                <w:rFonts w:ascii="Times New Roman" w:hAnsi="Times New Roman"/>
                <w:color w:val="auto"/>
              </w:rPr>
            </w:pPr>
            <w:r>
              <w:rPr>
                <w:rFonts w:ascii="Times New Roman" w:hAnsi="Times New Roman"/>
                <w:color w:val="auto"/>
              </w:rPr>
              <w:t>1.采取洒水降尘措施；</w:t>
            </w:r>
          </w:p>
          <w:p w14:paraId="0F76BC41">
            <w:pPr>
              <w:pStyle w:val="17"/>
              <w:bidi w:val="0"/>
              <w:jc w:val="both"/>
              <w:rPr>
                <w:rFonts w:ascii="Times New Roman" w:hAnsi="Times New Roman"/>
                <w:color w:val="auto"/>
              </w:rPr>
            </w:pPr>
            <w:r>
              <w:rPr>
                <w:rFonts w:ascii="Times New Roman" w:hAnsi="Times New Roman"/>
                <w:color w:val="auto"/>
              </w:rPr>
              <w:t>2.设置消声、隔音设施；</w:t>
            </w:r>
          </w:p>
          <w:p w14:paraId="621CFEBA">
            <w:pPr>
              <w:pStyle w:val="17"/>
              <w:bidi w:val="0"/>
              <w:jc w:val="both"/>
              <w:rPr>
                <w:rFonts w:ascii="Times New Roman" w:hAnsi="Times New Roman"/>
                <w:color w:val="auto"/>
              </w:rPr>
            </w:pPr>
            <w:r>
              <w:rPr>
                <w:rFonts w:ascii="Times New Roman" w:hAnsi="Times New Roman"/>
                <w:color w:val="auto"/>
              </w:rPr>
              <w:t>3.加强个体防护，如配戴防尘口罩、耳塞。</w:t>
            </w:r>
          </w:p>
        </w:tc>
      </w:tr>
    </w:tbl>
    <w:p w14:paraId="2A45F99E">
      <w:pPr>
        <w:pStyle w:val="5"/>
        <w:bidi w:val="0"/>
        <w:rPr>
          <w:rFonts w:ascii="Times New Roman" w:hAnsi="Times New Roman"/>
          <w:color w:val="auto"/>
        </w:rPr>
      </w:pPr>
      <w:bookmarkStart w:id="140" w:name="_Toc242849794"/>
      <w:r>
        <w:rPr>
          <w:rFonts w:ascii="Times New Roman" w:hAnsi="Times New Roman"/>
          <w:color w:val="auto"/>
        </w:rPr>
        <w:t>3.3.4.3</w:t>
      </w:r>
      <w:r>
        <w:rPr>
          <w:rFonts w:hint="eastAsia" w:ascii="Times New Roman" w:hAnsi="Times New Roman"/>
          <w:color w:val="auto"/>
          <w:lang w:val="en-US" w:eastAsia="zh-CN"/>
        </w:rPr>
        <w:t xml:space="preserve"> </w:t>
      </w:r>
      <w:r>
        <w:rPr>
          <w:rFonts w:ascii="Times New Roman" w:hAnsi="Times New Roman"/>
          <w:color w:val="auto"/>
        </w:rPr>
        <w:t>铲装、运输设备及道路参数的</w:t>
      </w:r>
      <w:r>
        <w:rPr>
          <w:rFonts w:hint="eastAsia" w:ascii="Times New Roman" w:hAnsi="Times New Roman"/>
          <w:color w:val="auto"/>
          <w:lang w:val="en-US" w:eastAsia="zh-CN"/>
        </w:rPr>
        <w:t>设计方案</w:t>
      </w:r>
      <w:r>
        <w:rPr>
          <w:rFonts w:ascii="Times New Roman" w:hAnsi="Times New Roman"/>
          <w:color w:val="auto"/>
        </w:rPr>
        <w:t>评述</w:t>
      </w:r>
      <w:bookmarkEnd w:id="140"/>
    </w:p>
    <w:p w14:paraId="0B768D62">
      <w:pPr>
        <w:bidi w:val="0"/>
        <w:rPr>
          <w:rFonts w:ascii="Times New Roman" w:hAnsi="Times New Roman"/>
          <w:color w:val="auto"/>
        </w:rPr>
      </w:pPr>
      <w:r>
        <w:rPr>
          <w:rFonts w:hint="eastAsia" w:ascii="Times New Roman" w:hAnsi="Times New Roman"/>
          <w:color w:val="auto"/>
          <w:lang w:eastAsia="zh-CN"/>
        </w:rPr>
        <w:t>设计采用逐孔起爆爆破方式，数码电子雷管起爆。矿石铲装设计主要铲装设备为1台2.1m</w:t>
      </w:r>
      <w:r>
        <w:rPr>
          <w:rFonts w:hint="eastAsia" w:ascii="Times New Roman" w:hAnsi="Times New Roman"/>
          <w:color w:val="auto"/>
          <w:vertAlign w:val="superscript"/>
          <w:lang w:eastAsia="zh-CN"/>
        </w:rPr>
        <w:t>3</w:t>
      </w:r>
      <w:r>
        <w:rPr>
          <w:rFonts w:hint="eastAsia" w:ascii="Times New Roman" w:hAnsi="Times New Roman"/>
          <w:color w:val="auto"/>
          <w:lang w:eastAsia="zh-CN"/>
        </w:rPr>
        <w:t>神钢260挖掘机。</w:t>
      </w:r>
      <w:r>
        <w:rPr>
          <w:rFonts w:hint="eastAsia" w:ascii="Times New Roman" w:hAnsi="Times New Roman"/>
          <w:color w:val="auto"/>
        </w:rPr>
        <w:t>并配备</w:t>
      </w:r>
      <w:r>
        <w:rPr>
          <w:rFonts w:hint="eastAsia" w:ascii="Times New Roman" w:hAnsi="Times New Roman"/>
          <w:color w:val="auto"/>
          <w:lang w:val="en-US" w:eastAsia="zh-CN"/>
        </w:rPr>
        <w:t>4</w:t>
      </w:r>
      <w:r>
        <w:rPr>
          <w:rFonts w:hint="eastAsia" w:ascii="Times New Roman" w:hAnsi="Times New Roman"/>
          <w:color w:val="auto"/>
        </w:rPr>
        <w:t>辆载重量</w:t>
      </w:r>
      <w:r>
        <w:rPr>
          <w:rFonts w:hint="eastAsia" w:ascii="Times New Roman" w:hAnsi="Times New Roman"/>
          <w:color w:val="auto"/>
          <w:lang w:val="en-US" w:eastAsia="zh-CN"/>
        </w:rPr>
        <w:t>2</w:t>
      </w:r>
      <w:r>
        <w:rPr>
          <w:rFonts w:hint="eastAsia" w:ascii="Times New Roman" w:hAnsi="Times New Roman"/>
          <w:color w:val="auto"/>
          <w:lang w:eastAsia="zh-CN"/>
        </w:rPr>
        <w:t>5t</w:t>
      </w:r>
      <w:r>
        <w:rPr>
          <w:rFonts w:hint="eastAsia" w:ascii="Times New Roman" w:hAnsi="Times New Roman"/>
          <w:color w:val="auto"/>
        </w:rPr>
        <w:t>的自卸式汽车进行运输</w:t>
      </w:r>
      <w:r>
        <w:rPr>
          <w:rFonts w:ascii="Times New Roman" w:hAnsi="Times New Roman"/>
          <w:color w:val="auto"/>
          <w:lang w:val="en-GB"/>
        </w:rPr>
        <w:t>，</w:t>
      </w:r>
      <w:r>
        <w:rPr>
          <w:rFonts w:ascii="Times New Roman" w:hAnsi="Times New Roman"/>
          <w:color w:val="auto"/>
        </w:rPr>
        <w:t>最大挖掘高度为</w:t>
      </w:r>
      <w:r>
        <w:rPr>
          <w:rFonts w:hint="eastAsia" w:ascii="Times New Roman" w:hAnsi="Times New Roman"/>
          <w:color w:val="auto"/>
          <w:lang w:val="en-US" w:eastAsia="zh-CN"/>
        </w:rPr>
        <w:t>10.21</w:t>
      </w:r>
      <w:r>
        <w:rPr>
          <w:rFonts w:ascii="Times New Roman" w:hAnsi="Times New Roman"/>
          <w:color w:val="auto"/>
        </w:rPr>
        <w:t>m，设计台阶高度1</w:t>
      </w:r>
      <w:r>
        <w:rPr>
          <w:rFonts w:hint="eastAsia" w:ascii="Times New Roman" w:hAnsi="Times New Roman"/>
          <w:color w:val="auto"/>
        </w:rPr>
        <w:t>5</w:t>
      </w:r>
      <w:r>
        <w:rPr>
          <w:rFonts w:ascii="Times New Roman" w:hAnsi="Times New Roman"/>
          <w:color w:val="auto"/>
        </w:rPr>
        <w:t>m，可以满足矿山生产能力的要求。</w:t>
      </w:r>
    </w:p>
    <w:p w14:paraId="743DBA53">
      <w:pPr>
        <w:bidi w:val="0"/>
        <w:rPr>
          <w:rFonts w:ascii="Times New Roman" w:hAnsi="Times New Roman"/>
          <w:color w:val="auto"/>
        </w:rPr>
      </w:pPr>
      <w:r>
        <w:rPr>
          <w:rFonts w:hint="eastAsia" w:ascii="Times New Roman" w:hAnsi="Times New Roman"/>
          <w:color w:val="auto"/>
        </w:rPr>
        <w:t>运输公路按露天矿山三级道路标准设计，泥结碎石路面，路面宽4m，道路最大纵坡9%，平均纵坡不大于7.5%，最小转弯半径15m。根据计算结果和参考指标进行比较，依据《厂矿道路设计规范》（GBJ 22-87）第2.4.2条可知，汽车的小时单向通量25辆以下的生产干线、支线，可采用三级露天矿山道路，因此设计采用三级露天矿山道路符合《厂矿道路设计规范》（GBJ 22-87）的标准规范，能够满足</w:t>
      </w:r>
      <w:r>
        <w:rPr>
          <w:rFonts w:hint="eastAsia" w:ascii="Times New Roman" w:hAnsi="Times New Roman"/>
          <w:color w:val="auto"/>
          <w:lang w:val="en-US" w:eastAsia="zh-CN"/>
        </w:rPr>
        <w:t>7</w:t>
      </w:r>
      <w:r>
        <w:rPr>
          <w:rFonts w:hint="eastAsia" w:ascii="Times New Roman" w:hAnsi="Times New Roman"/>
          <w:color w:val="auto"/>
        </w:rPr>
        <w:t>0万t/a的生产能力需求。</w:t>
      </w:r>
    </w:p>
    <w:p w14:paraId="0053852A">
      <w:pPr>
        <w:pStyle w:val="5"/>
        <w:bidi w:val="0"/>
        <w:rPr>
          <w:rFonts w:ascii="Times New Roman" w:hAnsi="Times New Roman"/>
          <w:color w:val="auto"/>
        </w:rPr>
      </w:pPr>
      <w:r>
        <w:rPr>
          <w:rFonts w:ascii="Times New Roman" w:hAnsi="Times New Roman"/>
          <w:color w:val="auto"/>
        </w:rPr>
        <w:t>3.3.4.4</w:t>
      </w:r>
      <w:r>
        <w:rPr>
          <w:rFonts w:hint="eastAsia" w:ascii="Times New Roman" w:hAnsi="Times New Roman"/>
          <w:color w:val="auto"/>
          <w:lang w:val="en-US" w:eastAsia="zh-CN"/>
        </w:rPr>
        <w:t xml:space="preserve"> </w:t>
      </w:r>
      <w:r>
        <w:rPr>
          <w:rFonts w:ascii="Times New Roman" w:hAnsi="Times New Roman"/>
          <w:color w:val="auto"/>
        </w:rPr>
        <w:t>单元小结</w:t>
      </w:r>
    </w:p>
    <w:p w14:paraId="76199D91">
      <w:pPr>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中设计方案对铲装运输方式及开拓运输道路布置进行了设计，符合《金属非金属矿山安全规程》（GB16423-2020）《厂矿道路设计规范》</w:t>
      </w:r>
      <w:r>
        <w:rPr>
          <w:rFonts w:hint="eastAsia" w:ascii="Times New Roman" w:hAnsi="Times New Roman"/>
          <w:color w:val="auto"/>
          <w:lang w:eastAsia="zh-CN"/>
        </w:rPr>
        <w:t>（</w:t>
      </w:r>
      <w:r>
        <w:rPr>
          <w:rFonts w:ascii="Times New Roman" w:hAnsi="Times New Roman"/>
          <w:color w:val="auto"/>
        </w:rPr>
        <w:t>GBJ22-87</w:t>
      </w:r>
      <w:r>
        <w:rPr>
          <w:rFonts w:hint="eastAsia" w:ascii="Times New Roman" w:hAnsi="Times New Roman"/>
          <w:color w:val="auto"/>
          <w:lang w:eastAsia="zh-CN"/>
        </w:rPr>
        <w:t>）</w:t>
      </w:r>
      <w:r>
        <w:rPr>
          <w:rFonts w:ascii="Times New Roman" w:hAnsi="Times New Roman"/>
          <w:color w:val="auto"/>
        </w:rPr>
        <w:t>的相关规定。</w:t>
      </w:r>
    </w:p>
    <w:p w14:paraId="4798F87D">
      <w:pPr>
        <w:bidi w:val="0"/>
        <w:rPr>
          <w:rFonts w:ascii="Times New Roman" w:hAnsi="Times New Roman"/>
          <w:color w:val="auto"/>
        </w:rPr>
      </w:pPr>
      <w:r>
        <w:rPr>
          <w:rFonts w:ascii="Times New Roman" w:hAnsi="Times New Roman"/>
          <w:color w:val="auto"/>
        </w:rPr>
        <w:t>本单元应注意以下问题：</w:t>
      </w:r>
    </w:p>
    <w:p w14:paraId="2AC3E77B">
      <w:pPr>
        <w:bidi w:val="0"/>
        <w:rPr>
          <w:rFonts w:ascii="Times New Roman" w:hAnsi="Times New Roman"/>
          <w:color w:val="auto"/>
        </w:rPr>
      </w:pPr>
      <w:r>
        <w:rPr>
          <w:rFonts w:ascii="Times New Roman" w:hAnsi="Times New Roman"/>
          <w:color w:val="auto"/>
        </w:rPr>
        <w:t>（1）铲装设备在工作台阶上铲装作业时，应尽量避免靠近平台边缘，由于工作台阶边缘矿岩松散，有可能导致铲装设备坠落、倾翻。</w:t>
      </w:r>
    </w:p>
    <w:p w14:paraId="3978B3F2">
      <w:pPr>
        <w:bidi w:val="0"/>
        <w:rPr>
          <w:rFonts w:ascii="Times New Roman" w:hAnsi="Times New Roman"/>
          <w:color w:val="auto"/>
        </w:rPr>
      </w:pPr>
      <w:r>
        <w:rPr>
          <w:rFonts w:ascii="Times New Roman" w:hAnsi="Times New Roman"/>
          <w:color w:val="auto"/>
        </w:rPr>
        <w:t>（2）挖掘机汽笛或警报器应完好，进行各种操作时，均应发出警告信号。挖掘机作业时，悬臂和铲斗下面及工作面附近，不应有人停留。</w:t>
      </w:r>
    </w:p>
    <w:p w14:paraId="42291C83">
      <w:pPr>
        <w:bidi w:val="0"/>
        <w:rPr>
          <w:rFonts w:ascii="Times New Roman" w:hAnsi="Times New Roman"/>
          <w:color w:val="auto"/>
        </w:rPr>
      </w:pPr>
      <w:r>
        <w:rPr>
          <w:rFonts w:ascii="Times New Roman" w:hAnsi="Times New Roman"/>
          <w:color w:val="auto"/>
        </w:rPr>
        <w:t>（3）对运输设备建立定期的检测和保养制度，以确保运输设备的安全可靠性，防止机械失灵造成安全事故；建立运输系统各岗位安全职责及安全操作规程安全管理制度。</w:t>
      </w:r>
    </w:p>
    <w:p w14:paraId="40CFA1C3">
      <w:pPr>
        <w:bidi w:val="0"/>
        <w:rPr>
          <w:rFonts w:ascii="Times New Roman" w:hAnsi="Times New Roman"/>
          <w:color w:val="auto"/>
        </w:rPr>
      </w:pPr>
      <w:r>
        <w:rPr>
          <w:rFonts w:ascii="Times New Roman" w:hAnsi="Times New Roman"/>
          <w:color w:val="auto"/>
        </w:rPr>
        <w:t>（4）道路设置安全警示标牌。包括：限速、弯道、路口指示、停车指示等标志；沿道路外侧设立安全桩或安全墙；建立道路运输安全管理制度，对操作人员的行为进行规范，定期进行车辆维护保养确保车况良好。</w:t>
      </w:r>
    </w:p>
    <w:p w14:paraId="3AF80F49">
      <w:pPr>
        <w:pStyle w:val="3"/>
        <w:bidi w:val="0"/>
        <w:rPr>
          <w:rFonts w:ascii="Times New Roman" w:hAnsi="Times New Roman"/>
          <w:color w:val="auto"/>
        </w:rPr>
      </w:pPr>
      <w:bookmarkStart w:id="141" w:name="_Toc22031"/>
      <w:bookmarkStart w:id="142" w:name="_Toc4534"/>
      <w:bookmarkStart w:id="143" w:name="_Toc11025"/>
      <w:bookmarkStart w:id="144" w:name="_Toc4440"/>
      <w:bookmarkStart w:id="145" w:name="_Toc4011"/>
      <w:bookmarkStart w:id="146" w:name="_Toc18537"/>
      <w:r>
        <w:rPr>
          <w:rFonts w:ascii="Times New Roman" w:hAnsi="Times New Roman"/>
          <w:color w:val="auto"/>
        </w:rPr>
        <w:t>3.4</w:t>
      </w:r>
      <w:r>
        <w:rPr>
          <w:rFonts w:hint="eastAsia" w:ascii="Times New Roman" w:hAnsi="Times New Roman"/>
          <w:color w:val="auto"/>
          <w:lang w:val="en-US" w:eastAsia="zh-CN"/>
        </w:rPr>
        <w:t xml:space="preserve"> </w:t>
      </w:r>
      <w:r>
        <w:rPr>
          <w:rFonts w:ascii="Times New Roman" w:hAnsi="Times New Roman"/>
          <w:color w:val="auto"/>
        </w:rPr>
        <w:t>矿山供配电设施单元</w:t>
      </w:r>
      <w:bookmarkEnd w:id="141"/>
      <w:bookmarkEnd w:id="142"/>
      <w:bookmarkEnd w:id="143"/>
      <w:bookmarkEnd w:id="144"/>
      <w:bookmarkEnd w:id="145"/>
      <w:bookmarkEnd w:id="146"/>
    </w:p>
    <w:p w14:paraId="1B96F048">
      <w:pPr>
        <w:pStyle w:val="4"/>
        <w:bidi w:val="0"/>
        <w:rPr>
          <w:rFonts w:ascii="Times New Roman" w:hAnsi="Times New Roman"/>
          <w:color w:val="auto"/>
          <w:sz w:val="28"/>
          <w:szCs w:val="28"/>
          <w:lang w:val="en-GB"/>
        </w:rPr>
      </w:pPr>
      <w:bookmarkStart w:id="147" w:name="_Toc12936"/>
      <w:bookmarkStart w:id="148" w:name="_Toc25863"/>
      <w:bookmarkStart w:id="149" w:name="_Toc4669"/>
      <w:r>
        <w:rPr>
          <w:rFonts w:ascii="Times New Roman" w:hAnsi="Times New Roman"/>
          <w:color w:val="auto"/>
          <w:sz w:val="28"/>
          <w:szCs w:val="28"/>
          <w:lang w:val="en-GB"/>
        </w:rPr>
        <w:t>3.</w:t>
      </w:r>
      <w:r>
        <w:rPr>
          <w:rFonts w:ascii="Times New Roman" w:hAnsi="Times New Roman"/>
          <w:color w:val="auto"/>
          <w:sz w:val="28"/>
          <w:szCs w:val="28"/>
        </w:rPr>
        <w:t>4.1</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矿山供配电设施单元危险有害因素辨识与分析</w:t>
      </w:r>
      <w:bookmarkEnd w:id="147"/>
      <w:bookmarkEnd w:id="148"/>
      <w:bookmarkEnd w:id="149"/>
    </w:p>
    <w:p w14:paraId="0BB6C0C1">
      <w:pPr>
        <w:bidi w:val="0"/>
        <w:rPr>
          <w:rFonts w:ascii="Times New Roman" w:hAnsi="Times New Roman"/>
          <w:color w:val="auto"/>
        </w:rPr>
      </w:pPr>
      <w:r>
        <w:rPr>
          <w:rFonts w:ascii="Times New Roman" w:hAnsi="Times New Roman"/>
          <w:color w:val="auto"/>
        </w:rPr>
        <w:t>（1）触电伤害</w:t>
      </w:r>
    </w:p>
    <w:p w14:paraId="74518018">
      <w:pPr>
        <w:bidi w:val="0"/>
        <w:rPr>
          <w:rFonts w:ascii="Times New Roman" w:hAnsi="Times New Roman"/>
          <w:color w:val="auto"/>
        </w:rPr>
      </w:pPr>
      <w:r>
        <w:rPr>
          <w:rFonts w:ascii="Times New Roman" w:hAnsi="Times New Roman"/>
          <w:color w:val="auto"/>
        </w:rPr>
        <w:t>一、触电伤害的类型</w:t>
      </w:r>
    </w:p>
    <w:p w14:paraId="44ED2740">
      <w:pPr>
        <w:bidi w:val="0"/>
        <w:rPr>
          <w:rFonts w:ascii="Times New Roman" w:hAnsi="Times New Roman"/>
          <w:color w:val="auto"/>
        </w:rPr>
      </w:pPr>
      <w:r>
        <w:rPr>
          <w:rFonts w:ascii="Times New Roman" w:hAnsi="Times New Roman"/>
          <w:color w:val="auto"/>
        </w:rPr>
        <w:t>1）电击在各种电气事故中，它的危险性最大。电击主要是电流通过人体内部，使人体的心脏、肺部等系统受到伤害；</w:t>
      </w:r>
    </w:p>
    <w:p w14:paraId="20253D27">
      <w:pPr>
        <w:bidi w:val="0"/>
        <w:rPr>
          <w:rFonts w:ascii="Times New Roman" w:hAnsi="Times New Roman"/>
          <w:color w:val="auto"/>
        </w:rPr>
      </w:pPr>
      <w:r>
        <w:rPr>
          <w:rFonts w:ascii="Times New Roman" w:hAnsi="Times New Roman"/>
          <w:color w:val="auto"/>
        </w:rPr>
        <w:t>2）电灼伤，是电热效应在人体上的反应。电灼伤主要作用于人体表面，造成人体外部伤害。电灼伤时往往在皮肤上形成金属微粒而较其它灼伤为重。</w:t>
      </w:r>
    </w:p>
    <w:p w14:paraId="43D402D2">
      <w:pPr>
        <w:bidi w:val="0"/>
        <w:rPr>
          <w:rFonts w:ascii="Times New Roman" w:hAnsi="Times New Roman"/>
          <w:color w:val="auto"/>
        </w:rPr>
      </w:pPr>
      <w:r>
        <w:rPr>
          <w:rFonts w:ascii="Times New Roman" w:hAnsi="Times New Roman"/>
          <w:color w:val="auto"/>
        </w:rPr>
        <w:t>二、引起触电伤害的主要原因：</w:t>
      </w:r>
    </w:p>
    <w:p w14:paraId="5DF94EB5">
      <w:pPr>
        <w:bidi w:val="0"/>
        <w:rPr>
          <w:rFonts w:ascii="Times New Roman" w:hAnsi="Times New Roman"/>
          <w:color w:val="auto"/>
        </w:rPr>
      </w:pPr>
      <w:r>
        <w:rPr>
          <w:rFonts w:ascii="Times New Roman" w:hAnsi="Times New Roman"/>
          <w:color w:val="auto"/>
        </w:rPr>
        <w:t>1）不填写工作操作票、未执行监护制度或工作完毕未办理工作票终结手续就恢复供电；</w:t>
      </w:r>
    </w:p>
    <w:p w14:paraId="14F2FAA2">
      <w:pPr>
        <w:bidi w:val="0"/>
        <w:rPr>
          <w:rFonts w:ascii="Times New Roman" w:hAnsi="Times New Roman"/>
          <w:color w:val="auto"/>
        </w:rPr>
      </w:pPr>
      <w:r>
        <w:rPr>
          <w:rFonts w:ascii="Times New Roman" w:hAnsi="Times New Roman"/>
          <w:color w:val="auto"/>
        </w:rPr>
        <w:t>2）电气作业的安全管理工作存在漏洞，不使用或使用不合格的防护用品和电气工具；</w:t>
      </w:r>
    </w:p>
    <w:p w14:paraId="66DF5467">
      <w:pPr>
        <w:bidi w:val="0"/>
        <w:rPr>
          <w:rFonts w:ascii="Times New Roman" w:hAnsi="Times New Roman"/>
          <w:color w:val="auto"/>
        </w:rPr>
      </w:pPr>
      <w:r>
        <w:rPr>
          <w:rFonts w:ascii="Times New Roman" w:hAnsi="Times New Roman"/>
          <w:color w:val="auto"/>
        </w:rPr>
        <w:t>3）在带电体附近作业，不符合安全距离或无监护措施；</w:t>
      </w:r>
    </w:p>
    <w:p w14:paraId="05349E42">
      <w:pPr>
        <w:bidi w:val="0"/>
        <w:rPr>
          <w:rFonts w:ascii="Times New Roman" w:hAnsi="Times New Roman"/>
          <w:color w:val="auto"/>
        </w:rPr>
      </w:pPr>
      <w:r>
        <w:rPr>
          <w:rFonts w:ascii="Times New Roman" w:hAnsi="Times New Roman"/>
          <w:color w:val="auto"/>
        </w:rPr>
        <w:t>4）跨越安全围栏或安全警戒线或误入隔离区域接触带电设备；</w:t>
      </w:r>
    </w:p>
    <w:p w14:paraId="5211DDCA">
      <w:pPr>
        <w:bidi w:val="0"/>
        <w:rPr>
          <w:rFonts w:ascii="Times New Roman" w:hAnsi="Times New Roman"/>
          <w:color w:val="auto"/>
        </w:rPr>
      </w:pPr>
      <w:r>
        <w:rPr>
          <w:rFonts w:ascii="Times New Roman" w:hAnsi="Times New Roman"/>
          <w:color w:val="auto"/>
        </w:rPr>
        <w:t>5）线路老化、磨损、绝缘层破损造成电器设备外壳带电，设备缺少漏电保护装置；</w:t>
      </w:r>
    </w:p>
    <w:p w14:paraId="1B8CAD15">
      <w:pPr>
        <w:bidi w:val="0"/>
        <w:rPr>
          <w:rFonts w:ascii="Times New Roman" w:hAnsi="Times New Roman"/>
          <w:color w:val="auto"/>
        </w:rPr>
      </w:pPr>
      <w:r>
        <w:rPr>
          <w:rFonts w:ascii="Times New Roman" w:hAnsi="Times New Roman"/>
          <w:color w:val="auto"/>
        </w:rPr>
        <w:t>6）在潮湿、狭窄空间或金属容器内作业不穿绝缘鞋、无绝缘垫、无监护人，雷雨天在室外操作带电体，绝缘鞋破损透水，操作者身体或工具碰到带电设备或线路。</w:t>
      </w:r>
    </w:p>
    <w:p w14:paraId="3C8EF659">
      <w:pPr>
        <w:bidi w:val="0"/>
        <w:rPr>
          <w:rFonts w:ascii="Times New Roman" w:hAnsi="Times New Roman"/>
          <w:color w:val="auto"/>
        </w:rPr>
      </w:pPr>
      <w:r>
        <w:rPr>
          <w:rFonts w:ascii="Times New Roman" w:hAnsi="Times New Roman"/>
          <w:color w:val="auto"/>
        </w:rPr>
        <w:t>三、易发生触电伤害的场所：</w:t>
      </w:r>
    </w:p>
    <w:p w14:paraId="7E835669">
      <w:pPr>
        <w:bidi w:val="0"/>
        <w:rPr>
          <w:rFonts w:ascii="Times New Roman" w:hAnsi="Times New Roman"/>
          <w:color w:val="auto"/>
        </w:rPr>
      </w:pPr>
      <w:r>
        <w:rPr>
          <w:rFonts w:ascii="Times New Roman" w:hAnsi="Times New Roman"/>
          <w:color w:val="auto"/>
        </w:rPr>
        <w:t>变压器、配电室、加工车间。</w:t>
      </w:r>
    </w:p>
    <w:p w14:paraId="37973BE1">
      <w:pPr>
        <w:bidi w:val="0"/>
        <w:rPr>
          <w:rFonts w:ascii="Times New Roman" w:hAnsi="Times New Roman"/>
          <w:color w:val="auto"/>
        </w:rPr>
      </w:pPr>
      <w:r>
        <w:rPr>
          <w:rFonts w:ascii="Times New Roman" w:hAnsi="Times New Roman"/>
          <w:color w:val="auto"/>
        </w:rPr>
        <w:t>（2）雷电危害</w:t>
      </w:r>
    </w:p>
    <w:p w14:paraId="38758B0B">
      <w:pPr>
        <w:bidi w:val="0"/>
        <w:rPr>
          <w:rFonts w:ascii="Times New Roman" w:hAnsi="Times New Roman"/>
          <w:color w:val="auto"/>
        </w:rPr>
      </w:pPr>
      <w:r>
        <w:rPr>
          <w:rFonts w:ascii="Times New Roman" w:hAnsi="Times New Roman"/>
          <w:color w:val="auto"/>
        </w:rPr>
        <w:t>矿区建（构）筑物、变配电设施、采场等危险环境，均应避免雷电伤害。</w:t>
      </w:r>
    </w:p>
    <w:p w14:paraId="5C8E4CB3">
      <w:pPr>
        <w:bidi w:val="0"/>
        <w:rPr>
          <w:rFonts w:ascii="Times New Roman" w:hAnsi="Times New Roman"/>
          <w:color w:val="auto"/>
        </w:rPr>
      </w:pPr>
      <w:r>
        <w:rPr>
          <w:rFonts w:ascii="Times New Roman" w:hAnsi="Times New Roman"/>
          <w:color w:val="auto"/>
        </w:rPr>
        <w:t>一、雷电伤害方式和途径分析：</w:t>
      </w:r>
    </w:p>
    <w:p w14:paraId="4C5F00E5">
      <w:pPr>
        <w:bidi w:val="0"/>
        <w:rPr>
          <w:rFonts w:ascii="Times New Roman" w:hAnsi="Times New Roman"/>
          <w:color w:val="auto"/>
        </w:rPr>
      </w:pPr>
      <w:r>
        <w:rPr>
          <w:rFonts w:ascii="Times New Roman" w:hAnsi="Times New Roman"/>
          <w:color w:val="auto"/>
        </w:rPr>
        <w:t>1）伤害方式：爆炸、火灾、电击、毁坏设备、设施、事故停电等；</w:t>
      </w:r>
    </w:p>
    <w:p w14:paraId="0044ED9C">
      <w:pPr>
        <w:bidi w:val="0"/>
        <w:rPr>
          <w:rFonts w:ascii="Times New Roman" w:hAnsi="Times New Roman"/>
          <w:color w:val="auto"/>
        </w:rPr>
      </w:pPr>
      <w:r>
        <w:rPr>
          <w:rFonts w:ascii="Times New Roman" w:hAnsi="Times New Roman"/>
          <w:color w:val="auto"/>
        </w:rPr>
        <w:t>2）伤害途径：直接雷击、雷电感应、雷电波的电性质、热性质、机械性质的破坏作用引起。</w:t>
      </w:r>
    </w:p>
    <w:p w14:paraId="35434B1A">
      <w:pPr>
        <w:bidi w:val="0"/>
        <w:rPr>
          <w:rFonts w:ascii="Times New Roman" w:hAnsi="Times New Roman"/>
          <w:color w:val="auto"/>
        </w:rPr>
      </w:pPr>
      <w:r>
        <w:rPr>
          <w:rFonts w:ascii="Times New Roman" w:hAnsi="Times New Roman"/>
          <w:color w:val="auto"/>
        </w:rPr>
        <w:t>二、雷电伤害产生的原因分析：</w:t>
      </w:r>
    </w:p>
    <w:p w14:paraId="34EB3FA1">
      <w:pPr>
        <w:bidi w:val="0"/>
        <w:rPr>
          <w:rFonts w:ascii="Times New Roman" w:hAnsi="Times New Roman"/>
          <w:color w:val="auto"/>
        </w:rPr>
      </w:pPr>
      <w:r>
        <w:rPr>
          <w:rFonts w:ascii="Times New Roman" w:hAnsi="Times New Roman"/>
          <w:color w:val="auto"/>
        </w:rPr>
        <w:t>1）防雷接地装置设计不合理；</w:t>
      </w:r>
    </w:p>
    <w:p w14:paraId="0E29E308">
      <w:pPr>
        <w:bidi w:val="0"/>
        <w:rPr>
          <w:rFonts w:ascii="Times New Roman" w:hAnsi="Times New Roman"/>
          <w:color w:val="auto"/>
        </w:rPr>
      </w:pPr>
      <w:r>
        <w:rPr>
          <w:rFonts w:ascii="Times New Roman" w:hAnsi="Times New Roman"/>
          <w:color w:val="auto"/>
        </w:rPr>
        <w:t>2）防雷接地装置使用不当，存在缺陷；</w:t>
      </w:r>
    </w:p>
    <w:p w14:paraId="3CE529B1">
      <w:pPr>
        <w:bidi w:val="0"/>
        <w:rPr>
          <w:rFonts w:ascii="Times New Roman" w:hAnsi="Times New Roman"/>
          <w:color w:val="auto"/>
        </w:rPr>
      </w:pPr>
      <w:r>
        <w:rPr>
          <w:rFonts w:ascii="Times New Roman" w:hAnsi="Times New Roman"/>
          <w:color w:val="auto"/>
        </w:rPr>
        <w:t>3）防雷接地装置失效，接地电阻不符合要求；</w:t>
      </w:r>
    </w:p>
    <w:p w14:paraId="12E0B4AE">
      <w:pPr>
        <w:bidi w:val="0"/>
        <w:rPr>
          <w:rFonts w:ascii="Times New Roman" w:hAnsi="Times New Roman"/>
          <w:color w:val="auto"/>
        </w:rPr>
      </w:pPr>
      <w:r>
        <w:rPr>
          <w:rFonts w:ascii="Times New Roman" w:hAnsi="Times New Roman"/>
          <w:color w:val="auto"/>
        </w:rPr>
        <w:t>4）缺乏必要的人身防雷安全知识；</w:t>
      </w:r>
    </w:p>
    <w:p w14:paraId="21E1753F">
      <w:pPr>
        <w:bidi w:val="0"/>
        <w:rPr>
          <w:rFonts w:ascii="Times New Roman" w:hAnsi="Times New Roman"/>
          <w:color w:val="auto"/>
        </w:rPr>
      </w:pPr>
      <w:r>
        <w:rPr>
          <w:rFonts w:ascii="Times New Roman" w:hAnsi="Times New Roman"/>
          <w:color w:val="auto"/>
        </w:rPr>
        <w:t>5）雷雨天露天采场进行采掘作业。</w:t>
      </w:r>
    </w:p>
    <w:p w14:paraId="4E1DCAC7">
      <w:pPr>
        <w:bidi w:val="0"/>
        <w:rPr>
          <w:rFonts w:ascii="Times New Roman" w:hAnsi="Times New Roman"/>
          <w:color w:val="auto"/>
        </w:rPr>
      </w:pPr>
      <w:r>
        <w:rPr>
          <w:rFonts w:ascii="Times New Roman" w:hAnsi="Times New Roman"/>
          <w:color w:val="auto"/>
        </w:rPr>
        <w:t>三、易发生雷电伤害的场所：</w:t>
      </w:r>
    </w:p>
    <w:p w14:paraId="68E24B41">
      <w:pPr>
        <w:bidi w:val="0"/>
        <w:rPr>
          <w:rFonts w:ascii="Times New Roman" w:hAnsi="Times New Roman"/>
          <w:color w:val="auto"/>
        </w:rPr>
      </w:pPr>
      <w:r>
        <w:rPr>
          <w:rFonts w:ascii="Times New Roman" w:hAnsi="Times New Roman"/>
          <w:color w:val="auto"/>
        </w:rPr>
        <w:t>各种电器设备及其线路，变压器及配电室。</w:t>
      </w:r>
    </w:p>
    <w:p w14:paraId="3074A435">
      <w:pPr>
        <w:bidi w:val="0"/>
        <w:rPr>
          <w:rFonts w:ascii="Times New Roman" w:hAnsi="Times New Roman"/>
          <w:color w:val="auto"/>
        </w:rPr>
      </w:pPr>
      <w:r>
        <w:rPr>
          <w:rFonts w:ascii="Times New Roman" w:hAnsi="Times New Roman"/>
          <w:color w:val="auto"/>
        </w:rPr>
        <w:t>（3）火灾（电气火灾）</w:t>
      </w:r>
    </w:p>
    <w:p w14:paraId="3A9C8DEC">
      <w:pPr>
        <w:bidi w:val="0"/>
        <w:rPr>
          <w:rFonts w:ascii="Times New Roman" w:hAnsi="Times New Roman"/>
          <w:color w:val="auto"/>
        </w:rPr>
      </w:pPr>
      <w:r>
        <w:rPr>
          <w:rFonts w:ascii="Times New Roman" w:hAnsi="Times New Roman"/>
          <w:color w:val="auto"/>
        </w:rPr>
        <w:t>矿山电气设备设施由于短路等原因，可能发生电气火灾。</w:t>
      </w:r>
    </w:p>
    <w:p w14:paraId="51F88927">
      <w:pPr>
        <w:bidi w:val="0"/>
        <w:rPr>
          <w:rFonts w:ascii="Times New Roman" w:hAnsi="Times New Roman"/>
          <w:color w:val="auto"/>
        </w:rPr>
      </w:pPr>
      <w:r>
        <w:rPr>
          <w:rFonts w:ascii="Times New Roman" w:hAnsi="Times New Roman"/>
          <w:color w:val="auto"/>
        </w:rPr>
        <w:t>一、本单元发生电气火灾事故的原因有：</w:t>
      </w:r>
    </w:p>
    <w:p w14:paraId="099AD407">
      <w:pPr>
        <w:bidi w:val="0"/>
        <w:rPr>
          <w:rFonts w:ascii="Times New Roman" w:hAnsi="Times New Roman"/>
          <w:color w:val="auto"/>
        </w:rPr>
      </w:pPr>
      <w:r>
        <w:rPr>
          <w:rFonts w:ascii="Times New Roman" w:hAnsi="Times New Roman"/>
          <w:color w:val="auto"/>
        </w:rPr>
        <w:t>1）用电线路不规范或破损裸露等引起火灾事故；</w:t>
      </w:r>
    </w:p>
    <w:p w14:paraId="3DBFD657">
      <w:pPr>
        <w:bidi w:val="0"/>
        <w:rPr>
          <w:rFonts w:ascii="Times New Roman" w:hAnsi="Times New Roman"/>
          <w:color w:val="auto"/>
        </w:rPr>
      </w:pPr>
      <w:r>
        <w:rPr>
          <w:rFonts w:ascii="Times New Roman" w:hAnsi="Times New Roman"/>
          <w:color w:val="auto"/>
        </w:rPr>
        <w:t>2）电气设备设施由于短路等原因，可能发生电气火灾。</w:t>
      </w:r>
    </w:p>
    <w:p w14:paraId="77A97AAB">
      <w:pPr>
        <w:bidi w:val="0"/>
        <w:rPr>
          <w:rFonts w:ascii="Times New Roman" w:hAnsi="Times New Roman"/>
          <w:color w:val="auto"/>
        </w:rPr>
      </w:pPr>
      <w:r>
        <w:rPr>
          <w:rFonts w:ascii="Times New Roman" w:hAnsi="Times New Roman"/>
          <w:color w:val="auto"/>
        </w:rPr>
        <w:t>二、易发生雷电伤害的场所：</w:t>
      </w:r>
    </w:p>
    <w:p w14:paraId="0871AE11">
      <w:pPr>
        <w:bidi w:val="0"/>
        <w:rPr>
          <w:rFonts w:ascii="Times New Roman" w:hAnsi="Times New Roman"/>
          <w:color w:val="auto"/>
        </w:rPr>
      </w:pPr>
      <w:r>
        <w:rPr>
          <w:rFonts w:ascii="Times New Roman" w:hAnsi="Times New Roman"/>
          <w:color w:val="auto"/>
        </w:rPr>
        <w:t>各种电器设备及其线路，变压器及配电室。</w:t>
      </w:r>
    </w:p>
    <w:p w14:paraId="4020C621">
      <w:pPr>
        <w:pStyle w:val="4"/>
        <w:bidi w:val="0"/>
        <w:rPr>
          <w:rFonts w:hint="eastAsia" w:ascii="Times New Roman" w:hAnsi="Times New Roman" w:eastAsia="宋体"/>
          <w:color w:val="auto"/>
          <w:sz w:val="28"/>
          <w:szCs w:val="28"/>
          <w:lang w:val="en-GB" w:eastAsia="zh-CN"/>
        </w:rPr>
      </w:pPr>
      <w:bookmarkStart w:id="150" w:name="_Toc2646"/>
      <w:bookmarkStart w:id="151" w:name="_Toc17500"/>
      <w:bookmarkStart w:id="152" w:name="_Toc5431"/>
      <w:bookmarkStart w:id="153" w:name="_Toc12619"/>
      <w:r>
        <w:rPr>
          <w:rFonts w:ascii="Times New Roman" w:hAnsi="Times New Roman"/>
          <w:color w:val="auto"/>
          <w:sz w:val="28"/>
          <w:szCs w:val="28"/>
          <w:lang w:val="en-GB"/>
        </w:rPr>
        <w:t>3.</w:t>
      </w:r>
      <w:r>
        <w:rPr>
          <w:rFonts w:ascii="Times New Roman" w:hAnsi="Times New Roman"/>
          <w:color w:val="auto"/>
          <w:sz w:val="28"/>
          <w:szCs w:val="28"/>
        </w:rPr>
        <w:t>4</w:t>
      </w:r>
      <w:r>
        <w:rPr>
          <w:rFonts w:ascii="Times New Roman" w:hAnsi="Times New Roman"/>
          <w:color w:val="auto"/>
          <w:sz w:val="28"/>
          <w:szCs w:val="28"/>
          <w:lang w:val="en-GB"/>
        </w:rPr>
        <w:t>.</w:t>
      </w:r>
      <w:r>
        <w:rPr>
          <w:rFonts w:ascii="Times New Roman" w:hAnsi="Times New Roman"/>
          <w:color w:val="auto"/>
          <w:sz w:val="28"/>
          <w:szCs w:val="28"/>
        </w:rPr>
        <w:t>2</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预先危险性分析</w:t>
      </w:r>
      <w:r>
        <w:rPr>
          <w:rFonts w:hint="eastAsia" w:ascii="Times New Roman" w:hAnsi="Times New Roman"/>
          <w:color w:val="auto"/>
          <w:sz w:val="28"/>
          <w:szCs w:val="28"/>
          <w:lang w:val="en-GB" w:eastAsia="zh-CN"/>
        </w:rPr>
        <w:t>（</w:t>
      </w:r>
      <w:r>
        <w:rPr>
          <w:rFonts w:ascii="Times New Roman" w:hAnsi="Times New Roman"/>
          <w:color w:val="auto"/>
          <w:sz w:val="28"/>
          <w:szCs w:val="28"/>
          <w:lang w:val="en-GB"/>
        </w:rPr>
        <w:t>PHA</w:t>
      </w:r>
      <w:bookmarkEnd w:id="150"/>
      <w:bookmarkEnd w:id="151"/>
      <w:bookmarkEnd w:id="152"/>
      <w:r>
        <w:rPr>
          <w:rFonts w:hint="eastAsia" w:ascii="Times New Roman" w:hAnsi="Times New Roman"/>
          <w:color w:val="auto"/>
          <w:sz w:val="28"/>
          <w:szCs w:val="28"/>
          <w:lang w:val="en-GB" w:eastAsia="zh-CN"/>
        </w:rPr>
        <w:t>）</w:t>
      </w:r>
      <w:bookmarkEnd w:id="153"/>
    </w:p>
    <w:p w14:paraId="05366226">
      <w:pPr>
        <w:pStyle w:val="16"/>
        <w:bidi w:val="0"/>
        <w:rPr>
          <w:rFonts w:ascii="Times New Roman" w:hAnsi="Times New Roman"/>
          <w:color w:val="auto"/>
        </w:rPr>
      </w:pPr>
    </w:p>
    <w:p w14:paraId="6A50D586">
      <w:pPr>
        <w:pStyle w:val="16"/>
        <w:bidi w:val="0"/>
        <w:rPr>
          <w:rFonts w:ascii="Times New Roman" w:hAnsi="Times New Roman"/>
          <w:color w:val="auto"/>
        </w:rPr>
      </w:pPr>
    </w:p>
    <w:p w14:paraId="1FC4D7BC">
      <w:pPr>
        <w:pStyle w:val="16"/>
        <w:bidi w:val="0"/>
        <w:rPr>
          <w:rFonts w:ascii="Times New Roman" w:hAnsi="Times New Roman"/>
          <w:color w:val="auto"/>
        </w:rPr>
      </w:pPr>
    </w:p>
    <w:p w14:paraId="1DD7FD56">
      <w:pPr>
        <w:pStyle w:val="16"/>
        <w:bidi w:val="0"/>
        <w:rPr>
          <w:rFonts w:ascii="Times New Roman" w:hAnsi="Times New Roman"/>
          <w:color w:val="auto"/>
        </w:rPr>
      </w:pPr>
      <w:r>
        <w:rPr>
          <w:rFonts w:ascii="Times New Roman" w:hAnsi="Times New Roman"/>
          <w:color w:val="auto"/>
        </w:rPr>
        <w:t>表3.4-1  矿山供配电设施单元预先危险性分析表</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2305"/>
        <w:gridCol w:w="831"/>
        <w:gridCol w:w="831"/>
        <w:gridCol w:w="831"/>
        <w:gridCol w:w="3480"/>
      </w:tblGrid>
      <w:tr w14:paraId="58C9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95" w:type="pct"/>
            <w:noWrap w:val="0"/>
            <w:vAlign w:val="center"/>
          </w:tcPr>
          <w:p w14:paraId="6AC0F1F6">
            <w:pPr>
              <w:pStyle w:val="17"/>
              <w:bidi w:val="0"/>
              <w:rPr>
                <w:rFonts w:ascii="Times New Roman" w:hAnsi="Times New Roman"/>
                <w:b/>
                <w:bCs/>
                <w:color w:val="auto"/>
              </w:rPr>
            </w:pPr>
            <w:r>
              <w:rPr>
                <w:rFonts w:ascii="Times New Roman" w:hAnsi="Times New Roman"/>
                <w:b/>
                <w:bCs/>
                <w:color w:val="auto"/>
              </w:rPr>
              <w:t>危险有</w:t>
            </w:r>
          </w:p>
          <w:p w14:paraId="6BCEF25A">
            <w:pPr>
              <w:pStyle w:val="17"/>
              <w:bidi w:val="0"/>
              <w:rPr>
                <w:rFonts w:ascii="Times New Roman" w:hAnsi="Times New Roman"/>
                <w:b/>
                <w:bCs/>
                <w:color w:val="auto"/>
              </w:rPr>
            </w:pPr>
            <w:r>
              <w:rPr>
                <w:rFonts w:ascii="Times New Roman" w:hAnsi="Times New Roman"/>
                <w:b/>
                <w:bCs/>
                <w:color w:val="auto"/>
              </w:rPr>
              <w:t>害因素</w:t>
            </w:r>
          </w:p>
        </w:tc>
        <w:tc>
          <w:tcPr>
            <w:tcW w:w="1226" w:type="pct"/>
            <w:noWrap w:val="0"/>
            <w:vAlign w:val="center"/>
          </w:tcPr>
          <w:p w14:paraId="46CBA12F">
            <w:pPr>
              <w:pStyle w:val="17"/>
              <w:bidi w:val="0"/>
              <w:rPr>
                <w:rFonts w:ascii="Times New Roman" w:hAnsi="Times New Roman"/>
                <w:b/>
                <w:bCs/>
                <w:color w:val="auto"/>
              </w:rPr>
            </w:pPr>
            <w:r>
              <w:rPr>
                <w:rFonts w:ascii="Times New Roman" w:hAnsi="Times New Roman"/>
                <w:b/>
                <w:bCs/>
                <w:color w:val="auto"/>
              </w:rPr>
              <w:t>诱发事故原因</w:t>
            </w:r>
          </w:p>
        </w:tc>
        <w:tc>
          <w:tcPr>
            <w:tcW w:w="442" w:type="pct"/>
            <w:noWrap w:val="0"/>
            <w:vAlign w:val="center"/>
          </w:tcPr>
          <w:p w14:paraId="0E9B22BF">
            <w:pPr>
              <w:pStyle w:val="17"/>
              <w:bidi w:val="0"/>
              <w:rPr>
                <w:rFonts w:ascii="Times New Roman" w:hAnsi="Times New Roman"/>
                <w:b/>
                <w:bCs/>
                <w:color w:val="auto"/>
              </w:rPr>
            </w:pPr>
            <w:r>
              <w:rPr>
                <w:rFonts w:ascii="Times New Roman" w:hAnsi="Times New Roman"/>
                <w:b/>
                <w:bCs/>
                <w:color w:val="auto"/>
              </w:rPr>
              <w:t>事故</w:t>
            </w:r>
          </w:p>
          <w:p w14:paraId="5F7054F3">
            <w:pPr>
              <w:pStyle w:val="17"/>
              <w:bidi w:val="0"/>
              <w:rPr>
                <w:rFonts w:ascii="Times New Roman" w:hAnsi="Times New Roman"/>
                <w:b/>
                <w:bCs/>
                <w:color w:val="auto"/>
              </w:rPr>
            </w:pPr>
            <w:r>
              <w:rPr>
                <w:rFonts w:ascii="Times New Roman" w:hAnsi="Times New Roman"/>
                <w:b/>
                <w:bCs/>
                <w:color w:val="auto"/>
              </w:rPr>
              <w:t>模式</w:t>
            </w:r>
          </w:p>
        </w:tc>
        <w:tc>
          <w:tcPr>
            <w:tcW w:w="442" w:type="pct"/>
            <w:noWrap w:val="0"/>
            <w:vAlign w:val="center"/>
          </w:tcPr>
          <w:p w14:paraId="0605B5DA">
            <w:pPr>
              <w:pStyle w:val="17"/>
              <w:bidi w:val="0"/>
              <w:rPr>
                <w:rFonts w:ascii="Times New Roman" w:hAnsi="Times New Roman"/>
                <w:b/>
                <w:bCs/>
                <w:color w:val="auto"/>
              </w:rPr>
            </w:pPr>
            <w:r>
              <w:rPr>
                <w:rFonts w:ascii="Times New Roman" w:hAnsi="Times New Roman"/>
                <w:b/>
                <w:bCs/>
                <w:color w:val="auto"/>
              </w:rPr>
              <w:t>事故后果</w:t>
            </w:r>
          </w:p>
        </w:tc>
        <w:tc>
          <w:tcPr>
            <w:tcW w:w="442" w:type="pct"/>
            <w:noWrap w:val="0"/>
            <w:vAlign w:val="center"/>
          </w:tcPr>
          <w:p w14:paraId="277BB7F5">
            <w:pPr>
              <w:pStyle w:val="17"/>
              <w:bidi w:val="0"/>
              <w:rPr>
                <w:rFonts w:ascii="Times New Roman" w:hAnsi="Times New Roman"/>
                <w:b/>
                <w:bCs/>
                <w:color w:val="auto"/>
              </w:rPr>
            </w:pPr>
            <w:r>
              <w:rPr>
                <w:rFonts w:ascii="Times New Roman" w:hAnsi="Times New Roman"/>
                <w:b/>
                <w:bCs/>
                <w:color w:val="auto"/>
              </w:rPr>
              <w:t>危险等级</w:t>
            </w:r>
          </w:p>
        </w:tc>
        <w:tc>
          <w:tcPr>
            <w:tcW w:w="1851" w:type="pct"/>
            <w:noWrap w:val="0"/>
            <w:vAlign w:val="center"/>
          </w:tcPr>
          <w:p w14:paraId="5A32894C">
            <w:pPr>
              <w:pStyle w:val="17"/>
              <w:bidi w:val="0"/>
              <w:rPr>
                <w:rFonts w:ascii="Times New Roman" w:hAnsi="Times New Roman"/>
                <w:b/>
                <w:bCs/>
                <w:color w:val="auto"/>
              </w:rPr>
            </w:pPr>
            <w:r>
              <w:rPr>
                <w:rFonts w:ascii="Times New Roman" w:hAnsi="Times New Roman"/>
                <w:b/>
                <w:bCs/>
                <w:color w:val="auto"/>
              </w:rPr>
              <w:t>对策措施</w:t>
            </w:r>
          </w:p>
        </w:tc>
      </w:tr>
      <w:tr w14:paraId="7594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595" w:type="pct"/>
            <w:noWrap w:val="0"/>
            <w:vAlign w:val="center"/>
          </w:tcPr>
          <w:p w14:paraId="6A4CE288">
            <w:pPr>
              <w:pStyle w:val="17"/>
              <w:bidi w:val="0"/>
              <w:rPr>
                <w:rFonts w:ascii="Times New Roman" w:hAnsi="Times New Roman"/>
                <w:color w:val="auto"/>
              </w:rPr>
            </w:pPr>
            <w:r>
              <w:rPr>
                <w:rFonts w:ascii="Times New Roman" w:hAnsi="Times New Roman"/>
                <w:color w:val="auto"/>
              </w:rPr>
              <w:t>机械</w:t>
            </w:r>
          </w:p>
          <w:p w14:paraId="6BF83DF6">
            <w:pPr>
              <w:pStyle w:val="17"/>
              <w:bidi w:val="0"/>
              <w:rPr>
                <w:rFonts w:ascii="Times New Roman" w:hAnsi="Times New Roman"/>
                <w:color w:val="auto"/>
              </w:rPr>
            </w:pPr>
            <w:r>
              <w:rPr>
                <w:rFonts w:ascii="Times New Roman" w:hAnsi="Times New Roman"/>
                <w:color w:val="auto"/>
              </w:rPr>
              <w:t>伤害</w:t>
            </w:r>
          </w:p>
        </w:tc>
        <w:tc>
          <w:tcPr>
            <w:tcW w:w="1226" w:type="pct"/>
            <w:noWrap w:val="0"/>
            <w:vAlign w:val="center"/>
          </w:tcPr>
          <w:p w14:paraId="34264DCD">
            <w:pPr>
              <w:pStyle w:val="17"/>
              <w:bidi w:val="0"/>
              <w:jc w:val="both"/>
              <w:rPr>
                <w:rFonts w:ascii="Times New Roman" w:hAnsi="Times New Roman"/>
                <w:color w:val="auto"/>
              </w:rPr>
            </w:pPr>
            <w:r>
              <w:rPr>
                <w:rFonts w:ascii="Times New Roman" w:hAnsi="Times New Roman"/>
                <w:color w:val="auto"/>
              </w:rPr>
              <w:t>操作不熟练；操作地点不安全；</w:t>
            </w:r>
          </w:p>
          <w:p w14:paraId="16276970">
            <w:pPr>
              <w:pStyle w:val="17"/>
              <w:bidi w:val="0"/>
              <w:jc w:val="both"/>
              <w:rPr>
                <w:rFonts w:ascii="Times New Roman" w:hAnsi="Times New Roman"/>
                <w:color w:val="auto"/>
              </w:rPr>
            </w:pPr>
            <w:r>
              <w:rPr>
                <w:rFonts w:ascii="Times New Roman" w:hAnsi="Times New Roman"/>
                <w:color w:val="auto"/>
              </w:rPr>
              <w:t>作业前安全检查、处理不到位；防护装置</w:t>
            </w:r>
            <w:r>
              <w:rPr>
                <w:rFonts w:hint="eastAsia" w:ascii="Times New Roman" w:hAnsi="Times New Roman"/>
                <w:color w:val="auto"/>
                <w:lang w:eastAsia="zh-CN"/>
              </w:rPr>
              <w:t>（</w:t>
            </w:r>
            <w:r>
              <w:rPr>
                <w:rFonts w:ascii="Times New Roman" w:hAnsi="Times New Roman"/>
                <w:color w:val="auto"/>
              </w:rPr>
              <w:t>罩</w:t>
            </w:r>
            <w:r>
              <w:rPr>
                <w:rFonts w:hint="eastAsia" w:ascii="Times New Roman" w:hAnsi="Times New Roman"/>
                <w:color w:val="auto"/>
                <w:lang w:eastAsia="zh-CN"/>
              </w:rPr>
              <w:t>）</w:t>
            </w:r>
            <w:r>
              <w:rPr>
                <w:rFonts w:ascii="Times New Roman" w:hAnsi="Times New Roman"/>
                <w:color w:val="auto"/>
              </w:rPr>
              <w:t>不全。</w:t>
            </w:r>
          </w:p>
        </w:tc>
        <w:tc>
          <w:tcPr>
            <w:tcW w:w="442" w:type="pct"/>
            <w:noWrap w:val="0"/>
            <w:vAlign w:val="center"/>
          </w:tcPr>
          <w:p w14:paraId="5C4AC02C">
            <w:pPr>
              <w:pStyle w:val="17"/>
              <w:bidi w:val="0"/>
              <w:rPr>
                <w:rFonts w:ascii="Times New Roman" w:hAnsi="Times New Roman"/>
                <w:color w:val="auto"/>
              </w:rPr>
            </w:pPr>
            <w:r>
              <w:rPr>
                <w:rFonts w:ascii="Times New Roman" w:hAnsi="Times New Roman"/>
                <w:color w:val="auto"/>
              </w:rPr>
              <w:t>机械伤害、跌伤</w:t>
            </w:r>
          </w:p>
        </w:tc>
        <w:tc>
          <w:tcPr>
            <w:tcW w:w="442" w:type="pct"/>
            <w:noWrap w:val="0"/>
            <w:vAlign w:val="center"/>
          </w:tcPr>
          <w:p w14:paraId="6AAB5234">
            <w:pPr>
              <w:pStyle w:val="17"/>
              <w:bidi w:val="0"/>
              <w:rPr>
                <w:rFonts w:ascii="Times New Roman" w:hAnsi="Times New Roman"/>
                <w:color w:val="auto"/>
              </w:rPr>
            </w:pPr>
            <w:r>
              <w:rPr>
                <w:rFonts w:ascii="Times New Roman" w:hAnsi="Times New Roman"/>
                <w:color w:val="auto"/>
              </w:rPr>
              <w:t>人员伤害</w:t>
            </w:r>
          </w:p>
        </w:tc>
        <w:tc>
          <w:tcPr>
            <w:tcW w:w="442" w:type="pct"/>
            <w:noWrap w:val="0"/>
            <w:vAlign w:val="center"/>
          </w:tcPr>
          <w:p w14:paraId="1AA1BACD">
            <w:pPr>
              <w:pStyle w:val="17"/>
              <w:bidi w:val="0"/>
              <w:rPr>
                <w:rFonts w:ascii="Times New Roman" w:hAnsi="Times New Roman"/>
                <w:color w:val="auto"/>
              </w:rPr>
            </w:pPr>
            <w:r>
              <w:rPr>
                <w:rFonts w:ascii="Times New Roman" w:hAnsi="Times New Roman"/>
                <w:color w:val="auto"/>
              </w:rPr>
              <w:t>II</w:t>
            </w:r>
          </w:p>
        </w:tc>
        <w:tc>
          <w:tcPr>
            <w:tcW w:w="1851" w:type="pct"/>
            <w:noWrap w:val="0"/>
            <w:vAlign w:val="center"/>
          </w:tcPr>
          <w:p w14:paraId="071349D6">
            <w:pPr>
              <w:pStyle w:val="17"/>
              <w:bidi w:val="0"/>
              <w:jc w:val="both"/>
              <w:rPr>
                <w:rFonts w:ascii="Times New Roman" w:hAnsi="Times New Roman"/>
                <w:color w:val="auto"/>
              </w:rPr>
            </w:pPr>
            <w:r>
              <w:rPr>
                <w:rFonts w:ascii="Times New Roman" w:hAnsi="Times New Roman"/>
                <w:color w:val="auto"/>
              </w:rPr>
              <w:t>①严格执行操作规程；②树立先安全后生产的观念，坚持工作前对工作面的安全处理；③加强个人防护措施；④完善配备机械安全防护装置。</w:t>
            </w:r>
          </w:p>
        </w:tc>
      </w:tr>
      <w:tr w14:paraId="0D26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2" w:hRule="atLeast"/>
          <w:jc w:val="center"/>
        </w:trPr>
        <w:tc>
          <w:tcPr>
            <w:tcW w:w="595" w:type="pct"/>
            <w:noWrap w:val="0"/>
            <w:vAlign w:val="center"/>
          </w:tcPr>
          <w:p w14:paraId="07307B58">
            <w:pPr>
              <w:pStyle w:val="17"/>
              <w:bidi w:val="0"/>
              <w:rPr>
                <w:rFonts w:ascii="Times New Roman" w:hAnsi="Times New Roman"/>
                <w:color w:val="auto"/>
              </w:rPr>
            </w:pPr>
            <w:r>
              <w:rPr>
                <w:rFonts w:ascii="Times New Roman" w:hAnsi="Times New Roman"/>
                <w:color w:val="auto"/>
              </w:rPr>
              <w:t>触电</w:t>
            </w:r>
          </w:p>
        </w:tc>
        <w:tc>
          <w:tcPr>
            <w:tcW w:w="1226" w:type="pct"/>
            <w:noWrap w:val="0"/>
            <w:vAlign w:val="center"/>
          </w:tcPr>
          <w:p w14:paraId="08FBBF08">
            <w:pPr>
              <w:pStyle w:val="17"/>
              <w:bidi w:val="0"/>
              <w:jc w:val="both"/>
              <w:rPr>
                <w:rFonts w:ascii="Times New Roman" w:hAnsi="Times New Roman"/>
                <w:color w:val="auto"/>
              </w:rPr>
            </w:pPr>
            <w:r>
              <w:rPr>
                <w:rFonts w:ascii="Times New Roman" w:hAnsi="Times New Roman"/>
                <w:color w:val="auto"/>
              </w:rPr>
              <w:t>工作面潮湿；</w:t>
            </w:r>
          </w:p>
          <w:p w14:paraId="6878D786">
            <w:pPr>
              <w:pStyle w:val="17"/>
              <w:bidi w:val="0"/>
              <w:jc w:val="both"/>
              <w:rPr>
                <w:rFonts w:ascii="Times New Roman" w:hAnsi="Times New Roman"/>
                <w:color w:val="auto"/>
              </w:rPr>
            </w:pPr>
            <w:r>
              <w:rPr>
                <w:rFonts w:ascii="Times New Roman" w:hAnsi="Times New Roman"/>
                <w:color w:val="auto"/>
              </w:rPr>
              <w:t>使用电气设备绝缘老化；电气设备缺少漏电保护等防护装置；不执行停送电制度；缺乏安全警示标志；作业无人监护；不使用安全电压；安全装置失效；个人防护措施不全；其他违章操作。</w:t>
            </w:r>
          </w:p>
        </w:tc>
        <w:tc>
          <w:tcPr>
            <w:tcW w:w="442" w:type="pct"/>
            <w:noWrap w:val="0"/>
            <w:vAlign w:val="center"/>
          </w:tcPr>
          <w:p w14:paraId="4613A7DF">
            <w:pPr>
              <w:pStyle w:val="17"/>
              <w:bidi w:val="0"/>
              <w:rPr>
                <w:rFonts w:ascii="Times New Roman" w:hAnsi="Times New Roman"/>
                <w:color w:val="auto"/>
              </w:rPr>
            </w:pPr>
            <w:r>
              <w:rPr>
                <w:rFonts w:ascii="Times New Roman" w:hAnsi="Times New Roman"/>
                <w:color w:val="auto"/>
              </w:rPr>
              <w:t>短路、引发漏电、触电</w:t>
            </w:r>
          </w:p>
        </w:tc>
        <w:tc>
          <w:tcPr>
            <w:tcW w:w="442" w:type="pct"/>
            <w:noWrap w:val="0"/>
            <w:vAlign w:val="center"/>
          </w:tcPr>
          <w:p w14:paraId="23909685">
            <w:pPr>
              <w:pStyle w:val="17"/>
              <w:bidi w:val="0"/>
              <w:rPr>
                <w:rFonts w:ascii="Times New Roman" w:hAnsi="Times New Roman"/>
                <w:color w:val="auto"/>
              </w:rPr>
            </w:pPr>
            <w:r>
              <w:rPr>
                <w:rFonts w:ascii="Times New Roman" w:hAnsi="Times New Roman"/>
                <w:color w:val="auto"/>
              </w:rPr>
              <w:t>人员伤亡、设备损坏</w:t>
            </w:r>
          </w:p>
        </w:tc>
        <w:tc>
          <w:tcPr>
            <w:tcW w:w="442" w:type="pct"/>
            <w:noWrap w:val="0"/>
            <w:vAlign w:val="center"/>
          </w:tcPr>
          <w:p w14:paraId="7B5461B1">
            <w:pPr>
              <w:pStyle w:val="17"/>
              <w:bidi w:val="0"/>
              <w:rPr>
                <w:rFonts w:ascii="Times New Roman" w:hAnsi="Times New Roman"/>
                <w:color w:val="auto"/>
              </w:rPr>
            </w:pPr>
            <w:r>
              <w:rPr>
                <w:rFonts w:ascii="Times New Roman" w:hAnsi="Times New Roman"/>
                <w:color w:val="auto"/>
              </w:rPr>
              <w:t>II</w:t>
            </w:r>
          </w:p>
        </w:tc>
        <w:tc>
          <w:tcPr>
            <w:tcW w:w="1851" w:type="pct"/>
            <w:noWrap w:val="0"/>
            <w:vAlign w:val="center"/>
          </w:tcPr>
          <w:p w14:paraId="63278107">
            <w:pPr>
              <w:pStyle w:val="17"/>
              <w:bidi w:val="0"/>
              <w:jc w:val="both"/>
              <w:rPr>
                <w:rFonts w:ascii="Times New Roman" w:hAnsi="Times New Roman"/>
                <w:color w:val="auto"/>
              </w:rPr>
            </w:pPr>
            <w:r>
              <w:rPr>
                <w:rFonts w:ascii="Times New Roman" w:hAnsi="Times New Roman"/>
                <w:color w:val="auto"/>
              </w:rPr>
              <w:t>①严格执行操作规程；②树立先安全后生产的观念，坚持工作前对工作面的安全处理；③加强个人防护措施，严格执行劳动防护用品发放、使用管理制度；④电气工作人员持证上岗；⑤变压器周围设围栏、警告牌，配电室铺设绝缘地毯；⑥配电室配备绝缘靴、绝缘手套、绝缘杆等绝缘设备，门窗加防护网；⑦电气设备可能被人所触及的裸露带电部分，设置警戒标志；⑧定期检查电气线路及设备。</w:t>
            </w:r>
          </w:p>
        </w:tc>
      </w:tr>
      <w:tr w14:paraId="4BBF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jc w:val="center"/>
        </w:trPr>
        <w:tc>
          <w:tcPr>
            <w:tcW w:w="595" w:type="pct"/>
            <w:noWrap w:val="0"/>
            <w:vAlign w:val="center"/>
          </w:tcPr>
          <w:p w14:paraId="14DA0B9F">
            <w:pPr>
              <w:pStyle w:val="17"/>
              <w:bidi w:val="0"/>
              <w:rPr>
                <w:rFonts w:ascii="Times New Roman" w:hAnsi="Times New Roman"/>
                <w:color w:val="auto"/>
              </w:rPr>
            </w:pPr>
            <w:r>
              <w:rPr>
                <w:rFonts w:ascii="Times New Roman" w:hAnsi="Times New Roman"/>
                <w:color w:val="auto"/>
              </w:rPr>
              <w:t>火灾</w:t>
            </w:r>
          </w:p>
        </w:tc>
        <w:tc>
          <w:tcPr>
            <w:tcW w:w="1226" w:type="pct"/>
            <w:noWrap w:val="0"/>
            <w:vAlign w:val="center"/>
          </w:tcPr>
          <w:p w14:paraId="0426F751">
            <w:pPr>
              <w:pStyle w:val="17"/>
              <w:bidi w:val="0"/>
              <w:jc w:val="both"/>
              <w:rPr>
                <w:rFonts w:ascii="Times New Roman" w:hAnsi="Times New Roman"/>
                <w:color w:val="auto"/>
              </w:rPr>
            </w:pPr>
            <w:r>
              <w:rPr>
                <w:rFonts w:ascii="Times New Roman" w:hAnsi="Times New Roman"/>
                <w:color w:val="auto"/>
              </w:rPr>
              <w:t>保险丝（片）选用不当；开关及配电箱内油料着火；</w:t>
            </w:r>
          </w:p>
          <w:p w14:paraId="34C21F16">
            <w:pPr>
              <w:pStyle w:val="17"/>
              <w:bidi w:val="0"/>
              <w:jc w:val="both"/>
              <w:rPr>
                <w:rFonts w:ascii="Times New Roman" w:hAnsi="Times New Roman"/>
                <w:color w:val="auto"/>
              </w:rPr>
            </w:pPr>
            <w:r>
              <w:rPr>
                <w:rFonts w:ascii="Times New Roman" w:hAnsi="Times New Roman"/>
                <w:color w:val="auto"/>
              </w:rPr>
              <w:t>机械作用（包括摩擦、震动冲击等）所引起；</w:t>
            </w:r>
          </w:p>
          <w:p w14:paraId="57188018">
            <w:pPr>
              <w:pStyle w:val="17"/>
              <w:bidi w:val="0"/>
              <w:jc w:val="both"/>
              <w:rPr>
                <w:rFonts w:ascii="Times New Roman" w:hAnsi="Times New Roman"/>
                <w:color w:val="auto"/>
              </w:rPr>
            </w:pPr>
            <w:r>
              <w:rPr>
                <w:rFonts w:ascii="Times New Roman" w:hAnsi="Times New Roman"/>
                <w:color w:val="auto"/>
              </w:rPr>
              <w:t>绝缘、保护装置未检查，未维护；装置失效；</w:t>
            </w:r>
          </w:p>
          <w:p w14:paraId="1765806D">
            <w:pPr>
              <w:pStyle w:val="17"/>
              <w:bidi w:val="0"/>
              <w:jc w:val="both"/>
              <w:rPr>
                <w:rFonts w:ascii="Times New Roman" w:hAnsi="Times New Roman"/>
                <w:color w:val="auto"/>
              </w:rPr>
            </w:pPr>
            <w:r>
              <w:rPr>
                <w:rFonts w:ascii="Times New Roman" w:hAnsi="Times New Roman"/>
                <w:color w:val="auto"/>
              </w:rPr>
              <w:t>未设置消防灭火设施；其他违章操作。</w:t>
            </w:r>
          </w:p>
        </w:tc>
        <w:tc>
          <w:tcPr>
            <w:tcW w:w="442" w:type="pct"/>
            <w:noWrap w:val="0"/>
            <w:vAlign w:val="center"/>
          </w:tcPr>
          <w:p w14:paraId="3638182D">
            <w:pPr>
              <w:pStyle w:val="17"/>
              <w:bidi w:val="0"/>
              <w:rPr>
                <w:rFonts w:ascii="Times New Roman" w:hAnsi="Times New Roman"/>
                <w:color w:val="auto"/>
              </w:rPr>
            </w:pPr>
            <w:r>
              <w:rPr>
                <w:rFonts w:ascii="Times New Roman" w:hAnsi="Times New Roman"/>
                <w:color w:val="auto"/>
              </w:rPr>
              <w:t>明火、短路引发火灾</w:t>
            </w:r>
          </w:p>
        </w:tc>
        <w:tc>
          <w:tcPr>
            <w:tcW w:w="442" w:type="pct"/>
            <w:noWrap w:val="0"/>
            <w:vAlign w:val="center"/>
          </w:tcPr>
          <w:p w14:paraId="096B7317">
            <w:pPr>
              <w:pStyle w:val="17"/>
              <w:bidi w:val="0"/>
              <w:rPr>
                <w:rFonts w:ascii="Times New Roman" w:hAnsi="Times New Roman"/>
                <w:color w:val="auto"/>
              </w:rPr>
            </w:pPr>
            <w:r>
              <w:rPr>
                <w:rFonts w:ascii="Times New Roman" w:hAnsi="Times New Roman"/>
                <w:color w:val="auto"/>
              </w:rPr>
              <w:t>人员伤亡、设备设施损坏</w:t>
            </w:r>
          </w:p>
        </w:tc>
        <w:tc>
          <w:tcPr>
            <w:tcW w:w="442" w:type="pct"/>
            <w:noWrap w:val="0"/>
            <w:vAlign w:val="center"/>
          </w:tcPr>
          <w:p w14:paraId="0ED38FC4">
            <w:pPr>
              <w:pStyle w:val="17"/>
              <w:bidi w:val="0"/>
              <w:rPr>
                <w:rFonts w:ascii="Times New Roman" w:hAnsi="Times New Roman"/>
                <w:color w:val="auto"/>
              </w:rPr>
            </w:pPr>
            <w:r>
              <w:rPr>
                <w:rFonts w:ascii="Times New Roman" w:hAnsi="Times New Roman"/>
                <w:color w:val="auto"/>
              </w:rPr>
              <w:t>Ⅱ</w:t>
            </w:r>
          </w:p>
        </w:tc>
        <w:tc>
          <w:tcPr>
            <w:tcW w:w="1851" w:type="pct"/>
            <w:noWrap w:val="0"/>
            <w:vAlign w:val="center"/>
          </w:tcPr>
          <w:p w14:paraId="3033A556">
            <w:pPr>
              <w:pStyle w:val="17"/>
              <w:bidi w:val="0"/>
              <w:jc w:val="both"/>
              <w:rPr>
                <w:rFonts w:ascii="Times New Roman" w:hAnsi="Times New Roman"/>
                <w:color w:val="auto"/>
              </w:rPr>
            </w:pPr>
            <w:r>
              <w:rPr>
                <w:rFonts w:ascii="Times New Roman" w:hAnsi="Times New Roman"/>
                <w:color w:val="auto"/>
              </w:rPr>
              <w:t>①严格执行操作规程；②树立先安全后生产的观念，坚持工作前对工作面的安全处理；③加强个人防护措施；④加强安全管理；⑤电气设备采用保护接地；⑥加强电气设备及其线路的检查、维护；⑦机械设备配备消防灭火器。</w:t>
            </w:r>
          </w:p>
        </w:tc>
      </w:tr>
      <w:tr w14:paraId="34E5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595" w:type="pct"/>
            <w:noWrap w:val="0"/>
            <w:vAlign w:val="center"/>
          </w:tcPr>
          <w:p w14:paraId="147530DB">
            <w:pPr>
              <w:pStyle w:val="17"/>
              <w:bidi w:val="0"/>
              <w:rPr>
                <w:rFonts w:ascii="Times New Roman" w:hAnsi="Times New Roman"/>
                <w:color w:val="auto"/>
              </w:rPr>
            </w:pPr>
            <w:r>
              <w:rPr>
                <w:rFonts w:ascii="Times New Roman" w:hAnsi="Times New Roman"/>
                <w:color w:val="auto"/>
              </w:rPr>
              <w:t>职业</w:t>
            </w:r>
          </w:p>
          <w:p w14:paraId="755CD54C">
            <w:pPr>
              <w:pStyle w:val="17"/>
              <w:bidi w:val="0"/>
              <w:rPr>
                <w:rFonts w:ascii="Times New Roman" w:hAnsi="Times New Roman"/>
                <w:color w:val="auto"/>
              </w:rPr>
            </w:pPr>
            <w:r>
              <w:rPr>
                <w:rFonts w:ascii="Times New Roman" w:hAnsi="Times New Roman"/>
                <w:color w:val="auto"/>
              </w:rPr>
              <w:t>危害</w:t>
            </w:r>
          </w:p>
        </w:tc>
        <w:tc>
          <w:tcPr>
            <w:tcW w:w="1226" w:type="pct"/>
            <w:noWrap w:val="0"/>
            <w:vAlign w:val="center"/>
          </w:tcPr>
          <w:p w14:paraId="026B0643">
            <w:pPr>
              <w:pStyle w:val="17"/>
              <w:bidi w:val="0"/>
              <w:jc w:val="both"/>
              <w:rPr>
                <w:rFonts w:ascii="Times New Roman" w:hAnsi="Times New Roman"/>
                <w:color w:val="auto"/>
              </w:rPr>
            </w:pPr>
            <w:r>
              <w:rPr>
                <w:rFonts w:ascii="Times New Roman" w:hAnsi="Times New Roman"/>
                <w:color w:val="auto"/>
              </w:rPr>
              <w:t>长期在噪声环境下作业。</w:t>
            </w:r>
          </w:p>
        </w:tc>
        <w:tc>
          <w:tcPr>
            <w:tcW w:w="442" w:type="pct"/>
            <w:noWrap w:val="0"/>
            <w:vAlign w:val="center"/>
          </w:tcPr>
          <w:p w14:paraId="5091AF5B">
            <w:pPr>
              <w:pStyle w:val="17"/>
              <w:bidi w:val="0"/>
              <w:rPr>
                <w:rFonts w:ascii="Times New Roman" w:hAnsi="Times New Roman"/>
                <w:color w:val="auto"/>
              </w:rPr>
            </w:pPr>
            <w:r>
              <w:rPr>
                <w:rFonts w:ascii="Times New Roman" w:hAnsi="Times New Roman"/>
                <w:color w:val="auto"/>
              </w:rPr>
              <w:t>职业病</w:t>
            </w:r>
          </w:p>
        </w:tc>
        <w:tc>
          <w:tcPr>
            <w:tcW w:w="442" w:type="pct"/>
            <w:noWrap w:val="0"/>
            <w:vAlign w:val="center"/>
          </w:tcPr>
          <w:p w14:paraId="455C9032">
            <w:pPr>
              <w:pStyle w:val="17"/>
              <w:bidi w:val="0"/>
              <w:rPr>
                <w:rFonts w:ascii="Times New Roman" w:hAnsi="Times New Roman"/>
                <w:color w:val="auto"/>
              </w:rPr>
            </w:pPr>
            <w:r>
              <w:rPr>
                <w:rFonts w:ascii="Times New Roman" w:hAnsi="Times New Roman"/>
                <w:color w:val="auto"/>
              </w:rPr>
              <w:t>慢性伤害</w:t>
            </w:r>
          </w:p>
        </w:tc>
        <w:tc>
          <w:tcPr>
            <w:tcW w:w="442" w:type="pct"/>
            <w:noWrap w:val="0"/>
            <w:vAlign w:val="center"/>
          </w:tcPr>
          <w:p w14:paraId="69914C0E">
            <w:pPr>
              <w:pStyle w:val="17"/>
              <w:bidi w:val="0"/>
              <w:rPr>
                <w:rFonts w:ascii="Times New Roman" w:hAnsi="Times New Roman"/>
                <w:color w:val="auto"/>
              </w:rPr>
            </w:pPr>
            <w:r>
              <w:rPr>
                <w:rFonts w:ascii="Times New Roman" w:hAnsi="Times New Roman"/>
                <w:color w:val="auto"/>
              </w:rPr>
              <w:t>Ⅱ</w:t>
            </w:r>
          </w:p>
        </w:tc>
        <w:tc>
          <w:tcPr>
            <w:tcW w:w="1851" w:type="pct"/>
            <w:noWrap w:val="0"/>
            <w:vAlign w:val="center"/>
          </w:tcPr>
          <w:p w14:paraId="1089E432">
            <w:pPr>
              <w:pStyle w:val="17"/>
              <w:bidi w:val="0"/>
              <w:jc w:val="both"/>
              <w:rPr>
                <w:rFonts w:ascii="Times New Roman" w:hAnsi="Times New Roman"/>
                <w:color w:val="auto"/>
              </w:rPr>
            </w:pPr>
            <w:r>
              <w:rPr>
                <w:rFonts w:ascii="Times New Roman" w:hAnsi="Times New Roman"/>
                <w:color w:val="auto"/>
              </w:rPr>
              <w:t>采用间歇式工作方式或完善隔音、消音设施。</w:t>
            </w:r>
          </w:p>
        </w:tc>
      </w:tr>
    </w:tbl>
    <w:p w14:paraId="53045F89">
      <w:pPr>
        <w:pStyle w:val="4"/>
        <w:bidi w:val="0"/>
        <w:rPr>
          <w:rFonts w:ascii="Times New Roman" w:hAnsi="Times New Roman"/>
          <w:b w:val="0"/>
          <w:bCs w:val="0"/>
          <w:color w:val="auto"/>
          <w:sz w:val="28"/>
          <w:szCs w:val="28"/>
        </w:rPr>
      </w:pPr>
      <w:bookmarkStart w:id="154" w:name="_Toc853"/>
      <w:bookmarkStart w:id="155" w:name="_Toc17068"/>
      <w:bookmarkStart w:id="156" w:name="_Toc22487"/>
      <w:bookmarkStart w:id="157" w:name="_Toc4059"/>
      <w:r>
        <w:rPr>
          <w:rFonts w:ascii="Times New Roman" w:hAnsi="Times New Roman"/>
          <w:color w:val="auto"/>
          <w:sz w:val="28"/>
          <w:szCs w:val="28"/>
          <w:lang w:val="en-GB"/>
        </w:rPr>
        <w:t>3.</w:t>
      </w:r>
      <w:r>
        <w:rPr>
          <w:rFonts w:ascii="Times New Roman" w:hAnsi="Times New Roman"/>
          <w:color w:val="auto"/>
          <w:sz w:val="28"/>
          <w:szCs w:val="28"/>
        </w:rPr>
        <w:t>4</w:t>
      </w:r>
      <w:r>
        <w:rPr>
          <w:rFonts w:ascii="Times New Roman" w:hAnsi="Times New Roman"/>
          <w:color w:val="auto"/>
          <w:sz w:val="28"/>
          <w:szCs w:val="28"/>
          <w:lang w:val="en-GB"/>
        </w:rPr>
        <w:t>.</w:t>
      </w:r>
      <w:r>
        <w:rPr>
          <w:rFonts w:ascii="Times New Roman" w:hAnsi="Times New Roman"/>
          <w:color w:val="auto"/>
          <w:sz w:val="28"/>
          <w:szCs w:val="28"/>
        </w:rPr>
        <w:t>3</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安全检查表</w:t>
      </w:r>
      <w:bookmarkEnd w:id="154"/>
      <w:bookmarkEnd w:id="155"/>
      <w:bookmarkEnd w:id="156"/>
      <w:bookmarkEnd w:id="157"/>
    </w:p>
    <w:p w14:paraId="2512D6E1">
      <w:pPr>
        <w:pStyle w:val="16"/>
        <w:bidi w:val="0"/>
        <w:rPr>
          <w:rFonts w:ascii="Times New Roman" w:hAnsi="Times New Roman"/>
          <w:color w:val="auto"/>
        </w:rPr>
      </w:pPr>
    </w:p>
    <w:p w14:paraId="61713124">
      <w:pPr>
        <w:pStyle w:val="16"/>
        <w:bidi w:val="0"/>
        <w:rPr>
          <w:rFonts w:ascii="Times New Roman" w:hAnsi="Times New Roman"/>
          <w:color w:val="auto"/>
        </w:rPr>
      </w:pPr>
    </w:p>
    <w:p w14:paraId="67F212A1">
      <w:pPr>
        <w:pStyle w:val="16"/>
        <w:bidi w:val="0"/>
        <w:rPr>
          <w:rFonts w:ascii="Times New Roman" w:hAnsi="Times New Roman"/>
          <w:color w:val="auto"/>
        </w:rPr>
      </w:pPr>
      <w:r>
        <w:rPr>
          <w:rFonts w:ascii="Times New Roman" w:hAnsi="Times New Roman"/>
          <w:color w:val="auto"/>
        </w:rPr>
        <w:t xml:space="preserve">表3.4-2 </w:t>
      </w:r>
      <w:r>
        <w:rPr>
          <w:rFonts w:hint="eastAsia" w:ascii="Times New Roman" w:hAnsi="Times New Roman"/>
          <w:color w:val="auto"/>
          <w:lang w:val="en-US" w:eastAsia="zh-CN"/>
        </w:rPr>
        <w:t xml:space="preserve"> </w:t>
      </w:r>
      <w:r>
        <w:rPr>
          <w:rFonts w:ascii="Times New Roman" w:hAnsi="Times New Roman"/>
          <w:color w:val="auto"/>
        </w:rPr>
        <w:t>矿山供配电设施单元安全检查表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3254"/>
        <w:gridCol w:w="2167"/>
        <w:gridCol w:w="1974"/>
        <w:gridCol w:w="1282"/>
      </w:tblGrid>
      <w:tr w14:paraId="5418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81" w:type="pct"/>
            <w:noWrap w:val="0"/>
            <w:vAlign w:val="center"/>
          </w:tcPr>
          <w:p w14:paraId="7FF252C4">
            <w:pPr>
              <w:pStyle w:val="17"/>
              <w:bidi w:val="0"/>
              <w:rPr>
                <w:rFonts w:ascii="Times New Roman" w:hAnsi="Times New Roman"/>
                <w:b/>
                <w:bCs/>
                <w:color w:val="auto"/>
              </w:rPr>
            </w:pPr>
            <w:r>
              <w:rPr>
                <w:rFonts w:ascii="Times New Roman" w:hAnsi="Times New Roman"/>
                <w:b/>
                <w:bCs/>
                <w:color w:val="auto"/>
              </w:rPr>
              <w:t>序号</w:t>
            </w:r>
          </w:p>
        </w:tc>
        <w:tc>
          <w:tcPr>
            <w:tcW w:w="1731" w:type="pct"/>
            <w:noWrap w:val="0"/>
            <w:vAlign w:val="center"/>
          </w:tcPr>
          <w:p w14:paraId="3F0664B5">
            <w:pPr>
              <w:pStyle w:val="17"/>
              <w:bidi w:val="0"/>
              <w:rPr>
                <w:rFonts w:ascii="Times New Roman" w:hAnsi="Times New Roman"/>
                <w:b/>
                <w:bCs/>
                <w:color w:val="auto"/>
              </w:rPr>
            </w:pPr>
            <w:r>
              <w:rPr>
                <w:rFonts w:ascii="Times New Roman" w:hAnsi="Times New Roman"/>
                <w:b/>
                <w:bCs/>
                <w:color w:val="auto"/>
              </w:rPr>
              <w:t>检查内容</w:t>
            </w:r>
          </w:p>
        </w:tc>
        <w:tc>
          <w:tcPr>
            <w:tcW w:w="1153" w:type="pct"/>
            <w:noWrap w:val="0"/>
            <w:vAlign w:val="center"/>
          </w:tcPr>
          <w:p w14:paraId="001292BC">
            <w:pPr>
              <w:pStyle w:val="17"/>
              <w:bidi w:val="0"/>
              <w:rPr>
                <w:rFonts w:ascii="Times New Roman" w:hAnsi="Times New Roman"/>
                <w:b/>
                <w:bCs/>
                <w:color w:val="auto"/>
              </w:rPr>
            </w:pPr>
            <w:r>
              <w:rPr>
                <w:rFonts w:ascii="Times New Roman" w:hAnsi="Times New Roman"/>
                <w:b/>
                <w:bCs/>
                <w:color w:val="auto"/>
              </w:rPr>
              <w:t>检查依据</w:t>
            </w:r>
          </w:p>
        </w:tc>
        <w:tc>
          <w:tcPr>
            <w:tcW w:w="1050" w:type="pct"/>
            <w:noWrap w:val="0"/>
            <w:vAlign w:val="center"/>
          </w:tcPr>
          <w:p w14:paraId="6C36DC06">
            <w:pPr>
              <w:pStyle w:val="17"/>
              <w:bidi w:val="0"/>
              <w:rPr>
                <w:rFonts w:ascii="Times New Roman" w:hAnsi="Times New Roman"/>
                <w:b/>
                <w:bCs/>
                <w:color w:val="auto"/>
              </w:rPr>
            </w:pPr>
            <w:r>
              <w:rPr>
                <w:rFonts w:ascii="Times New Roman" w:hAnsi="Times New Roman"/>
                <w:b/>
                <w:bCs/>
                <w:color w:val="auto"/>
              </w:rPr>
              <w:t>检查情况</w:t>
            </w:r>
          </w:p>
        </w:tc>
        <w:tc>
          <w:tcPr>
            <w:tcW w:w="682" w:type="pct"/>
            <w:noWrap w:val="0"/>
            <w:vAlign w:val="center"/>
          </w:tcPr>
          <w:p w14:paraId="70F129CF">
            <w:pPr>
              <w:pStyle w:val="17"/>
              <w:bidi w:val="0"/>
              <w:rPr>
                <w:rFonts w:ascii="Times New Roman" w:hAnsi="Times New Roman"/>
                <w:b/>
                <w:bCs/>
                <w:color w:val="auto"/>
              </w:rPr>
            </w:pPr>
            <w:r>
              <w:rPr>
                <w:rFonts w:ascii="Times New Roman" w:hAnsi="Times New Roman"/>
                <w:b/>
                <w:bCs/>
                <w:color w:val="auto"/>
              </w:rPr>
              <w:t>检查结果</w:t>
            </w:r>
          </w:p>
        </w:tc>
      </w:tr>
      <w:tr w14:paraId="5FDA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noWrap w:val="0"/>
            <w:vAlign w:val="center"/>
          </w:tcPr>
          <w:p w14:paraId="1678B3A0">
            <w:pPr>
              <w:pStyle w:val="17"/>
              <w:bidi w:val="0"/>
              <w:rPr>
                <w:rFonts w:ascii="Times New Roman" w:hAnsi="Times New Roman"/>
                <w:color w:val="auto"/>
              </w:rPr>
            </w:pPr>
            <w:r>
              <w:rPr>
                <w:rFonts w:ascii="Times New Roman" w:hAnsi="Times New Roman"/>
                <w:color w:val="auto"/>
              </w:rPr>
              <w:t>1</w:t>
            </w:r>
          </w:p>
        </w:tc>
        <w:tc>
          <w:tcPr>
            <w:tcW w:w="1731" w:type="pct"/>
            <w:noWrap w:val="0"/>
            <w:vAlign w:val="center"/>
          </w:tcPr>
          <w:p w14:paraId="3D9E7CF0">
            <w:pPr>
              <w:pStyle w:val="17"/>
              <w:bidi w:val="0"/>
              <w:rPr>
                <w:rFonts w:ascii="Times New Roman" w:hAnsi="Times New Roman"/>
                <w:color w:val="auto"/>
              </w:rPr>
            </w:pPr>
            <w:r>
              <w:rPr>
                <w:rFonts w:ascii="Times New Roman" w:hAnsi="Times New Roman"/>
                <w:color w:val="auto"/>
              </w:rPr>
              <w:t>用电产品应具有符合规定的铭牌或标志，以满足安装、使用和维护的要求。</w:t>
            </w:r>
          </w:p>
        </w:tc>
        <w:tc>
          <w:tcPr>
            <w:tcW w:w="1153" w:type="pct"/>
            <w:noWrap w:val="0"/>
            <w:vAlign w:val="center"/>
          </w:tcPr>
          <w:p w14:paraId="4C5077CD">
            <w:pPr>
              <w:pStyle w:val="17"/>
              <w:bidi w:val="0"/>
              <w:rPr>
                <w:rFonts w:ascii="Times New Roman" w:hAnsi="Times New Roman"/>
                <w:color w:val="auto"/>
              </w:rPr>
            </w:pPr>
            <w:r>
              <w:rPr>
                <w:rFonts w:ascii="Times New Roman" w:hAnsi="Times New Roman"/>
                <w:color w:val="auto"/>
              </w:rPr>
              <w:t>《用电安全导则》（GB/T13869-20</w:t>
            </w:r>
            <w:r>
              <w:rPr>
                <w:rFonts w:hint="eastAsia" w:ascii="Times New Roman" w:hAnsi="Times New Roman"/>
                <w:color w:val="auto"/>
              </w:rPr>
              <w:t>17</w:t>
            </w:r>
            <w:r>
              <w:rPr>
                <w:rFonts w:ascii="Times New Roman" w:hAnsi="Times New Roman"/>
                <w:color w:val="auto"/>
              </w:rPr>
              <w:t>）5.2</w:t>
            </w:r>
          </w:p>
        </w:tc>
        <w:tc>
          <w:tcPr>
            <w:tcW w:w="1050" w:type="pct"/>
            <w:noWrap w:val="0"/>
            <w:vAlign w:val="center"/>
          </w:tcPr>
          <w:p w14:paraId="5A38ED62">
            <w:pPr>
              <w:pStyle w:val="17"/>
              <w:bidi w:val="0"/>
              <w:rPr>
                <w:rFonts w:hint="eastAsia" w:ascii="Times New Roman" w:hAnsi="Times New Roman"/>
                <w:color w:val="auto"/>
              </w:rPr>
            </w:pPr>
            <w:r>
              <w:rPr>
                <w:rFonts w:hint="eastAsia" w:ascii="Times New Roman" w:hAnsi="Times New Roman"/>
                <w:color w:val="auto"/>
                <w:lang w:eastAsia="zh-CN"/>
              </w:rPr>
              <w:t>初步设计（代可研）</w:t>
            </w:r>
            <w:r>
              <w:rPr>
                <w:rFonts w:hint="eastAsia" w:ascii="Times New Roman" w:hAnsi="Times New Roman"/>
                <w:color w:val="auto"/>
              </w:rPr>
              <w:t>中未明确。</w:t>
            </w:r>
          </w:p>
        </w:tc>
        <w:tc>
          <w:tcPr>
            <w:tcW w:w="682" w:type="pct"/>
            <w:noWrap w:val="0"/>
            <w:vAlign w:val="center"/>
          </w:tcPr>
          <w:p w14:paraId="1D5E2AF5">
            <w:pPr>
              <w:pStyle w:val="17"/>
              <w:bidi w:val="0"/>
              <w:rPr>
                <w:rFonts w:ascii="Times New Roman" w:hAnsi="Times New Roman"/>
                <w:color w:val="auto"/>
              </w:rPr>
            </w:pPr>
            <w:r>
              <w:rPr>
                <w:rFonts w:hint="eastAsia" w:ascii="Times New Roman" w:hAnsi="Times New Roman"/>
                <w:color w:val="auto"/>
                <w:lang w:val="en-US" w:eastAsia="zh-CN"/>
              </w:rPr>
              <w:t>不</w:t>
            </w:r>
            <w:r>
              <w:rPr>
                <w:rFonts w:ascii="Times New Roman" w:hAnsi="Times New Roman"/>
                <w:color w:val="auto"/>
              </w:rPr>
              <w:t>符合</w:t>
            </w:r>
          </w:p>
        </w:tc>
      </w:tr>
      <w:tr w14:paraId="6E29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noWrap w:val="0"/>
            <w:vAlign w:val="center"/>
          </w:tcPr>
          <w:p w14:paraId="440B523E">
            <w:pPr>
              <w:pStyle w:val="17"/>
              <w:bidi w:val="0"/>
              <w:rPr>
                <w:rFonts w:ascii="Times New Roman" w:hAnsi="Times New Roman"/>
                <w:color w:val="auto"/>
              </w:rPr>
            </w:pPr>
            <w:r>
              <w:rPr>
                <w:rFonts w:ascii="Times New Roman" w:hAnsi="Times New Roman"/>
                <w:color w:val="auto"/>
              </w:rPr>
              <w:t>2</w:t>
            </w:r>
          </w:p>
        </w:tc>
        <w:tc>
          <w:tcPr>
            <w:tcW w:w="1731" w:type="pct"/>
            <w:noWrap w:val="0"/>
            <w:vAlign w:val="center"/>
          </w:tcPr>
          <w:p w14:paraId="0F03C898">
            <w:pPr>
              <w:pStyle w:val="17"/>
              <w:bidi w:val="0"/>
              <w:rPr>
                <w:rFonts w:ascii="Times New Roman" w:hAnsi="Times New Roman"/>
                <w:color w:val="auto"/>
              </w:rPr>
            </w:pPr>
            <w:r>
              <w:rPr>
                <w:rFonts w:ascii="Times New Roman" w:hAnsi="Times New Roman"/>
                <w:color w:val="auto"/>
              </w:rPr>
              <w:t>配电室的位置应靠近用电负荷中心，设置在尘埃少、腐蚀介质少、周围环境干燥和无剧烈震动的场所，并宜留有发展余地。</w:t>
            </w:r>
          </w:p>
        </w:tc>
        <w:tc>
          <w:tcPr>
            <w:tcW w:w="1153" w:type="pct"/>
            <w:noWrap w:val="0"/>
            <w:vAlign w:val="center"/>
          </w:tcPr>
          <w:p w14:paraId="34786403">
            <w:pPr>
              <w:pStyle w:val="17"/>
              <w:bidi w:val="0"/>
              <w:rPr>
                <w:rFonts w:ascii="Times New Roman" w:hAnsi="Times New Roman"/>
                <w:color w:val="auto"/>
              </w:rPr>
            </w:pPr>
            <w:r>
              <w:rPr>
                <w:rFonts w:ascii="Times New Roman" w:hAnsi="Times New Roman"/>
                <w:color w:val="auto"/>
              </w:rPr>
              <w:t>《低压配电设计规范》（GB50054-2011）</w:t>
            </w:r>
          </w:p>
          <w:p w14:paraId="199A73E3">
            <w:pPr>
              <w:pStyle w:val="17"/>
              <w:bidi w:val="0"/>
              <w:rPr>
                <w:rFonts w:ascii="Times New Roman" w:hAnsi="Times New Roman"/>
                <w:color w:val="auto"/>
              </w:rPr>
            </w:pPr>
            <w:r>
              <w:rPr>
                <w:rFonts w:ascii="Times New Roman" w:hAnsi="Times New Roman"/>
                <w:color w:val="auto"/>
              </w:rPr>
              <w:t>4.1.1</w:t>
            </w:r>
          </w:p>
        </w:tc>
        <w:tc>
          <w:tcPr>
            <w:tcW w:w="1050" w:type="pct"/>
            <w:noWrap w:val="0"/>
            <w:vAlign w:val="center"/>
          </w:tcPr>
          <w:p w14:paraId="16291D79">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中未明确。</w:t>
            </w:r>
          </w:p>
        </w:tc>
        <w:tc>
          <w:tcPr>
            <w:tcW w:w="682" w:type="pct"/>
            <w:noWrap w:val="0"/>
            <w:vAlign w:val="center"/>
          </w:tcPr>
          <w:p w14:paraId="576FC1AD">
            <w:pPr>
              <w:pStyle w:val="17"/>
              <w:bidi w:val="0"/>
              <w:rPr>
                <w:rFonts w:ascii="Times New Roman" w:hAnsi="Times New Roman"/>
                <w:color w:val="auto"/>
              </w:rPr>
            </w:pPr>
            <w:r>
              <w:rPr>
                <w:rFonts w:hint="eastAsia" w:ascii="Times New Roman" w:hAnsi="Times New Roman"/>
                <w:color w:val="auto"/>
                <w:lang w:val="en-US" w:eastAsia="zh-CN"/>
              </w:rPr>
              <w:t>不</w:t>
            </w:r>
            <w:r>
              <w:rPr>
                <w:rFonts w:ascii="Times New Roman" w:hAnsi="Times New Roman"/>
                <w:color w:val="auto"/>
              </w:rPr>
              <w:t>符合</w:t>
            </w:r>
          </w:p>
        </w:tc>
      </w:tr>
      <w:tr w14:paraId="5C53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noWrap w:val="0"/>
            <w:vAlign w:val="center"/>
          </w:tcPr>
          <w:p w14:paraId="52D8B1B0">
            <w:pPr>
              <w:pStyle w:val="17"/>
              <w:bidi w:val="0"/>
              <w:rPr>
                <w:rFonts w:ascii="Times New Roman" w:hAnsi="Times New Roman"/>
                <w:color w:val="auto"/>
              </w:rPr>
            </w:pPr>
            <w:r>
              <w:rPr>
                <w:rFonts w:ascii="Times New Roman" w:hAnsi="Times New Roman"/>
                <w:color w:val="auto"/>
              </w:rPr>
              <w:t>3</w:t>
            </w:r>
          </w:p>
        </w:tc>
        <w:tc>
          <w:tcPr>
            <w:tcW w:w="1731" w:type="pct"/>
            <w:noWrap w:val="0"/>
            <w:vAlign w:val="center"/>
          </w:tcPr>
          <w:p w14:paraId="3ECFDDC4">
            <w:pPr>
              <w:pStyle w:val="17"/>
              <w:bidi w:val="0"/>
              <w:rPr>
                <w:rFonts w:ascii="Times New Roman" w:hAnsi="Times New Roman"/>
                <w:color w:val="auto"/>
              </w:rPr>
            </w:pPr>
            <w:r>
              <w:rPr>
                <w:rFonts w:ascii="Times New Roman" w:hAnsi="Times New Roman"/>
                <w:color w:val="auto"/>
              </w:rPr>
              <w:t>低压配电电压应采用220/380V</w:t>
            </w:r>
          </w:p>
        </w:tc>
        <w:tc>
          <w:tcPr>
            <w:tcW w:w="1153" w:type="pct"/>
            <w:noWrap w:val="0"/>
            <w:vAlign w:val="center"/>
          </w:tcPr>
          <w:p w14:paraId="39E24575">
            <w:pPr>
              <w:pStyle w:val="17"/>
              <w:bidi w:val="0"/>
              <w:rPr>
                <w:rFonts w:ascii="Times New Roman" w:hAnsi="Times New Roman"/>
                <w:color w:val="auto"/>
              </w:rPr>
            </w:pPr>
            <w:r>
              <w:rPr>
                <w:rFonts w:ascii="Times New Roman" w:hAnsi="Times New Roman"/>
                <w:color w:val="auto"/>
              </w:rPr>
              <w:t>《供配电系统设计规范》7.0.1</w:t>
            </w:r>
          </w:p>
        </w:tc>
        <w:tc>
          <w:tcPr>
            <w:tcW w:w="1050" w:type="pct"/>
            <w:noWrap w:val="0"/>
            <w:vAlign w:val="center"/>
          </w:tcPr>
          <w:p w14:paraId="7CE82826">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w:t>
            </w:r>
            <w:r>
              <w:rPr>
                <w:rFonts w:hint="eastAsia" w:ascii="Times New Roman" w:hAnsi="Times New Roman"/>
                <w:color w:val="auto"/>
                <w:lang w:val="en-US" w:eastAsia="zh-CN"/>
              </w:rPr>
              <w:t>已</w:t>
            </w:r>
            <w:r>
              <w:rPr>
                <w:rFonts w:ascii="Times New Roman" w:hAnsi="Times New Roman"/>
                <w:color w:val="auto"/>
              </w:rPr>
              <w:t>明确。</w:t>
            </w:r>
          </w:p>
        </w:tc>
        <w:tc>
          <w:tcPr>
            <w:tcW w:w="682" w:type="pct"/>
            <w:noWrap w:val="0"/>
            <w:vAlign w:val="center"/>
          </w:tcPr>
          <w:p w14:paraId="28CF2B29">
            <w:pPr>
              <w:pStyle w:val="17"/>
              <w:bidi w:val="0"/>
              <w:rPr>
                <w:rFonts w:ascii="Times New Roman" w:hAnsi="Times New Roman"/>
                <w:color w:val="auto"/>
              </w:rPr>
            </w:pPr>
            <w:r>
              <w:rPr>
                <w:rFonts w:ascii="Times New Roman" w:hAnsi="Times New Roman"/>
                <w:color w:val="auto"/>
              </w:rPr>
              <w:t>符合</w:t>
            </w:r>
          </w:p>
        </w:tc>
      </w:tr>
      <w:tr w14:paraId="249D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1" w:type="pct"/>
            <w:noWrap w:val="0"/>
            <w:vAlign w:val="center"/>
          </w:tcPr>
          <w:p w14:paraId="7D6846B9">
            <w:pPr>
              <w:pStyle w:val="17"/>
              <w:bidi w:val="0"/>
              <w:rPr>
                <w:rFonts w:ascii="Times New Roman" w:hAnsi="Times New Roman"/>
                <w:color w:val="auto"/>
              </w:rPr>
            </w:pPr>
            <w:r>
              <w:rPr>
                <w:rFonts w:ascii="Times New Roman" w:hAnsi="Times New Roman"/>
                <w:color w:val="auto"/>
              </w:rPr>
              <w:t>4</w:t>
            </w:r>
          </w:p>
        </w:tc>
        <w:tc>
          <w:tcPr>
            <w:tcW w:w="1731" w:type="pct"/>
            <w:noWrap w:val="0"/>
            <w:vAlign w:val="center"/>
          </w:tcPr>
          <w:p w14:paraId="00140CB0">
            <w:pPr>
              <w:pStyle w:val="17"/>
              <w:bidi w:val="0"/>
              <w:rPr>
                <w:rFonts w:ascii="Times New Roman" w:hAnsi="Times New Roman"/>
                <w:color w:val="auto"/>
              </w:rPr>
            </w:pPr>
            <w:r>
              <w:rPr>
                <w:rFonts w:ascii="Times New Roman" w:hAnsi="Times New Roman"/>
                <w:color w:val="auto"/>
              </w:rPr>
              <w:t>变压器室、配电室、电容器室等房间应设置防止雨、雪和蛇、鼠等小动物从采光窗、通风窗、门、电缆沟等处进入室内的设施。</w:t>
            </w:r>
          </w:p>
        </w:tc>
        <w:tc>
          <w:tcPr>
            <w:tcW w:w="1153" w:type="pct"/>
            <w:noWrap w:val="0"/>
            <w:vAlign w:val="center"/>
          </w:tcPr>
          <w:p w14:paraId="434386B8">
            <w:pPr>
              <w:pStyle w:val="17"/>
              <w:bidi w:val="0"/>
              <w:rPr>
                <w:rFonts w:ascii="Times New Roman" w:hAnsi="Times New Roman"/>
                <w:color w:val="auto"/>
              </w:rPr>
            </w:pPr>
            <w:r>
              <w:rPr>
                <w:rFonts w:ascii="Times New Roman" w:hAnsi="Times New Roman"/>
                <w:color w:val="auto"/>
              </w:rPr>
              <w:t>《20kV及以下变电所设计规范》（GB 50053-2013）第6.2.4条</w:t>
            </w:r>
          </w:p>
        </w:tc>
        <w:tc>
          <w:tcPr>
            <w:tcW w:w="1050" w:type="pct"/>
            <w:noWrap w:val="0"/>
            <w:vAlign w:val="center"/>
          </w:tcPr>
          <w:p w14:paraId="6071D42B">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中未明确。</w:t>
            </w:r>
          </w:p>
        </w:tc>
        <w:tc>
          <w:tcPr>
            <w:tcW w:w="682" w:type="pct"/>
            <w:noWrap w:val="0"/>
            <w:vAlign w:val="center"/>
          </w:tcPr>
          <w:p w14:paraId="2DDFDD11">
            <w:pPr>
              <w:pStyle w:val="17"/>
              <w:bidi w:val="0"/>
              <w:rPr>
                <w:rFonts w:ascii="Times New Roman" w:hAnsi="Times New Roman"/>
                <w:color w:val="auto"/>
              </w:rPr>
            </w:pPr>
            <w:r>
              <w:rPr>
                <w:rFonts w:ascii="Times New Roman" w:hAnsi="Times New Roman"/>
                <w:color w:val="auto"/>
              </w:rPr>
              <w:t>不符合</w:t>
            </w:r>
          </w:p>
        </w:tc>
      </w:tr>
    </w:tbl>
    <w:p w14:paraId="6AEA9630">
      <w:pPr>
        <w:pStyle w:val="4"/>
        <w:bidi w:val="0"/>
        <w:rPr>
          <w:rFonts w:ascii="Times New Roman" w:hAnsi="Times New Roman"/>
          <w:color w:val="auto"/>
          <w:sz w:val="28"/>
          <w:szCs w:val="28"/>
          <w:lang w:val="en-GB"/>
        </w:rPr>
      </w:pPr>
      <w:bookmarkStart w:id="158" w:name="_Toc18825"/>
      <w:bookmarkStart w:id="159" w:name="_Toc3501"/>
      <w:bookmarkStart w:id="160" w:name="_Toc18172"/>
      <w:bookmarkStart w:id="161" w:name="_Toc9857"/>
      <w:r>
        <w:rPr>
          <w:rFonts w:ascii="Times New Roman" w:hAnsi="Times New Roman"/>
          <w:color w:val="auto"/>
          <w:sz w:val="28"/>
          <w:szCs w:val="28"/>
          <w:lang w:val="en-GB"/>
        </w:rPr>
        <w:t>3.</w:t>
      </w:r>
      <w:r>
        <w:rPr>
          <w:rFonts w:ascii="Times New Roman" w:hAnsi="Times New Roman"/>
          <w:color w:val="auto"/>
          <w:sz w:val="28"/>
          <w:szCs w:val="28"/>
        </w:rPr>
        <w:t>4</w:t>
      </w:r>
      <w:r>
        <w:rPr>
          <w:rFonts w:ascii="Times New Roman" w:hAnsi="Times New Roman"/>
          <w:color w:val="auto"/>
          <w:sz w:val="28"/>
          <w:szCs w:val="28"/>
          <w:lang w:val="en-GB"/>
        </w:rPr>
        <w:t>.</w:t>
      </w:r>
      <w:r>
        <w:rPr>
          <w:rFonts w:ascii="Times New Roman" w:hAnsi="Times New Roman"/>
          <w:color w:val="auto"/>
          <w:sz w:val="28"/>
          <w:szCs w:val="28"/>
        </w:rPr>
        <w:t>4</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触电危险性评价</w:t>
      </w:r>
      <w:bookmarkEnd w:id="158"/>
      <w:bookmarkEnd w:id="159"/>
      <w:bookmarkEnd w:id="160"/>
      <w:bookmarkEnd w:id="161"/>
    </w:p>
    <w:p w14:paraId="3AD06AAA">
      <w:pPr>
        <w:bidi w:val="0"/>
        <w:rPr>
          <w:rFonts w:ascii="Times New Roman" w:hAnsi="Times New Roman"/>
          <w:color w:val="auto"/>
        </w:rPr>
      </w:pPr>
      <w:r>
        <w:rPr>
          <w:rFonts w:ascii="Times New Roman" w:hAnsi="Times New Roman"/>
          <w:color w:val="auto"/>
        </w:rPr>
        <w:t>电气方面的危险有害因素按照电气事故的性质分为：触电</w:t>
      </w:r>
      <w:r>
        <w:rPr>
          <w:rFonts w:hint="eastAsia" w:ascii="Times New Roman" w:hAnsi="Times New Roman"/>
          <w:color w:val="auto"/>
          <w:lang w:eastAsia="zh-CN"/>
        </w:rPr>
        <w:t>（</w:t>
      </w:r>
      <w:r>
        <w:rPr>
          <w:rFonts w:ascii="Times New Roman" w:hAnsi="Times New Roman"/>
          <w:color w:val="auto"/>
        </w:rPr>
        <w:t>含电击、电伤</w:t>
      </w:r>
      <w:r>
        <w:rPr>
          <w:rFonts w:hint="eastAsia" w:ascii="Times New Roman" w:hAnsi="Times New Roman"/>
          <w:color w:val="auto"/>
          <w:lang w:eastAsia="zh-CN"/>
        </w:rPr>
        <w:t>）</w:t>
      </w:r>
      <w:r>
        <w:rPr>
          <w:rFonts w:ascii="Times New Roman" w:hAnsi="Times New Roman"/>
          <w:color w:val="auto"/>
        </w:rPr>
        <w:t>、电气火灾和爆炸、雷电等几类，针对本建设项目存在的危险性分析如下：</w:t>
      </w:r>
    </w:p>
    <w:p w14:paraId="3B36CB98">
      <w:pPr>
        <w:bidi w:val="0"/>
        <w:rPr>
          <w:rFonts w:ascii="Times New Roman" w:hAnsi="Times New Roman"/>
          <w:color w:val="auto"/>
        </w:rPr>
      </w:pPr>
      <w:r>
        <w:rPr>
          <w:rFonts w:ascii="Times New Roman" w:hAnsi="Times New Roman"/>
          <w:color w:val="auto"/>
        </w:rPr>
        <w:t>触电的危险部位分布在：变压器、配电室、办公生活区的各种电气设备、供电线路、照明线路及照明器具等。</w:t>
      </w:r>
    </w:p>
    <w:p w14:paraId="52172490">
      <w:pPr>
        <w:bidi w:val="0"/>
        <w:rPr>
          <w:rFonts w:ascii="Times New Roman" w:hAnsi="Times New Roman"/>
          <w:color w:val="auto"/>
        </w:rPr>
      </w:pPr>
      <w:r>
        <w:rPr>
          <w:rFonts w:ascii="Times New Roman" w:hAnsi="Times New Roman"/>
          <w:color w:val="auto"/>
        </w:rPr>
        <w:t>矿山变压器、配电室、办公生活区内所有用电设备的金属外壳、底座、支架及电缆金属外皮等均应可靠接地，配电室要上锁，专人守护，存在的触电危险性是可接受的。</w:t>
      </w:r>
    </w:p>
    <w:p w14:paraId="148DE605">
      <w:pPr>
        <w:pStyle w:val="4"/>
        <w:bidi w:val="0"/>
        <w:rPr>
          <w:rFonts w:ascii="Times New Roman" w:hAnsi="Times New Roman"/>
          <w:color w:val="auto"/>
          <w:sz w:val="28"/>
          <w:szCs w:val="28"/>
          <w:lang w:val="en-GB"/>
        </w:rPr>
      </w:pPr>
      <w:bookmarkStart w:id="162" w:name="_Toc2424"/>
      <w:bookmarkStart w:id="163" w:name="_Toc19283"/>
      <w:bookmarkStart w:id="164" w:name="_Toc24457"/>
      <w:bookmarkStart w:id="165" w:name="_Toc11364"/>
      <w:r>
        <w:rPr>
          <w:rFonts w:ascii="Times New Roman" w:hAnsi="Times New Roman"/>
          <w:color w:val="auto"/>
          <w:sz w:val="28"/>
          <w:szCs w:val="28"/>
          <w:lang w:val="en-GB"/>
        </w:rPr>
        <w:t>3.</w:t>
      </w:r>
      <w:r>
        <w:rPr>
          <w:rFonts w:ascii="Times New Roman" w:hAnsi="Times New Roman"/>
          <w:color w:val="auto"/>
          <w:sz w:val="28"/>
          <w:szCs w:val="28"/>
        </w:rPr>
        <w:t>4</w:t>
      </w:r>
      <w:r>
        <w:rPr>
          <w:rFonts w:ascii="Times New Roman" w:hAnsi="Times New Roman"/>
          <w:color w:val="auto"/>
          <w:sz w:val="28"/>
          <w:szCs w:val="28"/>
          <w:lang w:val="en-GB"/>
        </w:rPr>
        <w:t>.</w:t>
      </w:r>
      <w:r>
        <w:rPr>
          <w:rFonts w:ascii="Times New Roman" w:hAnsi="Times New Roman"/>
          <w:color w:val="auto"/>
          <w:sz w:val="28"/>
          <w:szCs w:val="28"/>
        </w:rPr>
        <w:t>5</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电气火灾和爆炸危险性评价</w:t>
      </w:r>
      <w:bookmarkEnd w:id="162"/>
      <w:bookmarkEnd w:id="163"/>
      <w:bookmarkEnd w:id="164"/>
      <w:bookmarkEnd w:id="165"/>
    </w:p>
    <w:p w14:paraId="4DC8AB96">
      <w:pPr>
        <w:bidi w:val="0"/>
        <w:rPr>
          <w:rFonts w:ascii="Times New Roman" w:hAnsi="Times New Roman"/>
          <w:color w:val="auto"/>
        </w:rPr>
      </w:pPr>
      <w:r>
        <w:rPr>
          <w:rFonts w:ascii="Times New Roman" w:hAnsi="Times New Roman"/>
          <w:color w:val="auto"/>
        </w:rPr>
        <w:t>矿山供电系统中，在变压器、配电室、办公生活区配备有照明线路和用电器等，存在因漏电、短路、过载、过流引起的过热、电火花、电弧，雷电放电的电弧，静电火花等可能，引起电气线路火灾。</w:t>
      </w:r>
    </w:p>
    <w:p w14:paraId="52302083">
      <w:pPr>
        <w:pStyle w:val="4"/>
        <w:bidi w:val="0"/>
        <w:rPr>
          <w:rFonts w:ascii="Times New Roman" w:hAnsi="Times New Roman"/>
          <w:color w:val="auto"/>
          <w:sz w:val="28"/>
          <w:szCs w:val="28"/>
          <w:lang w:val="en-GB"/>
        </w:rPr>
      </w:pPr>
      <w:bookmarkStart w:id="166" w:name="_Toc4631"/>
      <w:bookmarkStart w:id="167" w:name="_Toc13252"/>
      <w:bookmarkStart w:id="168" w:name="_Toc27930"/>
      <w:bookmarkStart w:id="169" w:name="_Toc12067"/>
      <w:r>
        <w:rPr>
          <w:rFonts w:ascii="Times New Roman" w:hAnsi="Times New Roman"/>
          <w:color w:val="auto"/>
          <w:sz w:val="28"/>
          <w:szCs w:val="28"/>
          <w:lang w:val="en-GB"/>
        </w:rPr>
        <w:t>3.</w:t>
      </w:r>
      <w:r>
        <w:rPr>
          <w:rFonts w:ascii="Times New Roman" w:hAnsi="Times New Roman"/>
          <w:color w:val="auto"/>
          <w:sz w:val="28"/>
          <w:szCs w:val="28"/>
        </w:rPr>
        <w:t>4</w:t>
      </w:r>
      <w:r>
        <w:rPr>
          <w:rFonts w:ascii="Times New Roman" w:hAnsi="Times New Roman"/>
          <w:color w:val="auto"/>
          <w:sz w:val="28"/>
          <w:szCs w:val="28"/>
          <w:lang w:val="en-GB"/>
        </w:rPr>
        <w:t>.</w:t>
      </w:r>
      <w:r>
        <w:rPr>
          <w:rFonts w:ascii="Times New Roman" w:hAnsi="Times New Roman"/>
          <w:color w:val="auto"/>
          <w:sz w:val="28"/>
          <w:szCs w:val="28"/>
        </w:rPr>
        <w:t>6</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雷电危险性评价</w:t>
      </w:r>
      <w:bookmarkEnd w:id="166"/>
      <w:bookmarkEnd w:id="167"/>
      <w:bookmarkEnd w:id="168"/>
      <w:bookmarkEnd w:id="169"/>
    </w:p>
    <w:p w14:paraId="54DF6D26">
      <w:pPr>
        <w:bidi w:val="0"/>
        <w:rPr>
          <w:rFonts w:ascii="Times New Roman" w:hAnsi="Times New Roman"/>
          <w:color w:val="auto"/>
        </w:rPr>
      </w:pPr>
      <w:r>
        <w:rPr>
          <w:rFonts w:ascii="Times New Roman" w:hAnsi="Times New Roman"/>
          <w:color w:val="auto"/>
        </w:rPr>
        <w:t>雷电危险评价主要是针对项目中建</w:t>
      </w:r>
      <w:r>
        <w:rPr>
          <w:rFonts w:hint="eastAsia" w:ascii="Times New Roman" w:hAnsi="Times New Roman"/>
          <w:color w:val="auto"/>
          <w:lang w:eastAsia="zh-CN"/>
        </w:rPr>
        <w:t>（</w:t>
      </w:r>
      <w:r>
        <w:rPr>
          <w:rFonts w:ascii="Times New Roman" w:hAnsi="Times New Roman"/>
          <w:color w:val="auto"/>
        </w:rPr>
        <w:t>构</w:t>
      </w:r>
      <w:r>
        <w:rPr>
          <w:rFonts w:hint="eastAsia" w:ascii="Times New Roman" w:hAnsi="Times New Roman"/>
          <w:color w:val="auto"/>
          <w:lang w:eastAsia="zh-CN"/>
        </w:rPr>
        <w:t>）</w:t>
      </w:r>
      <w:r>
        <w:rPr>
          <w:rFonts w:ascii="Times New Roman" w:hAnsi="Times New Roman"/>
          <w:color w:val="auto"/>
        </w:rPr>
        <w:t>筑物应设置的防雷接地设施而进行的，所采用的方法是根据《建筑物防雷设计规范》</w:t>
      </w:r>
      <w:r>
        <w:rPr>
          <w:rFonts w:hint="eastAsia" w:ascii="Times New Roman" w:hAnsi="Times New Roman"/>
          <w:color w:val="auto"/>
          <w:lang w:eastAsia="zh-CN"/>
        </w:rPr>
        <w:t>（</w:t>
      </w:r>
      <w:r>
        <w:rPr>
          <w:rFonts w:ascii="Times New Roman" w:hAnsi="Times New Roman"/>
          <w:color w:val="auto"/>
        </w:rPr>
        <w:t>GB50057-2010</w:t>
      </w:r>
      <w:r>
        <w:rPr>
          <w:rFonts w:hint="eastAsia" w:ascii="Times New Roman" w:hAnsi="Times New Roman"/>
          <w:color w:val="auto"/>
          <w:lang w:eastAsia="zh-CN"/>
        </w:rPr>
        <w:t>）</w:t>
      </w:r>
      <w:r>
        <w:rPr>
          <w:rFonts w:ascii="Times New Roman" w:hAnsi="Times New Roman"/>
          <w:color w:val="auto"/>
        </w:rPr>
        <w:t>等相关标准、规范，检查该项目建</w:t>
      </w:r>
      <w:r>
        <w:rPr>
          <w:rFonts w:hint="eastAsia" w:ascii="Times New Roman" w:hAnsi="Times New Roman"/>
          <w:color w:val="auto"/>
          <w:lang w:eastAsia="zh-CN"/>
        </w:rPr>
        <w:t>（</w:t>
      </w:r>
      <w:r>
        <w:rPr>
          <w:rFonts w:ascii="Times New Roman" w:hAnsi="Times New Roman"/>
          <w:color w:val="auto"/>
        </w:rPr>
        <w:t>构</w:t>
      </w:r>
      <w:r>
        <w:rPr>
          <w:rFonts w:hint="eastAsia" w:ascii="Times New Roman" w:hAnsi="Times New Roman"/>
          <w:color w:val="auto"/>
          <w:lang w:eastAsia="zh-CN"/>
        </w:rPr>
        <w:t>）</w:t>
      </w:r>
      <w:r>
        <w:rPr>
          <w:rFonts w:ascii="Times New Roman" w:hAnsi="Times New Roman"/>
          <w:color w:val="auto"/>
        </w:rPr>
        <w:t>筑物、设施的防雷分类、防雷设施措施是否正确。矿山作业人员在雷雨天要注意防雷，不要在树下、电杆下等易发生雷击伤害的地方停留。</w:t>
      </w:r>
    </w:p>
    <w:p w14:paraId="155ECB09">
      <w:pPr>
        <w:pStyle w:val="4"/>
        <w:bidi w:val="0"/>
        <w:rPr>
          <w:rFonts w:ascii="Times New Roman" w:hAnsi="Times New Roman"/>
          <w:color w:val="auto"/>
          <w:sz w:val="28"/>
          <w:szCs w:val="28"/>
          <w:lang w:val="en-GB"/>
        </w:rPr>
      </w:pPr>
      <w:bookmarkStart w:id="170" w:name="_Toc6249"/>
      <w:bookmarkStart w:id="171" w:name="_Toc26930"/>
      <w:bookmarkStart w:id="172" w:name="_Toc9093"/>
      <w:bookmarkStart w:id="173" w:name="_Toc20222"/>
      <w:r>
        <w:rPr>
          <w:rFonts w:ascii="Times New Roman" w:hAnsi="Times New Roman"/>
          <w:color w:val="auto"/>
          <w:sz w:val="28"/>
          <w:szCs w:val="28"/>
          <w:lang w:val="en-GB"/>
        </w:rPr>
        <w:t>3.</w:t>
      </w:r>
      <w:r>
        <w:rPr>
          <w:rFonts w:ascii="Times New Roman" w:hAnsi="Times New Roman"/>
          <w:color w:val="auto"/>
          <w:sz w:val="28"/>
          <w:szCs w:val="28"/>
        </w:rPr>
        <w:t>4</w:t>
      </w:r>
      <w:r>
        <w:rPr>
          <w:rFonts w:ascii="Times New Roman" w:hAnsi="Times New Roman"/>
          <w:color w:val="auto"/>
          <w:sz w:val="28"/>
          <w:szCs w:val="28"/>
          <w:lang w:val="en-GB"/>
        </w:rPr>
        <w:t>.</w:t>
      </w:r>
      <w:r>
        <w:rPr>
          <w:rFonts w:ascii="Times New Roman" w:hAnsi="Times New Roman"/>
          <w:color w:val="auto"/>
          <w:sz w:val="28"/>
          <w:szCs w:val="28"/>
        </w:rPr>
        <w:t>7</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单元小结</w:t>
      </w:r>
      <w:bookmarkEnd w:id="170"/>
      <w:bookmarkEnd w:id="171"/>
      <w:bookmarkEnd w:id="172"/>
      <w:bookmarkEnd w:id="173"/>
    </w:p>
    <w:p w14:paraId="475581B3">
      <w:pPr>
        <w:bidi w:val="0"/>
        <w:rPr>
          <w:rFonts w:ascii="Times New Roman" w:hAnsi="Times New Roman"/>
          <w:color w:val="auto"/>
          <w:lang w:val="zh-CN"/>
        </w:rPr>
      </w:pPr>
      <w:r>
        <w:rPr>
          <w:rFonts w:ascii="Times New Roman" w:hAnsi="Times New Roman"/>
          <w:color w:val="auto"/>
        </w:rPr>
        <w:t>通过单元危险有害因素辨识、分析和危险度评价，本单元主要存在触电（含电击、电伤）、雷电伤害、电气火灾等危险有害因素。</w:t>
      </w:r>
      <w:r>
        <w:rPr>
          <w:rFonts w:hint="eastAsia" w:ascii="Times New Roman" w:hAnsi="Times New Roman"/>
          <w:color w:val="auto"/>
          <w:lang w:eastAsia="zh-CN"/>
        </w:rPr>
        <w:t>初步设计（代可研）</w:t>
      </w:r>
      <w:r>
        <w:rPr>
          <w:rFonts w:ascii="Times New Roman" w:hAnsi="Times New Roman"/>
          <w:color w:val="auto"/>
        </w:rPr>
        <w:t>中对矿山供电现状进行了说明，对矿山供配电、照明及防雷、接地等进行了设计说明，</w:t>
      </w:r>
      <w:r>
        <w:rPr>
          <w:rFonts w:ascii="Times New Roman" w:hAnsi="Times New Roman"/>
          <w:color w:val="auto"/>
          <w:lang w:val="zh-CN"/>
        </w:rPr>
        <w:t>符合</w:t>
      </w:r>
      <w:r>
        <w:rPr>
          <w:rFonts w:ascii="Times New Roman" w:hAnsi="Times New Roman"/>
          <w:color w:val="auto"/>
        </w:rPr>
        <w:t>《金属非金属矿山安全规程》</w:t>
      </w:r>
      <w:r>
        <w:rPr>
          <w:rFonts w:hint="eastAsia" w:ascii="Times New Roman" w:hAnsi="Times New Roman"/>
          <w:color w:val="auto"/>
          <w:lang w:eastAsia="zh-CN"/>
        </w:rPr>
        <w:t>（</w:t>
      </w:r>
      <w:r>
        <w:rPr>
          <w:rFonts w:ascii="Times New Roman" w:hAnsi="Times New Roman"/>
          <w:color w:val="auto"/>
        </w:rPr>
        <w:t>GB16423-2020</w:t>
      </w:r>
      <w:r>
        <w:rPr>
          <w:rFonts w:hint="eastAsia" w:ascii="Times New Roman" w:hAnsi="Times New Roman"/>
          <w:color w:val="auto"/>
          <w:lang w:eastAsia="zh-CN"/>
        </w:rPr>
        <w:t>）</w:t>
      </w:r>
      <w:r>
        <w:rPr>
          <w:rFonts w:ascii="Times New Roman" w:hAnsi="Times New Roman"/>
          <w:color w:val="auto"/>
        </w:rPr>
        <w:t>、《20kV及以下变电所设计规范》（GB50053-2013）和《低压配电设计规范》（GB50054-2011）</w:t>
      </w:r>
      <w:r>
        <w:rPr>
          <w:rFonts w:ascii="Times New Roman" w:hAnsi="Times New Roman"/>
          <w:color w:val="auto"/>
          <w:lang w:val="zh-CN"/>
        </w:rPr>
        <w:t>的要求。</w:t>
      </w:r>
    </w:p>
    <w:p w14:paraId="55CE3A50">
      <w:pPr>
        <w:bidi w:val="0"/>
        <w:rPr>
          <w:rFonts w:ascii="Times New Roman" w:hAnsi="Times New Roman"/>
          <w:color w:val="auto"/>
        </w:rPr>
      </w:pPr>
      <w:r>
        <w:rPr>
          <w:rFonts w:ascii="Times New Roman" w:hAnsi="Times New Roman"/>
          <w:color w:val="auto"/>
        </w:rPr>
        <w:t>本单元应注意以下问题：</w:t>
      </w:r>
    </w:p>
    <w:p w14:paraId="4D336C08">
      <w:pPr>
        <w:bidi w:val="0"/>
        <w:rPr>
          <w:rFonts w:ascii="Times New Roman" w:hAnsi="Times New Roman"/>
          <w:color w:val="auto"/>
        </w:rPr>
      </w:pPr>
      <w:r>
        <w:rPr>
          <w:rFonts w:ascii="Times New Roman" w:hAnsi="Times New Roman"/>
          <w:color w:val="auto"/>
        </w:rPr>
        <w:t>（1）设计中应当明确用电产品应具有符合规定的铭牌或标志，以满足安装、使用和维护的要求。</w:t>
      </w:r>
    </w:p>
    <w:p w14:paraId="42760571">
      <w:pPr>
        <w:bidi w:val="0"/>
        <w:rPr>
          <w:rFonts w:ascii="Times New Roman" w:hAnsi="Times New Roman"/>
          <w:color w:val="auto"/>
        </w:rPr>
      </w:pPr>
      <w:r>
        <w:rPr>
          <w:rFonts w:hint="eastAsia"/>
          <w:color w:val="auto"/>
          <w:lang w:eastAsia="zh-CN"/>
        </w:rPr>
        <w:t>（</w:t>
      </w:r>
      <w:r>
        <w:rPr>
          <w:rFonts w:hint="eastAsia"/>
          <w:color w:val="auto"/>
          <w:lang w:val="en-US" w:eastAsia="zh-CN"/>
        </w:rPr>
        <w:t>2</w:t>
      </w:r>
      <w:r>
        <w:rPr>
          <w:rFonts w:hint="eastAsia"/>
          <w:color w:val="auto"/>
          <w:lang w:eastAsia="zh-CN"/>
        </w:rPr>
        <w:t>）下一步安全设施设计应</w:t>
      </w:r>
      <w:r>
        <w:rPr>
          <w:rFonts w:hint="eastAsia"/>
          <w:color w:val="auto"/>
          <w:lang w:val="en-US" w:eastAsia="zh-CN"/>
        </w:rPr>
        <w:t>明确配电室的位置，</w:t>
      </w:r>
      <w:r>
        <w:rPr>
          <w:rFonts w:hint="eastAsia" w:ascii="Times New Roman" w:hAnsi="Times New Roman"/>
          <w:color w:val="auto"/>
        </w:rPr>
        <w:t>配电室的位置应靠近用电负荷中心，设置在尘埃少、腐蚀介质少、周围环境干燥和无剧烈震动的场所，并宜留有发展余地。</w:t>
      </w:r>
    </w:p>
    <w:p w14:paraId="15F4964C">
      <w:pPr>
        <w:bidi w:val="0"/>
        <w:rPr>
          <w:rFonts w:ascii="Times New Roman" w:hAnsi="Times New Roman"/>
          <w:color w:val="auto"/>
        </w:rPr>
      </w:pPr>
      <w:r>
        <w:rPr>
          <w:rFonts w:ascii="Times New Roman" w:hAnsi="Times New Roman"/>
          <w:color w:val="auto"/>
        </w:rPr>
        <w:t>（</w:t>
      </w:r>
      <w:r>
        <w:rPr>
          <w:rFonts w:hint="eastAsia"/>
          <w:color w:val="auto"/>
          <w:lang w:val="en-US" w:eastAsia="zh-CN"/>
        </w:rPr>
        <w:t>3</w:t>
      </w:r>
      <w:r>
        <w:rPr>
          <w:rFonts w:ascii="Times New Roman" w:hAnsi="Times New Roman"/>
          <w:color w:val="auto"/>
        </w:rPr>
        <w:t>）下一步安全设施设计应进一步完善矿山供配电设施应配备的安全设施，变压器室、配电室、电容器室等房间应设置防止雨、雪和蛇、鼠等小动物从采光窗、通风窗、门、电缆沟等处进入室内的设施。</w:t>
      </w:r>
    </w:p>
    <w:p w14:paraId="20B6423C">
      <w:pPr>
        <w:pStyle w:val="3"/>
        <w:bidi w:val="0"/>
        <w:rPr>
          <w:rFonts w:ascii="Times New Roman" w:hAnsi="Times New Roman"/>
          <w:color w:val="auto"/>
        </w:rPr>
      </w:pPr>
      <w:bookmarkStart w:id="174" w:name="_Toc26464"/>
      <w:bookmarkStart w:id="175" w:name="_Toc24288432"/>
      <w:bookmarkStart w:id="176" w:name="_Toc13220"/>
      <w:bookmarkStart w:id="177" w:name="_Toc11227"/>
      <w:bookmarkStart w:id="178" w:name="_Toc28993"/>
      <w:bookmarkStart w:id="179" w:name="_Toc7223"/>
      <w:bookmarkStart w:id="180" w:name="_Toc20983"/>
      <w:r>
        <w:rPr>
          <w:rFonts w:ascii="Times New Roman" w:hAnsi="Times New Roman"/>
          <w:color w:val="auto"/>
        </w:rPr>
        <w:t>3.5</w:t>
      </w:r>
      <w:r>
        <w:rPr>
          <w:rFonts w:hint="eastAsia" w:ascii="Times New Roman" w:hAnsi="Times New Roman"/>
          <w:color w:val="auto"/>
          <w:lang w:val="en-US" w:eastAsia="zh-CN"/>
        </w:rPr>
        <w:t xml:space="preserve"> </w:t>
      </w:r>
      <w:r>
        <w:rPr>
          <w:rFonts w:ascii="Times New Roman" w:hAnsi="Times New Roman"/>
          <w:color w:val="auto"/>
        </w:rPr>
        <w:t>防排水</w:t>
      </w:r>
      <w:r>
        <w:rPr>
          <w:rFonts w:hint="eastAsia" w:ascii="Times New Roman" w:hAnsi="Times New Roman"/>
          <w:color w:val="auto"/>
          <w:lang w:val="en-US" w:eastAsia="zh-CN"/>
        </w:rPr>
        <w:t>与防灭火</w:t>
      </w:r>
      <w:r>
        <w:rPr>
          <w:rFonts w:ascii="Times New Roman" w:hAnsi="Times New Roman"/>
          <w:color w:val="auto"/>
        </w:rPr>
        <w:t>单元</w:t>
      </w:r>
      <w:bookmarkEnd w:id="174"/>
      <w:bookmarkEnd w:id="175"/>
      <w:bookmarkEnd w:id="176"/>
      <w:bookmarkEnd w:id="177"/>
      <w:bookmarkEnd w:id="178"/>
      <w:bookmarkEnd w:id="179"/>
      <w:bookmarkEnd w:id="180"/>
    </w:p>
    <w:p w14:paraId="532E6AE2">
      <w:pPr>
        <w:pStyle w:val="4"/>
        <w:bidi w:val="0"/>
        <w:rPr>
          <w:rFonts w:ascii="Times New Roman" w:hAnsi="Times New Roman"/>
          <w:color w:val="auto"/>
          <w:sz w:val="28"/>
          <w:szCs w:val="28"/>
          <w:lang w:val="en-GB"/>
        </w:rPr>
      </w:pPr>
      <w:bookmarkStart w:id="181" w:name="_Toc13050"/>
      <w:bookmarkStart w:id="182" w:name="_Toc17694"/>
      <w:bookmarkStart w:id="183" w:name="_Toc6673"/>
      <w:r>
        <w:rPr>
          <w:rFonts w:ascii="Times New Roman" w:hAnsi="Times New Roman"/>
          <w:color w:val="auto"/>
          <w:sz w:val="28"/>
          <w:szCs w:val="28"/>
          <w:lang w:val="en-GB"/>
        </w:rPr>
        <w:t>3.</w:t>
      </w:r>
      <w:r>
        <w:rPr>
          <w:rFonts w:ascii="Times New Roman" w:hAnsi="Times New Roman"/>
          <w:color w:val="auto"/>
          <w:sz w:val="28"/>
          <w:szCs w:val="28"/>
        </w:rPr>
        <w:t>5</w:t>
      </w:r>
      <w:r>
        <w:rPr>
          <w:rFonts w:ascii="Times New Roman" w:hAnsi="Times New Roman"/>
          <w:color w:val="auto"/>
          <w:sz w:val="28"/>
          <w:szCs w:val="28"/>
          <w:lang w:val="en-GB"/>
        </w:rPr>
        <w:t>.</w:t>
      </w:r>
      <w:r>
        <w:rPr>
          <w:rFonts w:ascii="Times New Roman" w:hAnsi="Times New Roman"/>
          <w:color w:val="auto"/>
          <w:sz w:val="28"/>
          <w:szCs w:val="28"/>
        </w:rPr>
        <w:t>1</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防排水</w:t>
      </w:r>
      <w:r>
        <w:rPr>
          <w:rFonts w:hint="eastAsia" w:ascii="Times New Roman" w:hAnsi="Times New Roman"/>
          <w:color w:val="auto"/>
          <w:sz w:val="28"/>
          <w:szCs w:val="28"/>
          <w:lang w:val="en-GB"/>
        </w:rPr>
        <w:t>和防灭火</w:t>
      </w:r>
      <w:r>
        <w:rPr>
          <w:rFonts w:ascii="Times New Roman" w:hAnsi="Times New Roman"/>
          <w:color w:val="auto"/>
          <w:sz w:val="28"/>
          <w:szCs w:val="28"/>
          <w:lang w:val="en-GB"/>
        </w:rPr>
        <w:t>危险有害因素辨识与分析</w:t>
      </w:r>
      <w:bookmarkEnd w:id="181"/>
      <w:bookmarkEnd w:id="182"/>
      <w:bookmarkEnd w:id="183"/>
    </w:p>
    <w:p w14:paraId="0C62E1F5">
      <w:pPr>
        <w:bidi w:val="0"/>
        <w:rPr>
          <w:rFonts w:hint="default" w:ascii="Times New Roman" w:hAnsi="Times New Roman"/>
          <w:color w:val="auto"/>
          <w:lang w:val="en-US" w:eastAsia="zh-CN"/>
        </w:rPr>
      </w:pPr>
      <w:r>
        <w:rPr>
          <w:rFonts w:hint="eastAsia" w:ascii="Times New Roman" w:hAnsi="Times New Roman"/>
          <w:color w:val="auto"/>
          <w:lang w:val="en-US" w:eastAsia="zh-CN"/>
        </w:rPr>
        <w:t>一、防排水危险有害因素辨识与分析</w:t>
      </w:r>
    </w:p>
    <w:p w14:paraId="48C86E10">
      <w:pPr>
        <w:bidi w:val="0"/>
        <w:rPr>
          <w:rFonts w:hint="eastAsia" w:ascii="Times New Roman" w:hAnsi="Times New Roman"/>
          <w:color w:val="auto"/>
          <w:lang w:val="en-GB" w:eastAsia="zh-CN"/>
        </w:rPr>
      </w:pPr>
      <w:r>
        <w:rPr>
          <w:rFonts w:hint="eastAsia" w:ascii="Times New Roman" w:hAnsi="Times New Roman"/>
          <w:color w:val="auto"/>
          <w:lang w:val="en-GB" w:eastAsia="zh-CN"/>
        </w:rPr>
        <w:t>1、危险源辨识</w:t>
      </w:r>
    </w:p>
    <w:p w14:paraId="1C1F7E7D">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1</w:t>
      </w:r>
      <w:r>
        <w:rPr>
          <w:rFonts w:hint="eastAsia" w:ascii="Times New Roman" w:hAnsi="Times New Roman"/>
          <w:color w:val="auto"/>
          <w:lang w:val="en-GB" w:eastAsia="zh-CN"/>
        </w:rPr>
        <w:t>）自然因素</w:t>
      </w:r>
    </w:p>
    <w:p w14:paraId="20116BD0">
      <w:pPr>
        <w:bidi w:val="0"/>
        <w:rPr>
          <w:rFonts w:hint="eastAsia" w:ascii="Times New Roman" w:hAnsi="Times New Roman"/>
          <w:color w:val="auto"/>
          <w:lang w:val="en-GB" w:eastAsia="zh-CN"/>
        </w:rPr>
      </w:pPr>
      <w:r>
        <w:rPr>
          <w:rFonts w:hint="eastAsia" w:ascii="Times New Roman" w:hAnsi="Times New Roman"/>
          <w:color w:val="auto"/>
          <w:lang w:val="en-GB" w:eastAsia="zh-CN"/>
        </w:rPr>
        <w:t>暴雨、洪水：矿区短时强降雨导致采场、排土场积水，引发边坡失稳或泥石流。</w:t>
      </w:r>
    </w:p>
    <w:p w14:paraId="23E5003D">
      <w:pPr>
        <w:bidi w:val="0"/>
        <w:rPr>
          <w:rFonts w:hint="eastAsia" w:ascii="Times New Roman" w:hAnsi="Times New Roman"/>
          <w:color w:val="auto"/>
          <w:lang w:val="en-GB" w:eastAsia="zh-CN"/>
        </w:rPr>
      </w:pPr>
      <w:r>
        <w:rPr>
          <w:rFonts w:hint="eastAsia" w:ascii="Times New Roman" w:hAnsi="Times New Roman"/>
          <w:color w:val="auto"/>
          <w:lang w:val="en-GB" w:eastAsia="zh-CN"/>
        </w:rPr>
        <w:t>地下水渗流：采场底部因地下水位升高导致渗水，影响边坡稳定性和设备作业安全。</w:t>
      </w:r>
    </w:p>
    <w:p w14:paraId="47B63C1B">
      <w:pPr>
        <w:bidi w:val="0"/>
        <w:rPr>
          <w:rFonts w:hint="eastAsia" w:ascii="Times New Roman" w:hAnsi="Times New Roman"/>
          <w:color w:val="auto"/>
          <w:lang w:val="en-GB" w:eastAsia="zh-CN"/>
        </w:rPr>
      </w:pPr>
      <w:r>
        <w:rPr>
          <w:rFonts w:hint="eastAsia" w:ascii="Times New Roman" w:hAnsi="Times New Roman"/>
          <w:color w:val="auto"/>
          <w:lang w:val="en-GB" w:eastAsia="zh-CN"/>
        </w:rPr>
        <w:t>季节性融雪：寒冷地区春季融雪引发地表径流，冲刷边坡或淹没运输道路。</w:t>
      </w:r>
    </w:p>
    <w:p w14:paraId="4DE64F8B">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2</w:t>
      </w:r>
      <w:r>
        <w:rPr>
          <w:rFonts w:hint="eastAsia" w:ascii="Times New Roman" w:hAnsi="Times New Roman"/>
          <w:color w:val="auto"/>
          <w:lang w:val="en-GB" w:eastAsia="zh-CN"/>
        </w:rPr>
        <w:t>）工程因素</w:t>
      </w:r>
    </w:p>
    <w:p w14:paraId="22A4A4A4">
      <w:pPr>
        <w:bidi w:val="0"/>
        <w:rPr>
          <w:rFonts w:hint="eastAsia" w:ascii="Times New Roman" w:hAnsi="Times New Roman"/>
          <w:color w:val="auto"/>
          <w:lang w:val="en-GB" w:eastAsia="zh-CN"/>
        </w:rPr>
      </w:pPr>
      <w:r>
        <w:rPr>
          <w:rFonts w:hint="eastAsia" w:ascii="Times New Roman" w:hAnsi="Times New Roman"/>
          <w:color w:val="auto"/>
          <w:lang w:val="en-GB" w:eastAsia="zh-CN"/>
        </w:rPr>
        <w:t>排水系统缺陷：</w:t>
      </w:r>
    </w:p>
    <w:p w14:paraId="4CCD9512">
      <w:pPr>
        <w:bidi w:val="0"/>
        <w:rPr>
          <w:rFonts w:hint="eastAsia" w:ascii="Times New Roman" w:hAnsi="Times New Roman"/>
          <w:color w:val="auto"/>
          <w:lang w:val="en-GB" w:eastAsia="zh-CN"/>
        </w:rPr>
      </w:pPr>
      <w:r>
        <w:rPr>
          <w:rFonts w:hint="eastAsia" w:ascii="Times New Roman" w:hAnsi="Times New Roman"/>
          <w:color w:val="auto"/>
          <w:lang w:val="en-GB" w:eastAsia="zh-CN"/>
        </w:rPr>
        <w:t>采场截洪沟、排水沟断面设计不足，无法满足最大降雨量要求。</w:t>
      </w:r>
    </w:p>
    <w:p w14:paraId="7B415448">
      <w:pPr>
        <w:bidi w:val="0"/>
        <w:rPr>
          <w:rFonts w:hint="eastAsia" w:ascii="Times New Roman" w:hAnsi="Times New Roman"/>
          <w:color w:val="auto"/>
          <w:lang w:val="en-GB" w:eastAsia="zh-CN"/>
        </w:rPr>
      </w:pPr>
      <w:r>
        <w:rPr>
          <w:rFonts w:hint="eastAsia" w:ascii="Times New Roman" w:hAnsi="Times New Roman"/>
          <w:color w:val="auto"/>
          <w:lang w:val="en-GB" w:eastAsia="zh-CN"/>
        </w:rPr>
        <w:t>边坡渗水风险：</w:t>
      </w:r>
    </w:p>
    <w:p w14:paraId="05AE454C">
      <w:pPr>
        <w:bidi w:val="0"/>
        <w:rPr>
          <w:rFonts w:hint="eastAsia" w:ascii="Times New Roman" w:hAnsi="Times New Roman"/>
          <w:color w:val="auto"/>
          <w:lang w:val="en-GB" w:eastAsia="zh-CN"/>
        </w:rPr>
      </w:pPr>
      <w:r>
        <w:rPr>
          <w:rFonts w:hint="eastAsia" w:ascii="Times New Roman" w:hAnsi="Times New Roman"/>
          <w:color w:val="auto"/>
          <w:lang w:val="en-GB" w:eastAsia="zh-CN"/>
        </w:rPr>
        <w:t>未设置边坡疏干孔或排水盲沟，导致岩体含水率过高，诱发滑坡；</w:t>
      </w:r>
    </w:p>
    <w:p w14:paraId="348429EE">
      <w:pPr>
        <w:bidi w:val="0"/>
        <w:rPr>
          <w:rFonts w:hint="eastAsia" w:ascii="Times New Roman" w:hAnsi="Times New Roman"/>
          <w:color w:val="auto"/>
          <w:lang w:val="en-GB" w:eastAsia="zh-CN"/>
        </w:rPr>
      </w:pPr>
      <w:r>
        <w:rPr>
          <w:rFonts w:hint="eastAsia" w:ascii="Times New Roman" w:hAnsi="Times New Roman"/>
          <w:color w:val="auto"/>
          <w:lang w:val="en-GB" w:eastAsia="zh-CN"/>
        </w:rPr>
        <w:t>防渗帷幕或挡水墙破损，地下水渗入采场。</w:t>
      </w:r>
    </w:p>
    <w:p w14:paraId="33369793">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3</w:t>
      </w:r>
      <w:r>
        <w:rPr>
          <w:rFonts w:hint="eastAsia" w:ascii="Times New Roman" w:hAnsi="Times New Roman"/>
          <w:color w:val="auto"/>
          <w:lang w:val="en-GB" w:eastAsia="zh-CN"/>
        </w:rPr>
        <w:t>）管理因素</w:t>
      </w:r>
    </w:p>
    <w:p w14:paraId="5639AC83">
      <w:pPr>
        <w:bidi w:val="0"/>
        <w:rPr>
          <w:rFonts w:hint="eastAsia" w:ascii="Times New Roman" w:hAnsi="Times New Roman"/>
          <w:color w:val="auto"/>
          <w:lang w:val="en-GB" w:eastAsia="zh-CN"/>
        </w:rPr>
      </w:pPr>
      <w:r>
        <w:rPr>
          <w:rFonts w:hint="eastAsia" w:ascii="Times New Roman" w:hAnsi="Times New Roman"/>
          <w:color w:val="auto"/>
          <w:lang w:val="en-GB" w:eastAsia="zh-CN"/>
        </w:rPr>
        <w:t>排水设施维护不到位（如排水沟淤塞、泵站滤网未清理）；</w:t>
      </w:r>
    </w:p>
    <w:p w14:paraId="297D9EC8">
      <w:pPr>
        <w:bidi w:val="0"/>
        <w:rPr>
          <w:rFonts w:hint="eastAsia" w:ascii="Times New Roman" w:hAnsi="Times New Roman"/>
          <w:color w:val="auto"/>
          <w:lang w:val="en-GB" w:eastAsia="zh-CN"/>
        </w:rPr>
      </w:pPr>
      <w:r>
        <w:rPr>
          <w:rFonts w:hint="eastAsia" w:ascii="Times New Roman" w:hAnsi="Times New Roman"/>
          <w:color w:val="auto"/>
          <w:lang w:val="en-GB" w:eastAsia="zh-CN"/>
        </w:rPr>
        <w:t>未建立极端天气预警机制，应急排水预案缺失。</w:t>
      </w:r>
    </w:p>
    <w:p w14:paraId="7B2DAFA4">
      <w:pPr>
        <w:bidi w:val="0"/>
        <w:rPr>
          <w:rFonts w:hint="eastAsia" w:ascii="Times New Roman" w:hAnsi="Times New Roman"/>
          <w:color w:val="auto"/>
          <w:lang w:val="en-GB" w:eastAsia="zh-CN"/>
        </w:rPr>
      </w:pPr>
      <w:r>
        <w:rPr>
          <w:rFonts w:hint="eastAsia" w:ascii="Times New Roman" w:hAnsi="Times New Roman"/>
          <w:color w:val="auto"/>
          <w:lang w:val="en-GB" w:eastAsia="zh-CN"/>
        </w:rPr>
        <w:t>2、事故类型及后果</w:t>
      </w:r>
    </w:p>
    <w:p w14:paraId="6A5F64FE">
      <w:pPr>
        <w:bidi w:val="0"/>
        <w:rPr>
          <w:rFonts w:hint="eastAsia" w:ascii="Times New Roman" w:hAnsi="Times New Roman"/>
          <w:color w:val="auto"/>
          <w:lang w:val="en-GB" w:eastAsia="zh-CN"/>
        </w:rPr>
      </w:pPr>
      <w:r>
        <w:rPr>
          <w:rFonts w:hint="eastAsia" w:ascii="Times New Roman" w:hAnsi="Times New Roman"/>
          <w:color w:val="auto"/>
          <w:lang w:val="en-GB" w:eastAsia="zh-CN"/>
        </w:rPr>
        <w:t>直接事故：</w:t>
      </w:r>
    </w:p>
    <w:p w14:paraId="5D51FDFB">
      <w:pPr>
        <w:bidi w:val="0"/>
        <w:rPr>
          <w:rFonts w:hint="eastAsia" w:ascii="Times New Roman" w:hAnsi="Times New Roman"/>
          <w:color w:val="auto"/>
          <w:lang w:val="en-GB" w:eastAsia="zh-CN"/>
        </w:rPr>
      </w:pPr>
      <w:r>
        <w:rPr>
          <w:rFonts w:hint="eastAsia" w:ascii="Times New Roman" w:hAnsi="Times New Roman"/>
          <w:color w:val="auto"/>
          <w:lang w:val="en-GB" w:eastAsia="zh-CN"/>
        </w:rPr>
        <w:t>采场积水淹没设备（</w:t>
      </w:r>
      <w:r>
        <w:rPr>
          <w:rFonts w:hint="eastAsia" w:ascii="Times New Roman" w:hAnsi="Times New Roman"/>
          <w:color w:val="auto"/>
          <w:lang w:val="en-US" w:eastAsia="zh-CN"/>
        </w:rPr>
        <w:t>破碎站设备、</w:t>
      </w:r>
      <w:r>
        <w:rPr>
          <w:rFonts w:hint="eastAsia" w:ascii="Times New Roman" w:hAnsi="Times New Roman"/>
          <w:color w:val="auto"/>
          <w:lang w:val="en-GB" w:eastAsia="zh-CN"/>
        </w:rPr>
        <w:t>矿用</w:t>
      </w:r>
      <w:r>
        <w:rPr>
          <w:rFonts w:hint="eastAsia" w:ascii="Times New Roman" w:hAnsi="Times New Roman"/>
          <w:color w:val="auto"/>
          <w:lang w:val="en-US" w:eastAsia="zh-CN"/>
        </w:rPr>
        <w:t>车辆</w:t>
      </w:r>
      <w:r>
        <w:rPr>
          <w:rFonts w:hint="eastAsia" w:ascii="Times New Roman" w:hAnsi="Times New Roman"/>
          <w:color w:val="auto"/>
          <w:lang w:val="en-GB" w:eastAsia="zh-CN"/>
        </w:rPr>
        <w:t>等），导致电气短路或机械损坏；</w:t>
      </w:r>
    </w:p>
    <w:p w14:paraId="091667A5">
      <w:pPr>
        <w:bidi w:val="0"/>
        <w:rPr>
          <w:rFonts w:hint="eastAsia" w:ascii="Times New Roman" w:hAnsi="Times New Roman"/>
          <w:color w:val="auto"/>
          <w:lang w:val="en-GB" w:eastAsia="zh-CN"/>
        </w:rPr>
      </w:pPr>
      <w:r>
        <w:rPr>
          <w:rFonts w:hint="eastAsia" w:ascii="Times New Roman" w:hAnsi="Times New Roman"/>
          <w:color w:val="auto"/>
          <w:lang w:val="en-GB" w:eastAsia="zh-CN"/>
        </w:rPr>
        <w:t>边坡因水压增大发生滑坡或坍塌，掩埋作业人员；</w:t>
      </w:r>
    </w:p>
    <w:p w14:paraId="76601AFC">
      <w:pPr>
        <w:bidi w:val="0"/>
        <w:rPr>
          <w:rFonts w:hint="eastAsia" w:ascii="Times New Roman" w:hAnsi="Times New Roman"/>
          <w:color w:val="auto"/>
          <w:lang w:val="en-GB" w:eastAsia="zh-CN"/>
        </w:rPr>
      </w:pPr>
      <w:r>
        <w:rPr>
          <w:rFonts w:hint="eastAsia" w:ascii="Times New Roman" w:hAnsi="Times New Roman"/>
          <w:color w:val="auto"/>
          <w:lang w:val="en-GB" w:eastAsia="zh-CN"/>
        </w:rPr>
        <w:t>运输道路被冲毁，引发车辆侧翻事故。</w:t>
      </w:r>
    </w:p>
    <w:p w14:paraId="09B02CDF">
      <w:pPr>
        <w:bidi w:val="0"/>
        <w:rPr>
          <w:rFonts w:hint="eastAsia" w:ascii="Times New Roman" w:hAnsi="Times New Roman"/>
          <w:color w:val="auto"/>
          <w:lang w:val="en-GB" w:eastAsia="zh-CN"/>
        </w:rPr>
      </w:pPr>
      <w:r>
        <w:rPr>
          <w:rFonts w:hint="eastAsia" w:ascii="Times New Roman" w:hAnsi="Times New Roman"/>
          <w:color w:val="auto"/>
          <w:lang w:val="en-GB" w:eastAsia="zh-CN"/>
        </w:rPr>
        <w:t>二、防灭火危险有害因素辨识与分析</w:t>
      </w:r>
    </w:p>
    <w:p w14:paraId="2528DA9B">
      <w:pPr>
        <w:bidi w:val="0"/>
        <w:rPr>
          <w:rFonts w:hint="eastAsia" w:ascii="Times New Roman" w:hAnsi="Times New Roman"/>
          <w:color w:val="auto"/>
          <w:lang w:val="en-GB" w:eastAsia="zh-CN"/>
        </w:rPr>
      </w:pPr>
      <w:r>
        <w:rPr>
          <w:rFonts w:hint="eastAsia" w:ascii="Times New Roman" w:hAnsi="Times New Roman"/>
          <w:color w:val="auto"/>
          <w:lang w:val="en-GB" w:eastAsia="zh-CN"/>
        </w:rPr>
        <w:t>1、危险源辨识</w:t>
      </w:r>
    </w:p>
    <w:p w14:paraId="7CF50066">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1</w:t>
      </w:r>
      <w:r>
        <w:rPr>
          <w:rFonts w:hint="eastAsia" w:ascii="Times New Roman" w:hAnsi="Times New Roman"/>
          <w:color w:val="auto"/>
          <w:lang w:val="en-GB" w:eastAsia="zh-CN"/>
        </w:rPr>
        <w:t>）火源风险</w:t>
      </w:r>
    </w:p>
    <w:p w14:paraId="3BD750F8">
      <w:pPr>
        <w:bidi w:val="0"/>
        <w:rPr>
          <w:rFonts w:hint="eastAsia" w:ascii="Times New Roman" w:hAnsi="Times New Roman"/>
          <w:color w:val="auto"/>
          <w:lang w:val="en-GB" w:eastAsia="zh-CN"/>
        </w:rPr>
      </w:pPr>
      <w:r>
        <w:rPr>
          <w:rFonts w:hint="eastAsia" w:ascii="Times New Roman" w:hAnsi="Times New Roman"/>
          <w:color w:val="auto"/>
          <w:lang w:val="en-GB" w:eastAsia="zh-CN"/>
        </w:rPr>
        <w:t>爆破作业：炸药残留物未清理、爆破高温引燃可燃物；</w:t>
      </w:r>
    </w:p>
    <w:p w14:paraId="2AFB8FA5">
      <w:pPr>
        <w:bidi w:val="0"/>
        <w:rPr>
          <w:rFonts w:hint="eastAsia" w:ascii="Times New Roman" w:hAnsi="Times New Roman"/>
          <w:color w:val="auto"/>
          <w:lang w:val="en-GB" w:eastAsia="zh-CN"/>
        </w:rPr>
      </w:pPr>
      <w:r>
        <w:rPr>
          <w:rFonts w:hint="eastAsia" w:ascii="Times New Roman" w:hAnsi="Times New Roman"/>
          <w:color w:val="auto"/>
          <w:lang w:val="en-GB" w:eastAsia="zh-CN"/>
        </w:rPr>
        <w:t>设备火源：矿用</w:t>
      </w:r>
      <w:r>
        <w:rPr>
          <w:rFonts w:hint="eastAsia" w:ascii="Times New Roman" w:hAnsi="Times New Roman"/>
          <w:color w:val="auto"/>
          <w:lang w:val="en-US" w:eastAsia="zh-CN"/>
        </w:rPr>
        <w:t>车辆</w:t>
      </w:r>
      <w:r>
        <w:rPr>
          <w:rFonts w:hint="eastAsia" w:ascii="Times New Roman" w:hAnsi="Times New Roman"/>
          <w:color w:val="auto"/>
          <w:lang w:val="en-GB" w:eastAsia="zh-CN"/>
        </w:rPr>
        <w:t>、挖掘机等柴油设备排气高温或油路泄漏；</w:t>
      </w:r>
    </w:p>
    <w:p w14:paraId="1D480F14">
      <w:pPr>
        <w:bidi w:val="0"/>
        <w:rPr>
          <w:rFonts w:hint="eastAsia" w:ascii="Times New Roman" w:hAnsi="Times New Roman"/>
          <w:color w:val="auto"/>
          <w:lang w:val="en-GB" w:eastAsia="zh-CN"/>
        </w:rPr>
      </w:pPr>
      <w:r>
        <w:rPr>
          <w:rFonts w:hint="eastAsia" w:ascii="Times New Roman" w:hAnsi="Times New Roman"/>
          <w:color w:val="auto"/>
          <w:lang w:val="en-GB" w:eastAsia="zh-CN"/>
        </w:rPr>
        <w:t>电气火灾：配电箱短路、电缆过载或接头松动引发火花。</w:t>
      </w:r>
    </w:p>
    <w:p w14:paraId="2EB98C26">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2</w:t>
      </w:r>
      <w:r>
        <w:rPr>
          <w:rFonts w:hint="eastAsia" w:ascii="Times New Roman" w:hAnsi="Times New Roman"/>
          <w:color w:val="auto"/>
          <w:lang w:val="en-GB" w:eastAsia="zh-CN"/>
        </w:rPr>
        <w:t>）可燃物风险</w:t>
      </w:r>
    </w:p>
    <w:p w14:paraId="3D6DCAE6">
      <w:pPr>
        <w:bidi w:val="0"/>
        <w:rPr>
          <w:rFonts w:hint="eastAsia" w:ascii="Times New Roman" w:hAnsi="Times New Roman"/>
          <w:color w:val="auto"/>
          <w:lang w:val="en-GB" w:eastAsia="zh-CN"/>
        </w:rPr>
      </w:pPr>
      <w:r>
        <w:rPr>
          <w:rFonts w:hint="eastAsia" w:ascii="Times New Roman" w:hAnsi="Times New Roman"/>
          <w:color w:val="auto"/>
          <w:lang w:val="en-GB" w:eastAsia="zh-CN"/>
        </w:rPr>
        <w:t>采场周边植被茂密（如干燥季节灌木易燃）；</w:t>
      </w:r>
    </w:p>
    <w:p w14:paraId="2C9DCC30">
      <w:pPr>
        <w:bidi w:val="0"/>
        <w:rPr>
          <w:rFonts w:hint="eastAsia" w:ascii="Times New Roman" w:hAnsi="Times New Roman"/>
          <w:color w:val="auto"/>
          <w:lang w:val="en-GB" w:eastAsia="zh-CN"/>
        </w:rPr>
      </w:pPr>
      <w:r>
        <w:rPr>
          <w:rFonts w:hint="eastAsia" w:ascii="Times New Roman" w:hAnsi="Times New Roman"/>
          <w:color w:val="auto"/>
          <w:lang w:val="en-GB" w:eastAsia="zh-CN"/>
        </w:rPr>
        <w:t>油料（柴油、润滑油）储存区未隔离，泄漏后形成可燃蒸气；</w:t>
      </w:r>
    </w:p>
    <w:p w14:paraId="55B485EB">
      <w:pPr>
        <w:bidi w:val="0"/>
        <w:rPr>
          <w:rFonts w:hint="eastAsia" w:ascii="Times New Roman" w:hAnsi="Times New Roman"/>
          <w:color w:val="auto"/>
          <w:lang w:val="en-GB" w:eastAsia="zh-CN"/>
        </w:rPr>
      </w:pPr>
      <w:r>
        <w:rPr>
          <w:rFonts w:hint="eastAsia" w:ascii="Times New Roman" w:hAnsi="Times New Roman"/>
          <w:color w:val="auto"/>
          <w:lang w:val="en-GB" w:eastAsia="zh-CN"/>
        </w:rPr>
        <w:t>废弃轮胎、木材等易燃物随意堆放。</w:t>
      </w:r>
    </w:p>
    <w:p w14:paraId="1E013927">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3</w:t>
      </w:r>
      <w:r>
        <w:rPr>
          <w:rFonts w:hint="eastAsia" w:ascii="Times New Roman" w:hAnsi="Times New Roman"/>
          <w:color w:val="auto"/>
          <w:lang w:val="en-GB" w:eastAsia="zh-CN"/>
        </w:rPr>
        <w:t>）消防系统缺陷</w:t>
      </w:r>
    </w:p>
    <w:p w14:paraId="4DC34400">
      <w:pPr>
        <w:bidi w:val="0"/>
        <w:rPr>
          <w:rFonts w:hint="eastAsia" w:ascii="Times New Roman" w:hAnsi="Times New Roman"/>
          <w:color w:val="auto"/>
          <w:lang w:val="en-GB" w:eastAsia="zh-CN"/>
        </w:rPr>
      </w:pPr>
      <w:r>
        <w:rPr>
          <w:rFonts w:hint="eastAsia" w:ascii="Times New Roman" w:hAnsi="Times New Roman"/>
          <w:color w:val="auto"/>
          <w:lang w:val="en-GB" w:eastAsia="zh-CN"/>
        </w:rPr>
        <w:t>消防器材配置不足（如采场作业面未配备灭火器）；</w:t>
      </w:r>
    </w:p>
    <w:p w14:paraId="0D219625">
      <w:pPr>
        <w:bidi w:val="0"/>
        <w:rPr>
          <w:rFonts w:hint="eastAsia" w:ascii="Times New Roman" w:hAnsi="Times New Roman"/>
          <w:color w:val="auto"/>
          <w:lang w:val="en-GB" w:eastAsia="zh-CN"/>
        </w:rPr>
      </w:pPr>
      <w:r>
        <w:rPr>
          <w:rFonts w:hint="eastAsia" w:ascii="Times New Roman" w:hAnsi="Times New Roman"/>
          <w:color w:val="auto"/>
          <w:lang w:val="en-GB" w:eastAsia="zh-CN"/>
        </w:rPr>
        <w:t>消防水池容量不足或取水点距离采场过远；</w:t>
      </w:r>
    </w:p>
    <w:p w14:paraId="49A3C581">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4</w:t>
      </w:r>
      <w:r>
        <w:rPr>
          <w:rFonts w:hint="eastAsia" w:ascii="Times New Roman" w:hAnsi="Times New Roman"/>
          <w:color w:val="auto"/>
          <w:lang w:val="en-GB" w:eastAsia="zh-CN"/>
        </w:rPr>
        <w:t>）人为因素</w:t>
      </w:r>
    </w:p>
    <w:p w14:paraId="3F0D3A7A">
      <w:pPr>
        <w:bidi w:val="0"/>
        <w:rPr>
          <w:rFonts w:hint="eastAsia" w:ascii="Times New Roman" w:hAnsi="Times New Roman"/>
          <w:color w:val="auto"/>
          <w:lang w:val="en-GB" w:eastAsia="zh-CN"/>
        </w:rPr>
      </w:pPr>
      <w:r>
        <w:rPr>
          <w:rFonts w:hint="eastAsia" w:ascii="Times New Roman" w:hAnsi="Times New Roman"/>
          <w:color w:val="auto"/>
          <w:lang w:val="en-GB" w:eastAsia="zh-CN"/>
        </w:rPr>
        <w:t>作业人员违规吸烟或动火作业未审批；</w:t>
      </w:r>
    </w:p>
    <w:p w14:paraId="79C1BBD1">
      <w:pPr>
        <w:bidi w:val="0"/>
        <w:rPr>
          <w:rFonts w:hint="eastAsia" w:ascii="Times New Roman" w:hAnsi="Times New Roman"/>
          <w:color w:val="auto"/>
          <w:lang w:val="en-GB" w:eastAsia="zh-CN"/>
        </w:rPr>
      </w:pPr>
      <w:r>
        <w:rPr>
          <w:rFonts w:hint="eastAsia" w:ascii="Times New Roman" w:hAnsi="Times New Roman"/>
          <w:color w:val="auto"/>
          <w:lang w:val="en-GB" w:eastAsia="zh-CN"/>
        </w:rPr>
        <w:t>消防培训不足，员工不会使用灭火器材。</w:t>
      </w:r>
    </w:p>
    <w:p w14:paraId="3231372B">
      <w:pPr>
        <w:bidi w:val="0"/>
        <w:rPr>
          <w:rFonts w:hint="eastAsia" w:ascii="Times New Roman" w:hAnsi="Times New Roman"/>
          <w:color w:val="auto"/>
          <w:lang w:val="en-GB" w:eastAsia="zh-CN"/>
        </w:rPr>
      </w:pPr>
      <w:r>
        <w:rPr>
          <w:rFonts w:hint="eastAsia" w:ascii="Times New Roman" w:hAnsi="Times New Roman"/>
          <w:color w:val="auto"/>
          <w:lang w:val="en-GB" w:eastAsia="zh-CN"/>
        </w:rPr>
        <w:t>2、事故类型及后果</w:t>
      </w:r>
    </w:p>
    <w:p w14:paraId="51E93850">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1</w:t>
      </w:r>
      <w:r>
        <w:rPr>
          <w:rFonts w:hint="eastAsia" w:ascii="Times New Roman" w:hAnsi="Times New Roman"/>
          <w:color w:val="auto"/>
          <w:lang w:val="en-GB" w:eastAsia="zh-CN"/>
        </w:rPr>
        <w:t>）火灾类型</w:t>
      </w:r>
    </w:p>
    <w:p w14:paraId="26C53ABB">
      <w:pPr>
        <w:bidi w:val="0"/>
        <w:rPr>
          <w:rFonts w:hint="eastAsia" w:ascii="Times New Roman" w:hAnsi="Times New Roman"/>
          <w:color w:val="auto"/>
          <w:lang w:val="en-GB" w:eastAsia="zh-CN"/>
        </w:rPr>
      </w:pPr>
      <w:r>
        <w:rPr>
          <w:rFonts w:hint="eastAsia" w:ascii="Times New Roman" w:hAnsi="Times New Roman"/>
          <w:color w:val="auto"/>
          <w:lang w:val="en-GB" w:eastAsia="zh-CN"/>
        </w:rPr>
        <w:t>A类火灾（木材、植被燃烧）；</w:t>
      </w:r>
    </w:p>
    <w:p w14:paraId="3E4C0ECC">
      <w:pPr>
        <w:bidi w:val="0"/>
        <w:rPr>
          <w:rFonts w:hint="eastAsia" w:ascii="Times New Roman" w:hAnsi="Times New Roman"/>
          <w:color w:val="auto"/>
          <w:lang w:val="en-GB" w:eastAsia="zh-CN"/>
        </w:rPr>
      </w:pPr>
      <w:r>
        <w:rPr>
          <w:rFonts w:hint="eastAsia" w:ascii="Times New Roman" w:hAnsi="Times New Roman"/>
          <w:color w:val="auto"/>
          <w:lang w:val="en-GB" w:eastAsia="zh-CN"/>
        </w:rPr>
        <w:t>B类火灾（柴油、润滑油燃烧）；</w:t>
      </w:r>
    </w:p>
    <w:p w14:paraId="4AC40FFB">
      <w:pPr>
        <w:bidi w:val="0"/>
        <w:rPr>
          <w:rFonts w:hint="eastAsia" w:ascii="Times New Roman" w:hAnsi="Times New Roman"/>
          <w:color w:val="auto"/>
          <w:lang w:val="en-GB" w:eastAsia="zh-CN"/>
        </w:rPr>
      </w:pPr>
      <w:r>
        <w:rPr>
          <w:rFonts w:hint="eastAsia" w:ascii="Times New Roman" w:hAnsi="Times New Roman"/>
          <w:color w:val="auto"/>
          <w:lang w:val="en-GB" w:eastAsia="zh-CN"/>
        </w:rPr>
        <w:t>E类火灾（电气设备短路）。</w:t>
      </w:r>
    </w:p>
    <w:p w14:paraId="379EBAA2">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2</w:t>
      </w:r>
      <w:r>
        <w:rPr>
          <w:rFonts w:hint="eastAsia" w:ascii="Times New Roman" w:hAnsi="Times New Roman"/>
          <w:color w:val="auto"/>
          <w:lang w:val="en-GB" w:eastAsia="zh-CN"/>
        </w:rPr>
        <w:t>）蔓延风险</w:t>
      </w:r>
    </w:p>
    <w:p w14:paraId="64151F0F">
      <w:pPr>
        <w:bidi w:val="0"/>
        <w:rPr>
          <w:rFonts w:hint="eastAsia" w:ascii="Times New Roman" w:hAnsi="Times New Roman"/>
          <w:color w:val="auto"/>
          <w:lang w:val="en-GB" w:eastAsia="zh-CN"/>
        </w:rPr>
      </w:pPr>
      <w:r>
        <w:rPr>
          <w:rFonts w:hint="eastAsia" w:ascii="Times New Roman" w:hAnsi="Times New Roman"/>
          <w:color w:val="auto"/>
          <w:lang w:val="en-GB" w:eastAsia="zh-CN"/>
        </w:rPr>
        <w:t>火势沿边坡植被迅速扩散至周边森林；</w:t>
      </w:r>
    </w:p>
    <w:p w14:paraId="126AEBFD">
      <w:pPr>
        <w:bidi w:val="0"/>
        <w:rPr>
          <w:rFonts w:hint="eastAsia" w:ascii="Times New Roman" w:hAnsi="Times New Roman"/>
          <w:color w:val="auto"/>
          <w:lang w:val="en-GB" w:eastAsia="zh-CN"/>
        </w:rPr>
      </w:pPr>
      <w:r>
        <w:rPr>
          <w:rFonts w:hint="eastAsia" w:ascii="Times New Roman" w:hAnsi="Times New Roman"/>
          <w:color w:val="auto"/>
          <w:lang w:val="en-US" w:eastAsia="zh-CN"/>
        </w:rPr>
        <w:t>设有柴油罐的，</w:t>
      </w:r>
      <w:r>
        <w:rPr>
          <w:rFonts w:hint="eastAsia" w:ascii="Times New Roman" w:hAnsi="Times New Roman"/>
          <w:color w:val="auto"/>
          <w:lang w:val="en-GB" w:eastAsia="zh-CN"/>
        </w:rPr>
        <w:t>油料储存区火灾可能引发爆炸。</w:t>
      </w:r>
    </w:p>
    <w:p w14:paraId="7D1DD4D9">
      <w:pPr>
        <w:bidi w:val="0"/>
        <w:rPr>
          <w:rFonts w:hint="eastAsia" w:ascii="Times New Roman" w:hAnsi="Times New Roman"/>
          <w:color w:val="auto"/>
          <w:lang w:val="en-GB" w:eastAsia="zh-CN"/>
        </w:rPr>
      </w:pPr>
      <w:r>
        <w:rPr>
          <w:rFonts w:hint="eastAsia" w:ascii="Times New Roman" w:hAnsi="Times New Roman"/>
          <w:color w:val="auto"/>
          <w:lang w:val="en-GB" w:eastAsia="zh-CN"/>
        </w:rPr>
        <w:t>（</w:t>
      </w:r>
      <w:r>
        <w:rPr>
          <w:rFonts w:hint="eastAsia" w:ascii="Times New Roman" w:hAnsi="Times New Roman"/>
          <w:color w:val="auto"/>
          <w:lang w:val="en-US" w:eastAsia="zh-CN"/>
        </w:rPr>
        <w:t>3</w:t>
      </w:r>
      <w:r>
        <w:rPr>
          <w:rFonts w:hint="eastAsia" w:ascii="Times New Roman" w:hAnsi="Times New Roman"/>
          <w:color w:val="auto"/>
          <w:lang w:val="en-GB" w:eastAsia="zh-CN"/>
        </w:rPr>
        <w:t>）后果影响</w:t>
      </w:r>
    </w:p>
    <w:p w14:paraId="47FE81EE">
      <w:pPr>
        <w:bidi w:val="0"/>
        <w:rPr>
          <w:rFonts w:hint="eastAsia" w:ascii="Times New Roman" w:hAnsi="Times New Roman"/>
          <w:color w:val="auto"/>
          <w:lang w:val="en-GB" w:eastAsia="zh-CN"/>
        </w:rPr>
      </w:pPr>
      <w:r>
        <w:rPr>
          <w:rFonts w:hint="eastAsia" w:ascii="Times New Roman" w:hAnsi="Times New Roman"/>
          <w:color w:val="auto"/>
          <w:lang w:val="en-GB" w:eastAsia="zh-CN"/>
        </w:rPr>
        <w:t>人员烧伤、窒息（露天矿山开阔区域烟雾扩散快）；</w:t>
      </w:r>
    </w:p>
    <w:p w14:paraId="39FEA400">
      <w:pPr>
        <w:bidi w:val="0"/>
        <w:rPr>
          <w:rFonts w:hint="eastAsia" w:ascii="Times New Roman" w:hAnsi="Times New Roman"/>
          <w:color w:val="auto"/>
          <w:lang w:val="en-GB" w:eastAsia="zh-CN"/>
        </w:rPr>
      </w:pPr>
      <w:r>
        <w:rPr>
          <w:rFonts w:hint="eastAsia" w:ascii="Times New Roman" w:hAnsi="Times New Roman"/>
          <w:color w:val="auto"/>
          <w:lang w:val="en-GB" w:eastAsia="zh-CN"/>
        </w:rPr>
        <w:t>矿用车辆、电气设备烧毁，生产中断；</w:t>
      </w:r>
    </w:p>
    <w:p w14:paraId="60ACD2E5">
      <w:pPr>
        <w:bidi w:val="0"/>
        <w:rPr>
          <w:rFonts w:hint="eastAsia" w:ascii="Times New Roman" w:hAnsi="Times New Roman"/>
          <w:color w:val="auto"/>
          <w:lang w:val="en-GB" w:eastAsia="zh-CN"/>
        </w:rPr>
      </w:pPr>
      <w:r>
        <w:rPr>
          <w:rFonts w:hint="eastAsia" w:ascii="Times New Roman" w:hAnsi="Times New Roman"/>
          <w:color w:val="auto"/>
          <w:lang w:val="en-GB" w:eastAsia="zh-CN"/>
        </w:rPr>
        <w:t>森林火灾引发生态环境破坏及法律追责。</w:t>
      </w:r>
    </w:p>
    <w:p w14:paraId="56DF9AA8">
      <w:pPr>
        <w:pStyle w:val="4"/>
        <w:bidi w:val="0"/>
        <w:rPr>
          <w:rFonts w:ascii="Times New Roman" w:hAnsi="Times New Roman"/>
          <w:color w:val="auto"/>
        </w:rPr>
      </w:pPr>
      <w:bookmarkStart w:id="184" w:name="_Toc13887"/>
      <w:bookmarkStart w:id="185" w:name="_Toc23597"/>
      <w:bookmarkStart w:id="186" w:name="_Toc883"/>
      <w:bookmarkStart w:id="187" w:name="_Toc13921"/>
      <w:r>
        <w:rPr>
          <w:rFonts w:ascii="Times New Roman" w:hAnsi="Times New Roman"/>
          <w:color w:val="auto"/>
        </w:rPr>
        <w:t>3.5.2</w:t>
      </w:r>
      <w:bookmarkEnd w:id="184"/>
      <w:r>
        <w:rPr>
          <w:rFonts w:hint="eastAsia" w:ascii="Times New Roman" w:hAnsi="Times New Roman"/>
          <w:color w:val="auto"/>
          <w:lang w:val="en-US" w:eastAsia="zh-CN"/>
        </w:rPr>
        <w:t xml:space="preserve"> </w:t>
      </w:r>
      <w:r>
        <w:rPr>
          <w:rFonts w:ascii="Times New Roman" w:hAnsi="Times New Roman"/>
          <w:color w:val="auto"/>
        </w:rPr>
        <w:t>防排水</w:t>
      </w:r>
      <w:r>
        <w:rPr>
          <w:rFonts w:hint="eastAsia" w:ascii="Times New Roman" w:hAnsi="Times New Roman"/>
          <w:color w:val="auto"/>
          <w:lang w:val="en-US" w:eastAsia="zh-CN"/>
        </w:rPr>
        <w:t>与防灭火</w:t>
      </w:r>
      <w:r>
        <w:rPr>
          <w:rFonts w:ascii="Times New Roman" w:hAnsi="Times New Roman"/>
          <w:color w:val="auto"/>
        </w:rPr>
        <w:t>单元预先危险性分析</w:t>
      </w:r>
      <w:bookmarkEnd w:id="185"/>
      <w:bookmarkEnd w:id="186"/>
      <w:bookmarkEnd w:id="187"/>
    </w:p>
    <w:p w14:paraId="796BCBB2">
      <w:pPr>
        <w:pStyle w:val="16"/>
        <w:bidi w:val="0"/>
        <w:rPr>
          <w:rFonts w:ascii="Times New Roman" w:hAnsi="Times New Roman"/>
          <w:bCs/>
          <w:color w:val="auto"/>
          <w:szCs w:val="21"/>
        </w:rPr>
      </w:pPr>
      <w:r>
        <w:rPr>
          <w:rFonts w:ascii="Times New Roman" w:hAnsi="Times New Roman"/>
          <w:bCs/>
          <w:color w:val="auto"/>
          <w:szCs w:val="21"/>
        </w:rPr>
        <w:t xml:space="preserve">表3.5-1  </w:t>
      </w:r>
      <w:r>
        <w:rPr>
          <w:rFonts w:ascii="Times New Roman" w:hAnsi="Times New Roman"/>
          <w:color w:val="auto"/>
          <w:szCs w:val="20"/>
          <w:lang w:val="en-GB"/>
        </w:rPr>
        <w:t>防排水</w:t>
      </w:r>
      <w:r>
        <w:rPr>
          <w:rFonts w:hint="eastAsia" w:ascii="Times New Roman" w:hAnsi="Times New Roman"/>
          <w:color w:val="auto"/>
          <w:szCs w:val="20"/>
          <w:lang w:val="en-GB"/>
        </w:rPr>
        <w:t>与防灭火</w:t>
      </w:r>
      <w:r>
        <w:rPr>
          <w:rFonts w:ascii="Times New Roman" w:hAnsi="Times New Roman"/>
          <w:color w:val="auto"/>
          <w:szCs w:val="20"/>
        </w:rPr>
        <w:t>单元</w:t>
      </w:r>
      <w:r>
        <w:rPr>
          <w:rFonts w:ascii="Times New Roman" w:hAnsi="Times New Roman"/>
          <w:bCs/>
          <w:color w:val="auto"/>
          <w:szCs w:val="21"/>
        </w:rPr>
        <w:t>预先危险性分析表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2449"/>
        <w:gridCol w:w="1459"/>
        <w:gridCol w:w="778"/>
        <w:gridCol w:w="797"/>
        <w:gridCol w:w="773"/>
        <w:gridCol w:w="2171"/>
      </w:tblGrid>
      <w:tr w14:paraId="7BD2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14" w:type="pct"/>
            <w:noWrap w:val="0"/>
            <w:vAlign w:val="center"/>
          </w:tcPr>
          <w:p w14:paraId="62DD553B">
            <w:pPr>
              <w:pStyle w:val="17"/>
              <w:bidi w:val="0"/>
              <w:rPr>
                <w:rFonts w:ascii="Times New Roman" w:hAnsi="Times New Roman"/>
                <w:b/>
                <w:bCs/>
                <w:color w:val="auto"/>
              </w:rPr>
            </w:pPr>
            <w:r>
              <w:rPr>
                <w:rFonts w:ascii="Times New Roman" w:hAnsi="Times New Roman"/>
                <w:b/>
                <w:bCs/>
                <w:color w:val="auto"/>
              </w:rPr>
              <w:t>危险有害因素</w:t>
            </w:r>
          </w:p>
        </w:tc>
        <w:tc>
          <w:tcPr>
            <w:tcW w:w="1303" w:type="pct"/>
            <w:noWrap w:val="0"/>
            <w:vAlign w:val="center"/>
          </w:tcPr>
          <w:p w14:paraId="0C41EA5C">
            <w:pPr>
              <w:pStyle w:val="17"/>
              <w:bidi w:val="0"/>
              <w:rPr>
                <w:rFonts w:ascii="Times New Roman" w:hAnsi="Times New Roman"/>
                <w:b/>
                <w:bCs/>
                <w:color w:val="auto"/>
              </w:rPr>
            </w:pPr>
            <w:r>
              <w:rPr>
                <w:rFonts w:ascii="Times New Roman" w:hAnsi="Times New Roman"/>
                <w:b/>
                <w:bCs/>
                <w:color w:val="auto"/>
              </w:rPr>
              <w:t>触发事件</w:t>
            </w:r>
          </w:p>
        </w:tc>
        <w:tc>
          <w:tcPr>
            <w:tcW w:w="776" w:type="pct"/>
            <w:noWrap w:val="0"/>
            <w:vAlign w:val="center"/>
          </w:tcPr>
          <w:p w14:paraId="0B23056C">
            <w:pPr>
              <w:pStyle w:val="17"/>
              <w:bidi w:val="0"/>
              <w:rPr>
                <w:rFonts w:ascii="Times New Roman" w:hAnsi="Times New Roman"/>
                <w:b/>
                <w:bCs/>
                <w:color w:val="auto"/>
              </w:rPr>
            </w:pPr>
            <w:r>
              <w:rPr>
                <w:rFonts w:ascii="Times New Roman" w:hAnsi="Times New Roman"/>
                <w:b/>
                <w:bCs/>
                <w:color w:val="auto"/>
              </w:rPr>
              <w:t>形成事</w:t>
            </w:r>
          </w:p>
          <w:p w14:paraId="4FF0F903">
            <w:pPr>
              <w:pStyle w:val="17"/>
              <w:bidi w:val="0"/>
              <w:rPr>
                <w:rFonts w:ascii="Times New Roman" w:hAnsi="Times New Roman"/>
                <w:b/>
                <w:bCs/>
                <w:color w:val="auto"/>
              </w:rPr>
            </w:pPr>
            <w:r>
              <w:rPr>
                <w:rFonts w:ascii="Times New Roman" w:hAnsi="Times New Roman"/>
                <w:b/>
                <w:bCs/>
                <w:color w:val="auto"/>
              </w:rPr>
              <w:t>故原因</w:t>
            </w:r>
          </w:p>
        </w:tc>
        <w:tc>
          <w:tcPr>
            <w:tcW w:w="414" w:type="pct"/>
            <w:noWrap w:val="0"/>
            <w:vAlign w:val="center"/>
          </w:tcPr>
          <w:p w14:paraId="74886CD1">
            <w:pPr>
              <w:pStyle w:val="17"/>
              <w:bidi w:val="0"/>
              <w:rPr>
                <w:rFonts w:ascii="Times New Roman" w:hAnsi="Times New Roman"/>
                <w:b/>
                <w:bCs/>
                <w:color w:val="auto"/>
              </w:rPr>
            </w:pPr>
            <w:r>
              <w:rPr>
                <w:rFonts w:ascii="Times New Roman" w:hAnsi="Times New Roman"/>
                <w:b/>
                <w:bCs/>
                <w:color w:val="auto"/>
              </w:rPr>
              <w:t>事故</w:t>
            </w:r>
          </w:p>
          <w:p w14:paraId="411B5AAD">
            <w:pPr>
              <w:pStyle w:val="17"/>
              <w:bidi w:val="0"/>
              <w:rPr>
                <w:rFonts w:ascii="Times New Roman" w:hAnsi="Times New Roman"/>
                <w:b/>
                <w:bCs/>
                <w:color w:val="auto"/>
              </w:rPr>
            </w:pPr>
            <w:r>
              <w:rPr>
                <w:rFonts w:ascii="Times New Roman" w:hAnsi="Times New Roman"/>
                <w:b/>
                <w:bCs/>
                <w:color w:val="auto"/>
              </w:rPr>
              <w:t>模式</w:t>
            </w:r>
          </w:p>
        </w:tc>
        <w:tc>
          <w:tcPr>
            <w:tcW w:w="424" w:type="pct"/>
            <w:noWrap w:val="0"/>
            <w:vAlign w:val="center"/>
          </w:tcPr>
          <w:p w14:paraId="4C02D15D">
            <w:pPr>
              <w:pStyle w:val="17"/>
              <w:bidi w:val="0"/>
              <w:rPr>
                <w:rFonts w:ascii="Times New Roman" w:hAnsi="Times New Roman"/>
                <w:b/>
                <w:bCs/>
                <w:color w:val="auto"/>
              </w:rPr>
            </w:pPr>
            <w:r>
              <w:rPr>
                <w:rFonts w:ascii="Times New Roman" w:hAnsi="Times New Roman"/>
                <w:b/>
                <w:bCs/>
                <w:color w:val="auto"/>
              </w:rPr>
              <w:t>事故</w:t>
            </w:r>
          </w:p>
          <w:p w14:paraId="23B61884">
            <w:pPr>
              <w:pStyle w:val="17"/>
              <w:bidi w:val="0"/>
              <w:rPr>
                <w:rFonts w:ascii="Times New Roman" w:hAnsi="Times New Roman"/>
                <w:b/>
                <w:bCs/>
                <w:color w:val="auto"/>
              </w:rPr>
            </w:pPr>
            <w:r>
              <w:rPr>
                <w:rFonts w:ascii="Times New Roman" w:hAnsi="Times New Roman"/>
                <w:b/>
                <w:bCs/>
                <w:color w:val="auto"/>
              </w:rPr>
              <w:t>后果</w:t>
            </w:r>
          </w:p>
        </w:tc>
        <w:tc>
          <w:tcPr>
            <w:tcW w:w="411" w:type="pct"/>
            <w:noWrap w:val="0"/>
            <w:vAlign w:val="center"/>
          </w:tcPr>
          <w:p w14:paraId="13E29D0E">
            <w:pPr>
              <w:pStyle w:val="17"/>
              <w:bidi w:val="0"/>
              <w:rPr>
                <w:rFonts w:ascii="Times New Roman" w:hAnsi="Times New Roman"/>
                <w:b/>
                <w:bCs/>
                <w:color w:val="auto"/>
              </w:rPr>
            </w:pPr>
            <w:r>
              <w:rPr>
                <w:rFonts w:ascii="Times New Roman" w:hAnsi="Times New Roman"/>
                <w:b/>
                <w:bCs/>
                <w:color w:val="auto"/>
              </w:rPr>
              <w:t>危险</w:t>
            </w:r>
          </w:p>
          <w:p w14:paraId="6E40AC35">
            <w:pPr>
              <w:pStyle w:val="17"/>
              <w:bidi w:val="0"/>
              <w:rPr>
                <w:rFonts w:ascii="Times New Roman" w:hAnsi="Times New Roman"/>
                <w:b/>
                <w:bCs/>
                <w:color w:val="auto"/>
              </w:rPr>
            </w:pPr>
            <w:r>
              <w:rPr>
                <w:rFonts w:ascii="Times New Roman" w:hAnsi="Times New Roman"/>
                <w:b/>
                <w:bCs/>
                <w:color w:val="auto"/>
              </w:rPr>
              <w:t>等级</w:t>
            </w:r>
          </w:p>
        </w:tc>
        <w:tc>
          <w:tcPr>
            <w:tcW w:w="1155" w:type="pct"/>
            <w:noWrap w:val="0"/>
            <w:vAlign w:val="center"/>
          </w:tcPr>
          <w:p w14:paraId="5482A5D0">
            <w:pPr>
              <w:pStyle w:val="17"/>
              <w:bidi w:val="0"/>
              <w:rPr>
                <w:rFonts w:ascii="Times New Roman" w:hAnsi="Times New Roman"/>
                <w:b/>
                <w:bCs/>
                <w:color w:val="auto"/>
              </w:rPr>
            </w:pPr>
            <w:r>
              <w:rPr>
                <w:rFonts w:ascii="Times New Roman" w:hAnsi="Times New Roman"/>
                <w:b/>
                <w:bCs/>
                <w:color w:val="auto"/>
              </w:rPr>
              <w:t>对策措施</w:t>
            </w:r>
          </w:p>
        </w:tc>
      </w:tr>
      <w:tr w14:paraId="6FA5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pct"/>
            <w:noWrap w:val="0"/>
            <w:vAlign w:val="center"/>
          </w:tcPr>
          <w:p w14:paraId="4FDB014C">
            <w:pPr>
              <w:pStyle w:val="17"/>
              <w:bidi w:val="0"/>
              <w:rPr>
                <w:rFonts w:ascii="Times New Roman" w:hAnsi="Times New Roman"/>
                <w:color w:val="auto"/>
              </w:rPr>
            </w:pPr>
            <w:r>
              <w:rPr>
                <w:rFonts w:ascii="Times New Roman" w:hAnsi="Times New Roman"/>
                <w:color w:val="auto"/>
              </w:rPr>
              <w:t>滚石、</w:t>
            </w:r>
          </w:p>
          <w:p w14:paraId="6DB9ABE6">
            <w:pPr>
              <w:pStyle w:val="17"/>
              <w:bidi w:val="0"/>
              <w:rPr>
                <w:rFonts w:ascii="Times New Roman" w:hAnsi="Times New Roman"/>
                <w:color w:val="auto"/>
              </w:rPr>
            </w:pPr>
            <w:r>
              <w:rPr>
                <w:rFonts w:ascii="Times New Roman" w:hAnsi="Times New Roman"/>
                <w:color w:val="auto"/>
              </w:rPr>
              <w:t>塌方、</w:t>
            </w:r>
          </w:p>
          <w:p w14:paraId="407158A9">
            <w:pPr>
              <w:pStyle w:val="17"/>
              <w:bidi w:val="0"/>
              <w:rPr>
                <w:rFonts w:ascii="Times New Roman" w:hAnsi="Times New Roman"/>
                <w:color w:val="auto"/>
              </w:rPr>
            </w:pPr>
            <w:r>
              <w:rPr>
                <w:rFonts w:ascii="Times New Roman" w:hAnsi="Times New Roman"/>
                <w:color w:val="auto"/>
              </w:rPr>
              <w:t>泥石流</w:t>
            </w:r>
          </w:p>
        </w:tc>
        <w:tc>
          <w:tcPr>
            <w:tcW w:w="1303" w:type="pct"/>
            <w:noWrap w:val="0"/>
            <w:vAlign w:val="center"/>
          </w:tcPr>
          <w:p w14:paraId="1A63FFA5">
            <w:pPr>
              <w:pStyle w:val="17"/>
              <w:bidi w:val="0"/>
              <w:rPr>
                <w:rFonts w:ascii="Times New Roman" w:hAnsi="Times New Roman"/>
                <w:color w:val="auto"/>
              </w:rPr>
            </w:pPr>
            <w:r>
              <w:rPr>
                <w:rFonts w:ascii="Times New Roman" w:hAnsi="Times New Roman"/>
                <w:color w:val="auto"/>
              </w:rPr>
              <w:t>采场内排水沟排泄条件不好、采场外截水沟不畅；</w:t>
            </w:r>
          </w:p>
          <w:p w14:paraId="285291B6">
            <w:pPr>
              <w:pStyle w:val="17"/>
              <w:bidi w:val="0"/>
              <w:rPr>
                <w:rFonts w:ascii="Times New Roman" w:hAnsi="Times New Roman"/>
                <w:color w:val="auto"/>
              </w:rPr>
            </w:pPr>
            <w:r>
              <w:rPr>
                <w:rFonts w:ascii="Times New Roman" w:hAnsi="Times New Roman"/>
                <w:color w:val="auto"/>
              </w:rPr>
              <w:t>雨季突遇暴雨，雨水冲刷坡面有可能引发滚石、塌翻、泥石流等地质灾害</w:t>
            </w:r>
          </w:p>
        </w:tc>
        <w:tc>
          <w:tcPr>
            <w:tcW w:w="776" w:type="pct"/>
            <w:noWrap w:val="0"/>
            <w:vAlign w:val="center"/>
          </w:tcPr>
          <w:p w14:paraId="02BFD005">
            <w:pPr>
              <w:pStyle w:val="17"/>
              <w:bidi w:val="0"/>
              <w:rPr>
                <w:rFonts w:ascii="Times New Roman" w:hAnsi="Times New Roman"/>
                <w:color w:val="auto"/>
              </w:rPr>
            </w:pPr>
            <w:r>
              <w:rPr>
                <w:rFonts w:ascii="Times New Roman" w:hAnsi="Times New Roman"/>
                <w:color w:val="auto"/>
              </w:rPr>
              <w:t>采场内排水沟排泄条件不好、采场外截水沟不畅；</w:t>
            </w:r>
          </w:p>
          <w:p w14:paraId="572C8F98">
            <w:pPr>
              <w:pStyle w:val="17"/>
              <w:bidi w:val="0"/>
              <w:rPr>
                <w:rFonts w:ascii="Times New Roman" w:hAnsi="Times New Roman"/>
                <w:color w:val="auto"/>
              </w:rPr>
            </w:pPr>
            <w:r>
              <w:rPr>
                <w:rFonts w:ascii="Times New Roman" w:hAnsi="Times New Roman"/>
                <w:color w:val="auto"/>
              </w:rPr>
              <w:t>采场上部、工作平台上无截、排水沟。</w:t>
            </w:r>
          </w:p>
        </w:tc>
        <w:tc>
          <w:tcPr>
            <w:tcW w:w="414" w:type="pct"/>
            <w:noWrap w:val="0"/>
            <w:vAlign w:val="center"/>
          </w:tcPr>
          <w:p w14:paraId="4D74E2E0">
            <w:pPr>
              <w:pStyle w:val="17"/>
              <w:bidi w:val="0"/>
              <w:rPr>
                <w:rFonts w:ascii="Times New Roman" w:hAnsi="Times New Roman"/>
                <w:color w:val="auto"/>
              </w:rPr>
            </w:pPr>
            <w:r>
              <w:rPr>
                <w:rFonts w:ascii="Times New Roman" w:hAnsi="Times New Roman"/>
                <w:color w:val="auto"/>
              </w:rPr>
              <w:t>滚石、</w:t>
            </w:r>
          </w:p>
          <w:p w14:paraId="3495D70A">
            <w:pPr>
              <w:pStyle w:val="17"/>
              <w:bidi w:val="0"/>
              <w:rPr>
                <w:rFonts w:ascii="Times New Roman" w:hAnsi="Times New Roman"/>
                <w:color w:val="auto"/>
              </w:rPr>
            </w:pPr>
            <w:r>
              <w:rPr>
                <w:rFonts w:ascii="Times New Roman" w:hAnsi="Times New Roman"/>
                <w:color w:val="auto"/>
              </w:rPr>
              <w:t>塌方、</w:t>
            </w:r>
          </w:p>
          <w:p w14:paraId="6D12C203">
            <w:pPr>
              <w:pStyle w:val="17"/>
              <w:bidi w:val="0"/>
              <w:rPr>
                <w:rFonts w:ascii="Times New Roman" w:hAnsi="Times New Roman"/>
                <w:color w:val="auto"/>
              </w:rPr>
            </w:pPr>
            <w:r>
              <w:rPr>
                <w:rFonts w:ascii="Times New Roman" w:hAnsi="Times New Roman"/>
                <w:color w:val="auto"/>
              </w:rPr>
              <w:t>泥石流</w:t>
            </w:r>
          </w:p>
        </w:tc>
        <w:tc>
          <w:tcPr>
            <w:tcW w:w="424" w:type="pct"/>
            <w:noWrap w:val="0"/>
            <w:vAlign w:val="center"/>
          </w:tcPr>
          <w:p w14:paraId="33D00902">
            <w:pPr>
              <w:pStyle w:val="17"/>
              <w:bidi w:val="0"/>
              <w:rPr>
                <w:rFonts w:ascii="Times New Roman" w:hAnsi="Times New Roman"/>
                <w:color w:val="auto"/>
              </w:rPr>
            </w:pPr>
            <w:r>
              <w:rPr>
                <w:rFonts w:ascii="Times New Roman" w:hAnsi="Times New Roman"/>
                <w:color w:val="auto"/>
              </w:rPr>
              <w:t>人员伤亡、设备损坏</w:t>
            </w:r>
          </w:p>
        </w:tc>
        <w:tc>
          <w:tcPr>
            <w:tcW w:w="411" w:type="pct"/>
            <w:noWrap w:val="0"/>
            <w:vAlign w:val="center"/>
          </w:tcPr>
          <w:p w14:paraId="268BDEDC">
            <w:pPr>
              <w:pStyle w:val="17"/>
              <w:bidi w:val="0"/>
              <w:rPr>
                <w:rFonts w:ascii="Times New Roman" w:hAnsi="Times New Roman"/>
                <w:color w:val="auto"/>
              </w:rPr>
            </w:pPr>
            <w:r>
              <w:rPr>
                <w:rFonts w:ascii="Times New Roman" w:hAnsi="Times New Roman"/>
                <w:color w:val="auto"/>
              </w:rPr>
              <w:t>II</w:t>
            </w:r>
          </w:p>
        </w:tc>
        <w:tc>
          <w:tcPr>
            <w:tcW w:w="1155" w:type="pct"/>
            <w:noWrap w:val="0"/>
            <w:vAlign w:val="center"/>
          </w:tcPr>
          <w:p w14:paraId="6E77299C">
            <w:pPr>
              <w:pStyle w:val="17"/>
              <w:bidi w:val="0"/>
              <w:rPr>
                <w:rFonts w:ascii="Times New Roman" w:hAnsi="Times New Roman"/>
                <w:color w:val="auto"/>
              </w:rPr>
            </w:pPr>
            <w:r>
              <w:rPr>
                <w:rFonts w:ascii="Times New Roman" w:hAnsi="Times New Roman"/>
                <w:color w:val="auto"/>
              </w:rPr>
              <w:t>在台阶</w:t>
            </w:r>
            <w:r>
              <w:rPr>
                <w:rFonts w:hint="eastAsia" w:ascii="Times New Roman" w:hAnsi="Times New Roman"/>
                <w:color w:val="auto"/>
                <w:lang w:val="en-US" w:eastAsia="zh-CN"/>
              </w:rPr>
              <w:t>底部</w:t>
            </w:r>
            <w:r>
              <w:rPr>
                <w:rFonts w:ascii="Times New Roman" w:hAnsi="Times New Roman"/>
                <w:color w:val="auto"/>
              </w:rPr>
              <w:t>开挖排水沟；</w:t>
            </w:r>
          </w:p>
          <w:p w14:paraId="04753AF9">
            <w:pPr>
              <w:pStyle w:val="17"/>
              <w:bidi w:val="0"/>
              <w:rPr>
                <w:rFonts w:ascii="Times New Roman" w:hAnsi="Times New Roman"/>
                <w:color w:val="auto"/>
              </w:rPr>
            </w:pPr>
            <w:r>
              <w:rPr>
                <w:rFonts w:ascii="Times New Roman" w:hAnsi="Times New Roman"/>
                <w:color w:val="auto"/>
              </w:rPr>
              <w:t>在雨季来临之前和雨季过后，对采场边坡进行安全检查，发现孤石、浮土及时清理。</w:t>
            </w:r>
          </w:p>
        </w:tc>
      </w:tr>
      <w:tr w14:paraId="1DFF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pct"/>
            <w:noWrap w:val="0"/>
            <w:vAlign w:val="center"/>
          </w:tcPr>
          <w:p w14:paraId="0036B288">
            <w:pPr>
              <w:pStyle w:val="17"/>
              <w:bidi w:val="0"/>
              <w:ind w:firstLine="0" w:firstLineChars="0"/>
              <w:rPr>
                <w:rFonts w:ascii="Times New Roman" w:hAnsi="Times New Roman"/>
                <w:color w:val="auto"/>
              </w:rPr>
            </w:pPr>
            <w:bookmarkStart w:id="188" w:name="_Toc3361"/>
            <w:bookmarkStart w:id="189" w:name="_Toc24897"/>
            <w:bookmarkStart w:id="190" w:name="_Toc7428"/>
            <w:r>
              <w:rPr>
                <w:rFonts w:hint="eastAsia" w:ascii="Times New Roman" w:hAnsi="Times New Roman"/>
                <w:color w:val="auto"/>
              </w:rPr>
              <w:t>水害</w:t>
            </w:r>
          </w:p>
        </w:tc>
        <w:tc>
          <w:tcPr>
            <w:tcW w:w="1303" w:type="pct"/>
            <w:noWrap w:val="0"/>
            <w:vAlign w:val="center"/>
          </w:tcPr>
          <w:p w14:paraId="34FC2DA6">
            <w:pPr>
              <w:pStyle w:val="17"/>
              <w:bidi w:val="0"/>
              <w:ind w:firstLine="0" w:firstLineChars="0"/>
              <w:rPr>
                <w:rFonts w:ascii="Times New Roman" w:hAnsi="Times New Roman"/>
                <w:color w:val="auto"/>
              </w:rPr>
            </w:pPr>
            <w:r>
              <w:rPr>
                <w:rFonts w:hint="eastAsia" w:ascii="Times New Roman" w:hAnsi="Times New Roman"/>
                <w:color w:val="auto"/>
              </w:rPr>
              <w:t>未设置防排水设施；设施失效。</w:t>
            </w:r>
          </w:p>
        </w:tc>
        <w:tc>
          <w:tcPr>
            <w:tcW w:w="776" w:type="pct"/>
            <w:noWrap w:val="0"/>
            <w:vAlign w:val="center"/>
          </w:tcPr>
          <w:p w14:paraId="47D550BC">
            <w:pPr>
              <w:pStyle w:val="17"/>
              <w:bidi w:val="0"/>
              <w:ind w:firstLine="0" w:firstLineChars="0"/>
              <w:rPr>
                <w:rFonts w:ascii="Times New Roman" w:hAnsi="Times New Roman"/>
                <w:color w:val="auto"/>
              </w:rPr>
            </w:pPr>
            <w:r>
              <w:rPr>
                <w:rFonts w:hint="eastAsia" w:ascii="Times New Roman" w:hAnsi="Times New Roman"/>
                <w:color w:val="auto"/>
              </w:rPr>
              <w:t>水文地质情况不明、地面排水系统设施布置不合理或损坏、未设置或未检查防排水设施；设施不工作。</w:t>
            </w:r>
          </w:p>
        </w:tc>
        <w:tc>
          <w:tcPr>
            <w:tcW w:w="414" w:type="pct"/>
            <w:noWrap w:val="0"/>
            <w:vAlign w:val="center"/>
          </w:tcPr>
          <w:p w14:paraId="07B39EF3">
            <w:pPr>
              <w:pStyle w:val="17"/>
              <w:bidi w:val="0"/>
              <w:ind w:firstLine="0" w:firstLineChars="0"/>
              <w:rPr>
                <w:rFonts w:ascii="Times New Roman" w:hAnsi="Times New Roman"/>
                <w:color w:val="auto"/>
              </w:rPr>
            </w:pPr>
            <w:r>
              <w:rPr>
                <w:rFonts w:hint="eastAsia" w:ascii="Times New Roman" w:hAnsi="Times New Roman"/>
                <w:color w:val="auto"/>
              </w:rPr>
              <w:t>水害</w:t>
            </w:r>
          </w:p>
        </w:tc>
        <w:tc>
          <w:tcPr>
            <w:tcW w:w="424" w:type="pct"/>
            <w:noWrap w:val="0"/>
            <w:vAlign w:val="center"/>
          </w:tcPr>
          <w:p w14:paraId="5DE2367D">
            <w:pPr>
              <w:pStyle w:val="17"/>
              <w:bidi w:val="0"/>
              <w:ind w:firstLine="0" w:firstLineChars="0"/>
              <w:rPr>
                <w:rFonts w:ascii="Times New Roman" w:hAnsi="Times New Roman"/>
                <w:color w:val="auto"/>
              </w:rPr>
            </w:pPr>
            <w:r>
              <w:rPr>
                <w:rFonts w:hint="eastAsia" w:ascii="Times New Roman" w:hAnsi="Times New Roman"/>
                <w:color w:val="auto"/>
              </w:rPr>
              <w:t>人员伤亡、设备毁坏</w:t>
            </w:r>
          </w:p>
        </w:tc>
        <w:tc>
          <w:tcPr>
            <w:tcW w:w="411" w:type="pct"/>
            <w:noWrap w:val="0"/>
            <w:vAlign w:val="center"/>
          </w:tcPr>
          <w:p w14:paraId="3EF72C25">
            <w:pPr>
              <w:pStyle w:val="17"/>
              <w:bidi w:val="0"/>
              <w:ind w:firstLine="0" w:firstLineChars="0"/>
              <w:rPr>
                <w:rFonts w:ascii="Times New Roman" w:hAnsi="Times New Roman"/>
                <w:color w:val="auto"/>
              </w:rPr>
            </w:pPr>
            <w:r>
              <w:rPr>
                <w:rFonts w:hint="eastAsia" w:ascii="Times New Roman" w:hAnsi="Times New Roman"/>
                <w:color w:val="auto"/>
              </w:rPr>
              <w:t>Ⅱ-Ⅲ</w:t>
            </w:r>
          </w:p>
        </w:tc>
        <w:tc>
          <w:tcPr>
            <w:tcW w:w="1155" w:type="pct"/>
            <w:noWrap w:val="0"/>
            <w:vAlign w:val="center"/>
          </w:tcPr>
          <w:p w14:paraId="01464EA0">
            <w:pPr>
              <w:pStyle w:val="17"/>
              <w:bidi w:val="0"/>
              <w:rPr>
                <w:rFonts w:hint="eastAsia" w:ascii="Times New Roman" w:hAnsi="Times New Roman"/>
                <w:color w:val="auto"/>
              </w:rPr>
            </w:pPr>
            <w:r>
              <w:rPr>
                <w:rFonts w:hint="eastAsia" w:ascii="Times New Roman" w:hAnsi="Times New Roman"/>
                <w:color w:val="auto"/>
              </w:rPr>
              <w:t>加强水文地质工作；</w:t>
            </w:r>
          </w:p>
          <w:p w14:paraId="02C044F1">
            <w:pPr>
              <w:pStyle w:val="17"/>
              <w:bidi w:val="0"/>
              <w:ind w:firstLine="0" w:firstLineChars="0"/>
              <w:rPr>
                <w:rFonts w:ascii="Times New Roman" w:hAnsi="Times New Roman"/>
                <w:color w:val="auto"/>
              </w:rPr>
            </w:pPr>
            <w:r>
              <w:rPr>
                <w:rFonts w:hint="eastAsia" w:ascii="Times New Roman" w:hAnsi="Times New Roman"/>
                <w:color w:val="auto"/>
              </w:rPr>
              <w:t>制订防排水制度按要求对防排水设施进行维护，配备必要的备用设施。</w:t>
            </w:r>
          </w:p>
        </w:tc>
      </w:tr>
      <w:tr w14:paraId="5C50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pct"/>
            <w:noWrap w:val="0"/>
            <w:vAlign w:val="center"/>
          </w:tcPr>
          <w:p w14:paraId="2832D8F5">
            <w:pPr>
              <w:pStyle w:val="17"/>
              <w:bidi w:val="0"/>
              <w:rPr>
                <w:rFonts w:hint="eastAsia" w:ascii="Times New Roman" w:hAnsi="Times New Roman"/>
                <w:color w:val="auto"/>
              </w:rPr>
            </w:pPr>
            <w:r>
              <w:rPr>
                <w:rFonts w:hint="eastAsia" w:ascii="Times New Roman" w:hAnsi="Times New Roman"/>
                <w:color w:val="auto"/>
              </w:rPr>
              <w:t>火灾</w:t>
            </w:r>
          </w:p>
        </w:tc>
        <w:tc>
          <w:tcPr>
            <w:tcW w:w="1303" w:type="pct"/>
            <w:noWrap w:val="0"/>
            <w:vAlign w:val="center"/>
          </w:tcPr>
          <w:p w14:paraId="017376D8">
            <w:pPr>
              <w:pStyle w:val="17"/>
              <w:bidi w:val="0"/>
              <w:rPr>
                <w:rFonts w:hint="eastAsia" w:ascii="Times New Roman" w:hAnsi="Times New Roman"/>
                <w:color w:val="auto"/>
              </w:rPr>
            </w:pPr>
            <w:r>
              <w:rPr>
                <w:rFonts w:hint="eastAsia" w:ascii="Times New Roman" w:hAnsi="Times New Roman"/>
                <w:color w:val="auto"/>
              </w:rPr>
              <w:t>当</w:t>
            </w:r>
            <w:r>
              <w:rPr>
                <w:rFonts w:hint="eastAsia" w:ascii="Times New Roman" w:hAnsi="Times New Roman"/>
                <w:color w:val="auto"/>
                <w:lang w:val="en-US" w:eastAsia="zh-CN"/>
              </w:rPr>
              <w:t>电线</w:t>
            </w:r>
            <w:r>
              <w:rPr>
                <w:rFonts w:hint="eastAsia" w:ascii="Times New Roman" w:hAnsi="Times New Roman"/>
                <w:color w:val="auto"/>
              </w:rPr>
              <w:t>的绝缘破坏时将导致短路、检修过程中使用临时照明电源或其他临时用电时发生短路以及线路过电流有可能引发电气火灾。</w:t>
            </w:r>
          </w:p>
        </w:tc>
        <w:tc>
          <w:tcPr>
            <w:tcW w:w="776" w:type="pct"/>
            <w:noWrap w:val="0"/>
            <w:vAlign w:val="center"/>
          </w:tcPr>
          <w:p w14:paraId="26D9955B">
            <w:pPr>
              <w:pStyle w:val="17"/>
              <w:bidi w:val="0"/>
              <w:rPr>
                <w:rFonts w:hint="eastAsia" w:ascii="Times New Roman" w:hAnsi="Times New Roman"/>
                <w:color w:val="auto"/>
              </w:rPr>
            </w:pPr>
            <w:r>
              <w:rPr>
                <w:rFonts w:hint="eastAsia" w:ascii="Times New Roman" w:hAnsi="Times New Roman"/>
                <w:color w:val="auto"/>
              </w:rPr>
              <w:t>操作不熟练；操作地点不安全；</w:t>
            </w:r>
          </w:p>
          <w:p w14:paraId="06186546">
            <w:pPr>
              <w:pStyle w:val="17"/>
              <w:bidi w:val="0"/>
              <w:rPr>
                <w:rFonts w:hint="eastAsia" w:ascii="Times New Roman" w:hAnsi="Times New Roman"/>
                <w:color w:val="auto"/>
              </w:rPr>
            </w:pPr>
            <w:r>
              <w:rPr>
                <w:rFonts w:hint="eastAsia" w:ascii="Times New Roman" w:hAnsi="Times New Roman"/>
                <w:color w:val="auto"/>
              </w:rPr>
              <w:t>作业前安全检查、处理不到位；</w:t>
            </w:r>
          </w:p>
          <w:p w14:paraId="42BFE247">
            <w:pPr>
              <w:pStyle w:val="17"/>
              <w:bidi w:val="0"/>
              <w:rPr>
                <w:rFonts w:hint="eastAsia" w:ascii="Times New Roman" w:hAnsi="Times New Roman"/>
                <w:color w:val="auto"/>
              </w:rPr>
            </w:pPr>
            <w:r>
              <w:rPr>
                <w:rFonts w:hint="eastAsia" w:ascii="Times New Roman" w:hAnsi="Times New Roman"/>
                <w:color w:val="auto"/>
              </w:rPr>
              <w:t>防护装置（罩）不全。</w:t>
            </w:r>
          </w:p>
        </w:tc>
        <w:tc>
          <w:tcPr>
            <w:tcW w:w="414" w:type="pct"/>
            <w:noWrap w:val="0"/>
            <w:vAlign w:val="center"/>
          </w:tcPr>
          <w:p w14:paraId="09D5712B">
            <w:pPr>
              <w:pStyle w:val="17"/>
              <w:bidi w:val="0"/>
              <w:rPr>
                <w:rFonts w:hint="eastAsia" w:ascii="Times New Roman" w:hAnsi="Times New Roman"/>
                <w:color w:val="auto"/>
              </w:rPr>
            </w:pPr>
            <w:r>
              <w:rPr>
                <w:rFonts w:hint="eastAsia" w:ascii="Times New Roman" w:hAnsi="Times New Roman"/>
                <w:color w:val="auto"/>
              </w:rPr>
              <w:t>火灾</w:t>
            </w:r>
          </w:p>
        </w:tc>
        <w:tc>
          <w:tcPr>
            <w:tcW w:w="424" w:type="pct"/>
            <w:noWrap w:val="0"/>
            <w:vAlign w:val="center"/>
          </w:tcPr>
          <w:p w14:paraId="52207897">
            <w:pPr>
              <w:pStyle w:val="17"/>
              <w:bidi w:val="0"/>
              <w:rPr>
                <w:rFonts w:hint="eastAsia" w:ascii="Times New Roman" w:hAnsi="Times New Roman"/>
                <w:color w:val="auto"/>
              </w:rPr>
            </w:pPr>
            <w:r>
              <w:rPr>
                <w:rFonts w:hint="eastAsia" w:ascii="Times New Roman" w:hAnsi="Times New Roman"/>
                <w:color w:val="auto"/>
              </w:rPr>
              <w:t>人员伤亡、设备损坏</w:t>
            </w:r>
          </w:p>
        </w:tc>
        <w:tc>
          <w:tcPr>
            <w:tcW w:w="411" w:type="pct"/>
            <w:noWrap w:val="0"/>
            <w:vAlign w:val="center"/>
          </w:tcPr>
          <w:p w14:paraId="16C37E6D">
            <w:pPr>
              <w:pStyle w:val="17"/>
              <w:bidi w:val="0"/>
              <w:rPr>
                <w:rFonts w:ascii="Times New Roman" w:hAnsi="Times New Roman"/>
                <w:color w:val="auto"/>
              </w:rPr>
            </w:pPr>
            <w:r>
              <w:rPr>
                <w:rFonts w:hint="eastAsia" w:ascii="Times New Roman" w:hAnsi="Times New Roman"/>
                <w:color w:val="auto"/>
              </w:rPr>
              <w:t>II</w:t>
            </w:r>
          </w:p>
        </w:tc>
        <w:tc>
          <w:tcPr>
            <w:tcW w:w="1155" w:type="pct"/>
            <w:noWrap w:val="0"/>
            <w:vAlign w:val="center"/>
          </w:tcPr>
          <w:p w14:paraId="7EDEBB7E">
            <w:pPr>
              <w:pStyle w:val="17"/>
              <w:bidi w:val="0"/>
              <w:rPr>
                <w:rFonts w:hint="eastAsia" w:ascii="Times New Roman" w:hAnsi="Times New Roman"/>
                <w:color w:val="auto"/>
              </w:rPr>
            </w:pPr>
            <w:r>
              <w:rPr>
                <w:rFonts w:hint="eastAsia" w:ascii="Times New Roman" w:hAnsi="Times New Roman"/>
                <w:color w:val="auto"/>
              </w:rPr>
              <w:t>对电气线路经常检查，对老化线路及早更换，对用电设备经常监测，发现问题，及时检修。</w:t>
            </w:r>
          </w:p>
        </w:tc>
      </w:tr>
      <w:tr w14:paraId="4996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7" w:type="dxa"/>
            <w:noWrap w:val="0"/>
            <w:vAlign w:val="center"/>
          </w:tcPr>
          <w:p w14:paraId="05B6DE72">
            <w:pPr>
              <w:pStyle w:val="17"/>
              <w:bidi w:val="0"/>
              <w:rPr>
                <w:rFonts w:hint="eastAsia" w:ascii="Times New Roman" w:hAnsi="Times New Roman" w:eastAsia="宋体"/>
                <w:color w:val="auto"/>
              </w:rPr>
            </w:pPr>
            <w:r>
              <w:rPr>
                <w:rFonts w:hint="eastAsia" w:ascii="Times New Roman" w:hAnsi="Times New Roman" w:eastAsia="宋体"/>
                <w:color w:val="auto"/>
              </w:rPr>
              <w:t>触电</w:t>
            </w:r>
          </w:p>
        </w:tc>
        <w:tc>
          <w:tcPr>
            <w:tcW w:w="2448" w:type="dxa"/>
            <w:noWrap w:val="0"/>
            <w:vAlign w:val="center"/>
          </w:tcPr>
          <w:p w14:paraId="33B5D357">
            <w:pPr>
              <w:pStyle w:val="17"/>
              <w:bidi w:val="0"/>
              <w:rPr>
                <w:rFonts w:hint="eastAsia" w:ascii="Times New Roman" w:hAnsi="Times New Roman" w:eastAsia="宋体"/>
                <w:color w:val="auto"/>
              </w:rPr>
            </w:pPr>
            <w:r>
              <w:rPr>
                <w:rFonts w:hint="eastAsia" w:ascii="Times New Roman" w:hAnsi="Times New Roman" w:eastAsia="宋体"/>
                <w:color w:val="auto"/>
              </w:rPr>
              <w:t>电源线长时间拖地，绝缘外皮破损，人员意外触碰；设备未接保护接地线，发生漏电现象不能快速导向大地，发生触电事故</w:t>
            </w:r>
          </w:p>
        </w:tc>
        <w:tc>
          <w:tcPr>
            <w:tcW w:w="1459" w:type="dxa"/>
            <w:noWrap w:val="0"/>
            <w:vAlign w:val="center"/>
          </w:tcPr>
          <w:p w14:paraId="5589173A">
            <w:pPr>
              <w:pStyle w:val="17"/>
              <w:bidi w:val="0"/>
              <w:rPr>
                <w:rFonts w:hint="eastAsia" w:ascii="Times New Roman" w:hAnsi="Times New Roman" w:eastAsia="宋体"/>
                <w:color w:val="auto"/>
              </w:rPr>
            </w:pPr>
            <w:r>
              <w:rPr>
                <w:rFonts w:hint="eastAsia" w:ascii="Times New Roman" w:hAnsi="Times New Roman" w:eastAsia="宋体"/>
                <w:color w:val="auto"/>
              </w:rPr>
              <w:t>电源线外皮破损严重，未及时包裹处理，雨水浸泡发生触电事故；</w:t>
            </w:r>
          </w:p>
          <w:p w14:paraId="220EBDF0">
            <w:pPr>
              <w:pStyle w:val="17"/>
              <w:bidi w:val="0"/>
              <w:rPr>
                <w:rFonts w:hint="eastAsia" w:ascii="Times New Roman" w:hAnsi="Times New Roman" w:eastAsia="宋体"/>
                <w:color w:val="auto"/>
              </w:rPr>
            </w:pPr>
            <w:r>
              <w:rPr>
                <w:rFonts w:hint="eastAsia" w:ascii="Times New Roman" w:hAnsi="Times New Roman" w:eastAsia="宋体"/>
                <w:color w:val="auto"/>
              </w:rPr>
              <w:t>设备</w:t>
            </w:r>
            <w:r>
              <w:rPr>
                <w:rFonts w:hint="eastAsia" w:ascii="Times New Roman" w:hAnsi="Times New Roman"/>
                <w:color w:val="auto"/>
                <w:lang w:eastAsia="zh-CN"/>
              </w:rPr>
              <w:t>“</w:t>
            </w:r>
            <w:r>
              <w:rPr>
                <w:rFonts w:hint="eastAsia" w:ascii="Times New Roman" w:hAnsi="Times New Roman" w:eastAsia="宋体"/>
                <w:color w:val="auto"/>
              </w:rPr>
              <w:t>PE</w:t>
            </w:r>
            <w:r>
              <w:rPr>
                <w:rFonts w:hint="eastAsia" w:ascii="Times New Roman" w:hAnsi="Times New Roman"/>
                <w:color w:val="auto"/>
                <w:lang w:eastAsia="zh-CN"/>
              </w:rPr>
              <w:t>”</w:t>
            </w:r>
            <w:r>
              <w:rPr>
                <w:rFonts w:hint="eastAsia" w:ascii="Times New Roman" w:hAnsi="Times New Roman" w:eastAsia="宋体"/>
                <w:color w:val="auto"/>
              </w:rPr>
              <w:t>线、金属外壳重复接地线未连接。</w:t>
            </w:r>
          </w:p>
        </w:tc>
        <w:tc>
          <w:tcPr>
            <w:tcW w:w="778" w:type="dxa"/>
            <w:noWrap w:val="0"/>
            <w:vAlign w:val="center"/>
          </w:tcPr>
          <w:p w14:paraId="0D3E9EF5">
            <w:pPr>
              <w:pStyle w:val="17"/>
              <w:bidi w:val="0"/>
              <w:rPr>
                <w:rFonts w:hint="eastAsia" w:ascii="Times New Roman" w:hAnsi="Times New Roman" w:eastAsia="宋体"/>
                <w:color w:val="auto"/>
              </w:rPr>
            </w:pPr>
            <w:r>
              <w:rPr>
                <w:rFonts w:hint="eastAsia" w:ascii="Times New Roman" w:hAnsi="Times New Roman" w:eastAsia="宋体"/>
                <w:color w:val="auto"/>
              </w:rPr>
              <w:t>触电</w:t>
            </w:r>
          </w:p>
        </w:tc>
        <w:tc>
          <w:tcPr>
            <w:tcW w:w="797" w:type="dxa"/>
            <w:noWrap w:val="0"/>
            <w:vAlign w:val="center"/>
          </w:tcPr>
          <w:p w14:paraId="20C381B1">
            <w:pPr>
              <w:pStyle w:val="17"/>
              <w:bidi w:val="0"/>
              <w:rPr>
                <w:rFonts w:hint="eastAsia" w:ascii="Times New Roman" w:hAnsi="Times New Roman" w:eastAsia="宋体"/>
                <w:color w:val="auto"/>
              </w:rPr>
            </w:pPr>
            <w:r>
              <w:rPr>
                <w:rFonts w:hint="eastAsia" w:ascii="Times New Roman" w:hAnsi="Times New Roman" w:eastAsia="宋体"/>
                <w:color w:val="auto"/>
              </w:rPr>
              <w:t>人员伤亡</w:t>
            </w:r>
          </w:p>
        </w:tc>
        <w:tc>
          <w:tcPr>
            <w:tcW w:w="773" w:type="dxa"/>
            <w:noWrap w:val="0"/>
            <w:vAlign w:val="center"/>
          </w:tcPr>
          <w:p w14:paraId="14D75264">
            <w:pPr>
              <w:pStyle w:val="17"/>
              <w:bidi w:val="0"/>
              <w:rPr>
                <w:rFonts w:hint="eastAsia" w:ascii="Times New Roman" w:hAnsi="Times New Roman" w:eastAsia="宋体"/>
                <w:color w:val="auto"/>
              </w:rPr>
            </w:pPr>
            <w:r>
              <w:rPr>
                <w:rFonts w:hint="eastAsia" w:ascii="Times New Roman" w:hAnsi="Times New Roman" w:eastAsia="宋体"/>
                <w:color w:val="auto"/>
              </w:rPr>
              <w:t>Ⅲ</w:t>
            </w:r>
          </w:p>
        </w:tc>
        <w:tc>
          <w:tcPr>
            <w:tcW w:w="2170" w:type="dxa"/>
            <w:noWrap w:val="0"/>
            <w:vAlign w:val="center"/>
          </w:tcPr>
          <w:p w14:paraId="4E3FD220">
            <w:pPr>
              <w:pStyle w:val="17"/>
              <w:bidi w:val="0"/>
              <w:rPr>
                <w:rFonts w:hint="eastAsia" w:ascii="Times New Roman" w:hAnsi="Times New Roman" w:eastAsia="宋体"/>
                <w:color w:val="auto"/>
              </w:rPr>
            </w:pPr>
            <w:r>
              <w:rPr>
                <w:rFonts w:hint="eastAsia" w:ascii="Times New Roman" w:hAnsi="Times New Roman" w:eastAsia="宋体"/>
                <w:color w:val="auto"/>
              </w:rPr>
              <w:t>安排专业电工定期对现场用电设备进行巡查。</w:t>
            </w:r>
          </w:p>
        </w:tc>
      </w:tr>
    </w:tbl>
    <w:p w14:paraId="4AFFC21A">
      <w:pPr>
        <w:pStyle w:val="4"/>
        <w:bidi w:val="0"/>
        <w:rPr>
          <w:rFonts w:ascii="Times New Roman" w:hAnsi="Times New Roman"/>
          <w:color w:val="auto"/>
        </w:rPr>
      </w:pPr>
      <w:bookmarkStart w:id="191" w:name="_Toc19161"/>
      <w:r>
        <w:rPr>
          <w:rFonts w:ascii="Times New Roman" w:hAnsi="Times New Roman"/>
          <w:color w:val="auto"/>
        </w:rPr>
        <w:t>3.5.</w:t>
      </w:r>
      <w:bookmarkEnd w:id="188"/>
      <w:r>
        <w:rPr>
          <w:rFonts w:ascii="Times New Roman" w:hAnsi="Times New Roman"/>
          <w:color w:val="auto"/>
        </w:rPr>
        <w:t>3</w:t>
      </w:r>
      <w:r>
        <w:rPr>
          <w:rFonts w:hint="eastAsia" w:ascii="Times New Roman" w:hAnsi="Times New Roman"/>
          <w:color w:val="auto"/>
          <w:lang w:val="en-US" w:eastAsia="zh-CN"/>
        </w:rPr>
        <w:t xml:space="preserve"> </w:t>
      </w:r>
      <w:r>
        <w:rPr>
          <w:rFonts w:ascii="Times New Roman" w:hAnsi="Times New Roman"/>
          <w:color w:val="auto"/>
        </w:rPr>
        <w:t>防排水</w:t>
      </w:r>
      <w:r>
        <w:rPr>
          <w:rFonts w:hint="eastAsia" w:ascii="Times New Roman" w:hAnsi="Times New Roman"/>
          <w:color w:val="auto"/>
          <w:lang w:val="en-US" w:eastAsia="zh-CN"/>
        </w:rPr>
        <w:t>与防灭火</w:t>
      </w:r>
      <w:r>
        <w:rPr>
          <w:rFonts w:ascii="Times New Roman" w:hAnsi="Times New Roman"/>
          <w:color w:val="auto"/>
        </w:rPr>
        <w:t>单元安全检查表</w:t>
      </w:r>
      <w:bookmarkEnd w:id="189"/>
      <w:bookmarkEnd w:id="190"/>
      <w:bookmarkEnd w:id="191"/>
    </w:p>
    <w:p w14:paraId="59994269">
      <w:pPr>
        <w:bidi w:val="0"/>
        <w:rPr>
          <w:rFonts w:ascii="Times New Roman" w:hAnsi="Times New Roman"/>
          <w:color w:val="auto"/>
        </w:rPr>
      </w:pPr>
      <w:r>
        <w:rPr>
          <w:rFonts w:ascii="Times New Roman" w:hAnsi="Times New Roman"/>
          <w:color w:val="auto"/>
        </w:rPr>
        <w:t>根据《金属非金属矿山安全规程》</w:t>
      </w:r>
      <w:r>
        <w:rPr>
          <w:rFonts w:hint="eastAsia" w:ascii="Times New Roman" w:hAnsi="Times New Roman"/>
          <w:color w:val="auto"/>
          <w:lang w:eastAsia="zh-CN"/>
        </w:rPr>
        <w:t>（</w:t>
      </w:r>
      <w:r>
        <w:rPr>
          <w:rFonts w:ascii="Times New Roman" w:hAnsi="Times New Roman"/>
          <w:color w:val="auto"/>
        </w:rPr>
        <w:t>GB16423-2020</w:t>
      </w:r>
      <w:r>
        <w:rPr>
          <w:rFonts w:hint="eastAsia" w:ascii="Times New Roman" w:hAnsi="Times New Roman"/>
          <w:color w:val="auto"/>
          <w:lang w:eastAsia="zh-CN"/>
        </w:rPr>
        <w:t>）</w:t>
      </w:r>
      <w:r>
        <w:rPr>
          <w:rFonts w:ascii="Times New Roman" w:hAnsi="Times New Roman"/>
          <w:color w:val="auto"/>
        </w:rPr>
        <w:t>中的相关内容对该项目</w:t>
      </w:r>
      <w:r>
        <w:rPr>
          <w:rFonts w:hint="eastAsia" w:ascii="Times New Roman" w:hAnsi="Times New Roman"/>
          <w:color w:val="auto"/>
          <w:lang w:eastAsia="zh-CN"/>
        </w:rPr>
        <w:t>初步设计（代可研）</w:t>
      </w:r>
      <w:r>
        <w:rPr>
          <w:rFonts w:ascii="Times New Roman" w:hAnsi="Times New Roman"/>
          <w:color w:val="auto"/>
        </w:rPr>
        <w:t>中的防排水</w:t>
      </w:r>
      <w:r>
        <w:rPr>
          <w:rFonts w:hint="eastAsia" w:ascii="Times New Roman" w:hAnsi="Times New Roman"/>
          <w:color w:val="auto"/>
        </w:rPr>
        <w:t>与防灭火</w:t>
      </w:r>
      <w:r>
        <w:rPr>
          <w:rFonts w:ascii="Times New Roman" w:hAnsi="Times New Roman"/>
          <w:color w:val="auto"/>
        </w:rPr>
        <w:t>系统进行对照检查，见表3.5-2。</w:t>
      </w:r>
    </w:p>
    <w:p w14:paraId="43BDA269">
      <w:pPr>
        <w:pStyle w:val="16"/>
        <w:bidi w:val="0"/>
        <w:rPr>
          <w:rFonts w:ascii="Times New Roman" w:hAnsi="Times New Roman"/>
          <w:color w:val="auto"/>
        </w:rPr>
      </w:pPr>
      <w:r>
        <w:rPr>
          <w:rFonts w:ascii="Times New Roman" w:hAnsi="Times New Roman"/>
          <w:color w:val="auto"/>
        </w:rPr>
        <w:t>表</w:t>
      </w:r>
      <w:bookmarkStart w:id="192" w:name="_Hlk33132881"/>
      <w:r>
        <w:rPr>
          <w:rFonts w:ascii="Times New Roman" w:hAnsi="Times New Roman"/>
          <w:color w:val="auto"/>
        </w:rPr>
        <w:t>3.5-2</w:t>
      </w:r>
      <w:bookmarkEnd w:id="192"/>
      <w:r>
        <w:rPr>
          <w:rFonts w:ascii="Times New Roman" w:hAnsi="Times New Roman"/>
          <w:color w:val="auto"/>
        </w:rPr>
        <w:t xml:space="preserve">  防排水</w:t>
      </w:r>
      <w:r>
        <w:rPr>
          <w:rFonts w:hint="eastAsia" w:ascii="Times New Roman" w:hAnsi="Times New Roman"/>
          <w:color w:val="auto"/>
        </w:rPr>
        <w:t>与防灭火</w:t>
      </w:r>
      <w:r>
        <w:rPr>
          <w:rFonts w:ascii="Times New Roman" w:hAnsi="Times New Roman"/>
          <w:color w:val="auto"/>
        </w:rPr>
        <w:t>单元安全检查表</w:t>
      </w:r>
    </w:p>
    <w:tbl>
      <w:tblPr>
        <w:tblStyle w:val="1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3818"/>
        <w:gridCol w:w="1627"/>
        <w:gridCol w:w="2454"/>
        <w:gridCol w:w="977"/>
      </w:tblGrid>
      <w:tr w14:paraId="3AF3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75" w:type="pct"/>
            <w:tcBorders>
              <w:left w:val="single" w:color="auto" w:sz="4" w:space="0"/>
            </w:tcBorders>
            <w:noWrap w:val="0"/>
            <w:vAlign w:val="center"/>
          </w:tcPr>
          <w:p w14:paraId="0EB3A296">
            <w:pPr>
              <w:pStyle w:val="17"/>
              <w:bidi w:val="0"/>
              <w:rPr>
                <w:rFonts w:ascii="Times New Roman" w:hAnsi="Times New Roman"/>
                <w:b/>
                <w:bCs/>
                <w:color w:val="auto"/>
              </w:rPr>
            </w:pPr>
            <w:r>
              <w:rPr>
                <w:rFonts w:ascii="Times New Roman" w:hAnsi="Times New Roman"/>
                <w:b/>
                <w:bCs/>
                <w:color w:val="auto"/>
              </w:rPr>
              <w:t>编号</w:t>
            </w:r>
          </w:p>
        </w:tc>
        <w:tc>
          <w:tcPr>
            <w:tcW w:w="2032" w:type="pct"/>
            <w:noWrap w:val="0"/>
            <w:vAlign w:val="center"/>
          </w:tcPr>
          <w:p w14:paraId="309013A9">
            <w:pPr>
              <w:pStyle w:val="17"/>
              <w:bidi w:val="0"/>
              <w:rPr>
                <w:rFonts w:ascii="Times New Roman" w:hAnsi="Times New Roman"/>
                <w:b/>
                <w:bCs/>
                <w:color w:val="auto"/>
              </w:rPr>
            </w:pPr>
            <w:r>
              <w:rPr>
                <w:rFonts w:ascii="Times New Roman" w:hAnsi="Times New Roman"/>
                <w:b/>
                <w:bCs/>
                <w:color w:val="auto"/>
              </w:rPr>
              <w:t>评价内容</w:t>
            </w:r>
          </w:p>
        </w:tc>
        <w:tc>
          <w:tcPr>
            <w:tcW w:w="866" w:type="pct"/>
            <w:tcBorders>
              <w:right w:val="single" w:color="auto" w:sz="4" w:space="0"/>
            </w:tcBorders>
            <w:noWrap w:val="0"/>
            <w:vAlign w:val="center"/>
          </w:tcPr>
          <w:p w14:paraId="465B3A8A">
            <w:pPr>
              <w:pStyle w:val="17"/>
              <w:bidi w:val="0"/>
              <w:rPr>
                <w:rFonts w:ascii="Times New Roman" w:hAnsi="Times New Roman"/>
                <w:b/>
                <w:bCs/>
                <w:color w:val="auto"/>
              </w:rPr>
            </w:pPr>
            <w:r>
              <w:rPr>
                <w:rFonts w:ascii="Times New Roman" w:hAnsi="Times New Roman"/>
                <w:b/>
                <w:bCs/>
                <w:color w:val="auto"/>
              </w:rPr>
              <w:t>检查依据</w:t>
            </w:r>
          </w:p>
        </w:tc>
        <w:tc>
          <w:tcPr>
            <w:tcW w:w="1306" w:type="pct"/>
            <w:tcBorders>
              <w:right w:val="single" w:color="auto" w:sz="4" w:space="0"/>
            </w:tcBorders>
            <w:noWrap w:val="0"/>
            <w:vAlign w:val="center"/>
          </w:tcPr>
          <w:p w14:paraId="7ACDF4E7">
            <w:pPr>
              <w:pStyle w:val="17"/>
              <w:bidi w:val="0"/>
              <w:rPr>
                <w:rFonts w:ascii="Times New Roman" w:hAnsi="Times New Roman"/>
                <w:b/>
                <w:bCs/>
                <w:color w:val="auto"/>
              </w:rPr>
            </w:pPr>
            <w:r>
              <w:rPr>
                <w:rFonts w:ascii="Times New Roman" w:hAnsi="Times New Roman"/>
                <w:b/>
                <w:bCs/>
                <w:color w:val="auto"/>
              </w:rPr>
              <w:t>检查情况</w:t>
            </w:r>
          </w:p>
        </w:tc>
        <w:tc>
          <w:tcPr>
            <w:tcW w:w="520" w:type="pct"/>
            <w:tcBorders>
              <w:right w:val="single" w:color="auto" w:sz="4" w:space="0"/>
            </w:tcBorders>
            <w:noWrap w:val="0"/>
            <w:vAlign w:val="center"/>
          </w:tcPr>
          <w:p w14:paraId="1E3BA158">
            <w:pPr>
              <w:pStyle w:val="17"/>
              <w:bidi w:val="0"/>
              <w:rPr>
                <w:rFonts w:ascii="Times New Roman" w:hAnsi="Times New Roman"/>
                <w:b/>
                <w:bCs/>
                <w:color w:val="auto"/>
              </w:rPr>
            </w:pPr>
            <w:r>
              <w:rPr>
                <w:rFonts w:ascii="Times New Roman" w:hAnsi="Times New Roman"/>
                <w:b/>
                <w:bCs/>
                <w:color w:val="auto"/>
              </w:rPr>
              <w:t>检查</w:t>
            </w:r>
          </w:p>
          <w:p w14:paraId="5BEE87FA">
            <w:pPr>
              <w:pStyle w:val="17"/>
              <w:bidi w:val="0"/>
              <w:rPr>
                <w:rFonts w:ascii="Times New Roman" w:hAnsi="Times New Roman"/>
                <w:b/>
                <w:bCs/>
                <w:color w:val="auto"/>
              </w:rPr>
            </w:pPr>
            <w:r>
              <w:rPr>
                <w:rFonts w:ascii="Times New Roman" w:hAnsi="Times New Roman"/>
                <w:b/>
                <w:bCs/>
                <w:color w:val="auto"/>
              </w:rPr>
              <w:t>结果</w:t>
            </w:r>
          </w:p>
        </w:tc>
      </w:tr>
      <w:tr w14:paraId="595A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 w:type="pct"/>
            <w:tcBorders>
              <w:left w:val="single" w:color="auto" w:sz="4" w:space="0"/>
            </w:tcBorders>
            <w:noWrap w:val="0"/>
            <w:vAlign w:val="center"/>
          </w:tcPr>
          <w:p w14:paraId="095C3A07">
            <w:pPr>
              <w:pStyle w:val="17"/>
              <w:bidi w:val="0"/>
              <w:rPr>
                <w:rFonts w:ascii="Times New Roman" w:hAnsi="Times New Roman"/>
                <w:color w:val="auto"/>
              </w:rPr>
            </w:pPr>
            <w:r>
              <w:rPr>
                <w:rFonts w:ascii="Times New Roman" w:hAnsi="Times New Roman"/>
                <w:color w:val="auto"/>
              </w:rPr>
              <w:t>1</w:t>
            </w:r>
          </w:p>
        </w:tc>
        <w:tc>
          <w:tcPr>
            <w:tcW w:w="2032" w:type="pct"/>
            <w:noWrap w:val="0"/>
            <w:vAlign w:val="center"/>
          </w:tcPr>
          <w:p w14:paraId="06D583FA">
            <w:pPr>
              <w:pStyle w:val="17"/>
              <w:bidi w:val="0"/>
              <w:rPr>
                <w:rFonts w:ascii="Times New Roman" w:hAnsi="Times New Roman"/>
                <w:color w:val="auto"/>
              </w:rPr>
            </w:pPr>
            <w:r>
              <w:rPr>
                <w:rFonts w:ascii="Times New Roman" w:hAnsi="Times New Roman"/>
                <w:color w:val="auto"/>
              </w:rPr>
              <w:t>露天矿山应建立水文地质资料档案；有洪水或地下水威胁的应设置防、排水机构；水文地质条件复杂或有洪水淹没危险的应配备专职水文地质人员。</w:t>
            </w:r>
          </w:p>
        </w:tc>
        <w:tc>
          <w:tcPr>
            <w:tcW w:w="866" w:type="pct"/>
            <w:tcBorders>
              <w:right w:val="single" w:color="auto" w:sz="4" w:space="0"/>
            </w:tcBorders>
            <w:noWrap w:val="0"/>
            <w:vAlign w:val="center"/>
          </w:tcPr>
          <w:p w14:paraId="30459A56">
            <w:pPr>
              <w:pStyle w:val="17"/>
              <w:bidi w:val="0"/>
              <w:rPr>
                <w:rFonts w:ascii="Times New Roman" w:hAnsi="Times New Roman"/>
                <w:color w:val="auto"/>
              </w:rPr>
            </w:pPr>
            <w:r>
              <w:rPr>
                <w:rFonts w:ascii="Times New Roman" w:hAnsi="Times New Roman"/>
                <w:color w:val="auto"/>
              </w:rPr>
              <w:t>GB16423-2020</w:t>
            </w:r>
          </w:p>
          <w:p w14:paraId="7EC534C2">
            <w:pPr>
              <w:pStyle w:val="17"/>
              <w:bidi w:val="0"/>
              <w:rPr>
                <w:rFonts w:ascii="Times New Roman" w:hAnsi="Times New Roman"/>
                <w:color w:val="auto"/>
              </w:rPr>
            </w:pPr>
            <w:r>
              <w:rPr>
                <w:rFonts w:ascii="Times New Roman" w:hAnsi="Times New Roman"/>
                <w:color w:val="auto"/>
              </w:rPr>
              <w:t>第5.7.1.1条</w:t>
            </w:r>
          </w:p>
        </w:tc>
        <w:tc>
          <w:tcPr>
            <w:tcW w:w="1306" w:type="pct"/>
            <w:tcBorders>
              <w:right w:val="single" w:color="auto" w:sz="4" w:space="0"/>
            </w:tcBorders>
            <w:noWrap w:val="0"/>
            <w:vAlign w:val="center"/>
          </w:tcPr>
          <w:p w14:paraId="2EACC883">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中已进行设计说明。</w:t>
            </w:r>
          </w:p>
        </w:tc>
        <w:tc>
          <w:tcPr>
            <w:tcW w:w="520" w:type="pct"/>
            <w:tcBorders>
              <w:right w:val="single" w:color="auto" w:sz="4" w:space="0"/>
            </w:tcBorders>
            <w:noWrap w:val="0"/>
            <w:vAlign w:val="center"/>
          </w:tcPr>
          <w:p w14:paraId="34E3DE8F">
            <w:pPr>
              <w:pStyle w:val="17"/>
              <w:bidi w:val="0"/>
              <w:rPr>
                <w:rFonts w:ascii="Times New Roman" w:hAnsi="Times New Roman"/>
                <w:color w:val="auto"/>
              </w:rPr>
            </w:pPr>
            <w:r>
              <w:rPr>
                <w:rFonts w:ascii="Times New Roman" w:hAnsi="Times New Roman"/>
                <w:color w:val="auto"/>
              </w:rPr>
              <w:t>符合</w:t>
            </w:r>
          </w:p>
        </w:tc>
      </w:tr>
      <w:tr w14:paraId="1487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 w:type="pct"/>
            <w:tcBorders>
              <w:left w:val="single" w:color="auto" w:sz="4" w:space="0"/>
            </w:tcBorders>
            <w:noWrap w:val="0"/>
            <w:vAlign w:val="center"/>
          </w:tcPr>
          <w:p w14:paraId="0C2ECC52">
            <w:pPr>
              <w:pStyle w:val="17"/>
              <w:bidi w:val="0"/>
              <w:rPr>
                <w:rFonts w:ascii="Times New Roman" w:hAnsi="Times New Roman"/>
                <w:color w:val="auto"/>
              </w:rPr>
            </w:pPr>
            <w:r>
              <w:rPr>
                <w:rFonts w:ascii="Times New Roman" w:hAnsi="Times New Roman"/>
                <w:color w:val="auto"/>
              </w:rPr>
              <w:t>2</w:t>
            </w:r>
          </w:p>
        </w:tc>
        <w:tc>
          <w:tcPr>
            <w:tcW w:w="2032" w:type="pct"/>
            <w:noWrap w:val="0"/>
            <w:vAlign w:val="center"/>
          </w:tcPr>
          <w:p w14:paraId="77359AB9">
            <w:pPr>
              <w:pStyle w:val="17"/>
              <w:bidi w:val="0"/>
              <w:rPr>
                <w:rFonts w:ascii="Times New Roman" w:hAnsi="Times New Roman"/>
                <w:color w:val="auto"/>
              </w:rPr>
            </w:pPr>
            <w:r>
              <w:rPr>
                <w:rFonts w:ascii="Times New Roman" w:hAnsi="Times New Roman"/>
                <w:color w:val="auto"/>
              </w:rPr>
              <w:t>露天采场的总出入沟口、平硐口、排水口和工业场地应不受洪水威胁。</w:t>
            </w:r>
          </w:p>
        </w:tc>
        <w:tc>
          <w:tcPr>
            <w:tcW w:w="866" w:type="pct"/>
            <w:tcBorders>
              <w:right w:val="single" w:color="auto" w:sz="4" w:space="0"/>
            </w:tcBorders>
            <w:noWrap w:val="0"/>
            <w:vAlign w:val="center"/>
          </w:tcPr>
          <w:p w14:paraId="73F393EC">
            <w:pPr>
              <w:pStyle w:val="17"/>
              <w:bidi w:val="0"/>
              <w:rPr>
                <w:rFonts w:ascii="Times New Roman" w:hAnsi="Times New Roman"/>
                <w:color w:val="auto"/>
              </w:rPr>
            </w:pPr>
            <w:r>
              <w:rPr>
                <w:rFonts w:ascii="Times New Roman" w:hAnsi="Times New Roman"/>
                <w:color w:val="auto"/>
              </w:rPr>
              <w:t>GB16423-2020</w:t>
            </w:r>
          </w:p>
          <w:p w14:paraId="69021EF4">
            <w:pPr>
              <w:pStyle w:val="17"/>
              <w:bidi w:val="0"/>
              <w:rPr>
                <w:rFonts w:ascii="Times New Roman" w:hAnsi="Times New Roman"/>
                <w:color w:val="auto"/>
              </w:rPr>
            </w:pPr>
            <w:r>
              <w:rPr>
                <w:rFonts w:ascii="Times New Roman" w:hAnsi="Times New Roman"/>
                <w:color w:val="auto"/>
              </w:rPr>
              <w:t>第5.7.1.2条</w:t>
            </w:r>
          </w:p>
        </w:tc>
        <w:tc>
          <w:tcPr>
            <w:tcW w:w="1306" w:type="pct"/>
            <w:tcBorders>
              <w:right w:val="single" w:color="auto" w:sz="4" w:space="0"/>
            </w:tcBorders>
            <w:noWrap w:val="0"/>
            <w:vAlign w:val="center"/>
          </w:tcPr>
          <w:p w14:paraId="1AC7D9EB">
            <w:pPr>
              <w:pStyle w:val="17"/>
              <w:bidi w:val="0"/>
              <w:rPr>
                <w:rFonts w:ascii="Times New Roman" w:hAnsi="Times New Roman"/>
                <w:color w:val="auto"/>
              </w:rPr>
            </w:pPr>
            <w:r>
              <w:rPr>
                <w:rFonts w:hint="eastAsia" w:ascii="Times New Roman" w:hAnsi="Times New Roman"/>
                <w:color w:val="auto"/>
              </w:rPr>
              <w:t>开采标高为2060m-1960m，区域最低侵蚀基准面为矿区西部约550m的洒渔河河床，标高约为1900m。矿区开采范围的储量全部位于当地侵蚀基准面高程1900以上。不受洪水威胁</w:t>
            </w:r>
            <w:r>
              <w:rPr>
                <w:rFonts w:ascii="Times New Roman" w:hAnsi="Times New Roman"/>
                <w:color w:val="auto"/>
              </w:rPr>
              <w:t>。</w:t>
            </w:r>
          </w:p>
        </w:tc>
        <w:tc>
          <w:tcPr>
            <w:tcW w:w="520" w:type="pct"/>
            <w:tcBorders>
              <w:right w:val="single" w:color="auto" w:sz="4" w:space="0"/>
            </w:tcBorders>
            <w:noWrap w:val="0"/>
            <w:vAlign w:val="center"/>
          </w:tcPr>
          <w:p w14:paraId="7996B11E">
            <w:pPr>
              <w:pStyle w:val="17"/>
              <w:bidi w:val="0"/>
              <w:rPr>
                <w:rFonts w:ascii="Times New Roman" w:hAnsi="Times New Roman"/>
                <w:color w:val="auto"/>
              </w:rPr>
            </w:pPr>
            <w:r>
              <w:rPr>
                <w:rFonts w:ascii="Times New Roman" w:hAnsi="Times New Roman"/>
                <w:color w:val="auto"/>
              </w:rPr>
              <w:t>符合</w:t>
            </w:r>
          </w:p>
        </w:tc>
      </w:tr>
      <w:tr w14:paraId="70DA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 w:type="pct"/>
            <w:tcBorders>
              <w:left w:val="single" w:color="auto" w:sz="4" w:space="0"/>
            </w:tcBorders>
            <w:noWrap w:val="0"/>
            <w:vAlign w:val="center"/>
          </w:tcPr>
          <w:p w14:paraId="3C324285">
            <w:pPr>
              <w:pStyle w:val="17"/>
              <w:bidi w:val="0"/>
              <w:rPr>
                <w:rFonts w:ascii="Times New Roman" w:hAnsi="Times New Roman"/>
                <w:color w:val="auto"/>
              </w:rPr>
            </w:pPr>
            <w:r>
              <w:rPr>
                <w:rFonts w:ascii="Times New Roman" w:hAnsi="Times New Roman"/>
                <w:color w:val="auto"/>
              </w:rPr>
              <w:t>3</w:t>
            </w:r>
          </w:p>
        </w:tc>
        <w:tc>
          <w:tcPr>
            <w:tcW w:w="2032" w:type="pct"/>
            <w:noWrap w:val="0"/>
            <w:vAlign w:val="center"/>
          </w:tcPr>
          <w:p w14:paraId="19C23495">
            <w:pPr>
              <w:pStyle w:val="17"/>
              <w:bidi w:val="0"/>
              <w:rPr>
                <w:rFonts w:ascii="Times New Roman" w:hAnsi="Times New Roman"/>
                <w:color w:val="auto"/>
              </w:rPr>
            </w:pPr>
            <w:r>
              <w:rPr>
                <w:rFonts w:ascii="Times New Roman" w:hAnsi="Times New Roman"/>
                <w:color w:val="auto"/>
              </w:rPr>
              <w:t>露天矿山应采取下列措施保证采场安全：</w:t>
            </w:r>
          </w:p>
          <w:p w14:paraId="01675FD3">
            <w:pPr>
              <w:pStyle w:val="17"/>
              <w:bidi w:val="0"/>
              <w:rPr>
                <w:rFonts w:ascii="Times New Roman" w:hAnsi="Times New Roman"/>
                <w:color w:val="auto"/>
              </w:rPr>
            </w:pPr>
            <w:r>
              <w:rPr>
                <w:rFonts w:ascii="Times New Roman" w:hAnsi="Times New Roman"/>
                <w:color w:val="auto"/>
              </w:rPr>
              <w:t xml:space="preserve">——在采场边坡台阶设置排水沟； </w:t>
            </w:r>
          </w:p>
          <w:p w14:paraId="600638B5">
            <w:pPr>
              <w:pStyle w:val="17"/>
              <w:bidi w:val="0"/>
              <w:rPr>
                <w:rFonts w:ascii="Times New Roman" w:hAnsi="Times New Roman"/>
                <w:color w:val="auto"/>
              </w:rPr>
            </w:pPr>
            <w:r>
              <w:rPr>
                <w:rFonts w:ascii="Times New Roman" w:hAnsi="Times New Roman"/>
                <w:color w:val="auto"/>
              </w:rPr>
              <w:t>——地下水影响露天采场的安全生产时，应采取疏干等防治措施。</w:t>
            </w:r>
          </w:p>
        </w:tc>
        <w:tc>
          <w:tcPr>
            <w:tcW w:w="866" w:type="pct"/>
            <w:tcBorders>
              <w:right w:val="single" w:color="auto" w:sz="4" w:space="0"/>
            </w:tcBorders>
            <w:noWrap w:val="0"/>
            <w:vAlign w:val="center"/>
          </w:tcPr>
          <w:p w14:paraId="3FC78E9E">
            <w:pPr>
              <w:pStyle w:val="17"/>
              <w:bidi w:val="0"/>
              <w:rPr>
                <w:rFonts w:ascii="Times New Roman" w:hAnsi="Times New Roman"/>
                <w:color w:val="auto"/>
              </w:rPr>
            </w:pPr>
            <w:r>
              <w:rPr>
                <w:rFonts w:ascii="Times New Roman" w:hAnsi="Times New Roman"/>
                <w:color w:val="auto"/>
              </w:rPr>
              <w:t>GB16423-2020</w:t>
            </w:r>
          </w:p>
          <w:p w14:paraId="7F0E252C">
            <w:pPr>
              <w:pStyle w:val="17"/>
              <w:bidi w:val="0"/>
              <w:rPr>
                <w:rFonts w:ascii="Times New Roman" w:hAnsi="Times New Roman"/>
                <w:color w:val="auto"/>
              </w:rPr>
            </w:pPr>
            <w:r>
              <w:rPr>
                <w:rFonts w:ascii="Times New Roman" w:hAnsi="Times New Roman"/>
                <w:color w:val="auto"/>
              </w:rPr>
              <w:t>第5.7.1.3条</w:t>
            </w:r>
          </w:p>
        </w:tc>
        <w:tc>
          <w:tcPr>
            <w:tcW w:w="1306" w:type="pct"/>
            <w:tcBorders>
              <w:right w:val="single" w:color="auto" w:sz="4" w:space="0"/>
            </w:tcBorders>
            <w:noWrap w:val="0"/>
            <w:vAlign w:val="center"/>
          </w:tcPr>
          <w:p w14:paraId="2BD77FD7">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已对采场排水进行了考虑。</w:t>
            </w:r>
          </w:p>
        </w:tc>
        <w:tc>
          <w:tcPr>
            <w:tcW w:w="520" w:type="pct"/>
            <w:tcBorders>
              <w:right w:val="single" w:color="auto" w:sz="4" w:space="0"/>
            </w:tcBorders>
            <w:noWrap w:val="0"/>
            <w:vAlign w:val="center"/>
          </w:tcPr>
          <w:p w14:paraId="45832123">
            <w:pPr>
              <w:pStyle w:val="17"/>
              <w:bidi w:val="0"/>
              <w:rPr>
                <w:rFonts w:ascii="Times New Roman" w:hAnsi="Times New Roman"/>
                <w:color w:val="auto"/>
              </w:rPr>
            </w:pPr>
            <w:r>
              <w:rPr>
                <w:rFonts w:ascii="Times New Roman" w:hAnsi="Times New Roman"/>
                <w:color w:val="auto"/>
              </w:rPr>
              <w:t>符合</w:t>
            </w:r>
          </w:p>
        </w:tc>
      </w:tr>
      <w:tr w14:paraId="15E9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 w:type="pct"/>
            <w:tcBorders>
              <w:left w:val="single" w:color="auto" w:sz="4" w:space="0"/>
            </w:tcBorders>
            <w:noWrap w:val="0"/>
            <w:vAlign w:val="center"/>
          </w:tcPr>
          <w:p w14:paraId="63A0931D">
            <w:pPr>
              <w:pStyle w:val="17"/>
              <w:bidi w:val="0"/>
              <w:rPr>
                <w:rFonts w:ascii="Times New Roman" w:hAnsi="Times New Roman"/>
                <w:color w:val="auto"/>
              </w:rPr>
            </w:pPr>
            <w:r>
              <w:rPr>
                <w:rFonts w:ascii="Times New Roman" w:hAnsi="Times New Roman"/>
                <w:color w:val="auto"/>
              </w:rPr>
              <w:t>4</w:t>
            </w:r>
          </w:p>
        </w:tc>
        <w:tc>
          <w:tcPr>
            <w:tcW w:w="2032" w:type="pct"/>
            <w:noWrap w:val="0"/>
            <w:vAlign w:val="center"/>
          </w:tcPr>
          <w:p w14:paraId="3CEF4029">
            <w:pPr>
              <w:pStyle w:val="17"/>
              <w:bidi w:val="0"/>
              <w:rPr>
                <w:rFonts w:ascii="Times New Roman" w:hAnsi="Times New Roman"/>
                <w:color w:val="auto"/>
              </w:rPr>
            </w:pPr>
            <w:r>
              <w:rPr>
                <w:rFonts w:ascii="Times New Roman" w:hAnsi="Times New Roman"/>
                <w:color w:val="auto"/>
              </w:rPr>
              <w:t>露天矿山应按照下列要求建立防排水系统：</w:t>
            </w:r>
          </w:p>
          <w:p w14:paraId="4E574219">
            <w:pPr>
              <w:pStyle w:val="17"/>
              <w:bidi w:val="0"/>
              <w:rPr>
                <w:rFonts w:ascii="Times New Roman" w:hAnsi="Times New Roman"/>
                <w:color w:val="auto"/>
              </w:rPr>
            </w:pPr>
            <w:r>
              <w:rPr>
                <w:rFonts w:ascii="Times New Roman" w:hAnsi="Times New Roman"/>
                <w:color w:val="auto"/>
              </w:rPr>
              <w:t>——受洪水威胁的露天采场应设置地面防洪工程。</w:t>
            </w:r>
          </w:p>
          <w:p w14:paraId="3D86161C">
            <w:pPr>
              <w:pStyle w:val="17"/>
              <w:bidi w:val="0"/>
              <w:rPr>
                <w:rFonts w:ascii="Times New Roman" w:hAnsi="Times New Roman"/>
                <w:color w:val="auto"/>
              </w:rPr>
            </w:pPr>
            <w:r>
              <w:rPr>
                <w:rFonts w:ascii="Times New Roman" w:hAnsi="Times New Roman"/>
                <w:color w:val="auto"/>
              </w:rPr>
              <w:t>——凹陷露天坑应设机械排水或自流排水设施。</w:t>
            </w:r>
          </w:p>
        </w:tc>
        <w:tc>
          <w:tcPr>
            <w:tcW w:w="866" w:type="pct"/>
            <w:tcBorders>
              <w:right w:val="single" w:color="auto" w:sz="4" w:space="0"/>
            </w:tcBorders>
            <w:noWrap w:val="0"/>
            <w:vAlign w:val="center"/>
          </w:tcPr>
          <w:p w14:paraId="1CEF8748">
            <w:pPr>
              <w:pStyle w:val="17"/>
              <w:bidi w:val="0"/>
              <w:rPr>
                <w:rFonts w:ascii="Times New Roman" w:hAnsi="Times New Roman"/>
                <w:color w:val="auto"/>
              </w:rPr>
            </w:pPr>
            <w:r>
              <w:rPr>
                <w:rFonts w:ascii="Times New Roman" w:hAnsi="Times New Roman"/>
                <w:color w:val="auto"/>
              </w:rPr>
              <w:t>GB16423-2020</w:t>
            </w:r>
          </w:p>
          <w:p w14:paraId="0B6F2775">
            <w:pPr>
              <w:pStyle w:val="17"/>
              <w:bidi w:val="0"/>
              <w:rPr>
                <w:rFonts w:ascii="Times New Roman" w:hAnsi="Times New Roman"/>
                <w:color w:val="auto"/>
              </w:rPr>
            </w:pPr>
            <w:r>
              <w:rPr>
                <w:rFonts w:ascii="Times New Roman" w:hAnsi="Times New Roman"/>
                <w:color w:val="auto"/>
              </w:rPr>
              <w:t>第5.7.1.4条</w:t>
            </w:r>
          </w:p>
        </w:tc>
        <w:tc>
          <w:tcPr>
            <w:tcW w:w="1306" w:type="pct"/>
            <w:tcBorders>
              <w:right w:val="single" w:color="auto" w:sz="4" w:space="0"/>
            </w:tcBorders>
            <w:noWrap w:val="0"/>
            <w:vAlign w:val="center"/>
          </w:tcPr>
          <w:p w14:paraId="3048192B">
            <w:pPr>
              <w:pStyle w:val="17"/>
              <w:bidi w:val="0"/>
              <w:rPr>
                <w:rFonts w:ascii="Times New Roman" w:hAnsi="Times New Roman"/>
                <w:color w:val="auto"/>
              </w:rPr>
            </w:pPr>
            <w:r>
              <w:rPr>
                <w:rFonts w:hint="eastAsia" w:ascii="Times New Roman" w:hAnsi="Times New Roman"/>
                <w:color w:val="auto"/>
                <w:lang w:val="en-US" w:eastAsia="zh-CN"/>
              </w:rPr>
              <w:t>初步设计（代可研）中已说明，不受洪水威胁，矿山不存在凹陷露天</w:t>
            </w:r>
            <w:r>
              <w:rPr>
                <w:rFonts w:ascii="Times New Roman" w:hAnsi="Times New Roman"/>
                <w:color w:val="auto"/>
              </w:rPr>
              <w:t>。</w:t>
            </w:r>
          </w:p>
        </w:tc>
        <w:tc>
          <w:tcPr>
            <w:tcW w:w="520" w:type="pct"/>
            <w:tcBorders>
              <w:right w:val="single" w:color="auto" w:sz="4" w:space="0"/>
            </w:tcBorders>
            <w:noWrap w:val="0"/>
            <w:vAlign w:val="center"/>
          </w:tcPr>
          <w:p w14:paraId="38D6399D">
            <w:pPr>
              <w:pStyle w:val="17"/>
              <w:bidi w:val="0"/>
              <w:rPr>
                <w:rFonts w:hint="eastAsia" w:ascii="Times New Roman" w:hAnsi="Times New Roman"/>
                <w:color w:val="auto"/>
                <w:lang w:eastAsia="zh-CN"/>
              </w:rPr>
            </w:pPr>
            <w:r>
              <w:rPr>
                <w:rFonts w:hint="eastAsia" w:ascii="Times New Roman" w:hAnsi="Times New Roman"/>
                <w:color w:val="auto"/>
                <w:lang w:val="en-US" w:eastAsia="zh-CN"/>
              </w:rPr>
              <w:t>符合</w:t>
            </w:r>
          </w:p>
        </w:tc>
      </w:tr>
      <w:tr w14:paraId="388C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 w:type="pct"/>
            <w:tcBorders>
              <w:left w:val="single" w:color="auto" w:sz="4" w:space="0"/>
            </w:tcBorders>
            <w:noWrap w:val="0"/>
            <w:vAlign w:val="center"/>
          </w:tcPr>
          <w:p w14:paraId="7F2C8E95">
            <w:pPr>
              <w:pStyle w:val="17"/>
              <w:bidi w:val="0"/>
              <w:rPr>
                <w:rFonts w:ascii="Times New Roman" w:hAnsi="Times New Roman"/>
                <w:color w:val="auto"/>
              </w:rPr>
            </w:pPr>
            <w:r>
              <w:rPr>
                <w:rFonts w:ascii="Times New Roman" w:hAnsi="Times New Roman"/>
                <w:color w:val="auto"/>
              </w:rPr>
              <w:t>5</w:t>
            </w:r>
          </w:p>
        </w:tc>
        <w:tc>
          <w:tcPr>
            <w:tcW w:w="2032" w:type="pct"/>
            <w:noWrap w:val="0"/>
            <w:vAlign w:val="center"/>
          </w:tcPr>
          <w:p w14:paraId="319CD702">
            <w:pPr>
              <w:pStyle w:val="17"/>
              <w:bidi w:val="0"/>
              <w:rPr>
                <w:rFonts w:ascii="Times New Roman" w:hAnsi="Times New Roman"/>
                <w:color w:val="auto"/>
              </w:rPr>
            </w:pPr>
            <w:r>
              <w:rPr>
                <w:rFonts w:ascii="Times New Roman" w:hAnsi="Times New Roman"/>
                <w:color w:val="auto"/>
              </w:rPr>
              <w:t>有遭遇洪水危险的露天矿山应设置专用的防洪、排洪设施。</w:t>
            </w:r>
          </w:p>
          <w:p w14:paraId="4601CED1">
            <w:pPr>
              <w:pStyle w:val="17"/>
              <w:bidi w:val="0"/>
              <w:rPr>
                <w:rFonts w:ascii="Times New Roman" w:hAnsi="Times New Roman"/>
                <w:color w:val="auto"/>
              </w:rPr>
            </w:pPr>
            <w:r>
              <w:rPr>
                <w:rFonts w:ascii="Times New Roman" w:hAnsi="Times New Roman"/>
                <w:color w:val="auto"/>
              </w:rPr>
              <w:t>采剥和排土作业不应给深部开采和邻近矿山造成水害或者其他危害。</w:t>
            </w:r>
          </w:p>
        </w:tc>
        <w:tc>
          <w:tcPr>
            <w:tcW w:w="866" w:type="pct"/>
            <w:tcBorders>
              <w:right w:val="single" w:color="auto" w:sz="4" w:space="0"/>
            </w:tcBorders>
            <w:noWrap w:val="0"/>
            <w:vAlign w:val="center"/>
          </w:tcPr>
          <w:p w14:paraId="4BFDCB49">
            <w:pPr>
              <w:pStyle w:val="17"/>
              <w:bidi w:val="0"/>
              <w:rPr>
                <w:rFonts w:ascii="Times New Roman" w:hAnsi="Times New Roman"/>
                <w:color w:val="auto"/>
              </w:rPr>
            </w:pPr>
            <w:r>
              <w:rPr>
                <w:rFonts w:ascii="Times New Roman" w:hAnsi="Times New Roman"/>
                <w:color w:val="auto"/>
              </w:rPr>
              <w:t>GB16423-2020</w:t>
            </w:r>
          </w:p>
          <w:p w14:paraId="6BEF1A49">
            <w:pPr>
              <w:pStyle w:val="17"/>
              <w:bidi w:val="0"/>
              <w:rPr>
                <w:rFonts w:ascii="Times New Roman" w:hAnsi="Times New Roman"/>
                <w:color w:val="auto"/>
              </w:rPr>
            </w:pPr>
            <w:r>
              <w:rPr>
                <w:rFonts w:ascii="Times New Roman" w:hAnsi="Times New Roman"/>
                <w:color w:val="auto"/>
              </w:rPr>
              <w:t>第5.1.1条、</w:t>
            </w:r>
          </w:p>
          <w:p w14:paraId="3E622932">
            <w:pPr>
              <w:pStyle w:val="17"/>
              <w:bidi w:val="0"/>
              <w:rPr>
                <w:rFonts w:ascii="Times New Roman" w:hAnsi="Times New Roman"/>
                <w:color w:val="auto"/>
              </w:rPr>
            </w:pPr>
            <w:r>
              <w:rPr>
                <w:rFonts w:ascii="Times New Roman" w:hAnsi="Times New Roman"/>
                <w:color w:val="auto"/>
              </w:rPr>
              <w:t>第5.1.6条</w:t>
            </w:r>
          </w:p>
        </w:tc>
        <w:tc>
          <w:tcPr>
            <w:tcW w:w="1306" w:type="pct"/>
            <w:tcBorders>
              <w:right w:val="single" w:color="auto" w:sz="4" w:space="0"/>
            </w:tcBorders>
            <w:noWrap w:val="0"/>
            <w:vAlign w:val="center"/>
          </w:tcPr>
          <w:p w14:paraId="08D19C00">
            <w:pPr>
              <w:pStyle w:val="17"/>
              <w:bidi w:val="0"/>
              <w:rPr>
                <w:rFonts w:ascii="Times New Roman" w:hAnsi="Times New Roman"/>
                <w:color w:val="auto"/>
              </w:rPr>
            </w:pPr>
            <w:r>
              <w:rPr>
                <w:rFonts w:hint="eastAsia" w:ascii="Times New Roman" w:hAnsi="Times New Roman"/>
                <w:color w:val="auto"/>
              </w:rPr>
              <w:t>设计在采场2020m清扫平台及1975m底部1960m平台设置台阶排水沟。</w:t>
            </w:r>
          </w:p>
        </w:tc>
        <w:tc>
          <w:tcPr>
            <w:tcW w:w="520" w:type="pct"/>
            <w:tcBorders>
              <w:right w:val="single" w:color="auto" w:sz="4" w:space="0"/>
            </w:tcBorders>
            <w:noWrap w:val="0"/>
            <w:vAlign w:val="center"/>
          </w:tcPr>
          <w:p w14:paraId="7FAFD7CD">
            <w:pPr>
              <w:pStyle w:val="17"/>
              <w:bidi w:val="0"/>
              <w:rPr>
                <w:rFonts w:ascii="Times New Roman" w:hAnsi="Times New Roman"/>
                <w:color w:val="auto"/>
              </w:rPr>
            </w:pPr>
            <w:r>
              <w:rPr>
                <w:rFonts w:ascii="Times New Roman" w:hAnsi="Times New Roman"/>
                <w:color w:val="auto"/>
              </w:rPr>
              <w:t>符合</w:t>
            </w:r>
          </w:p>
        </w:tc>
      </w:tr>
      <w:tr w14:paraId="4FE7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 w:type="pct"/>
            <w:tcBorders>
              <w:left w:val="single" w:color="auto" w:sz="4" w:space="0"/>
            </w:tcBorders>
            <w:noWrap w:val="0"/>
            <w:vAlign w:val="center"/>
          </w:tcPr>
          <w:p w14:paraId="12C39237">
            <w:pPr>
              <w:pStyle w:val="17"/>
              <w:bidi w:val="0"/>
              <w:rPr>
                <w:rFonts w:ascii="Times New Roman" w:hAnsi="Times New Roman"/>
                <w:color w:val="auto"/>
              </w:rPr>
            </w:pPr>
            <w:r>
              <w:rPr>
                <w:rFonts w:ascii="Times New Roman" w:hAnsi="Times New Roman"/>
                <w:color w:val="auto"/>
              </w:rPr>
              <w:t>6</w:t>
            </w:r>
          </w:p>
        </w:tc>
        <w:tc>
          <w:tcPr>
            <w:tcW w:w="2032" w:type="pct"/>
            <w:noWrap w:val="0"/>
            <w:vAlign w:val="center"/>
          </w:tcPr>
          <w:p w14:paraId="6280E398">
            <w:pPr>
              <w:pStyle w:val="17"/>
              <w:bidi w:val="0"/>
              <w:rPr>
                <w:rFonts w:ascii="Times New Roman" w:hAnsi="Times New Roman"/>
                <w:color w:val="auto"/>
              </w:rPr>
            </w:pPr>
            <w:r>
              <w:rPr>
                <w:rFonts w:ascii="Times New Roman" w:hAnsi="Times New Roman"/>
                <w:color w:val="auto"/>
              </w:rPr>
              <w:t>露天矿用设备应配备灭火器。</w:t>
            </w:r>
          </w:p>
        </w:tc>
        <w:tc>
          <w:tcPr>
            <w:tcW w:w="866" w:type="pct"/>
            <w:tcBorders>
              <w:right w:val="single" w:color="auto" w:sz="4" w:space="0"/>
            </w:tcBorders>
            <w:noWrap w:val="0"/>
            <w:vAlign w:val="center"/>
          </w:tcPr>
          <w:p w14:paraId="00EE7234">
            <w:pPr>
              <w:pStyle w:val="17"/>
              <w:bidi w:val="0"/>
              <w:rPr>
                <w:rFonts w:ascii="Times New Roman" w:hAnsi="Times New Roman"/>
                <w:color w:val="auto"/>
              </w:rPr>
            </w:pPr>
            <w:r>
              <w:rPr>
                <w:rFonts w:ascii="Times New Roman" w:hAnsi="Times New Roman"/>
                <w:color w:val="auto"/>
              </w:rPr>
              <w:t>GB16423-2020</w:t>
            </w:r>
          </w:p>
          <w:p w14:paraId="6D8A4E2B">
            <w:pPr>
              <w:pStyle w:val="17"/>
              <w:bidi w:val="0"/>
              <w:rPr>
                <w:rFonts w:ascii="Times New Roman" w:hAnsi="Times New Roman"/>
                <w:color w:val="auto"/>
              </w:rPr>
            </w:pPr>
            <w:r>
              <w:rPr>
                <w:rFonts w:ascii="Times New Roman" w:hAnsi="Times New Roman"/>
                <w:color w:val="auto"/>
              </w:rPr>
              <w:t>第5.7.2.2条、</w:t>
            </w:r>
          </w:p>
        </w:tc>
        <w:tc>
          <w:tcPr>
            <w:tcW w:w="1306" w:type="pct"/>
            <w:tcBorders>
              <w:right w:val="single" w:color="auto" w:sz="4" w:space="0"/>
            </w:tcBorders>
            <w:noWrap w:val="0"/>
            <w:vAlign w:val="center"/>
          </w:tcPr>
          <w:p w14:paraId="651FCFD5">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中未明确。</w:t>
            </w:r>
          </w:p>
        </w:tc>
        <w:tc>
          <w:tcPr>
            <w:tcW w:w="520" w:type="pct"/>
            <w:tcBorders>
              <w:right w:val="single" w:color="auto" w:sz="4" w:space="0"/>
            </w:tcBorders>
            <w:noWrap w:val="0"/>
            <w:vAlign w:val="center"/>
          </w:tcPr>
          <w:p w14:paraId="2CDB4B68">
            <w:pPr>
              <w:pStyle w:val="17"/>
              <w:bidi w:val="0"/>
              <w:rPr>
                <w:rFonts w:ascii="Times New Roman" w:hAnsi="Times New Roman"/>
                <w:color w:val="auto"/>
              </w:rPr>
            </w:pPr>
            <w:r>
              <w:rPr>
                <w:rFonts w:ascii="Times New Roman" w:hAnsi="Times New Roman"/>
                <w:color w:val="auto"/>
              </w:rPr>
              <w:t>不符合</w:t>
            </w:r>
          </w:p>
        </w:tc>
      </w:tr>
      <w:tr w14:paraId="502A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 w:type="pct"/>
            <w:tcBorders>
              <w:left w:val="single" w:color="auto" w:sz="4" w:space="0"/>
            </w:tcBorders>
            <w:noWrap w:val="0"/>
            <w:vAlign w:val="center"/>
          </w:tcPr>
          <w:p w14:paraId="2584B304">
            <w:pPr>
              <w:pStyle w:val="17"/>
              <w:bidi w:val="0"/>
              <w:rPr>
                <w:rFonts w:ascii="Times New Roman" w:hAnsi="Times New Roman"/>
                <w:color w:val="auto"/>
              </w:rPr>
            </w:pPr>
            <w:r>
              <w:rPr>
                <w:rFonts w:ascii="Times New Roman" w:hAnsi="Times New Roman"/>
                <w:color w:val="auto"/>
              </w:rPr>
              <w:t>7</w:t>
            </w:r>
          </w:p>
        </w:tc>
        <w:tc>
          <w:tcPr>
            <w:tcW w:w="2032" w:type="pct"/>
            <w:noWrap w:val="0"/>
            <w:vAlign w:val="center"/>
          </w:tcPr>
          <w:p w14:paraId="79546754">
            <w:pPr>
              <w:pStyle w:val="17"/>
              <w:bidi w:val="0"/>
              <w:rPr>
                <w:rFonts w:ascii="Times New Roman" w:hAnsi="Times New Roman"/>
                <w:color w:val="auto"/>
              </w:rPr>
            </w:pPr>
            <w:r>
              <w:rPr>
                <w:rFonts w:ascii="Times New Roman" w:hAnsi="Times New Roman"/>
                <w:color w:val="auto"/>
              </w:rPr>
              <w:t>木材场、防护用品仓库、爆破器材库、氢和乙炔瓶库、石油液化气站和油库等重要场所，应建立防火制度，采取防火、防爆措施，备足消防器材。</w:t>
            </w:r>
          </w:p>
        </w:tc>
        <w:tc>
          <w:tcPr>
            <w:tcW w:w="866" w:type="pct"/>
            <w:tcBorders>
              <w:right w:val="single" w:color="auto" w:sz="4" w:space="0"/>
            </w:tcBorders>
            <w:noWrap w:val="0"/>
            <w:vAlign w:val="center"/>
          </w:tcPr>
          <w:p w14:paraId="0B9C6B2F">
            <w:pPr>
              <w:pStyle w:val="17"/>
              <w:bidi w:val="0"/>
              <w:rPr>
                <w:rFonts w:ascii="Times New Roman" w:hAnsi="Times New Roman"/>
                <w:color w:val="auto"/>
              </w:rPr>
            </w:pPr>
            <w:r>
              <w:rPr>
                <w:rFonts w:ascii="Times New Roman" w:hAnsi="Times New Roman"/>
                <w:color w:val="auto"/>
              </w:rPr>
              <w:t>GB16423-2020</w:t>
            </w:r>
          </w:p>
          <w:p w14:paraId="14C96F2C">
            <w:pPr>
              <w:pStyle w:val="17"/>
              <w:bidi w:val="0"/>
              <w:rPr>
                <w:rFonts w:ascii="Times New Roman" w:hAnsi="Times New Roman"/>
                <w:color w:val="auto"/>
              </w:rPr>
            </w:pPr>
            <w:r>
              <w:rPr>
                <w:rFonts w:ascii="Times New Roman" w:hAnsi="Times New Roman"/>
                <w:color w:val="auto"/>
              </w:rPr>
              <w:t>第5.7.2.7条、</w:t>
            </w:r>
          </w:p>
        </w:tc>
        <w:tc>
          <w:tcPr>
            <w:tcW w:w="1306" w:type="pct"/>
            <w:tcBorders>
              <w:right w:val="single" w:color="auto" w:sz="4" w:space="0"/>
            </w:tcBorders>
            <w:noWrap w:val="0"/>
            <w:vAlign w:val="center"/>
          </w:tcPr>
          <w:p w14:paraId="40708999">
            <w:pPr>
              <w:pStyle w:val="17"/>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w:t>
            </w:r>
            <w:r>
              <w:rPr>
                <w:rFonts w:hint="eastAsia" w:ascii="Times New Roman" w:hAnsi="Times New Roman"/>
                <w:color w:val="auto"/>
              </w:rPr>
              <w:t>仅说明了防火、防爆措施，</w:t>
            </w:r>
            <w:r>
              <w:rPr>
                <w:rFonts w:ascii="Times New Roman" w:hAnsi="Times New Roman"/>
                <w:color w:val="auto"/>
              </w:rPr>
              <w:t>未说明防火制度。</w:t>
            </w:r>
          </w:p>
        </w:tc>
        <w:tc>
          <w:tcPr>
            <w:tcW w:w="520" w:type="pct"/>
            <w:tcBorders>
              <w:right w:val="single" w:color="auto" w:sz="4" w:space="0"/>
            </w:tcBorders>
            <w:noWrap w:val="0"/>
            <w:vAlign w:val="center"/>
          </w:tcPr>
          <w:p w14:paraId="0887AF74">
            <w:pPr>
              <w:pStyle w:val="17"/>
              <w:bidi w:val="0"/>
              <w:rPr>
                <w:rFonts w:ascii="Times New Roman" w:hAnsi="Times New Roman"/>
                <w:color w:val="auto"/>
              </w:rPr>
            </w:pPr>
            <w:r>
              <w:rPr>
                <w:rFonts w:ascii="Times New Roman" w:hAnsi="Times New Roman"/>
                <w:color w:val="auto"/>
              </w:rPr>
              <w:t>不符合</w:t>
            </w:r>
          </w:p>
        </w:tc>
      </w:tr>
    </w:tbl>
    <w:p w14:paraId="471F3569">
      <w:pPr>
        <w:pStyle w:val="4"/>
        <w:bidi w:val="0"/>
        <w:rPr>
          <w:rFonts w:hint="eastAsia" w:ascii="Times New Roman" w:hAnsi="Times New Roman"/>
          <w:color w:val="auto"/>
          <w:lang w:val="en-US" w:eastAsia="zh-CN"/>
        </w:rPr>
      </w:pPr>
      <w:bookmarkStart w:id="193" w:name="_Toc17816"/>
      <w:bookmarkStart w:id="194" w:name="_Toc14800"/>
      <w:bookmarkStart w:id="195" w:name="_Toc8688"/>
      <w:bookmarkStart w:id="196" w:name="_Toc2219"/>
      <w:r>
        <w:rPr>
          <w:rFonts w:ascii="Times New Roman" w:hAnsi="Times New Roman"/>
          <w:color w:val="auto"/>
        </w:rPr>
        <w:t>3.5.4</w:t>
      </w:r>
      <w:r>
        <w:rPr>
          <w:rFonts w:hint="eastAsia" w:ascii="Times New Roman" w:hAnsi="Times New Roman"/>
          <w:color w:val="auto"/>
          <w:lang w:val="en-US" w:eastAsia="zh-CN"/>
        </w:rPr>
        <w:t xml:space="preserve"> </w:t>
      </w:r>
      <w:r>
        <w:rPr>
          <w:rFonts w:ascii="Times New Roman" w:hAnsi="Times New Roman"/>
          <w:color w:val="auto"/>
        </w:rPr>
        <w:t>防排水</w:t>
      </w:r>
      <w:bookmarkEnd w:id="193"/>
      <w:bookmarkEnd w:id="194"/>
      <w:bookmarkEnd w:id="195"/>
      <w:r>
        <w:rPr>
          <w:rFonts w:hint="eastAsia" w:ascii="Times New Roman" w:hAnsi="Times New Roman"/>
          <w:color w:val="auto"/>
        </w:rPr>
        <w:t>设计方案评述</w:t>
      </w:r>
      <w:bookmarkEnd w:id="196"/>
    </w:p>
    <w:p w14:paraId="54BD31E7">
      <w:pPr>
        <w:bidi w:val="0"/>
        <w:rPr>
          <w:rFonts w:hint="eastAsia"/>
          <w:color w:val="auto"/>
        </w:rPr>
      </w:pPr>
      <w:r>
        <w:rPr>
          <w:rFonts w:hint="eastAsia"/>
          <w:color w:val="auto"/>
          <w:lang w:val="en-US" w:eastAsia="zh-CN"/>
        </w:rPr>
        <w:t>一、</w:t>
      </w:r>
      <w:r>
        <w:rPr>
          <w:rFonts w:hint="eastAsia"/>
          <w:color w:val="auto"/>
        </w:rPr>
        <w:t>矿区地形地貌、气象及水文地质条件</w:t>
      </w:r>
    </w:p>
    <w:p w14:paraId="25CAAB3C">
      <w:pPr>
        <w:bidi w:val="0"/>
        <w:rPr>
          <w:rFonts w:hint="eastAsia"/>
          <w:color w:val="auto"/>
        </w:rPr>
      </w:pPr>
      <w:r>
        <w:rPr>
          <w:rFonts w:hint="eastAsia"/>
          <w:color w:val="auto"/>
        </w:rPr>
        <w:t>1、地形地貌特征</w:t>
      </w:r>
    </w:p>
    <w:p w14:paraId="0743DA4B">
      <w:pPr>
        <w:bidi w:val="0"/>
        <w:rPr>
          <w:rFonts w:hint="eastAsia"/>
          <w:color w:val="auto"/>
        </w:rPr>
      </w:pPr>
      <w:r>
        <w:rPr>
          <w:rFonts w:hint="eastAsia"/>
          <w:color w:val="auto"/>
        </w:rPr>
        <w:t>矿区地处金沙江流域长江水系上游，地势为东高西低，地形起伏较大，坡度一般在20～30°。矿区内最高点位于矿区南东部矿3拐点附近，海拔标高为2060m；最低点位于矿区北西部矿1拐点附近采坑里，海拔标高为1922m，相对高差138m，属构造侵蚀、剥蚀、溶蚀低中山地貌。</w:t>
      </w:r>
    </w:p>
    <w:p w14:paraId="4255139E">
      <w:pPr>
        <w:bidi w:val="0"/>
        <w:rPr>
          <w:rFonts w:hint="eastAsia"/>
          <w:color w:val="auto"/>
        </w:rPr>
      </w:pPr>
      <w:r>
        <w:rPr>
          <w:rFonts w:hint="eastAsia"/>
          <w:color w:val="auto"/>
        </w:rPr>
        <w:t>2、气象水文特征</w:t>
      </w:r>
    </w:p>
    <w:p w14:paraId="19CA8064">
      <w:pPr>
        <w:bidi w:val="0"/>
        <w:rPr>
          <w:rFonts w:hint="eastAsia"/>
          <w:color w:val="auto"/>
        </w:rPr>
      </w:pPr>
      <w:r>
        <w:rPr>
          <w:rFonts w:hint="eastAsia"/>
          <w:color w:val="auto"/>
        </w:rPr>
        <w:t>矿区内无大的地表水体，冲沟旱季干涸无水。最近地表水体主要为西部距矿区约550m的洒渔河。大气降水到达地面后，大部分形成地面坡流沿矿区山坡汇入矿区西部外围的洒渔河；一部分渗入地下补给各含水层。地下水通过岩溶裂隙、岩溶管道、落水洞、伏流河由南东向北西径流，汇入洒渔河。矿区所在水系属长江水系，金沙江流域。当地最低自然排泄面标高为1920m（西侧中小湾子村庄附近）。区域最低侵蚀基准面为矿区西部约550m的洒渔河河床，标高约为1900m。</w:t>
      </w:r>
    </w:p>
    <w:p w14:paraId="11B98D4A">
      <w:pPr>
        <w:bidi w:val="0"/>
        <w:rPr>
          <w:rFonts w:hint="eastAsia"/>
          <w:color w:val="auto"/>
        </w:rPr>
      </w:pPr>
      <w:r>
        <w:rPr>
          <w:rFonts w:hint="eastAsia"/>
          <w:color w:val="auto"/>
        </w:rPr>
        <w:t>区内矿床充水主要为大气降水的入渗补给，虽然当地年降雨量为729.7mm，但由于降雨较为集中，区内地形东高西低，第四系覆盖层薄，植被覆盖率一般，各含水层地下水的补给条件较差。矿体开采标高高于当地最低侵蚀基准面，浅部节理裂隙、溶蚀裂隙发育，有利于地下水的径流和排泄。总的来说，各含水层地下水的补给条件较差，径流、排泄条件一般。</w:t>
      </w:r>
    </w:p>
    <w:p w14:paraId="09C736BC">
      <w:pPr>
        <w:bidi w:val="0"/>
        <w:rPr>
          <w:rFonts w:hint="eastAsia"/>
          <w:color w:val="auto"/>
        </w:rPr>
      </w:pPr>
      <w:r>
        <w:rPr>
          <w:rFonts w:hint="eastAsia"/>
          <w:color w:val="auto"/>
          <w:lang w:val="en-US" w:eastAsia="zh-CN"/>
        </w:rPr>
        <w:t>二、</w:t>
      </w:r>
      <w:r>
        <w:rPr>
          <w:rFonts w:hint="eastAsia"/>
          <w:color w:val="auto"/>
        </w:rPr>
        <w:t>露天采场周边地形及洪水汇流特点</w:t>
      </w:r>
    </w:p>
    <w:p w14:paraId="73B1A5CE">
      <w:pPr>
        <w:bidi w:val="0"/>
        <w:rPr>
          <w:rFonts w:hint="eastAsia"/>
          <w:color w:val="auto"/>
        </w:rPr>
      </w:pPr>
      <w:r>
        <w:rPr>
          <w:rFonts w:hint="eastAsia"/>
          <w:color w:val="auto"/>
        </w:rPr>
        <w:t>天景山灰岩矿为山坡露天开采，总体地势呈东高西低，自然坡度20°～30°。</w:t>
      </w:r>
    </w:p>
    <w:p w14:paraId="4533A701">
      <w:pPr>
        <w:bidi w:val="0"/>
        <w:rPr>
          <w:rFonts w:hint="eastAsia"/>
          <w:color w:val="auto"/>
        </w:rPr>
      </w:pPr>
      <w:r>
        <w:rPr>
          <w:rFonts w:hint="eastAsia"/>
          <w:color w:val="auto"/>
          <w:lang w:val="en-US" w:eastAsia="zh-CN"/>
        </w:rPr>
        <w:t>三、</w:t>
      </w:r>
      <w:r>
        <w:rPr>
          <w:rFonts w:hint="eastAsia"/>
          <w:color w:val="auto"/>
        </w:rPr>
        <w:t>采场自流排水计算</w:t>
      </w:r>
    </w:p>
    <w:p w14:paraId="38D32D74">
      <w:pPr>
        <w:bidi w:val="0"/>
        <w:rPr>
          <w:rFonts w:hint="eastAsia"/>
          <w:color w:val="auto"/>
        </w:rPr>
      </w:pPr>
      <w:r>
        <w:rPr>
          <w:rFonts w:hint="eastAsia"/>
          <w:color w:val="auto"/>
          <w:lang w:val="en-US" w:eastAsia="zh-CN"/>
        </w:rPr>
        <w:t>1、</w:t>
      </w:r>
      <w:r>
        <w:rPr>
          <w:rFonts w:hint="eastAsia"/>
          <w:color w:val="auto"/>
        </w:rPr>
        <w:t>截洪沟</w:t>
      </w:r>
    </w:p>
    <w:p w14:paraId="17465620">
      <w:pPr>
        <w:bidi w:val="0"/>
        <w:rPr>
          <w:rFonts w:hint="eastAsia"/>
          <w:color w:val="auto"/>
        </w:rPr>
      </w:pPr>
      <w:r>
        <w:rPr>
          <w:rFonts w:hint="eastAsia"/>
          <w:color w:val="auto"/>
        </w:rPr>
        <w:t>矿区位于山顶及山脊，场外汇水较少，可通过自然地形或冲沟排出场外，本次设计将不设置截洪沟。</w:t>
      </w:r>
    </w:p>
    <w:p w14:paraId="72B53743">
      <w:pPr>
        <w:bidi w:val="0"/>
        <w:rPr>
          <w:rFonts w:hint="eastAsia"/>
          <w:color w:val="auto"/>
        </w:rPr>
      </w:pPr>
      <w:r>
        <w:rPr>
          <w:rFonts w:hint="eastAsia"/>
          <w:color w:val="auto"/>
          <w:lang w:val="en-US" w:eastAsia="zh-CN"/>
        </w:rPr>
        <w:t>2、</w:t>
      </w:r>
      <w:r>
        <w:rPr>
          <w:rFonts w:hint="eastAsia"/>
          <w:color w:val="auto"/>
        </w:rPr>
        <w:t>平台排水沟</w:t>
      </w:r>
    </w:p>
    <w:p w14:paraId="048E6186">
      <w:pPr>
        <w:bidi w:val="0"/>
        <w:rPr>
          <w:rFonts w:hint="eastAsia"/>
          <w:color w:val="auto"/>
        </w:rPr>
      </w:pPr>
      <w:r>
        <w:rPr>
          <w:rFonts w:hint="eastAsia"/>
          <w:color w:val="auto"/>
        </w:rPr>
        <w:t>设计在采场2020m</w:t>
      </w:r>
      <w:r>
        <w:rPr>
          <w:rFonts w:hint="eastAsia"/>
          <w:color w:val="auto"/>
          <w:lang w:eastAsia="zh-CN"/>
        </w:rPr>
        <w:t>、</w:t>
      </w:r>
      <w:r>
        <w:rPr>
          <w:rFonts w:hint="eastAsia"/>
          <w:color w:val="auto"/>
        </w:rPr>
        <w:t>1975m</w:t>
      </w:r>
      <w:r>
        <w:rPr>
          <w:rFonts w:hint="eastAsia"/>
          <w:color w:val="auto"/>
          <w:lang w:eastAsia="zh-CN"/>
        </w:rPr>
        <w:t>、</w:t>
      </w:r>
      <w:r>
        <w:rPr>
          <w:rFonts w:hint="eastAsia"/>
          <w:color w:val="auto"/>
        </w:rPr>
        <w:t>1960m平台设置台阶排水沟。</w:t>
      </w:r>
    </w:p>
    <w:p w14:paraId="32A3788D">
      <w:pPr>
        <w:bidi w:val="0"/>
        <w:rPr>
          <w:rFonts w:hint="eastAsia"/>
          <w:color w:val="auto"/>
        </w:rPr>
      </w:pPr>
      <w:r>
        <w:rPr>
          <w:rFonts w:hint="eastAsia"/>
          <w:color w:val="auto"/>
        </w:rPr>
        <w:t>根据《防洪标准》（GB50201-2014），该矿山为中型露天矿山，设计排水沟重现期按20a考虑，设计频率为P=5%。</w:t>
      </w:r>
    </w:p>
    <w:p w14:paraId="5D82C891">
      <w:pPr>
        <w:bidi w:val="0"/>
        <w:rPr>
          <w:rFonts w:hint="eastAsia"/>
          <w:color w:val="auto"/>
        </w:rPr>
      </w:pPr>
      <w:r>
        <w:rPr>
          <w:rFonts w:hint="eastAsia"/>
          <w:color w:val="auto"/>
        </w:rPr>
        <w:t>根据《云南省暴雨洪水查算实用手册92年》，矿山历年日最大降雨量均值按60mm考虑，历年最大24h暴雨量均值（</w:t>
      </w:r>
      <w:r>
        <w:rPr>
          <w:color w:val="auto"/>
        </w:rPr>
        <w:drawing>
          <wp:inline distT="0" distB="0" distL="0" distR="0">
            <wp:extent cx="279400" cy="254000"/>
            <wp:effectExtent l="0" t="0" r="6350" b="13970"/>
            <wp:docPr id="191910375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103756" name="图片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79400" cy="254000"/>
                    </a:xfrm>
                    <a:prstGeom prst="rect">
                      <a:avLst/>
                    </a:prstGeom>
                    <a:noFill/>
                    <a:ln>
                      <a:noFill/>
                    </a:ln>
                  </pic:spPr>
                </pic:pic>
              </a:graphicData>
            </a:graphic>
          </wp:inline>
        </w:drawing>
      </w:r>
      <w:r>
        <w:rPr>
          <w:rFonts w:hint="eastAsia"/>
          <w:color w:val="auto"/>
        </w:rPr>
        <w:t>）比历年日最大降雨量均值大10%左右。</w:t>
      </w:r>
    </w:p>
    <w:p w14:paraId="7C22BD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rPr>
      </w:pPr>
      <w:r>
        <w:rPr>
          <w:rFonts w:hint="eastAsia"/>
          <w:color w:val="auto"/>
        </w:rPr>
        <w:t>因此历年最大24h暴雨量均值</w:t>
      </w:r>
      <w:r>
        <w:rPr>
          <w:rFonts w:cs="Times New Roman"/>
          <w:color w:val="auto"/>
        </w:rPr>
        <w:drawing>
          <wp:inline distT="0" distB="0" distL="0" distR="0">
            <wp:extent cx="279400" cy="254000"/>
            <wp:effectExtent l="0" t="0" r="6350" b="13970"/>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79400" cy="254000"/>
                    </a:xfrm>
                    <a:prstGeom prst="rect">
                      <a:avLst/>
                    </a:prstGeom>
                    <a:noFill/>
                    <a:ln>
                      <a:noFill/>
                    </a:ln>
                  </pic:spPr>
                </pic:pic>
              </a:graphicData>
            </a:graphic>
          </wp:inline>
        </w:drawing>
      </w:r>
      <w:r>
        <w:rPr>
          <w:rFonts w:hint="eastAsia"/>
          <w:color w:val="auto"/>
        </w:rPr>
        <w:t>=60×1.1=66mm。</w:t>
      </w:r>
    </w:p>
    <w:p w14:paraId="48C1BDEB">
      <w:pPr>
        <w:bidi w:val="0"/>
        <w:rPr>
          <w:rFonts w:hint="eastAsia"/>
          <w:color w:val="auto"/>
        </w:rPr>
      </w:pPr>
      <w:r>
        <w:rPr>
          <w:rFonts w:hint="eastAsia"/>
          <w:color w:val="auto"/>
        </w:rPr>
        <w:t>设计暴雨频率为P=5%，降雨变差系数取C</w:t>
      </w:r>
      <w:r>
        <w:rPr>
          <w:rFonts w:hint="eastAsia"/>
          <w:color w:val="auto"/>
          <w:vertAlign w:val="subscript"/>
        </w:rPr>
        <w:t>v</w:t>
      </w:r>
      <w:r>
        <w:rPr>
          <w:rFonts w:hint="eastAsia"/>
          <w:color w:val="auto"/>
        </w:rPr>
        <w:t>＝0.45，偏差系数C</w:t>
      </w:r>
      <w:r>
        <w:rPr>
          <w:rFonts w:hint="eastAsia"/>
          <w:color w:val="auto"/>
          <w:vertAlign w:val="subscript"/>
        </w:rPr>
        <w:t>S</w:t>
      </w:r>
      <w:r>
        <w:rPr>
          <w:rFonts w:hint="eastAsia"/>
          <w:color w:val="auto"/>
        </w:rPr>
        <w:t>＝3.5Cv，根据C</w:t>
      </w:r>
      <w:r>
        <w:rPr>
          <w:rFonts w:hint="eastAsia"/>
          <w:color w:val="auto"/>
          <w:vertAlign w:val="subscript"/>
        </w:rPr>
        <w:t>S</w:t>
      </w:r>
      <w:r>
        <w:rPr>
          <w:rFonts w:hint="eastAsia"/>
          <w:color w:val="auto"/>
        </w:rPr>
        <w:t>与C</w:t>
      </w:r>
      <w:r>
        <w:rPr>
          <w:rFonts w:hint="eastAsia"/>
          <w:color w:val="auto"/>
          <w:vertAlign w:val="subscript"/>
        </w:rPr>
        <w:t>v</w:t>
      </w:r>
      <w:r>
        <w:rPr>
          <w:rFonts w:hint="eastAsia"/>
          <w:color w:val="auto"/>
        </w:rPr>
        <w:t>的关系查皮尔逊Ⅲ型曲线值表，可得模比系数为K</w:t>
      </w:r>
      <w:r>
        <w:rPr>
          <w:rFonts w:hint="eastAsia"/>
          <w:color w:val="auto"/>
          <w:vertAlign w:val="subscript"/>
        </w:rPr>
        <w:t>p</w:t>
      </w:r>
      <w:r>
        <w:rPr>
          <w:rFonts w:hint="eastAsia"/>
          <w:color w:val="auto"/>
        </w:rPr>
        <w:t>=1.88。</w:t>
      </w:r>
    </w:p>
    <w:p w14:paraId="50D757C7">
      <w:pPr>
        <w:bidi w:val="0"/>
        <w:rPr>
          <w:rFonts w:hint="eastAsia"/>
          <w:color w:val="auto"/>
        </w:rPr>
      </w:pPr>
      <w:r>
        <w:rPr>
          <w:rFonts w:hint="eastAsia"/>
          <w:color w:val="auto"/>
        </w:rPr>
        <w:t>经计算设计频率24h暴雨量：</w:t>
      </w:r>
    </w:p>
    <w:p w14:paraId="0FAF8C69">
      <w:pPr>
        <w:bidi w:val="0"/>
        <w:rPr>
          <w:rFonts w:hint="eastAsia"/>
          <w:color w:val="auto"/>
        </w:rPr>
      </w:pPr>
      <w:r>
        <w:rPr>
          <w:rFonts w:hint="eastAsia"/>
          <w:color w:val="auto"/>
        </w:rPr>
        <w:t>H24P=Kp×</w:t>
      </w:r>
      <w:r>
        <w:rPr>
          <w:rFonts w:cs="Times New Roman"/>
          <w:color w:val="auto"/>
        </w:rPr>
        <w:drawing>
          <wp:inline distT="0" distB="0" distL="0" distR="0">
            <wp:extent cx="279400" cy="254000"/>
            <wp:effectExtent l="0" t="0" r="6350" b="1397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79400" cy="254000"/>
                    </a:xfrm>
                    <a:prstGeom prst="rect">
                      <a:avLst/>
                    </a:prstGeom>
                    <a:noFill/>
                    <a:ln>
                      <a:noFill/>
                    </a:ln>
                  </pic:spPr>
                </pic:pic>
              </a:graphicData>
            </a:graphic>
          </wp:inline>
        </w:drawing>
      </w:r>
      <w:r>
        <w:rPr>
          <w:rFonts w:hint="eastAsia"/>
          <w:color w:val="auto"/>
        </w:rPr>
        <w:t>=1.88×66=124.08mm。</w:t>
      </w:r>
    </w:p>
    <w:p w14:paraId="51B91763">
      <w:pPr>
        <w:bidi w:val="0"/>
        <w:rPr>
          <w:rFonts w:hint="eastAsia"/>
          <w:color w:val="auto"/>
        </w:rPr>
      </w:pPr>
      <w:r>
        <w:rPr>
          <w:rFonts w:hint="eastAsia"/>
          <w:color w:val="auto"/>
        </w:rPr>
        <w:t>暴雨递减系数n＝0.7，经计算：Sp=H</w:t>
      </w:r>
      <w:r>
        <w:rPr>
          <w:rFonts w:hint="eastAsia"/>
          <w:color w:val="auto"/>
          <w:vertAlign w:val="subscript"/>
        </w:rPr>
        <w:t>24P</w:t>
      </w:r>
      <w:r>
        <w:rPr>
          <w:rFonts w:hint="eastAsia"/>
          <w:color w:val="auto"/>
        </w:rPr>
        <w:t>/24</w:t>
      </w:r>
      <w:r>
        <w:rPr>
          <w:rFonts w:hint="eastAsia"/>
          <w:color w:val="auto"/>
          <w:vertAlign w:val="superscript"/>
        </w:rPr>
        <w:t>（1-n）</w:t>
      </w:r>
      <w:r>
        <w:rPr>
          <w:rFonts w:hint="eastAsia"/>
          <w:color w:val="auto"/>
        </w:rPr>
        <w:t>=47.82mm/h；地表径流系数取0.7。</w:t>
      </w:r>
    </w:p>
    <w:p w14:paraId="4B9DA048">
      <w:pPr>
        <w:bidi w:val="0"/>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洪峰流量</w:t>
      </w:r>
    </w:p>
    <w:p w14:paraId="632CD25F">
      <w:pPr>
        <w:bidi w:val="0"/>
        <w:rPr>
          <w:rFonts w:hint="eastAsia"/>
          <w:color w:val="auto"/>
        </w:rPr>
      </w:pPr>
      <w:r>
        <w:rPr>
          <w:rFonts w:hint="eastAsia"/>
          <w:color w:val="auto"/>
        </w:rPr>
        <w:t>洪峰流量经验计算公式为：</w:t>
      </w:r>
    </w:p>
    <w:p w14:paraId="2F095CB6">
      <w:pPr>
        <w:bidi w:val="0"/>
        <w:rPr>
          <w:rFonts w:hint="eastAsia"/>
          <w:color w:val="auto"/>
        </w:rPr>
      </w:pPr>
      <w:r>
        <w:rPr>
          <w:rFonts w:hint="eastAsia"/>
          <w:color w:val="auto"/>
        </w:rPr>
        <w:t>Q</w:t>
      </w:r>
      <w:r>
        <w:rPr>
          <w:rFonts w:hint="eastAsia"/>
          <w:color w:val="auto"/>
          <w:vertAlign w:val="subscript"/>
        </w:rPr>
        <w:t>m</w:t>
      </w:r>
      <w:r>
        <w:rPr>
          <w:rFonts w:hint="eastAsia"/>
          <w:color w:val="auto"/>
        </w:rPr>
        <w:t>=φ×S</w:t>
      </w:r>
      <w:r>
        <w:rPr>
          <w:rFonts w:hint="eastAsia"/>
          <w:color w:val="auto"/>
          <w:vertAlign w:val="subscript"/>
        </w:rPr>
        <w:t>p</w:t>
      </w:r>
      <w:r>
        <w:rPr>
          <w:rFonts w:hint="eastAsia"/>
          <w:color w:val="auto"/>
        </w:rPr>
        <w:t>×F</w:t>
      </w:r>
    </w:p>
    <w:p w14:paraId="228F42DB">
      <w:pPr>
        <w:bidi w:val="0"/>
        <w:rPr>
          <w:rFonts w:hint="eastAsia"/>
          <w:color w:val="auto"/>
        </w:rPr>
      </w:pPr>
      <w:r>
        <w:rPr>
          <w:rFonts w:hint="eastAsia"/>
          <w:color w:val="auto"/>
        </w:rPr>
        <w:t>式中：</w:t>
      </w:r>
    </w:p>
    <w:p w14:paraId="744B414B">
      <w:pPr>
        <w:bidi w:val="0"/>
        <w:rPr>
          <w:rFonts w:hint="eastAsia"/>
          <w:color w:val="auto"/>
        </w:rPr>
      </w:pPr>
      <w:r>
        <w:rPr>
          <w:rFonts w:hint="eastAsia"/>
          <w:color w:val="auto"/>
        </w:rPr>
        <w:t>Q</w:t>
      </w:r>
      <w:r>
        <w:rPr>
          <w:rFonts w:hint="eastAsia"/>
          <w:color w:val="auto"/>
          <w:vertAlign w:val="subscript"/>
        </w:rPr>
        <w:t>m</w:t>
      </w:r>
      <w:r>
        <w:rPr>
          <w:rFonts w:hint="eastAsia"/>
          <w:color w:val="auto"/>
        </w:rPr>
        <w:t>-设计频率为P的洪峰流量，m</w:t>
      </w:r>
      <w:r>
        <w:rPr>
          <w:rFonts w:hint="eastAsia"/>
          <w:color w:val="auto"/>
          <w:vertAlign w:val="superscript"/>
        </w:rPr>
        <w:t>3</w:t>
      </w:r>
      <w:r>
        <w:rPr>
          <w:rFonts w:hint="eastAsia"/>
          <w:color w:val="auto"/>
        </w:rPr>
        <w:t>/s；</w:t>
      </w:r>
    </w:p>
    <w:p w14:paraId="103BE525">
      <w:pPr>
        <w:bidi w:val="0"/>
        <w:rPr>
          <w:rFonts w:hint="eastAsia"/>
          <w:color w:val="auto"/>
        </w:rPr>
      </w:pPr>
      <w:r>
        <w:rPr>
          <w:rFonts w:hint="eastAsia"/>
          <w:color w:val="auto"/>
        </w:rPr>
        <w:t>S</w:t>
      </w:r>
      <w:r>
        <w:rPr>
          <w:rFonts w:hint="eastAsia"/>
          <w:color w:val="auto"/>
          <w:vertAlign w:val="subscript"/>
        </w:rPr>
        <w:t>p</w:t>
      </w:r>
      <w:r>
        <w:rPr>
          <w:rFonts w:hint="eastAsia"/>
          <w:color w:val="auto"/>
        </w:rPr>
        <w:t>-设计频率P雨力，mm/h；</w:t>
      </w:r>
    </w:p>
    <w:p w14:paraId="17E04BA7">
      <w:pPr>
        <w:bidi w:val="0"/>
        <w:rPr>
          <w:rFonts w:hint="eastAsia"/>
          <w:color w:val="auto"/>
        </w:rPr>
      </w:pPr>
      <w:r>
        <w:rPr>
          <w:rFonts w:hint="eastAsia"/>
          <w:color w:val="auto"/>
        </w:rPr>
        <w:t>F-排水沟汇水面积，km</w:t>
      </w:r>
      <w:r>
        <w:rPr>
          <w:rFonts w:hint="eastAsia"/>
          <w:color w:val="auto"/>
          <w:vertAlign w:val="superscript"/>
        </w:rPr>
        <w:t>2</w:t>
      </w:r>
      <w:r>
        <w:rPr>
          <w:rFonts w:hint="eastAsia"/>
          <w:color w:val="auto"/>
        </w:rPr>
        <w:t>；</w:t>
      </w:r>
    </w:p>
    <w:p w14:paraId="1F2E48C1">
      <w:pPr>
        <w:bidi w:val="0"/>
        <w:rPr>
          <w:rFonts w:hint="eastAsia"/>
          <w:color w:val="auto"/>
        </w:rPr>
      </w:pPr>
      <w:r>
        <w:rPr>
          <w:rFonts w:hint="eastAsia"/>
          <w:color w:val="auto"/>
        </w:rPr>
        <w:t>φ-地表径流系数。</w:t>
      </w:r>
    </w:p>
    <w:p w14:paraId="448BAF75">
      <w:pPr>
        <w:bidi w:val="0"/>
        <w:rPr>
          <w:rFonts w:hint="eastAsia"/>
          <w:color w:val="auto"/>
        </w:rPr>
      </w:pPr>
      <w:r>
        <w:rPr>
          <w:rFonts w:hint="eastAsia"/>
          <w:color w:val="auto"/>
        </w:rPr>
        <w:t>各段排水沟洪峰流量计算结果见</w:t>
      </w:r>
      <w:r>
        <w:rPr>
          <w:rFonts w:hint="eastAsia"/>
          <w:color w:val="auto"/>
          <w:lang w:val="en-US" w:eastAsia="zh-CN"/>
        </w:rPr>
        <w:t>下</w:t>
      </w:r>
      <w:r>
        <w:rPr>
          <w:rFonts w:hint="eastAsia"/>
          <w:color w:val="auto"/>
        </w:rPr>
        <w:t>表。</w:t>
      </w:r>
    </w:p>
    <w:p w14:paraId="570B6895">
      <w:pPr>
        <w:pStyle w:val="16"/>
        <w:bidi w:val="0"/>
        <w:rPr>
          <w:rFonts w:hint="eastAsia"/>
          <w:color w:val="auto"/>
        </w:rPr>
      </w:pPr>
      <w:r>
        <w:rPr>
          <w:rFonts w:hint="eastAsia"/>
          <w:color w:val="auto"/>
        </w:rPr>
        <w:t>表</w:t>
      </w:r>
      <w:r>
        <w:rPr>
          <w:rFonts w:hint="eastAsia"/>
          <w:color w:val="auto"/>
          <w:lang w:val="en-US" w:eastAsia="zh-CN"/>
        </w:rPr>
        <w:t xml:space="preserve">3.5-3  </w:t>
      </w:r>
      <w:r>
        <w:rPr>
          <w:rFonts w:hint="eastAsia"/>
          <w:color w:val="auto"/>
        </w:rPr>
        <w:t>各台阶排水沟洪峰流量计算结果</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788"/>
        <w:gridCol w:w="1451"/>
        <w:gridCol w:w="2667"/>
        <w:gridCol w:w="1140"/>
        <w:gridCol w:w="1741"/>
      </w:tblGrid>
      <w:tr w14:paraId="5FF7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8" w:type="pct"/>
            <w:vMerge w:val="restart"/>
            <w:noWrap/>
            <w:vAlign w:val="center"/>
          </w:tcPr>
          <w:p w14:paraId="489A07CF">
            <w:pPr>
              <w:pStyle w:val="17"/>
              <w:bidi w:val="0"/>
              <w:rPr>
                <w:b/>
                <w:bCs/>
                <w:color w:val="auto"/>
                <w:lang w:val="en-US" w:eastAsia="zh-CN"/>
              </w:rPr>
            </w:pPr>
            <w:bookmarkStart w:id="197" w:name="_Hlk169974659"/>
            <w:r>
              <w:rPr>
                <w:b/>
                <w:bCs/>
                <w:color w:val="auto"/>
                <w:lang w:val="en-US" w:eastAsia="zh-CN"/>
              </w:rPr>
              <w:t>排水沟编号</w:t>
            </w:r>
          </w:p>
        </w:tc>
        <w:tc>
          <w:tcPr>
            <w:tcW w:w="419" w:type="pct"/>
            <w:vAlign w:val="center"/>
          </w:tcPr>
          <w:p w14:paraId="582A6A7D">
            <w:pPr>
              <w:pStyle w:val="17"/>
              <w:bidi w:val="0"/>
              <w:rPr>
                <w:b/>
                <w:bCs/>
                <w:color w:val="auto"/>
                <w:lang w:val="en-US" w:eastAsia="zh-CN"/>
              </w:rPr>
            </w:pPr>
            <w:r>
              <w:rPr>
                <w:b/>
                <w:bCs/>
                <w:color w:val="auto"/>
                <w:lang w:val="en-US" w:eastAsia="zh-CN"/>
              </w:rPr>
              <w:t>长度</w:t>
            </w:r>
          </w:p>
        </w:tc>
        <w:tc>
          <w:tcPr>
            <w:tcW w:w="771" w:type="pct"/>
            <w:vAlign w:val="center"/>
          </w:tcPr>
          <w:p w14:paraId="6E441287">
            <w:pPr>
              <w:pStyle w:val="17"/>
              <w:bidi w:val="0"/>
              <w:rPr>
                <w:b/>
                <w:bCs/>
                <w:color w:val="auto"/>
                <w:lang w:val="en-US" w:eastAsia="zh-CN"/>
              </w:rPr>
            </w:pPr>
            <w:r>
              <w:rPr>
                <w:b/>
                <w:bCs/>
                <w:color w:val="auto"/>
                <w:lang w:val="en-US" w:eastAsia="zh-CN"/>
              </w:rPr>
              <w:t>最大汇水面积</w:t>
            </w:r>
          </w:p>
        </w:tc>
        <w:tc>
          <w:tcPr>
            <w:tcW w:w="1417" w:type="pct"/>
            <w:vAlign w:val="center"/>
          </w:tcPr>
          <w:p w14:paraId="4487AC12">
            <w:pPr>
              <w:pStyle w:val="17"/>
              <w:bidi w:val="0"/>
              <w:rPr>
                <w:b/>
                <w:bCs/>
                <w:color w:val="auto"/>
                <w:lang w:val="en-US" w:eastAsia="zh-CN"/>
              </w:rPr>
            </w:pPr>
            <w:r>
              <w:rPr>
                <w:b/>
                <w:bCs/>
                <w:color w:val="auto"/>
                <w:lang w:val="en-US" w:eastAsia="zh-CN"/>
              </w:rPr>
              <w:t>设计频率（P=5%）雨力（mm/h）</w:t>
            </w:r>
          </w:p>
        </w:tc>
        <w:tc>
          <w:tcPr>
            <w:tcW w:w="606" w:type="pct"/>
            <w:vAlign w:val="center"/>
          </w:tcPr>
          <w:p w14:paraId="23E0FF17">
            <w:pPr>
              <w:pStyle w:val="17"/>
              <w:bidi w:val="0"/>
              <w:rPr>
                <w:b/>
                <w:bCs/>
                <w:color w:val="auto"/>
                <w:lang w:val="en-US" w:eastAsia="zh-CN"/>
              </w:rPr>
            </w:pPr>
            <w:r>
              <w:rPr>
                <w:b/>
                <w:bCs/>
                <w:color w:val="auto"/>
                <w:lang w:val="en-US" w:eastAsia="zh-CN"/>
              </w:rPr>
              <w:t>地表径流系数</w:t>
            </w:r>
          </w:p>
        </w:tc>
        <w:tc>
          <w:tcPr>
            <w:tcW w:w="925" w:type="pct"/>
            <w:vAlign w:val="center"/>
          </w:tcPr>
          <w:p w14:paraId="09A6D2F3">
            <w:pPr>
              <w:pStyle w:val="17"/>
              <w:bidi w:val="0"/>
              <w:rPr>
                <w:b/>
                <w:bCs/>
                <w:color w:val="auto"/>
                <w:lang w:val="en-US" w:eastAsia="zh-CN"/>
              </w:rPr>
            </w:pPr>
            <w:r>
              <w:rPr>
                <w:b/>
                <w:bCs/>
                <w:color w:val="auto"/>
                <w:lang w:val="en-US" w:eastAsia="zh-CN"/>
              </w:rPr>
              <w:t>洪峰流量（m</w:t>
            </w:r>
            <w:r>
              <w:rPr>
                <w:b/>
                <w:bCs/>
                <w:color w:val="auto"/>
                <w:vertAlign w:val="superscript"/>
                <w:lang w:val="en-US" w:eastAsia="zh-CN"/>
              </w:rPr>
              <w:t>3</w:t>
            </w:r>
            <w:r>
              <w:rPr>
                <w:b/>
                <w:bCs/>
                <w:color w:val="auto"/>
                <w:lang w:val="en-US" w:eastAsia="zh-CN"/>
              </w:rPr>
              <w:t>/s）</w:t>
            </w:r>
          </w:p>
        </w:tc>
      </w:tr>
      <w:tr w14:paraId="2F6C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8" w:type="pct"/>
            <w:vMerge w:val="continue"/>
            <w:vAlign w:val="center"/>
          </w:tcPr>
          <w:p w14:paraId="331A545A">
            <w:pPr>
              <w:pStyle w:val="17"/>
              <w:bidi w:val="0"/>
              <w:rPr>
                <w:b/>
                <w:bCs/>
                <w:color w:val="auto"/>
                <w:lang w:val="en-US" w:eastAsia="zh-CN"/>
              </w:rPr>
            </w:pPr>
          </w:p>
        </w:tc>
        <w:tc>
          <w:tcPr>
            <w:tcW w:w="419" w:type="pct"/>
            <w:noWrap/>
            <w:vAlign w:val="center"/>
          </w:tcPr>
          <w:p w14:paraId="1422DB23">
            <w:pPr>
              <w:pStyle w:val="17"/>
              <w:bidi w:val="0"/>
              <w:rPr>
                <w:b/>
                <w:bCs/>
                <w:color w:val="auto"/>
                <w:lang w:val="en-US" w:eastAsia="zh-CN"/>
              </w:rPr>
            </w:pPr>
            <w:r>
              <w:rPr>
                <w:b/>
                <w:bCs/>
                <w:color w:val="auto"/>
                <w:lang w:val="en-US" w:eastAsia="zh-CN"/>
              </w:rPr>
              <w:t>m</w:t>
            </w:r>
          </w:p>
        </w:tc>
        <w:tc>
          <w:tcPr>
            <w:tcW w:w="771" w:type="pct"/>
            <w:noWrap/>
            <w:vAlign w:val="center"/>
          </w:tcPr>
          <w:p w14:paraId="183D8A69">
            <w:pPr>
              <w:pStyle w:val="17"/>
              <w:bidi w:val="0"/>
              <w:rPr>
                <w:b/>
                <w:bCs/>
                <w:color w:val="auto"/>
                <w:lang w:val="en-US" w:eastAsia="zh-CN"/>
              </w:rPr>
            </w:pPr>
            <w:r>
              <w:rPr>
                <w:b/>
                <w:bCs/>
                <w:color w:val="auto"/>
                <w:lang w:val="en-US" w:eastAsia="zh-CN"/>
              </w:rPr>
              <w:t>km</w:t>
            </w:r>
            <w:r>
              <w:rPr>
                <w:b/>
                <w:bCs/>
                <w:color w:val="auto"/>
                <w:vertAlign w:val="superscript"/>
                <w:lang w:val="en-US" w:eastAsia="zh-CN"/>
              </w:rPr>
              <w:t>2</w:t>
            </w:r>
          </w:p>
        </w:tc>
        <w:tc>
          <w:tcPr>
            <w:tcW w:w="1417" w:type="pct"/>
            <w:noWrap/>
            <w:vAlign w:val="center"/>
          </w:tcPr>
          <w:p w14:paraId="0BF39692">
            <w:pPr>
              <w:pStyle w:val="17"/>
              <w:bidi w:val="0"/>
              <w:rPr>
                <w:b/>
                <w:bCs/>
                <w:color w:val="auto"/>
                <w:lang w:val="en-US" w:eastAsia="zh-CN"/>
              </w:rPr>
            </w:pPr>
            <w:r>
              <w:rPr>
                <w:b/>
                <w:bCs/>
                <w:color w:val="auto"/>
                <w:lang w:val="en-US" w:eastAsia="zh-CN"/>
              </w:rPr>
              <w:t>Sp</w:t>
            </w:r>
          </w:p>
        </w:tc>
        <w:tc>
          <w:tcPr>
            <w:tcW w:w="606" w:type="pct"/>
            <w:noWrap/>
            <w:vAlign w:val="center"/>
          </w:tcPr>
          <w:p w14:paraId="1AE409E7">
            <w:pPr>
              <w:pStyle w:val="17"/>
              <w:bidi w:val="0"/>
              <w:rPr>
                <w:b/>
                <w:bCs/>
                <w:color w:val="auto"/>
                <w:lang w:val="en-US" w:eastAsia="zh-CN"/>
              </w:rPr>
            </w:pPr>
            <w:r>
              <w:rPr>
                <w:b/>
                <w:bCs/>
                <w:color w:val="auto"/>
                <w:lang w:val="en-US" w:eastAsia="zh-CN"/>
              </w:rPr>
              <w:t>φ</w:t>
            </w:r>
          </w:p>
        </w:tc>
        <w:tc>
          <w:tcPr>
            <w:tcW w:w="925" w:type="pct"/>
            <w:noWrap/>
            <w:vAlign w:val="center"/>
          </w:tcPr>
          <w:p w14:paraId="395C9280">
            <w:pPr>
              <w:pStyle w:val="17"/>
              <w:bidi w:val="0"/>
              <w:rPr>
                <w:b/>
                <w:bCs/>
                <w:color w:val="auto"/>
                <w:lang w:val="en-US" w:eastAsia="zh-CN"/>
              </w:rPr>
            </w:pPr>
            <w:r>
              <w:rPr>
                <w:b/>
                <w:bCs/>
                <w:color w:val="auto"/>
                <w:lang w:val="en-US" w:eastAsia="zh-CN"/>
              </w:rPr>
              <w:t>Qm</w:t>
            </w:r>
          </w:p>
        </w:tc>
      </w:tr>
      <w:tr w14:paraId="25ED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8" w:type="pct"/>
            <w:noWrap/>
            <w:vAlign w:val="center"/>
          </w:tcPr>
          <w:p w14:paraId="029CB0DD">
            <w:pPr>
              <w:pStyle w:val="17"/>
              <w:bidi w:val="0"/>
              <w:rPr>
                <w:color w:val="auto"/>
                <w:lang w:val="en-US" w:eastAsia="zh-CN"/>
              </w:rPr>
            </w:pPr>
            <w:r>
              <w:rPr>
                <w:rFonts w:hint="eastAsia"/>
                <w:color w:val="auto"/>
                <w:lang w:val="en-US" w:eastAsia="zh-CN"/>
              </w:rPr>
              <w:t>2020</w:t>
            </w:r>
            <w:r>
              <w:rPr>
                <w:color w:val="auto"/>
                <w:lang w:val="en-US" w:eastAsia="zh-CN"/>
              </w:rPr>
              <w:t>m平台</w:t>
            </w:r>
          </w:p>
        </w:tc>
        <w:tc>
          <w:tcPr>
            <w:tcW w:w="419" w:type="pct"/>
            <w:noWrap/>
            <w:vAlign w:val="center"/>
          </w:tcPr>
          <w:p w14:paraId="5039C907">
            <w:pPr>
              <w:pStyle w:val="17"/>
              <w:bidi w:val="0"/>
              <w:rPr>
                <w:color w:val="auto"/>
                <w:lang w:val="en-US" w:eastAsia="zh-CN"/>
              </w:rPr>
            </w:pPr>
            <w:r>
              <w:rPr>
                <w:rFonts w:hint="eastAsia"/>
                <w:color w:val="auto"/>
                <w:lang w:val="en-US" w:eastAsia="zh-CN"/>
              </w:rPr>
              <w:t>414</w:t>
            </w:r>
          </w:p>
        </w:tc>
        <w:tc>
          <w:tcPr>
            <w:tcW w:w="771" w:type="pct"/>
            <w:noWrap/>
            <w:vAlign w:val="center"/>
          </w:tcPr>
          <w:p w14:paraId="53E1FAF8">
            <w:pPr>
              <w:pStyle w:val="17"/>
              <w:bidi w:val="0"/>
              <w:rPr>
                <w:color w:val="auto"/>
                <w:lang w:val="en-US" w:eastAsia="zh-CN"/>
              </w:rPr>
            </w:pPr>
            <w:r>
              <w:rPr>
                <w:color w:val="auto"/>
                <w:lang w:val="en-US" w:eastAsia="zh-CN"/>
              </w:rPr>
              <w:t>0.0</w:t>
            </w:r>
            <w:r>
              <w:rPr>
                <w:rFonts w:hint="eastAsia"/>
                <w:color w:val="auto"/>
                <w:lang w:val="en-US" w:eastAsia="zh-CN"/>
              </w:rPr>
              <w:t>187</w:t>
            </w:r>
          </w:p>
        </w:tc>
        <w:tc>
          <w:tcPr>
            <w:tcW w:w="1417" w:type="pct"/>
            <w:noWrap/>
            <w:vAlign w:val="center"/>
          </w:tcPr>
          <w:p w14:paraId="1F65DC61">
            <w:pPr>
              <w:pStyle w:val="17"/>
              <w:bidi w:val="0"/>
              <w:rPr>
                <w:color w:val="auto"/>
                <w:lang w:val="en-US" w:eastAsia="zh-CN"/>
              </w:rPr>
            </w:pPr>
            <w:r>
              <w:rPr>
                <w:rFonts w:hint="eastAsia"/>
                <w:color w:val="auto"/>
                <w:lang w:val="en-US" w:eastAsia="zh-CN"/>
              </w:rPr>
              <w:t>47.82</w:t>
            </w:r>
          </w:p>
        </w:tc>
        <w:tc>
          <w:tcPr>
            <w:tcW w:w="606" w:type="pct"/>
            <w:noWrap/>
            <w:vAlign w:val="center"/>
          </w:tcPr>
          <w:p w14:paraId="21C43860">
            <w:pPr>
              <w:pStyle w:val="17"/>
              <w:bidi w:val="0"/>
              <w:rPr>
                <w:color w:val="auto"/>
                <w:lang w:val="en-US" w:eastAsia="zh-CN"/>
              </w:rPr>
            </w:pPr>
            <w:r>
              <w:rPr>
                <w:color w:val="auto"/>
                <w:lang w:val="en-US" w:eastAsia="zh-CN"/>
              </w:rPr>
              <w:t>0.7</w:t>
            </w:r>
          </w:p>
        </w:tc>
        <w:tc>
          <w:tcPr>
            <w:tcW w:w="925" w:type="pct"/>
            <w:noWrap/>
            <w:vAlign w:val="center"/>
          </w:tcPr>
          <w:p w14:paraId="7FB38B1F">
            <w:pPr>
              <w:pStyle w:val="17"/>
              <w:bidi w:val="0"/>
              <w:rPr>
                <w:color w:val="auto"/>
                <w:lang w:val="en-US" w:eastAsia="zh-CN"/>
              </w:rPr>
            </w:pPr>
            <w:r>
              <w:rPr>
                <w:color w:val="auto"/>
                <w:lang w:val="en-US" w:eastAsia="zh-CN"/>
              </w:rPr>
              <w:t>0.</w:t>
            </w:r>
            <w:r>
              <w:rPr>
                <w:rFonts w:hint="eastAsia"/>
                <w:color w:val="auto"/>
                <w:lang w:val="en-US" w:eastAsia="zh-CN"/>
              </w:rPr>
              <w:t>17</w:t>
            </w:r>
          </w:p>
        </w:tc>
      </w:tr>
      <w:tr w14:paraId="67CB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8" w:type="pct"/>
            <w:noWrap/>
            <w:vAlign w:val="center"/>
          </w:tcPr>
          <w:p w14:paraId="12F379B5">
            <w:pPr>
              <w:pStyle w:val="17"/>
              <w:bidi w:val="0"/>
              <w:rPr>
                <w:color w:val="auto"/>
                <w:lang w:val="en-US" w:eastAsia="zh-CN"/>
              </w:rPr>
            </w:pPr>
            <w:r>
              <w:rPr>
                <w:rFonts w:hint="eastAsia"/>
                <w:color w:val="auto"/>
                <w:lang w:val="en-US" w:eastAsia="zh-CN"/>
              </w:rPr>
              <w:t>1975</w:t>
            </w:r>
            <w:r>
              <w:rPr>
                <w:color w:val="auto"/>
                <w:lang w:val="en-US" w:eastAsia="zh-CN"/>
              </w:rPr>
              <w:t>m平台</w:t>
            </w:r>
          </w:p>
        </w:tc>
        <w:tc>
          <w:tcPr>
            <w:tcW w:w="419" w:type="pct"/>
            <w:noWrap/>
            <w:vAlign w:val="center"/>
          </w:tcPr>
          <w:p w14:paraId="2190C0F7">
            <w:pPr>
              <w:pStyle w:val="17"/>
              <w:bidi w:val="0"/>
              <w:rPr>
                <w:color w:val="auto"/>
                <w:lang w:val="en-US" w:eastAsia="zh-CN"/>
              </w:rPr>
            </w:pPr>
            <w:r>
              <w:rPr>
                <w:rFonts w:hint="eastAsia"/>
                <w:color w:val="auto"/>
                <w:lang w:val="en-US" w:eastAsia="zh-CN"/>
              </w:rPr>
              <w:t>998</w:t>
            </w:r>
          </w:p>
        </w:tc>
        <w:tc>
          <w:tcPr>
            <w:tcW w:w="771" w:type="pct"/>
            <w:noWrap/>
            <w:vAlign w:val="center"/>
          </w:tcPr>
          <w:p w14:paraId="49477DA6">
            <w:pPr>
              <w:pStyle w:val="17"/>
              <w:bidi w:val="0"/>
              <w:rPr>
                <w:color w:val="auto"/>
                <w:lang w:val="en-US" w:eastAsia="zh-CN"/>
              </w:rPr>
            </w:pPr>
            <w:r>
              <w:rPr>
                <w:color w:val="auto"/>
                <w:lang w:val="en-US" w:eastAsia="zh-CN"/>
              </w:rPr>
              <w:t>0.0</w:t>
            </w:r>
            <w:r>
              <w:rPr>
                <w:rFonts w:hint="eastAsia"/>
                <w:color w:val="auto"/>
                <w:lang w:val="en-US" w:eastAsia="zh-CN"/>
              </w:rPr>
              <w:t>449</w:t>
            </w:r>
          </w:p>
        </w:tc>
        <w:tc>
          <w:tcPr>
            <w:tcW w:w="1417" w:type="pct"/>
            <w:noWrap/>
            <w:vAlign w:val="center"/>
          </w:tcPr>
          <w:p w14:paraId="56AC32CD">
            <w:pPr>
              <w:pStyle w:val="17"/>
              <w:bidi w:val="0"/>
              <w:rPr>
                <w:color w:val="auto"/>
                <w:lang w:val="en-US" w:eastAsia="zh-CN"/>
              </w:rPr>
            </w:pPr>
            <w:r>
              <w:rPr>
                <w:rFonts w:hint="eastAsia"/>
                <w:color w:val="auto"/>
                <w:lang w:val="en-US" w:eastAsia="zh-CN"/>
              </w:rPr>
              <w:t>47.82</w:t>
            </w:r>
          </w:p>
        </w:tc>
        <w:tc>
          <w:tcPr>
            <w:tcW w:w="606" w:type="pct"/>
            <w:noWrap/>
            <w:vAlign w:val="center"/>
          </w:tcPr>
          <w:p w14:paraId="2725D916">
            <w:pPr>
              <w:pStyle w:val="17"/>
              <w:bidi w:val="0"/>
              <w:rPr>
                <w:color w:val="auto"/>
                <w:lang w:val="en-US" w:eastAsia="zh-CN"/>
              </w:rPr>
            </w:pPr>
            <w:r>
              <w:rPr>
                <w:color w:val="auto"/>
                <w:lang w:val="en-US" w:eastAsia="zh-CN"/>
              </w:rPr>
              <w:t>0.7</w:t>
            </w:r>
          </w:p>
        </w:tc>
        <w:tc>
          <w:tcPr>
            <w:tcW w:w="925" w:type="pct"/>
            <w:noWrap/>
            <w:vAlign w:val="center"/>
          </w:tcPr>
          <w:p w14:paraId="7205E912">
            <w:pPr>
              <w:pStyle w:val="17"/>
              <w:bidi w:val="0"/>
              <w:rPr>
                <w:color w:val="auto"/>
                <w:lang w:val="en-US" w:eastAsia="zh-CN"/>
              </w:rPr>
            </w:pPr>
            <w:r>
              <w:rPr>
                <w:rFonts w:hint="eastAsia"/>
                <w:color w:val="auto"/>
                <w:lang w:val="en-US" w:eastAsia="zh-CN"/>
              </w:rPr>
              <w:t>0.42</w:t>
            </w:r>
          </w:p>
        </w:tc>
      </w:tr>
      <w:tr w14:paraId="1B92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8" w:type="pct"/>
            <w:noWrap/>
            <w:vAlign w:val="center"/>
          </w:tcPr>
          <w:p w14:paraId="7D70B719">
            <w:pPr>
              <w:pStyle w:val="17"/>
              <w:bidi w:val="0"/>
              <w:rPr>
                <w:color w:val="auto"/>
                <w:lang w:val="en-US" w:eastAsia="zh-CN"/>
              </w:rPr>
            </w:pPr>
            <w:r>
              <w:rPr>
                <w:rFonts w:hint="eastAsia"/>
                <w:color w:val="auto"/>
                <w:lang w:val="en-US" w:eastAsia="zh-CN"/>
              </w:rPr>
              <w:t>1960</w:t>
            </w:r>
            <w:r>
              <w:rPr>
                <w:color w:val="auto"/>
                <w:lang w:val="en-US" w:eastAsia="zh-CN"/>
              </w:rPr>
              <w:t>m平台</w:t>
            </w:r>
          </w:p>
        </w:tc>
        <w:tc>
          <w:tcPr>
            <w:tcW w:w="419" w:type="pct"/>
            <w:noWrap/>
            <w:vAlign w:val="center"/>
          </w:tcPr>
          <w:p w14:paraId="682D2993">
            <w:pPr>
              <w:pStyle w:val="17"/>
              <w:bidi w:val="0"/>
              <w:rPr>
                <w:color w:val="auto"/>
                <w:lang w:val="en-US" w:eastAsia="zh-CN"/>
              </w:rPr>
            </w:pPr>
            <w:r>
              <w:rPr>
                <w:rFonts w:hint="eastAsia"/>
                <w:color w:val="auto"/>
                <w:lang w:val="en-US" w:eastAsia="zh-CN"/>
              </w:rPr>
              <w:t>1142</w:t>
            </w:r>
          </w:p>
        </w:tc>
        <w:tc>
          <w:tcPr>
            <w:tcW w:w="771" w:type="pct"/>
            <w:noWrap/>
            <w:vAlign w:val="center"/>
          </w:tcPr>
          <w:p w14:paraId="27A0D108">
            <w:pPr>
              <w:pStyle w:val="17"/>
              <w:bidi w:val="0"/>
              <w:rPr>
                <w:color w:val="auto"/>
                <w:lang w:val="en-US" w:eastAsia="zh-CN"/>
              </w:rPr>
            </w:pPr>
            <w:r>
              <w:rPr>
                <w:rFonts w:hint="eastAsia"/>
                <w:color w:val="auto"/>
                <w:lang w:val="en-US" w:eastAsia="zh-CN"/>
              </w:rPr>
              <w:t>0.0532</w:t>
            </w:r>
          </w:p>
        </w:tc>
        <w:tc>
          <w:tcPr>
            <w:tcW w:w="1417" w:type="pct"/>
            <w:noWrap/>
            <w:vAlign w:val="center"/>
          </w:tcPr>
          <w:p w14:paraId="5F7FF792">
            <w:pPr>
              <w:pStyle w:val="17"/>
              <w:bidi w:val="0"/>
              <w:rPr>
                <w:color w:val="auto"/>
                <w:lang w:val="en-US" w:eastAsia="zh-CN"/>
              </w:rPr>
            </w:pPr>
            <w:r>
              <w:rPr>
                <w:rFonts w:hint="eastAsia"/>
                <w:color w:val="auto"/>
                <w:lang w:val="en-US" w:eastAsia="zh-CN"/>
              </w:rPr>
              <w:t>47.82</w:t>
            </w:r>
          </w:p>
        </w:tc>
        <w:tc>
          <w:tcPr>
            <w:tcW w:w="606" w:type="pct"/>
            <w:noWrap/>
            <w:vAlign w:val="center"/>
          </w:tcPr>
          <w:p w14:paraId="4B4989CF">
            <w:pPr>
              <w:pStyle w:val="17"/>
              <w:bidi w:val="0"/>
              <w:rPr>
                <w:color w:val="auto"/>
                <w:lang w:val="en-US" w:eastAsia="zh-CN"/>
              </w:rPr>
            </w:pPr>
            <w:r>
              <w:rPr>
                <w:color w:val="auto"/>
                <w:lang w:val="en-US" w:eastAsia="zh-CN"/>
              </w:rPr>
              <w:t>0.7</w:t>
            </w:r>
          </w:p>
        </w:tc>
        <w:tc>
          <w:tcPr>
            <w:tcW w:w="925" w:type="pct"/>
            <w:noWrap/>
            <w:vAlign w:val="center"/>
          </w:tcPr>
          <w:p w14:paraId="5F38A802">
            <w:pPr>
              <w:pStyle w:val="17"/>
              <w:bidi w:val="0"/>
              <w:rPr>
                <w:color w:val="auto"/>
                <w:lang w:val="en-US" w:eastAsia="zh-CN"/>
              </w:rPr>
            </w:pPr>
            <w:r>
              <w:rPr>
                <w:rFonts w:hint="eastAsia"/>
                <w:color w:val="auto"/>
                <w:lang w:val="en-US" w:eastAsia="zh-CN"/>
              </w:rPr>
              <w:t>0.49</w:t>
            </w:r>
          </w:p>
        </w:tc>
      </w:tr>
      <w:bookmarkEnd w:id="197"/>
    </w:tbl>
    <w:p w14:paraId="507CF15F">
      <w:pPr>
        <w:bidi w:val="0"/>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排水沟断面尺寸</w:t>
      </w:r>
    </w:p>
    <w:p w14:paraId="1DF45B18">
      <w:pPr>
        <w:bidi w:val="0"/>
        <w:rPr>
          <w:rFonts w:hint="eastAsia"/>
          <w:color w:val="auto"/>
        </w:rPr>
      </w:pPr>
      <w:r>
        <w:rPr>
          <w:rFonts w:hint="eastAsia"/>
          <w:color w:val="auto"/>
        </w:rPr>
        <w:t>设计采场清扫平台排水沟采用矩形断面，水力坡降i=3‰，水沟粗糙系数n=0.015。排水沟断面尺寸计算结果详见</w:t>
      </w:r>
      <w:r>
        <w:rPr>
          <w:rFonts w:hint="eastAsia"/>
          <w:color w:val="auto"/>
          <w:lang w:val="en-US" w:eastAsia="zh-CN"/>
        </w:rPr>
        <w:t>下</w:t>
      </w:r>
      <w:r>
        <w:rPr>
          <w:rFonts w:hint="eastAsia"/>
          <w:color w:val="auto"/>
        </w:rPr>
        <w:t>表。</w:t>
      </w:r>
    </w:p>
    <w:p w14:paraId="5AB8A1CF">
      <w:pPr>
        <w:pStyle w:val="16"/>
        <w:bidi w:val="0"/>
        <w:rPr>
          <w:rFonts w:hint="eastAsia"/>
          <w:color w:val="auto"/>
        </w:rPr>
      </w:pPr>
      <w:r>
        <w:rPr>
          <w:rFonts w:hint="eastAsia"/>
          <w:color w:val="auto"/>
        </w:rPr>
        <w:t>表</w:t>
      </w:r>
      <w:r>
        <w:rPr>
          <w:rFonts w:hint="eastAsia"/>
          <w:color w:val="auto"/>
          <w:lang w:val="en-US" w:eastAsia="zh-CN"/>
        </w:rPr>
        <w:t xml:space="preserve">3.5-4  </w:t>
      </w:r>
      <w:r>
        <w:rPr>
          <w:rFonts w:hint="eastAsia"/>
          <w:color w:val="auto"/>
        </w:rPr>
        <w:t>各台阶排水沟断面尺寸</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2115"/>
        <w:gridCol w:w="693"/>
        <w:gridCol w:w="583"/>
        <w:gridCol w:w="732"/>
        <w:gridCol w:w="732"/>
        <w:gridCol w:w="732"/>
        <w:gridCol w:w="3231"/>
      </w:tblGrid>
      <w:tr w14:paraId="4B30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233B044E">
            <w:pPr>
              <w:pStyle w:val="17"/>
              <w:bidi w:val="0"/>
              <w:rPr>
                <w:b/>
                <w:bCs/>
                <w:color w:val="auto"/>
                <w:lang w:val="en-US" w:eastAsia="zh-CN"/>
              </w:rPr>
            </w:pPr>
            <w:r>
              <w:rPr>
                <w:b/>
                <w:bCs/>
                <w:color w:val="auto"/>
                <w:lang w:val="en-US" w:eastAsia="zh-CN"/>
              </w:rPr>
              <w:t>序号</w:t>
            </w:r>
          </w:p>
        </w:tc>
        <w:tc>
          <w:tcPr>
            <w:tcW w:w="1124" w:type="pct"/>
            <w:noWrap/>
            <w:vAlign w:val="center"/>
          </w:tcPr>
          <w:p w14:paraId="2A20F57C">
            <w:pPr>
              <w:pStyle w:val="17"/>
              <w:bidi w:val="0"/>
              <w:rPr>
                <w:b/>
                <w:bCs/>
                <w:color w:val="auto"/>
                <w:lang w:val="en-US" w:eastAsia="zh-CN"/>
              </w:rPr>
            </w:pPr>
            <w:r>
              <w:rPr>
                <w:b/>
                <w:bCs/>
                <w:color w:val="auto"/>
                <w:lang w:val="en-US" w:eastAsia="zh-CN"/>
              </w:rPr>
              <w:t>名称</w:t>
            </w:r>
          </w:p>
        </w:tc>
        <w:tc>
          <w:tcPr>
            <w:tcW w:w="368" w:type="pct"/>
            <w:noWrap/>
            <w:vAlign w:val="center"/>
          </w:tcPr>
          <w:p w14:paraId="4D766505">
            <w:pPr>
              <w:pStyle w:val="17"/>
              <w:bidi w:val="0"/>
              <w:rPr>
                <w:b/>
                <w:bCs/>
                <w:color w:val="auto"/>
                <w:lang w:val="en-US" w:eastAsia="zh-CN"/>
              </w:rPr>
            </w:pPr>
            <w:r>
              <w:rPr>
                <w:b/>
                <w:bCs/>
                <w:color w:val="auto"/>
                <w:lang w:val="en-US" w:eastAsia="zh-CN"/>
              </w:rPr>
              <w:t>符号</w:t>
            </w:r>
          </w:p>
        </w:tc>
        <w:tc>
          <w:tcPr>
            <w:tcW w:w="310" w:type="pct"/>
            <w:noWrap/>
            <w:vAlign w:val="center"/>
          </w:tcPr>
          <w:p w14:paraId="520E5BE3">
            <w:pPr>
              <w:pStyle w:val="17"/>
              <w:bidi w:val="0"/>
              <w:rPr>
                <w:b/>
                <w:bCs/>
                <w:color w:val="auto"/>
                <w:lang w:val="en-US" w:eastAsia="zh-CN"/>
              </w:rPr>
            </w:pPr>
            <w:r>
              <w:rPr>
                <w:b/>
                <w:bCs/>
                <w:color w:val="auto"/>
                <w:lang w:val="en-US" w:eastAsia="zh-CN"/>
              </w:rPr>
              <w:t>单位</w:t>
            </w:r>
          </w:p>
        </w:tc>
        <w:tc>
          <w:tcPr>
            <w:tcW w:w="389" w:type="pct"/>
            <w:noWrap/>
            <w:vAlign w:val="center"/>
          </w:tcPr>
          <w:p w14:paraId="0BE802F6">
            <w:pPr>
              <w:pStyle w:val="17"/>
              <w:bidi w:val="0"/>
              <w:rPr>
                <w:b/>
                <w:bCs/>
                <w:color w:val="auto"/>
                <w:lang w:val="en-US" w:eastAsia="zh-CN"/>
              </w:rPr>
            </w:pPr>
            <w:r>
              <w:rPr>
                <w:rFonts w:hint="eastAsia"/>
                <w:b/>
                <w:bCs/>
                <w:color w:val="auto"/>
                <w:lang w:val="en-US" w:eastAsia="zh-CN"/>
              </w:rPr>
              <w:t>2020</w:t>
            </w:r>
            <w:r>
              <w:rPr>
                <w:b/>
                <w:bCs/>
                <w:color w:val="auto"/>
                <w:lang w:val="en-US" w:eastAsia="zh-CN"/>
              </w:rPr>
              <w:t>m</w:t>
            </w:r>
          </w:p>
          <w:p w14:paraId="5EC655A2">
            <w:pPr>
              <w:pStyle w:val="17"/>
              <w:bidi w:val="0"/>
              <w:rPr>
                <w:b/>
                <w:bCs/>
                <w:color w:val="auto"/>
                <w:lang w:val="en-US" w:eastAsia="zh-CN"/>
              </w:rPr>
            </w:pPr>
            <w:r>
              <w:rPr>
                <w:b/>
                <w:bCs/>
                <w:color w:val="auto"/>
                <w:lang w:val="en-US" w:eastAsia="zh-CN"/>
              </w:rPr>
              <w:t>平台</w:t>
            </w:r>
          </w:p>
        </w:tc>
        <w:tc>
          <w:tcPr>
            <w:tcW w:w="389" w:type="pct"/>
            <w:noWrap/>
            <w:vAlign w:val="center"/>
          </w:tcPr>
          <w:p w14:paraId="79CFFF84">
            <w:pPr>
              <w:pStyle w:val="17"/>
              <w:bidi w:val="0"/>
              <w:rPr>
                <w:b/>
                <w:bCs/>
                <w:color w:val="auto"/>
                <w:lang w:val="en-US" w:eastAsia="zh-CN"/>
              </w:rPr>
            </w:pPr>
            <w:r>
              <w:rPr>
                <w:rFonts w:hint="eastAsia"/>
                <w:b/>
                <w:bCs/>
                <w:color w:val="auto"/>
                <w:lang w:val="en-US" w:eastAsia="zh-CN"/>
              </w:rPr>
              <w:t>1975</w:t>
            </w:r>
            <w:r>
              <w:rPr>
                <w:b/>
                <w:bCs/>
                <w:color w:val="auto"/>
                <w:lang w:val="en-US" w:eastAsia="zh-CN"/>
              </w:rPr>
              <w:t>m</w:t>
            </w:r>
          </w:p>
          <w:p w14:paraId="3B8A58B9">
            <w:pPr>
              <w:pStyle w:val="17"/>
              <w:bidi w:val="0"/>
              <w:rPr>
                <w:b/>
                <w:bCs/>
                <w:color w:val="auto"/>
                <w:lang w:val="en-US" w:eastAsia="zh-CN"/>
              </w:rPr>
            </w:pPr>
            <w:r>
              <w:rPr>
                <w:b/>
                <w:bCs/>
                <w:color w:val="auto"/>
                <w:lang w:val="en-US" w:eastAsia="zh-CN"/>
              </w:rPr>
              <w:t>平台</w:t>
            </w:r>
          </w:p>
        </w:tc>
        <w:tc>
          <w:tcPr>
            <w:tcW w:w="389" w:type="pct"/>
            <w:noWrap/>
            <w:vAlign w:val="center"/>
          </w:tcPr>
          <w:p w14:paraId="457A8F18">
            <w:pPr>
              <w:pStyle w:val="17"/>
              <w:bidi w:val="0"/>
              <w:rPr>
                <w:b/>
                <w:bCs/>
                <w:color w:val="auto"/>
                <w:lang w:val="en-US" w:eastAsia="zh-CN"/>
              </w:rPr>
            </w:pPr>
            <w:r>
              <w:rPr>
                <w:rFonts w:hint="eastAsia"/>
                <w:b/>
                <w:bCs/>
                <w:color w:val="auto"/>
                <w:lang w:val="en-US" w:eastAsia="zh-CN"/>
              </w:rPr>
              <w:t>1960</w:t>
            </w:r>
            <w:r>
              <w:rPr>
                <w:b/>
                <w:bCs/>
                <w:color w:val="auto"/>
                <w:lang w:val="en-US" w:eastAsia="zh-CN"/>
              </w:rPr>
              <w:t>m</w:t>
            </w:r>
          </w:p>
          <w:p w14:paraId="09D0560D">
            <w:pPr>
              <w:pStyle w:val="17"/>
              <w:bidi w:val="0"/>
              <w:rPr>
                <w:b/>
                <w:bCs/>
                <w:color w:val="auto"/>
                <w:lang w:val="en-US" w:eastAsia="zh-CN"/>
              </w:rPr>
            </w:pPr>
            <w:r>
              <w:rPr>
                <w:b/>
                <w:bCs/>
                <w:color w:val="auto"/>
                <w:lang w:val="en-US" w:eastAsia="zh-CN"/>
              </w:rPr>
              <w:t>平台</w:t>
            </w:r>
          </w:p>
        </w:tc>
        <w:tc>
          <w:tcPr>
            <w:tcW w:w="1717" w:type="pct"/>
            <w:noWrap/>
            <w:vAlign w:val="center"/>
          </w:tcPr>
          <w:p w14:paraId="1881EB65">
            <w:pPr>
              <w:pStyle w:val="17"/>
              <w:bidi w:val="0"/>
              <w:rPr>
                <w:b/>
                <w:bCs/>
                <w:color w:val="auto"/>
                <w:lang w:val="en-US" w:eastAsia="zh-CN"/>
              </w:rPr>
            </w:pPr>
            <w:r>
              <w:rPr>
                <w:b/>
                <w:bCs/>
                <w:color w:val="auto"/>
                <w:lang w:val="en-US" w:eastAsia="zh-CN"/>
              </w:rPr>
              <w:t>备注</w:t>
            </w:r>
          </w:p>
        </w:tc>
      </w:tr>
      <w:tr w14:paraId="4076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14BF156C">
            <w:pPr>
              <w:pStyle w:val="17"/>
              <w:bidi w:val="0"/>
              <w:rPr>
                <w:color w:val="auto"/>
                <w:lang w:val="en-US" w:eastAsia="zh-CN"/>
              </w:rPr>
            </w:pPr>
            <w:r>
              <w:rPr>
                <w:color w:val="auto"/>
                <w:lang w:val="en-US" w:eastAsia="zh-CN"/>
              </w:rPr>
              <w:t>1</w:t>
            </w:r>
          </w:p>
        </w:tc>
        <w:tc>
          <w:tcPr>
            <w:tcW w:w="1124" w:type="pct"/>
            <w:noWrap/>
            <w:vAlign w:val="center"/>
          </w:tcPr>
          <w:p w14:paraId="01A59C11">
            <w:pPr>
              <w:pStyle w:val="17"/>
              <w:bidi w:val="0"/>
              <w:rPr>
                <w:color w:val="auto"/>
                <w:lang w:val="en-US" w:eastAsia="zh-CN"/>
              </w:rPr>
            </w:pPr>
            <w:r>
              <w:rPr>
                <w:color w:val="auto"/>
                <w:lang w:val="en-US" w:eastAsia="zh-CN"/>
              </w:rPr>
              <w:t>水沟粗糙系数</w:t>
            </w:r>
          </w:p>
        </w:tc>
        <w:tc>
          <w:tcPr>
            <w:tcW w:w="368" w:type="pct"/>
            <w:noWrap/>
            <w:vAlign w:val="center"/>
          </w:tcPr>
          <w:p w14:paraId="4960E4C2">
            <w:pPr>
              <w:pStyle w:val="17"/>
              <w:bidi w:val="0"/>
              <w:rPr>
                <w:color w:val="auto"/>
                <w:lang w:val="en-US" w:eastAsia="zh-CN"/>
              </w:rPr>
            </w:pPr>
            <w:r>
              <w:rPr>
                <w:color w:val="auto"/>
                <w:lang w:val="en-US" w:eastAsia="zh-CN"/>
              </w:rPr>
              <w:t>n</w:t>
            </w:r>
          </w:p>
        </w:tc>
        <w:tc>
          <w:tcPr>
            <w:tcW w:w="310" w:type="pct"/>
            <w:noWrap/>
            <w:vAlign w:val="center"/>
          </w:tcPr>
          <w:p w14:paraId="2534C33E">
            <w:pPr>
              <w:pStyle w:val="17"/>
              <w:bidi w:val="0"/>
              <w:rPr>
                <w:color w:val="auto"/>
                <w:lang w:val="en-US" w:eastAsia="zh-CN"/>
              </w:rPr>
            </w:pPr>
          </w:p>
        </w:tc>
        <w:tc>
          <w:tcPr>
            <w:tcW w:w="389" w:type="pct"/>
            <w:noWrap/>
            <w:vAlign w:val="center"/>
          </w:tcPr>
          <w:p w14:paraId="7432DB84">
            <w:pPr>
              <w:pStyle w:val="17"/>
              <w:bidi w:val="0"/>
              <w:rPr>
                <w:color w:val="auto"/>
                <w:lang w:val="en-US" w:eastAsia="zh-CN"/>
              </w:rPr>
            </w:pPr>
            <w:r>
              <w:rPr>
                <w:color w:val="auto"/>
                <w:lang w:val="en-US" w:eastAsia="zh-CN"/>
              </w:rPr>
              <w:t>0.015</w:t>
            </w:r>
          </w:p>
        </w:tc>
        <w:tc>
          <w:tcPr>
            <w:tcW w:w="389" w:type="pct"/>
            <w:noWrap/>
            <w:vAlign w:val="center"/>
          </w:tcPr>
          <w:p w14:paraId="5E1C476B">
            <w:pPr>
              <w:pStyle w:val="17"/>
              <w:bidi w:val="0"/>
              <w:rPr>
                <w:color w:val="auto"/>
                <w:lang w:val="en-US" w:eastAsia="zh-CN"/>
              </w:rPr>
            </w:pPr>
            <w:r>
              <w:rPr>
                <w:color w:val="auto"/>
                <w:lang w:val="en-US" w:eastAsia="zh-CN"/>
              </w:rPr>
              <w:t>0.015</w:t>
            </w:r>
          </w:p>
        </w:tc>
        <w:tc>
          <w:tcPr>
            <w:tcW w:w="389" w:type="pct"/>
            <w:noWrap/>
            <w:vAlign w:val="center"/>
          </w:tcPr>
          <w:p w14:paraId="7DECC66F">
            <w:pPr>
              <w:pStyle w:val="17"/>
              <w:bidi w:val="0"/>
              <w:rPr>
                <w:color w:val="auto"/>
                <w:lang w:val="en-US" w:eastAsia="zh-CN"/>
              </w:rPr>
            </w:pPr>
            <w:r>
              <w:rPr>
                <w:color w:val="auto"/>
                <w:lang w:val="en-US" w:eastAsia="zh-CN"/>
              </w:rPr>
              <w:t>0.015</w:t>
            </w:r>
          </w:p>
        </w:tc>
        <w:tc>
          <w:tcPr>
            <w:tcW w:w="1717" w:type="pct"/>
            <w:noWrap/>
            <w:vAlign w:val="center"/>
          </w:tcPr>
          <w:p w14:paraId="7F85861C">
            <w:pPr>
              <w:pStyle w:val="17"/>
              <w:bidi w:val="0"/>
              <w:rPr>
                <w:color w:val="auto"/>
                <w:lang w:val="en-US" w:eastAsia="zh-CN"/>
              </w:rPr>
            </w:pPr>
          </w:p>
        </w:tc>
      </w:tr>
      <w:tr w14:paraId="16B1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28E43325">
            <w:pPr>
              <w:pStyle w:val="17"/>
              <w:bidi w:val="0"/>
              <w:rPr>
                <w:color w:val="auto"/>
                <w:lang w:val="en-US" w:eastAsia="zh-CN"/>
              </w:rPr>
            </w:pPr>
            <w:r>
              <w:rPr>
                <w:color w:val="auto"/>
                <w:lang w:val="en-US" w:eastAsia="zh-CN"/>
              </w:rPr>
              <w:t>2</w:t>
            </w:r>
          </w:p>
        </w:tc>
        <w:tc>
          <w:tcPr>
            <w:tcW w:w="1124" w:type="pct"/>
            <w:noWrap/>
            <w:vAlign w:val="center"/>
          </w:tcPr>
          <w:p w14:paraId="558AD9EC">
            <w:pPr>
              <w:pStyle w:val="17"/>
              <w:bidi w:val="0"/>
              <w:rPr>
                <w:color w:val="auto"/>
                <w:lang w:val="en-US" w:eastAsia="zh-CN"/>
              </w:rPr>
            </w:pPr>
            <w:r>
              <w:rPr>
                <w:color w:val="auto"/>
                <w:lang w:val="en-US" w:eastAsia="zh-CN"/>
              </w:rPr>
              <w:t>水力坡度</w:t>
            </w:r>
          </w:p>
        </w:tc>
        <w:tc>
          <w:tcPr>
            <w:tcW w:w="368" w:type="pct"/>
            <w:noWrap/>
            <w:vAlign w:val="center"/>
          </w:tcPr>
          <w:p w14:paraId="4AD71783">
            <w:pPr>
              <w:pStyle w:val="17"/>
              <w:bidi w:val="0"/>
              <w:rPr>
                <w:color w:val="auto"/>
                <w:lang w:val="en-US" w:eastAsia="zh-CN"/>
              </w:rPr>
            </w:pPr>
            <w:r>
              <w:rPr>
                <w:color w:val="auto"/>
                <w:lang w:val="en-US" w:eastAsia="zh-CN"/>
              </w:rPr>
              <w:t>i</w:t>
            </w:r>
          </w:p>
        </w:tc>
        <w:tc>
          <w:tcPr>
            <w:tcW w:w="310" w:type="pct"/>
            <w:noWrap/>
            <w:vAlign w:val="center"/>
          </w:tcPr>
          <w:p w14:paraId="38ADE232">
            <w:pPr>
              <w:pStyle w:val="17"/>
              <w:bidi w:val="0"/>
              <w:rPr>
                <w:color w:val="auto"/>
                <w:lang w:val="en-US" w:eastAsia="zh-CN"/>
              </w:rPr>
            </w:pPr>
          </w:p>
        </w:tc>
        <w:tc>
          <w:tcPr>
            <w:tcW w:w="389" w:type="pct"/>
            <w:noWrap/>
            <w:vAlign w:val="center"/>
          </w:tcPr>
          <w:p w14:paraId="01CB5755">
            <w:pPr>
              <w:pStyle w:val="17"/>
              <w:bidi w:val="0"/>
              <w:rPr>
                <w:color w:val="auto"/>
                <w:lang w:val="en-US" w:eastAsia="zh-CN"/>
              </w:rPr>
            </w:pPr>
            <w:r>
              <w:rPr>
                <w:color w:val="auto"/>
                <w:lang w:val="en-US" w:eastAsia="zh-CN"/>
              </w:rPr>
              <w:t>0.00</w:t>
            </w:r>
            <w:r>
              <w:rPr>
                <w:rFonts w:hint="eastAsia"/>
                <w:color w:val="auto"/>
                <w:lang w:val="en-US" w:eastAsia="zh-CN"/>
              </w:rPr>
              <w:t>3</w:t>
            </w:r>
          </w:p>
        </w:tc>
        <w:tc>
          <w:tcPr>
            <w:tcW w:w="389" w:type="pct"/>
            <w:noWrap/>
            <w:vAlign w:val="center"/>
          </w:tcPr>
          <w:p w14:paraId="70E21013">
            <w:pPr>
              <w:pStyle w:val="17"/>
              <w:bidi w:val="0"/>
              <w:rPr>
                <w:color w:val="auto"/>
                <w:lang w:val="en-US" w:eastAsia="zh-CN"/>
              </w:rPr>
            </w:pPr>
            <w:r>
              <w:rPr>
                <w:color w:val="auto"/>
                <w:lang w:val="en-US" w:eastAsia="zh-CN"/>
              </w:rPr>
              <w:t>0.00</w:t>
            </w:r>
            <w:r>
              <w:rPr>
                <w:rFonts w:hint="eastAsia"/>
                <w:color w:val="auto"/>
                <w:lang w:val="en-US" w:eastAsia="zh-CN"/>
              </w:rPr>
              <w:t>3</w:t>
            </w:r>
          </w:p>
        </w:tc>
        <w:tc>
          <w:tcPr>
            <w:tcW w:w="389" w:type="pct"/>
            <w:noWrap/>
            <w:vAlign w:val="center"/>
          </w:tcPr>
          <w:p w14:paraId="2B8F8B96">
            <w:pPr>
              <w:pStyle w:val="17"/>
              <w:bidi w:val="0"/>
              <w:rPr>
                <w:color w:val="auto"/>
                <w:lang w:val="en-US" w:eastAsia="zh-CN"/>
              </w:rPr>
            </w:pPr>
            <w:r>
              <w:rPr>
                <w:color w:val="auto"/>
                <w:lang w:val="en-US" w:eastAsia="zh-CN"/>
              </w:rPr>
              <w:t>0.00</w:t>
            </w:r>
            <w:r>
              <w:rPr>
                <w:rFonts w:hint="eastAsia"/>
                <w:color w:val="auto"/>
                <w:lang w:val="en-US" w:eastAsia="zh-CN"/>
              </w:rPr>
              <w:t>3</w:t>
            </w:r>
          </w:p>
        </w:tc>
        <w:tc>
          <w:tcPr>
            <w:tcW w:w="1717" w:type="pct"/>
            <w:noWrap/>
            <w:vAlign w:val="center"/>
          </w:tcPr>
          <w:p w14:paraId="3CEACC70">
            <w:pPr>
              <w:pStyle w:val="17"/>
              <w:bidi w:val="0"/>
              <w:rPr>
                <w:color w:val="auto"/>
                <w:lang w:val="en-US" w:eastAsia="zh-CN"/>
              </w:rPr>
            </w:pPr>
          </w:p>
        </w:tc>
      </w:tr>
      <w:tr w14:paraId="237C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3C572DAC">
            <w:pPr>
              <w:pStyle w:val="17"/>
              <w:bidi w:val="0"/>
              <w:rPr>
                <w:color w:val="auto"/>
                <w:lang w:val="en-US" w:eastAsia="zh-CN"/>
              </w:rPr>
            </w:pPr>
            <w:r>
              <w:rPr>
                <w:color w:val="auto"/>
                <w:lang w:val="en-US" w:eastAsia="zh-CN"/>
              </w:rPr>
              <w:t>3</w:t>
            </w:r>
          </w:p>
        </w:tc>
        <w:tc>
          <w:tcPr>
            <w:tcW w:w="1124" w:type="pct"/>
            <w:noWrap/>
            <w:vAlign w:val="center"/>
          </w:tcPr>
          <w:p w14:paraId="777FF19A">
            <w:pPr>
              <w:pStyle w:val="17"/>
              <w:bidi w:val="0"/>
              <w:rPr>
                <w:color w:val="auto"/>
                <w:lang w:val="en-US" w:eastAsia="zh-CN"/>
              </w:rPr>
            </w:pPr>
            <w:r>
              <w:rPr>
                <w:color w:val="auto"/>
                <w:lang w:val="en-US" w:eastAsia="zh-CN"/>
              </w:rPr>
              <w:t>最大洪峰流量</w:t>
            </w:r>
          </w:p>
        </w:tc>
        <w:tc>
          <w:tcPr>
            <w:tcW w:w="368" w:type="pct"/>
            <w:noWrap/>
            <w:vAlign w:val="center"/>
          </w:tcPr>
          <w:p w14:paraId="0264A426">
            <w:pPr>
              <w:pStyle w:val="17"/>
              <w:bidi w:val="0"/>
              <w:rPr>
                <w:color w:val="auto"/>
                <w:lang w:val="en-US" w:eastAsia="zh-CN"/>
              </w:rPr>
            </w:pPr>
            <w:r>
              <w:rPr>
                <w:color w:val="auto"/>
                <w:lang w:val="en-US" w:eastAsia="zh-CN"/>
              </w:rPr>
              <w:t>Q</w:t>
            </w:r>
            <w:r>
              <w:rPr>
                <w:color w:val="auto"/>
                <w:vertAlign w:val="subscript"/>
                <w:lang w:val="en-US" w:eastAsia="zh-CN"/>
              </w:rPr>
              <w:t>m</w:t>
            </w:r>
          </w:p>
        </w:tc>
        <w:tc>
          <w:tcPr>
            <w:tcW w:w="310" w:type="pct"/>
            <w:noWrap/>
            <w:vAlign w:val="center"/>
          </w:tcPr>
          <w:p w14:paraId="69F9FB60">
            <w:pPr>
              <w:pStyle w:val="17"/>
              <w:bidi w:val="0"/>
              <w:rPr>
                <w:color w:val="auto"/>
                <w:lang w:val="en-US" w:eastAsia="zh-CN"/>
              </w:rPr>
            </w:pPr>
            <w:r>
              <w:rPr>
                <w:color w:val="auto"/>
                <w:lang w:val="en-US" w:eastAsia="zh-CN"/>
              </w:rPr>
              <w:t>m</w:t>
            </w:r>
            <w:r>
              <w:rPr>
                <w:color w:val="auto"/>
                <w:vertAlign w:val="superscript"/>
                <w:lang w:val="en-US" w:eastAsia="zh-CN"/>
              </w:rPr>
              <w:t>3</w:t>
            </w:r>
            <w:r>
              <w:rPr>
                <w:color w:val="auto"/>
                <w:lang w:val="en-US" w:eastAsia="zh-CN"/>
              </w:rPr>
              <w:t>/s</w:t>
            </w:r>
          </w:p>
        </w:tc>
        <w:tc>
          <w:tcPr>
            <w:tcW w:w="389" w:type="pct"/>
            <w:noWrap/>
            <w:vAlign w:val="center"/>
          </w:tcPr>
          <w:p w14:paraId="362D8D36">
            <w:pPr>
              <w:pStyle w:val="17"/>
              <w:bidi w:val="0"/>
              <w:rPr>
                <w:color w:val="auto"/>
                <w:lang w:val="en-US" w:eastAsia="zh-CN"/>
              </w:rPr>
            </w:pPr>
            <w:r>
              <w:rPr>
                <w:rFonts w:hint="eastAsia"/>
                <w:color w:val="auto"/>
                <w:lang w:val="en-US" w:eastAsia="zh-CN"/>
              </w:rPr>
              <w:t>0.17</w:t>
            </w:r>
          </w:p>
        </w:tc>
        <w:tc>
          <w:tcPr>
            <w:tcW w:w="389" w:type="pct"/>
            <w:noWrap/>
            <w:vAlign w:val="center"/>
          </w:tcPr>
          <w:p w14:paraId="0C8F1A5A">
            <w:pPr>
              <w:pStyle w:val="17"/>
              <w:bidi w:val="0"/>
              <w:rPr>
                <w:color w:val="auto"/>
                <w:lang w:val="en-US" w:eastAsia="zh-CN"/>
              </w:rPr>
            </w:pPr>
            <w:r>
              <w:rPr>
                <w:rFonts w:hint="eastAsia"/>
                <w:color w:val="auto"/>
                <w:lang w:val="en-US" w:eastAsia="zh-CN"/>
              </w:rPr>
              <w:t>0.42</w:t>
            </w:r>
          </w:p>
        </w:tc>
        <w:tc>
          <w:tcPr>
            <w:tcW w:w="389" w:type="pct"/>
            <w:noWrap/>
            <w:vAlign w:val="center"/>
          </w:tcPr>
          <w:p w14:paraId="68F297FB">
            <w:pPr>
              <w:pStyle w:val="17"/>
              <w:bidi w:val="0"/>
              <w:rPr>
                <w:color w:val="auto"/>
                <w:lang w:val="en-US" w:eastAsia="zh-CN"/>
              </w:rPr>
            </w:pPr>
            <w:r>
              <w:rPr>
                <w:rFonts w:hint="eastAsia"/>
                <w:color w:val="auto"/>
                <w:lang w:val="en-US" w:eastAsia="zh-CN"/>
              </w:rPr>
              <w:t>0.49</w:t>
            </w:r>
          </w:p>
        </w:tc>
        <w:tc>
          <w:tcPr>
            <w:tcW w:w="1717" w:type="pct"/>
            <w:noWrap/>
            <w:vAlign w:val="center"/>
          </w:tcPr>
          <w:p w14:paraId="3DBD553F">
            <w:pPr>
              <w:pStyle w:val="17"/>
              <w:bidi w:val="0"/>
              <w:rPr>
                <w:color w:val="auto"/>
                <w:lang w:val="en-US" w:eastAsia="zh-CN"/>
              </w:rPr>
            </w:pPr>
            <w:r>
              <w:rPr>
                <w:color w:val="auto"/>
                <w:lang w:val="en-US" w:eastAsia="zh-CN"/>
              </w:rPr>
              <w:t>Q</w:t>
            </w:r>
            <w:r>
              <w:rPr>
                <w:color w:val="auto"/>
                <w:vertAlign w:val="subscript"/>
                <w:lang w:val="en-US" w:eastAsia="zh-CN"/>
              </w:rPr>
              <w:t>m</w:t>
            </w:r>
            <w:r>
              <w:rPr>
                <w:color w:val="auto"/>
                <w:lang w:val="en-US" w:eastAsia="zh-CN"/>
              </w:rPr>
              <w:t>=ф×S</w:t>
            </w:r>
            <w:r>
              <w:rPr>
                <w:color w:val="auto"/>
                <w:vertAlign w:val="subscript"/>
                <w:lang w:val="en-US" w:eastAsia="zh-CN"/>
              </w:rPr>
              <w:t>p</w:t>
            </w:r>
            <w:r>
              <w:rPr>
                <w:color w:val="auto"/>
                <w:lang w:val="en-US" w:eastAsia="zh-CN"/>
              </w:rPr>
              <w:t>×F</w:t>
            </w:r>
          </w:p>
        </w:tc>
      </w:tr>
      <w:tr w14:paraId="75B6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6B562AE2">
            <w:pPr>
              <w:pStyle w:val="17"/>
              <w:bidi w:val="0"/>
              <w:rPr>
                <w:color w:val="auto"/>
                <w:lang w:val="en-US" w:eastAsia="zh-CN"/>
              </w:rPr>
            </w:pPr>
            <w:r>
              <w:rPr>
                <w:color w:val="auto"/>
                <w:lang w:val="en-US" w:eastAsia="zh-CN"/>
              </w:rPr>
              <w:t>4</w:t>
            </w:r>
          </w:p>
        </w:tc>
        <w:tc>
          <w:tcPr>
            <w:tcW w:w="1124" w:type="pct"/>
            <w:noWrap/>
            <w:vAlign w:val="center"/>
          </w:tcPr>
          <w:p w14:paraId="63B7FE6F">
            <w:pPr>
              <w:pStyle w:val="17"/>
              <w:bidi w:val="0"/>
              <w:rPr>
                <w:color w:val="auto"/>
                <w:lang w:val="en-US" w:eastAsia="zh-CN"/>
              </w:rPr>
            </w:pPr>
            <w:r>
              <w:rPr>
                <w:color w:val="auto"/>
                <w:lang w:val="en-US" w:eastAsia="zh-CN"/>
              </w:rPr>
              <w:t>计算水沟水面深度</w:t>
            </w:r>
          </w:p>
        </w:tc>
        <w:tc>
          <w:tcPr>
            <w:tcW w:w="368" w:type="pct"/>
            <w:noWrap/>
            <w:vAlign w:val="center"/>
          </w:tcPr>
          <w:p w14:paraId="24A8DC8A">
            <w:pPr>
              <w:pStyle w:val="17"/>
              <w:bidi w:val="0"/>
              <w:rPr>
                <w:color w:val="auto"/>
                <w:lang w:val="en-US" w:eastAsia="zh-CN"/>
              </w:rPr>
            </w:pPr>
            <w:r>
              <w:rPr>
                <w:color w:val="auto"/>
                <w:lang w:val="en-US" w:eastAsia="zh-CN"/>
              </w:rPr>
              <w:t>h</w:t>
            </w:r>
          </w:p>
        </w:tc>
        <w:tc>
          <w:tcPr>
            <w:tcW w:w="310" w:type="pct"/>
            <w:noWrap/>
            <w:vAlign w:val="center"/>
          </w:tcPr>
          <w:p w14:paraId="7D216967">
            <w:pPr>
              <w:pStyle w:val="17"/>
              <w:bidi w:val="0"/>
              <w:rPr>
                <w:color w:val="auto"/>
                <w:lang w:val="en-US" w:eastAsia="zh-CN"/>
              </w:rPr>
            </w:pPr>
            <w:r>
              <w:rPr>
                <w:color w:val="auto"/>
                <w:lang w:val="en-US" w:eastAsia="zh-CN"/>
              </w:rPr>
              <w:t>m</w:t>
            </w:r>
          </w:p>
        </w:tc>
        <w:tc>
          <w:tcPr>
            <w:tcW w:w="389" w:type="pct"/>
            <w:noWrap/>
            <w:vAlign w:val="center"/>
          </w:tcPr>
          <w:p w14:paraId="05D59B5E">
            <w:pPr>
              <w:pStyle w:val="17"/>
              <w:bidi w:val="0"/>
              <w:rPr>
                <w:color w:val="auto"/>
                <w:lang w:val="en-US" w:eastAsia="zh-CN"/>
              </w:rPr>
            </w:pPr>
            <w:r>
              <w:rPr>
                <w:color w:val="auto"/>
                <w:lang w:val="en-US" w:eastAsia="zh-CN"/>
              </w:rPr>
              <w:t>0.</w:t>
            </w:r>
            <w:r>
              <w:rPr>
                <w:rFonts w:hint="eastAsia"/>
                <w:color w:val="auto"/>
                <w:lang w:val="en-US" w:eastAsia="zh-CN"/>
              </w:rPr>
              <w:t>29</w:t>
            </w:r>
          </w:p>
        </w:tc>
        <w:tc>
          <w:tcPr>
            <w:tcW w:w="389" w:type="pct"/>
            <w:noWrap/>
            <w:vAlign w:val="center"/>
          </w:tcPr>
          <w:p w14:paraId="6EB61DDE">
            <w:pPr>
              <w:pStyle w:val="17"/>
              <w:bidi w:val="0"/>
              <w:rPr>
                <w:color w:val="auto"/>
                <w:lang w:val="en-US" w:eastAsia="zh-CN"/>
              </w:rPr>
            </w:pPr>
            <w:r>
              <w:rPr>
                <w:color w:val="auto"/>
                <w:lang w:val="en-US" w:eastAsia="zh-CN"/>
              </w:rPr>
              <w:t>0.</w:t>
            </w:r>
            <w:r>
              <w:rPr>
                <w:rFonts w:hint="eastAsia"/>
                <w:color w:val="auto"/>
                <w:lang w:val="en-US" w:eastAsia="zh-CN"/>
              </w:rPr>
              <w:t>41</w:t>
            </w:r>
          </w:p>
        </w:tc>
        <w:tc>
          <w:tcPr>
            <w:tcW w:w="389" w:type="pct"/>
            <w:noWrap/>
            <w:vAlign w:val="center"/>
          </w:tcPr>
          <w:p w14:paraId="5BA4BABE">
            <w:pPr>
              <w:pStyle w:val="17"/>
              <w:bidi w:val="0"/>
              <w:rPr>
                <w:color w:val="auto"/>
                <w:lang w:val="en-US" w:eastAsia="zh-CN"/>
              </w:rPr>
            </w:pPr>
            <w:r>
              <w:rPr>
                <w:rFonts w:hint="eastAsia"/>
                <w:color w:val="auto"/>
                <w:lang w:val="en-US" w:eastAsia="zh-CN"/>
              </w:rPr>
              <w:t>0.43</w:t>
            </w:r>
          </w:p>
        </w:tc>
        <w:tc>
          <w:tcPr>
            <w:tcW w:w="1717" w:type="pct"/>
            <w:noWrap/>
            <w:vAlign w:val="center"/>
          </w:tcPr>
          <w:p w14:paraId="599CF6D8">
            <w:pPr>
              <w:pStyle w:val="17"/>
              <w:bidi w:val="0"/>
              <w:rPr>
                <w:color w:val="auto"/>
                <w:lang w:val="en-US" w:eastAsia="zh-CN"/>
              </w:rPr>
            </w:pPr>
            <m:oMath>
              <m:r>
                <m:rPr>
                  <m:sty m:val="p"/>
                </m:rPr>
                <w:rPr>
                  <w:rFonts w:ascii="Times New Roman" w:hAnsi="Times New Roman"/>
                  <w:color w:val="auto"/>
                </w:rPr>
                <m:t>h=2×</m:t>
              </m:r>
              <m:sSup>
                <m:sSupPr>
                  <m:ctrlPr>
                    <w:rPr>
                      <w:rFonts w:ascii="Cambria Math" w:hAnsi="Cambria Math"/>
                      <w:color w:val="auto"/>
                    </w:rPr>
                  </m:ctrlPr>
                </m:sSupPr>
                <m:e>
                  <m:d>
                    <m:dPr>
                      <m:begChr m:val="{"/>
                      <m:endChr m:val="}"/>
                      <m:ctrlPr>
                        <w:rPr>
                          <w:rFonts w:ascii="Cambria Math" w:hAnsi="Cambria Math"/>
                          <w:color w:val="auto"/>
                        </w:rPr>
                      </m:ctrlPr>
                    </m:dPr>
                    <m:e>
                      <m:r>
                        <m:rPr>
                          <m:sty m:val="p"/>
                        </m:rPr>
                        <w:rPr>
                          <w:rFonts w:ascii="Times New Roman" w:hAnsi="Times New Roman"/>
                          <w:color w:val="auto"/>
                        </w:rPr>
                        <m:t>（Q×n）÷</m:t>
                      </m:r>
                      <m:d>
                        <m:dPr>
                          <m:begChr m:val="["/>
                          <m:endChr m:val="]"/>
                          <m:ctrlPr>
                            <w:rPr>
                              <w:rFonts w:ascii="Cambria Math" w:hAnsi="Cambria Math"/>
                              <w:color w:val="auto"/>
                            </w:rPr>
                          </m:ctrlPr>
                        </m:dPr>
                        <m:e>
                          <m:r>
                            <m:rPr>
                              <m:sty m:val="p"/>
                            </m:rPr>
                            <w:rPr>
                              <w:rFonts w:ascii="Times New Roman" w:hAnsi="Times New Roman"/>
                              <w:color w:val="auto"/>
                            </w:rPr>
                            <m:t>4×（2</m:t>
                          </m:r>
                          <m:rad>
                            <m:radPr>
                              <m:degHide m:val="1"/>
                              <m:ctrlPr>
                                <w:rPr>
                                  <w:rFonts w:ascii="Cambria Math" w:hAnsi="Cambria Math"/>
                                  <w:color w:val="auto"/>
                                </w:rPr>
                              </m:ctrlPr>
                            </m:radPr>
                            <m:deg>
                              <m:ctrlPr>
                                <w:rPr>
                                  <w:rFonts w:ascii="Cambria Math" w:hAnsi="Cambria Math"/>
                                  <w:color w:val="auto"/>
                                </w:rPr>
                              </m:ctrlPr>
                            </m:deg>
                            <m:e>
                              <m:r>
                                <m:rPr>
                                  <m:sty m:val="p"/>
                                </m:rPr>
                                <w:rPr>
                                  <w:rFonts w:ascii="Times New Roman" w:hAnsi="Times New Roman"/>
                                  <w:color w:val="auto"/>
                                </w:rPr>
                                <m:t>1+</m:t>
                              </m:r>
                              <m:sSup>
                                <m:sSupPr>
                                  <m:ctrlPr>
                                    <w:rPr>
                                      <w:rFonts w:ascii="Cambria Math" w:hAnsi="Cambria Math"/>
                                      <w:color w:val="auto"/>
                                    </w:rPr>
                                  </m:ctrlPr>
                                </m:sSupPr>
                                <m:e>
                                  <m:r>
                                    <m:rPr>
                                      <m:sty m:val="p"/>
                                    </m:rPr>
                                    <w:rPr>
                                      <w:rFonts w:ascii="Times New Roman" w:hAnsi="Times New Roman"/>
                                      <w:color w:val="auto"/>
                                    </w:rPr>
                                    <m:t>m</m:t>
                                  </m:r>
                                  <m:ctrlPr>
                                    <w:rPr>
                                      <w:rFonts w:ascii="Cambria Math" w:hAnsi="Cambria Math"/>
                                      <w:color w:val="auto"/>
                                    </w:rPr>
                                  </m:ctrlPr>
                                </m:e>
                                <m:sup>
                                  <m:r>
                                    <m:rPr>
                                      <m:sty m:val="p"/>
                                    </m:rPr>
                                    <w:rPr>
                                      <w:rFonts w:ascii="Times New Roman" w:hAnsi="Times New Roman"/>
                                      <w:color w:val="auto"/>
                                    </w:rPr>
                                    <m:t>2</m:t>
                                  </m:r>
                                  <m:ctrlPr>
                                    <w:rPr>
                                      <w:rFonts w:ascii="Cambria Math" w:hAnsi="Cambria Math"/>
                                      <w:color w:val="auto"/>
                                    </w:rPr>
                                  </m:ctrlPr>
                                </m:sup>
                              </m:sSup>
                              <m:ctrlPr>
                                <w:rPr>
                                  <w:rFonts w:ascii="Cambria Math" w:hAnsi="Cambria Math"/>
                                  <w:color w:val="auto"/>
                                </w:rPr>
                              </m:ctrlPr>
                            </m:e>
                          </m:rad>
                          <m:r>
                            <m:rPr>
                              <m:sty m:val="p"/>
                            </m:rPr>
                            <w:rPr>
                              <w:rFonts w:ascii="Times New Roman" w:hAnsi="Times New Roman"/>
                              <w:color w:val="auto"/>
                            </w:rPr>
                            <m:t>−m）×</m:t>
                          </m:r>
                          <m:rad>
                            <m:radPr>
                              <m:degHide m:val="1"/>
                              <m:ctrlPr>
                                <w:rPr>
                                  <w:rFonts w:ascii="Cambria Math" w:hAnsi="Cambria Math"/>
                                  <w:color w:val="auto"/>
                                </w:rPr>
                              </m:ctrlPr>
                            </m:radPr>
                            <m:deg>
                              <m:ctrlPr>
                                <w:rPr>
                                  <w:rFonts w:ascii="Cambria Math" w:hAnsi="Cambria Math"/>
                                  <w:color w:val="auto"/>
                                </w:rPr>
                              </m:ctrlPr>
                            </m:deg>
                            <m:e>
                              <m:r>
                                <m:rPr>
                                  <m:sty m:val="p"/>
                                  <m:scr m:val="fraktur"/>
                                </m:rPr>
                                <w:rPr>
                                  <w:rFonts w:ascii="Times New Roman" w:hAnsi="Times New Roman" w:eastAsia="MS Mincho"/>
                                  <w:color w:val="auto"/>
                                </w:rPr>
                                <m:t>i</m:t>
                              </m:r>
                              <m:ctrlPr>
                                <w:rPr>
                                  <w:rFonts w:ascii="Cambria Math" w:hAnsi="Cambria Math"/>
                                  <w:color w:val="auto"/>
                                </w:rPr>
                              </m:ctrlPr>
                            </m:e>
                          </m:rad>
                          <m:ctrlPr>
                            <w:rPr>
                              <w:rFonts w:ascii="Cambria Math" w:hAnsi="Cambria Math"/>
                              <w:color w:val="auto"/>
                            </w:rPr>
                          </m:ctrlPr>
                        </m:e>
                      </m:d>
                      <m:ctrlPr>
                        <w:rPr>
                          <w:rFonts w:ascii="Cambria Math" w:hAnsi="Cambria Math"/>
                          <w:color w:val="auto"/>
                        </w:rPr>
                      </m:ctrlPr>
                    </m:e>
                  </m:d>
                  <m:ctrlPr>
                    <w:rPr>
                      <w:rFonts w:ascii="Cambria Math" w:hAnsi="Cambria Math"/>
                      <w:color w:val="auto"/>
                    </w:rPr>
                  </m:ctrlPr>
                </m:e>
                <m:sup>
                  <m:r>
                    <m:rPr>
                      <m:sty m:val="p"/>
                    </m:rPr>
                    <w:rPr>
                      <w:rFonts w:ascii="Times New Roman" w:hAnsi="Times New Roman"/>
                      <w:color w:val="auto"/>
                    </w:rPr>
                    <m:t>3/8</m:t>
                  </m:r>
                  <m:ctrlPr>
                    <w:rPr>
                      <w:rFonts w:ascii="Cambria Math" w:hAnsi="Cambria Math"/>
                      <w:color w:val="auto"/>
                    </w:rPr>
                  </m:ctrlPr>
                </m:sup>
              </m:sSup>
            </m:oMath>
            <w:r>
              <w:rPr>
                <w:color w:val="auto"/>
                <w:lang w:val="en-US" w:eastAsia="zh-CN"/>
              </w:rPr>
              <w:t xml:space="preserve"> </w:t>
            </w:r>
          </w:p>
        </w:tc>
      </w:tr>
      <w:tr w14:paraId="6FBA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7AE1AD26">
            <w:pPr>
              <w:pStyle w:val="17"/>
              <w:bidi w:val="0"/>
              <w:rPr>
                <w:color w:val="auto"/>
                <w:lang w:val="en-US" w:eastAsia="zh-CN"/>
              </w:rPr>
            </w:pPr>
            <w:r>
              <w:rPr>
                <w:color w:val="auto"/>
                <w:lang w:val="en-US" w:eastAsia="zh-CN"/>
              </w:rPr>
              <w:t>5</w:t>
            </w:r>
          </w:p>
        </w:tc>
        <w:tc>
          <w:tcPr>
            <w:tcW w:w="1124" w:type="pct"/>
            <w:noWrap/>
            <w:vAlign w:val="center"/>
          </w:tcPr>
          <w:p w14:paraId="3EBC8CA8">
            <w:pPr>
              <w:pStyle w:val="17"/>
              <w:bidi w:val="0"/>
              <w:rPr>
                <w:color w:val="auto"/>
                <w:lang w:val="en-US" w:eastAsia="zh-CN"/>
              </w:rPr>
            </w:pPr>
            <w:r>
              <w:rPr>
                <w:color w:val="auto"/>
                <w:lang w:val="en-US" w:eastAsia="zh-CN"/>
              </w:rPr>
              <w:t>水力最优断面水沟底宽</w:t>
            </w:r>
          </w:p>
        </w:tc>
        <w:tc>
          <w:tcPr>
            <w:tcW w:w="368" w:type="pct"/>
            <w:noWrap/>
            <w:vAlign w:val="center"/>
          </w:tcPr>
          <w:p w14:paraId="626CDAA0">
            <w:pPr>
              <w:pStyle w:val="17"/>
              <w:bidi w:val="0"/>
              <w:rPr>
                <w:color w:val="auto"/>
                <w:lang w:val="en-US" w:eastAsia="zh-CN"/>
              </w:rPr>
            </w:pPr>
            <w:r>
              <w:rPr>
                <w:color w:val="auto"/>
                <w:lang w:val="en-US" w:eastAsia="zh-CN"/>
              </w:rPr>
              <w:t>b</w:t>
            </w:r>
          </w:p>
        </w:tc>
        <w:tc>
          <w:tcPr>
            <w:tcW w:w="310" w:type="pct"/>
            <w:noWrap/>
            <w:vAlign w:val="center"/>
          </w:tcPr>
          <w:p w14:paraId="050C24EA">
            <w:pPr>
              <w:pStyle w:val="17"/>
              <w:bidi w:val="0"/>
              <w:rPr>
                <w:color w:val="auto"/>
                <w:lang w:val="en-US" w:eastAsia="zh-CN"/>
              </w:rPr>
            </w:pPr>
            <w:r>
              <w:rPr>
                <w:color w:val="auto"/>
                <w:lang w:val="en-US" w:eastAsia="zh-CN"/>
              </w:rPr>
              <w:t>m</w:t>
            </w:r>
          </w:p>
        </w:tc>
        <w:tc>
          <w:tcPr>
            <w:tcW w:w="389" w:type="pct"/>
            <w:noWrap/>
            <w:vAlign w:val="center"/>
          </w:tcPr>
          <w:p w14:paraId="3DF0D0FE">
            <w:pPr>
              <w:pStyle w:val="17"/>
              <w:bidi w:val="0"/>
              <w:rPr>
                <w:color w:val="auto"/>
                <w:lang w:val="en-US" w:eastAsia="zh-CN"/>
              </w:rPr>
            </w:pPr>
            <w:r>
              <w:rPr>
                <w:color w:val="auto"/>
                <w:lang w:val="en-US" w:eastAsia="zh-CN"/>
              </w:rPr>
              <w:t>0.</w:t>
            </w:r>
            <w:r>
              <w:rPr>
                <w:rFonts w:hint="eastAsia"/>
                <w:color w:val="auto"/>
                <w:lang w:val="en-US" w:eastAsia="zh-CN"/>
              </w:rPr>
              <w:t>58</w:t>
            </w:r>
          </w:p>
        </w:tc>
        <w:tc>
          <w:tcPr>
            <w:tcW w:w="389" w:type="pct"/>
            <w:noWrap/>
            <w:vAlign w:val="center"/>
          </w:tcPr>
          <w:p w14:paraId="5A8E6BA6">
            <w:pPr>
              <w:pStyle w:val="17"/>
              <w:bidi w:val="0"/>
              <w:rPr>
                <w:color w:val="auto"/>
                <w:lang w:val="en-US" w:eastAsia="zh-CN"/>
              </w:rPr>
            </w:pPr>
            <w:r>
              <w:rPr>
                <w:color w:val="auto"/>
                <w:lang w:val="en-US" w:eastAsia="zh-CN"/>
              </w:rPr>
              <w:t>0.</w:t>
            </w:r>
            <w:r>
              <w:rPr>
                <w:rFonts w:hint="eastAsia"/>
                <w:color w:val="auto"/>
                <w:lang w:val="en-US" w:eastAsia="zh-CN"/>
              </w:rPr>
              <w:t>82</w:t>
            </w:r>
            <w:r>
              <w:rPr>
                <w:color w:val="auto"/>
                <w:lang w:val="en-US" w:eastAsia="zh-CN"/>
              </w:rPr>
              <w:t xml:space="preserve"> </w:t>
            </w:r>
          </w:p>
        </w:tc>
        <w:tc>
          <w:tcPr>
            <w:tcW w:w="389" w:type="pct"/>
            <w:noWrap/>
            <w:vAlign w:val="center"/>
          </w:tcPr>
          <w:p w14:paraId="24C4B52B">
            <w:pPr>
              <w:pStyle w:val="17"/>
              <w:bidi w:val="0"/>
              <w:rPr>
                <w:color w:val="auto"/>
                <w:lang w:val="en-US" w:eastAsia="zh-CN"/>
              </w:rPr>
            </w:pPr>
            <w:r>
              <w:rPr>
                <w:rFonts w:hint="eastAsia"/>
                <w:color w:val="auto"/>
                <w:lang w:val="en-US" w:eastAsia="zh-CN"/>
              </w:rPr>
              <w:t>0.86</w:t>
            </w:r>
          </w:p>
        </w:tc>
        <w:tc>
          <w:tcPr>
            <w:tcW w:w="1717" w:type="pct"/>
            <w:noWrap/>
            <w:vAlign w:val="center"/>
          </w:tcPr>
          <w:p w14:paraId="296701BF">
            <w:pPr>
              <w:pStyle w:val="17"/>
              <w:bidi w:val="0"/>
              <w:rPr>
                <w:color w:val="auto"/>
                <w:lang w:val="en-US" w:eastAsia="zh-CN"/>
              </w:rPr>
            </w:pPr>
            <m:oMathPara>
              <m:oMath>
                <m:r>
                  <m:rPr>
                    <m:sty m:val="p"/>
                  </m:rPr>
                  <w:rPr>
                    <w:rFonts w:ascii="Times New Roman" w:hAnsi="Times New Roman"/>
                    <w:color w:val="auto"/>
                  </w:rPr>
                  <m:t>b=h×2（</m:t>
                </m:r>
                <m:rad>
                  <m:radPr>
                    <m:degHide m:val="1"/>
                    <m:ctrlPr>
                      <w:rPr>
                        <w:rFonts w:ascii="Cambria Math" w:hAnsi="Cambria Math"/>
                        <w:color w:val="auto"/>
                      </w:rPr>
                    </m:ctrlPr>
                  </m:radPr>
                  <m:deg>
                    <m:ctrlPr>
                      <w:rPr>
                        <w:rFonts w:ascii="Cambria Math" w:hAnsi="Cambria Math"/>
                        <w:color w:val="auto"/>
                      </w:rPr>
                    </m:ctrlPr>
                  </m:deg>
                  <m:e>
                    <m:r>
                      <m:rPr>
                        <m:sty m:val="p"/>
                      </m:rPr>
                      <w:rPr>
                        <w:rFonts w:ascii="Times New Roman" w:hAnsi="Times New Roman"/>
                        <w:color w:val="auto"/>
                      </w:rPr>
                      <m:t>1+</m:t>
                    </m:r>
                    <m:sSup>
                      <m:sSupPr>
                        <m:ctrlPr>
                          <w:rPr>
                            <w:rFonts w:ascii="Cambria Math" w:hAnsi="Cambria Math"/>
                            <w:color w:val="auto"/>
                          </w:rPr>
                        </m:ctrlPr>
                      </m:sSupPr>
                      <m:e>
                        <m:r>
                          <m:rPr>
                            <m:sty m:val="p"/>
                          </m:rPr>
                          <w:rPr>
                            <w:rFonts w:ascii="Times New Roman" w:hAnsi="Times New Roman"/>
                            <w:color w:val="auto"/>
                          </w:rPr>
                          <m:t>m</m:t>
                        </m:r>
                        <m:ctrlPr>
                          <w:rPr>
                            <w:rFonts w:ascii="Cambria Math" w:hAnsi="Cambria Math"/>
                            <w:color w:val="auto"/>
                          </w:rPr>
                        </m:ctrlPr>
                      </m:e>
                      <m:sup>
                        <m:r>
                          <m:rPr>
                            <m:sty m:val="p"/>
                          </m:rPr>
                          <w:rPr>
                            <w:rFonts w:ascii="Times New Roman" w:hAnsi="Times New Roman"/>
                            <w:color w:val="auto"/>
                          </w:rPr>
                          <m:t>2</m:t>
                        </m:r>
                        <m:ctrlPr>
                          <w:rPr>
                            <w:rFonts w:ascii="Cambria Math" w:hAnsi="Cambria Math"/>
                            <w:color w:val="auto"/>
                          </w:rPr>
                        </m:ctrlPr>
                      </m:sup>
                    </m:sSup>
                    <m:ctrlPr>
                      <w:rPr>
                        <w:rFonts w:ascii="Cambria Math" w:hAnsi="Cambria Math"/>
                        <w:color w:val="auto"/>
                      </w:rPr>
                    </m:ctrlPr>
                  </m:e>
                </m:rad>
                <m:r>
                  <m:rPr>
                    <m:sty m:val="p"/>
                  </m:rPr>
                  <w:rPr>
                    <w:rFonts w:ascii="Times New Roman" w:hAnsi="Times New Roman"/>
                    <w:color w:val="auto"/>
                  </w:rPr>
                  <m:t>−m）</m:t>
                </m:r>
              </m:oMath>
            </m:oMathPara>
          </w:p>
        </w:tc>
      </w:tr>
      <w:tr w14:paraId="1450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6CA54D28">
            <w:pPr>
              <w:pStyle w:val="17"/>
              <w:bidi w:val="0"/>
              <w:rPr>
                <w:color w:val="auto"/>
                <w:lang w:val="en-US" w:eastAsia="zh-CN"/>
              </w:rPr>
            </w:pPr>
            <w:r>
              <w:rPr>
                <w:color w:val="auto"/>
                <w:lang w:val="en-US" w:eastAsia="zh-CN"/>
              </w:rPr>
              <w:t>6</w:t>
            </w:r>
          </w:p>
        </w:tc>
        <w:tc>
          <w:tcPr>
            <w:tcW w:w="1124" w:type="pct"/>
            <w:noWrap/>
            <w:vAlign w:val="center"/>
          </w:tcPr>
          <w:p w14:paraId="1C8DDD10">
            <w:pPr>
              <w:pStyle w:val="17"/>
              <w:bidi w:val="0"/>
              <w:rPr>
                <w:color w:val="auto"/>
                <w:lang w:val="en-US" w:eastAsia="zh-CN"/>
              </w:rPr>
            </w:pPr>
            <w:r>
              <w:rPr>
                <w:color w:val="auto"/>
                <w:lang w:val="en-US" w:eastAsia="zh-CN"/>
              </w:rPr>
              <w:t>水面宽度</w:t>
            </w:r>
          </w:p>
        </w:tc>
        <w:tc>
          <w:tcPr>
            <w:tcW w:w="368" w:type="pct"/>
            <w:noWrap/>
            <w:vAlign w:val="center"/>
          </w:tcPr>
          <w:p w14:paraId="09666716">
            <w:pPr>
              <w:pStyle w:val="17"/>
              <w:bidi w:val="0"/>
              <w:rPr>
                <w:color w:val="auto"/>
                <w:lang w:val="en-US" w:eastAsia="zh-CN"/>
              </w:rPr>
            </w:pPr>
            <w:r>
              <w:rPr>
                <w:color w:val="auto"/>
                <w:lang w:val="en-US" w:eastAsia="zh-CN"/>
              </w:rPr>
              <w:t>B</w:t>
            </w:r>
          </w:p>
        </w:tc>
        <w:tc>
          <w:tcPr>
            <w:tcW w:w="310" w:type="pct"/>
            <w:noWrap/>
            <w:vAlign w:val="center"/>
          </w:tcPr>
          <w:p w14:paraId="388D7A47">
            <w:pPr>
              <w:pStyle w:val="17"/>
              <w:bidi w:val="0"/>
              <w:rPr>
                <w:color w:val="auto"/>
                <w:lang w:val="en-US" w:eastAsia="zh-CN"/>
              </w:rPr>
            </w:pPr>
            <w:r>
              <w:rPr>
                <w:color w:val="auto"/>
                <w:lang w:val="en-US" w:eastAsia="zh-CN"/>
              </w:rPr>
              <w:t>m</w:t>
            </w:r>
          </w:p>
        </w:tc>
        <w:tc>
          <w:tcPr>
            <w:tcW w:w="389" w:type="pct"/>
            <w:noWrap/>
            <w:vAlign w:val="center"/>
          </w:tcPr>
          <w:p w14:paraId="2698D3FB">
            <w:pPr>
              <w:pStyle w:val="17"/>
              <w:bidi w:val="0"/>
              <w:rPr>
                <w:color w:val="auto"/>
                <w:lang w:val="en-US" w:eastAsia="zh-CN"/>
              </w:rPr>
            </w:pPr>
            <w:r>
              <w:rPr>
                <w:rFonts w:hint="eastAsia"/>
                <w:color w:val="auto"/>
                <w:lang w:val="en-US" w:eastAsia="zh-CN"/>
              </w:rPr>
              <w:t>0.58</w:t>
            </w:r>
          </w:p>
        </w:tc>
        <w:tc>
          <w:tcPr>
            <w:tcW w:w="389" w:type="pct"/>
            <w:noWrap/>
            <w:vAlign w:val="center"/>
          </w:tcPr>
          <w:p w14:paraId="50090406">
            <w:pPr>
              <w:pStyle w:val="17"/>
              <w:bidi w:val="0"/>
              <w:rPr>
                <w:color w:val="auto"/>
                <w:lang w:val="en-US" w:eastAsia="zh-CN"/>
              </w:rPr>
            </w:pPr>
            <w:r>
              <w:rPr>
                <w:rFonts w:hint="eastAsia"/>
                <w:color w:val="auto"/>
                <w:lang w:val="en-US" w:eastAsia="zh-CN"/>
              </w:rPr>
              <w:t>0.82</w:t>
            </w:r>
            <w:r>
              <w:rPr>
                <w:color w:val="auto"/>
                <w:lang w:val="en-US" w:eastAsia="zh-CN"/>
              </w:rPr>
              <w:t xml:space="preserve"> </w:t>
            </w:r>
          </w:p>
        </w:tc>
        <w:tc>
          <w:tcPr>
            <w:tcW w:w="389" w:type="pct"/>
            <w:vAlign w:val="center"/>
          </w:tcPr>
          <w:p w14:paraId="04EC2ABB">
            <w:pPr>
              <w:pStyle w:val="17"/>
              <w:bidi w:val="0"/>
              <w:rPr>
                <w:color w:val="auto"/>
                <w:lang w:val="en-US" w:eastAsia="zh-CN"/>
              </w:rPr>
            </w:pPr>
            <w:r>
              <w:rPr>
                <w:rFonts w:hint="eastAsia"/>
                <w:color w:val="auto"/>
                <w:lang w:val="en-US" w:eastAsia="zh-CN"/>
              </w:rPr>
              <w:t>0.86</w:t>
            </w:r>
          </w:p>
        </w:tc>
        <w:tc>
          <w:tcPr>
            <w:tcW w:w="1717" w:type="pct"/>
            <w:vAlign w:val="center"/>
          </w:tcPr>
          <w:p w14:paraId="73300586">
            <w:pPr>
              <w:pStyle w:val="17"/>
              <w:bidi w:val="0"/>
              <w:rPr>
                <w:color w:val="auto"/>
                <w:lang w:val="en-US" w:eastAsia="zh-CN"/>
              </w:rPr>
            </w:pPr>
            <w:r>
              <w:rPr>
                <w:color w:val="auto"/>
                <w:lang w:val="en-US" w:eastAsia="zh-CN"/>
              </w:rPr>
              <w:t>B=（b+2mh）</w:t>
            </w:r>
          </w:p>
        </w:tc>
      </w:tr>
      <w:tr w14:paraId="0FC3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7A964EA0">
            <w:pPr>
              <w:pStyle w:val="17"/>
              <w:bidi w:val="0"/>
              <w:rPr>
                <w:color w:val="auto"/>
                <w:lang w:val="en-US" w:eastAsia="zh-CN"/>
              </w:rPr>
            </w:pPr>
            <w:r>
              <w:rPr>
                <w:color w:val="auto"/>
                <w:lang w:val="en-US" w:eastAsia="zh-CN"/>
              </w:rPr>
              <w:t>7</w:t>
            </w:r>
          </w:p>
        </w:tc>
        <w:tc>
          <w:tcPr>
            <w:tcW w:w="1124" w:type="pct"/>
            <w:noWrap/>
            <w:vAlign w:val="center"/>
          </w:tcPr>
          <w:p w14:paraId="735357E4">
            <w:pPr>
              <w:pStyle w:val="17"/>
              <w:bidi w:val="0"/>
              <w:rPr>
                <w:color w:val="auto"/>
                <w:lang w:val="en-US" w:eastAsia="zh-CN"/>
              </w:rPr>
            </w:pPr>
            <w:r>
              <w:rPr>
                <w:color w:val="auto"/>
                <w:lang w:val="en-US" w:eastAsia="zh-CN"/>
              </w:rPr>
              <w:t>水沟安全超高</w:t>
            </w:r>
          </w:p>
        </w:tc>
        <w:tc>
          <w:tcPr>
            <w:tcW w:w="368" w:type="pct"/>
            <w:noWrap/>
            <w:vAlign w:val="center"/>
          </w:tcPr>
          <w:p w14:paraId="5F5FCB20">
            <w:pPr>
              <w:pStyle w:val="17"/>
              <w:bidi w:val="0"/>
              <w:rPr>
                <w:color w:val="auto"/>
                <w:lang w:val="en-US" w:eastAsia="zh-CN"/>
              </w:rPr>
            </w:pPr>
            <w:r>
              <w:rPr>
                <w:color w:val="auto"/>
                <w:lang w:val="en-US" w:eastAsia="zh-CN"/>
              </w:rPr>
              <w:t>hc</w:t>
            </w:r>
          </w:p>
        </w:tc>
        <w:tc>
          <w:tcPr>
            <w:tcW w:w="310" w:type="pct"/>
            <w:noWrap/>
            <w:vAlign w:val="center"/>
          </w:tcPr>
          <w:p w14:paraId="790069DB">
            <w:pPr>
              <w:pStyle w:val="17"/>
              <w:bidi w:val="0"/>
              <w:rPr>
                <w:color w:val="auto"/>
                <w:lang w:val="en-US" w:eastAsia="zh-CN"/>
              </w:rPr>
            </w:pPr>
            <w:r>
              <w:rPr>
                <w:color w:val="auto"/>
                <w:lang w:val="en-US" w:eastAsia="zh-CN"/>
              </w:rPr>
              <w:t>m</w:t>
            </w:r>
          </w:p>
        </w:tc>
        <w:tc>
          <w:tcPr>
            <w:tcW w:w="389" w:type="pct"/>
            <w:noWrap/>
            <w:vAlign w:val="center"/>
          </w:tcPr>
          <w:p w14:paraId="1FE9F198">
            <w:pPr>
              <w:pStyle w:val="17"/>
              <w:bidi w:val="0"/>
              <w:rPr>
                <w:color w:val="auto"/>
                <w:lang w:val="en-US" w:eastAsia="zh-CN"/>
              </w:rPr>
            </w:pPr>
            <w:r>
              <w:rPr>
                <w:color w:val="auto"/>
                <w:lang w:val="en-US" w:eastAsia="zh-CN"/>
              </w:rPr>
              <w:t>0.2</w:t>
            </w:r>
          </w:p>
        </w:tc>
        <w:tc>
          <w:tcPr>
            <w:tcW w:w="389" w:type="pct"/>
            <w:noWrap/>
            <w:vAlign w:val="center"/>
          </w:tcPr>
          <w:p w14:paraId="6CE61195">
            <w:pPr>
              <w:pStyle w:val="17"/>
              <w:bidi w:val="0"/>
              <w:rPr>
                <w:color w:val="auto"/>
                <w:lang w:val="en-US" w:eastAsia="zh-CN"/>
              </w:rPr>
            </w:pPr>
            <w:r>
              <w:rPr>
                <w:color w:val="auto"/>
                <w:lang w:val="en-US" w:eastAsia="zh-CN"/>
              </w:rPr>
              <w:t>0.2</w:t>
            </w:r>
          </w:p>
        </w:tc>
        <w:tc>
          <w:tcPr>
            <w:tcW w:w="389" w:type="pct"/>
            <w:vAlign w:val="center"/>
          </w:tcPr>
          <w:p w14:paraId="513D7844">
            <w:pPr>
              <w:pStyle w:val="17"/>
              <w:bidi w:val="0"/>
              <w:rPr>
                <w:color w:val="auto"/>
                <w:lang w:val="en-US" w:eastAsia="zh-CN"/>
              </w:rPr>
            </w:pPr>
            <w:r>
              <w:rPr>
                <w:rFonts w:hint="eastAsia"/>
                <w:color w:val="auto"/>
                <w:lang w:val="en-US" w:eastAsia="zh-CN"/>
              </w:rPr>
              <w:t>0.2</w:t>
            </w:r>
          </w:p>
        </w:tc>
        <w:tc>
          <w:tcPr>
            <w:tcW w:w="1717" w:type="pct"/>
            <w:vAlign w:val="center"/>
          </w:tcPr>
          <w:p w14:paraId="3E3B9B59">
            <w:pPr>
              <w:pStyle w:val="17"/>
              <w:bidi w:val="0"/>
              <w:rPr>
                <w:color w:val="auto"/>
                <w:lang w:val="en-US" w:eastAsia="zh-CN"/>
              </w:rPr>
            </w:pPr>
            <w:r>
              <w:rPr>
                <w:color w:val="auto"/>
                <w:lang w:val="en-US" w:eastAsia="zh-CN"/>
              </w:rPr>
              <w:t>汇水面积小于1km</w:t>
            </w:r>
            <w:r>
              <w:rPr>
                <w:color w:val="auto"/>
                <w:vertAlign w:val="superscript"/>
                <w:lang w:val="en-US" w:eastAsia="zh-CN"/>
              </w:rPr>
              <w:t>2</w:t>
            </w:r>
            <w:r>
              <w:rPr>
                <w:color w:val="auto"/>
                <w:lang w:val="en-US" w:eastAsia="zh-CN"/>
              </w:rPr>
              <w:t>，安全超高0.2~0.3m</w:t>
            </w:r>
          </w:p>
        </w:tc>
      </w:tr>
      <w:tr w14:paraId="2AA9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vMerge w:val="restart"/>
            <w:noWrap/>
            <w:vAlign w:val="center"/>
          </w:tcPr>
          <w:p w14:paraId="5BF51581">
            <w:pPr>
              <w:pStyle w:val="17"/>
              <w:bidi w:val="0"/>
              <w:rPr>
                <w:color w:val="auto"/>
                <w:lang w:val="en-US" w:eastAsia="zh-CN"/>
              </w:rPr>
            </w:pPr>
            <w:r>
              <w:rPr>
                <w:color w:val="auto"/>
                <w:lang w:val="en-US" w:eastAsia="zh-CN"/>
              </w:rPr>
              <w:t>8</w:t>
            </w:r>
          </w:p>
        </w:tc>
        <w:tc>
          <w:tcPr>
            <w:tcW w:w="1124" w:type="pct"/>
            <w:noWrap/>
            <w:vAlign w:val="center"/>
          </w:tcPr>
          <w:p w14:paraId="6446ECD9">
            <w:pPr>
              <w:pStyle w:val="17"/>
              <w:bidi w:val="0"/>
              <w:rPr>
                <w:color w:val="auto"/>
                <w:lang w:val="en-US" w:eastAsia="zh-CN"/>
              </w:rPr>
            </w:pPr>
            <w:r>
              <w:rPr>
                <w:color w:val="auto"/>
                <w:lang w:val="en-US" w:eastAsia="zh-CN"/>
              </w:rPr>
              <w:t>设计水沟尺寸：</w:t>
            </w:r>
          </w:p>
        </w:tc>
        <w:tc>
          <w:tcPr>
            <w:tcW w:w="368" w:type="pct"/>
            <w:noWrap/>
            <w:vAlign w:val="center"/>
          </w:tcPr>
          <w:p w14:paraId="0FF92BC2">
            <w:pPr>
              <w:pStyle w:val="17"/>
              <w:bidi w:val="0"/>
              <w:rPr>
                <w:color w:val="auto"/>
                <w:lang w:val="en-US" w:eastAsia="zh-CN"/>
              </w:rPr>
            </w:pPr>
          </w:p>
        </w:tc>
        <w:tc>
          <w:tcPr>
            <w:tcW w:w="310" w:type="pct"/>
            <w:noWrap/>
            <w:vAlign w:val="center"/>
          </w:tcPr>
          <w:p w14:paraId="65106CAB">
            <w:pPr>
              <w:pStyle w:val="17"/>
              <w:bidi w:val="0"/>
              <w:rPr>
                <w:color w:val="auto"/>
                <w:lang w:val="en-US" w:eastAsia="zh-CN"/>
              </w:rPr>
            </w:pPr>
          </w:p>
        </w:tc>
        <w:tc>
          <w:tcPr>
            <w:tcW w:w="389" w:type="pct"/>
            <w:noWrap/>
            <w:vAlign w:val="center"/>
          </w:tcPr>
          <w:p w14:paraId="4225C8FE">
            <w:pPr>
              <w:pStyle w:val="17"/>
              <w:bidi w:val="0"/>
              <w:rPr>
                <w:color w:val="auto"/>
                <w:lang w:val="en-US" w:eastAsia="zh-CN"/>
              </w:rPr>
            </w:pPr>
          </w:p>
        </w:tc>
        <w:tc>
          <w:tcPr>
            <w:tcW w:w="389" w:type="pct"/>
            <w:noWrap/>
            <w:vAlign w:val="center"/>
          </w:tcPr>
          <w:p w14:paraId="3E9C8F31">
            <w:pPr>
              <w:pStyle w:val="17"/>
              <w:bidi w:val="0"/>
              <w:rPr>
                <w:color w:val="auto"/>
                <w:lang w:val="en-US" w:eastAsia="zh-CN"/>
              </w:rPr>
            </w:pPr>
          </w:p>
        </w:tc>
        <w:tc>
          <w:tcPr>
            <w:tcW w:w="389" w:type="pct"/>
            <w:vAlign w:val="center"/>
          </w:tcPr>
          <w:p w14:paraId="172E1941">
            <w:pPr>
              <w:pStyle w:val="17"/>
              <w:bidi w:val="0"/>
              <w:rPr>
                <w:color w:val="auto"/>
                <w:lang w:val="en-US" w:eastAsia="zh-CN"/>
              </w:rPr>
            </w:pPr>
          </w:p>
        </w:tc>
        <w:tc>
          <w:tcPr>
            <w:tcW w:w="1717" w:type="pct"/>
            <w:vAlign w:val="center"/>
          </w:tcPr>
          <w:p w14:paraId="5E8B8CE8">
            <w:pPr>
              <w:pStyle w:val="17"/>
              <w:bidi w:val="0"/>
              <w:rPr>
                <w:color w:val="auto"/>
                <w:lang w:val="en-US" w:eastAsia="zh-CN"/>
              </w:rPr>
            </w:pPr>
          </w:p>
        </w:tc>
      </w:tr>
      <w:tr w14:paraId="264F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vMerge w:val="continue"/>
            <w:noWrap/>
            <w:vAlign w:val="center"/>
          </w:tcPr>
          <w:p w14:paraId="449073FC">
            <w:pPr>
              <w:pStyle w:val="17"/>
              <w:bidi w:val="0"/>
              <w:rPr>
                <w:color w:val="auto"/>
                <w:lang w:val="en-US" w:eastAsia="zh-CN"/>
              </w:rPr>
            </w:pPr>
          </w:p>
        </w:tc>
        <w:tc>
          <w:tcPr>
            <w:tcW w:w="1124" w:type="pct"/>
            <w:noWrap/>
            <w:vAlign w:val="center"/>
          </w:tcPr>
          <w:p w14:paraId="74BE5480">
            <w:pPr>
              <w:pStyle w:val="17"/>
              <w:bidi w:val="0"/>
              <w:rPr>
                <w:color w:val="auto"/>
                <w:lang w:val="en-US" w:eastAsia="zh-CN"/>
              </w:rPr>
            </w:pPr>
            <w:r>
              <w:rPr>
                <w:color w:val="auto"/>
                <w:lang w:val="en-US" w:eastAsia="zh-CN"/>
              </w:rPr>
              <w:t>水沟深度</w:t>
            </w:r>
          </w:p>
        </w:tc>
        <w:tc>
          <w:tcPr>
            <w:tcW w:w="368" w:type="pct"/>
            <w:noWrap/>
            <w:vAlign w:val="center"/>
          </w:tcPr>
          <w:p w14:paraId="44BC970E">
            <w:pPr>
              <w:pStyle w:val="17"/>
              <w:bidi w:val="0"/>
              <w:rPr>
                <w:color w:val="auto"/>
                <w:lang w:val="en-US" w:eastAsia="zh-CN"/>
              </w:rPr>
            </w:pPr>
            <w:r>
              <w:rPr>
                <w:rFonts w:hint="eastAsia"/>
                <w:color w:val="auto"/>
                <w:lang w:val="en-US" w:eastAsia="zh-CN"/>
              </w:rPr>
              <w:t>h</w:t>
            </w:r>
            <w:r>
              <w:rPr>
                <w:rFonts w:hint="eastAsia"/>
                <w:color w:val="auto"/>
                <w:vertAlign w:val="subscript"/>
                <w:lang w:val="en-US" w:eastAsia="zh-CN"/>
              </w:rPr>
              <w:t>1</w:t>
            </w:r>
          </w:p>
        </w:tc>
        <w:tc>
          <w:tcPr>
            <w:tcW w:w="310" w:type="pct"/>
            <w:noWrap/>
            <w:vAlign w:val="center"/>
          </w:tcPr>
          <w:p w14:paraId="11FBC4F0">
            <w:pPr>
              <w:pStyle w:val="17"/>
              <w:bidi w:val="0"/>
              <w:rPr>
                <w:color w:val="auto"/>
                <w:lang w:val="en-US" w:eastAsia="zh-CN"/>
              </w:rPr>
            </w:pPr>
            <w:r>
              <w:rPr>
                <w:rFonts w:hint="eastAsia"/>
                <w:color w:val="auto"/>
                <w:lang w:val="en-US" w:eastAsia="zh-CN"/>
              </w:rPr>
              <w:t>m</w:t>
            </w:r>
          </w:p>
        </w:tc>
        <w:tc>
          <w:tcPr>
            <w:tcW w:w="389" w:type="pct"/>
            <w:noWrap/>
            <w:vAlign w:val="bottom"/>
          </w:tcPr>
          <w:p w14:paraId="02BEDE4B">
            <w:pPr>
              <w:pStyle w:val="17"/>
              <w:bidi w:val="0"/>
              <w:rPr>
                <w:color w:val="auto"/>
                <w:lang w:val="en-US" w:eastAsia="zh-CN"/>
              </w:rPr>
            </w:pPr>
            <w:r>
              <w:rPr>
                <w:color w:val="auto"/>
                <w:lang w:val="en-US" w:eastAsia="zh-CN"/>
              </w:rPr>
              <w:t>0.50</w:t>
            </w:r>
          </w:p>
        </w:tc>
        <w:tc>
          <w:tcPr>
            <w:tcW w:w="389" w:type="pct"/>
            <w:noWrap/>
            <w:vAlign w:val="bottom"/>
          </w:tcPr>
          <w:p w14:paraId="6F629213">
            <w:pPr>
              <w:pStyle w:val="17"/>
              <w:bidi w:val="0"/>
              <w:rPr>
                <w:color w:val="auto"/>
                <w:lang w:val="en-US" w:eastAsia="zh-CN"/>
              </w:rPr>
            </w:pPr>
            <w:r>
              <w:rPr>
                <w:color w:val="auto"/>
                <w:lang w:val="en-US" w:eastAsia="zh-CN"/>
              </w:rPr>
              <w:t>0.70</w:t>
            </w:r>
          </w:p>
        </w:tc>
        <w:tc>
          <w:tcPr>
            <w:tcW w:w="389" w:type="pct"/>
            <w:noWrap/>
            <w:vAlign w:val="bottom"/>
          </w:tcPr>
          <w:p w14:paraId="338AD0E7">
            <w:pPr>
              <w:pStyle w:val="17"/>
              <w:bidi w:val="0"/>
              <w:rPr>
                <w:color w:val="auto"/>
                <w:lang w:val="en-US" w:eastAsia="zh-CN"/>
              </w:rPr>
            </w:pPr>
            <w:r>
              <w:rPr>
                <w:color w:val="auto"/>
                <w:lang w:val="en-US" w:eastAsia="zh-CN"/>
              </w:rPr>
              <w:t>0.80</w:t>
            </w:r>
          </w:p>
        </w:tc>
        <w:tc>
          <w:tcPr>
            <w:tcW w:w="1717" w:type="pct"/>
            <w:noWrap/>
            <w:vAlign w:val="center"/>
          </w:tcPr>
          <w:p w14:paraId="6F7CEAFB">
            <w:pPr>
              <w:pStyle w:val="17"/>
              <w:bidi w:val="0"/>
              <w:rPr>
                <w:color w:val="auto"/>
                <w:lang w:val="en-US" w:eastAsia="zh-CN"/>
              </w:rPr>
            </w:pPr>
            <w:r>
              <w:rPr>
                <w:rFonts w:hint="eastAsia"/>
                <w:color w:val="auto"/>
                <w:lang w:val="en-US" w:eastAsia="zh-CN"/>
              </w:rPr>
              <w:t>h</w:t>
            </w:r>
            <w:r>
              <w:rPr>
                <w:rFonts w:hint="eastAsia"/>
                <w:color w:val="auto"/>
                <w:vertAlign w:val="subscript"/>
                <w:lang w:val="en-US" w:eastAsia="zh-CN"/>
              </w:rPr>
              <w:t>1</w:t>
            </w:r>
            <w:r>
              <w:rPr>
                <w:rFonts w:hint="eastAsia"/>
                <w:color w:val="auto"/>
                <w:lang w:val="en-US" w:eastAsia="zh-CN"/>
              </w:rPr>
              <w:t>=h+h</w:t>
            </w:r>
            <w:r>
              <w:rPr>
                <w:rFonts w:hint="eastAsia"/>
                <w:color w:val="auto"/>
                <w:vertAlign w:val="subscript"/>
                <w:lang w:val="en-US" w:eastAsia="zh-CN"/>
              </w:rPr>
              <w:t>c</w:t>
            </w:r>
          </w:p>
        </w:tc>
      </w:tr>
      <w:tr w14:paraId="722C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vMerge w:val="continue"/>
            <w:noWrap/>
            <w:vAlign w:val="center"/>
          </w:tcPr>
          <w:p w14:paraId="57D90854">
            <w:pPr>
              <w:pStyle w:val="17"/>
              <w:bidi w:val="0"/>
              <w:rPr>
                <w:color w:val="auto"/>
                <w:lang w:val="en-US" w:eastAsia="zh-CN"/>
              </w:rPr>
            </w:pPr>
          </w:p>
        </w:tc>
        <w:tc>
          <w:tcPr>
            <w:tcW w:w="1124" w:type="pct"/>
            <w:noWrap/>
            <w:vAlign w:val="center"/>
          </w:tcPr>
          <w:p w14:paraId="3C216445">
            <w:pPr>
              <w:pStyle w:val="17"/>
              <w:bidi w:val="0"/>
              <w:rPr>
                <w:color w:val="auto"/>
                <w:lang w:val="en-US" w:eastAsia="zh-CN"/>
              </w:rPr>
            </w:pPr>
            <w:r>
              <w:rPr>
                <w:color w:val="auto"/>
                <w:lang w:val="en-US" w:eastAsia="zh-CN"/>
              </w:rPr>
              <w:t>水沟底宽</w:t>
            </w:r>
          </w:p>
        </w:tc>
        <w:tc>
          <w:tcPr>
            <w:tcW w:w="368" w:type="pct"/>
            <w:noWrap/>
            <w:vAlign w:val="center"/>
          </w:tcPr>
          <w:p w14:paraId="6810782A">
            <w:pPr>
              <w:pStyle w:val="17"/>
              <w:bidi w:val="0"/>
              <w:rPr>
                <w:color w:val="auto"/>
                <w:lang w:val="en-US" w:eastAsia="zh-CN"/>
              </w:rPr>
            </w:pPr>
            <w:r>
              <w:rPr>
                <w:rFonts w:hint="eastAsia"/>
                <w:color w:val="auto"/>
                <w:lang w:val="en-US" w:eastAsia="zh-CN"/>
              </w:rPr>
              <w:t>b</w:t>
            </w:r>
            <w:r>
              <w:rPr>
                <w:rFonts w:hint="eastAsia"/>
                <w:color w:val="auto"/>
                <w:vertAlign w:val="subscript"/>
                <w:lang w:val="en-US" w:eastAsia="zh-CN"/>
              </w:rPr>
              <w:t>1</w:t>
            </w:r>
          </w:p>
        </w:tc>
        <w:tc>
          <w:tcPr>
            <w:tcW w:w="310" w:type="pct"/>
            <w:noWrap/>
            <w:vAlign w:val="center"/>
          </w:tcPr>
          <w:p w14:paraId="5ADEDFF0">
            <w:pPr>
              <w:pStyle w:val="17"/>
              <w:bidi w:val="0"/>
              <w:rPr>
                <w:color w:val="auto"/>
                <w:lang w:val="en-US" w:eastAsia="zh-CN"/>
              </w:rPr>
            </w:pPr>
            <w:r>
              <w:rPr>
                <w:rFonts w:hint="eastAsia"/>
                <w:color w:val="auto"/>
                <w:lang w:val="en-US" w:eastAsia="zh-CN"/>
              </w:rPr>
              <w:t>m</w:t>
            </w:r>
          </w:p>
        </w:tc>
        <w:tc>
          <w:tcPr>
            <w:tcW w:w="389" w:type="pct"/>
            <w:noWrap/>
            <w:vAlign w:val="bottom"/>
          </w:tcPr>
          <w:p w14:paraId="3341DD9E">
            <w:pPr>
              <w:pStyle w:val="17"/>
              <w:bidi w:val="0"/>
              <w:rPr>
                <w:color w:val="auto"/>
                <w:lang w:val="en-US" w:eastAsia="zh-CN"/>
              </w:rPr>
            </w:pPr>
            <w:r>
              <w:rPr>
                <w:color w:val="auto"/>
                <w:lang w:val="en-US" w:eastAsia="zh-CN"/>
              </w:rPr>
              <w:t>0.60</w:t>
            </w:r>
          </w:p>
        </w:tc>
        <w:tc>
          <w:tcPr>
            <w:tcW w:w="389" w:type="pct"/>
            <w:noWrap/>
            <w:vAlign w:val="bottom"/>
          </w:tcPr>
          <w:p w14:paraId="00DFD1AA">
            <w:pPr>
              <w:pStyle w:val="17"/>
              <w:bidi w:val="0"/>
              <w:rPr>
                <w:color w:val="auto"/>
                <w:lang w:val="en-US" w:eastAsia="zh-CN"/>
              </w:rPr>
            </w:pPr>
            <w:r>
              <w:rPr>
                <w:color w:val="auto"/>
                <w:lang w:val="en-US" w:eastAsia="zh-CN"/>
              </w:rPr>
              <w:t>0.70</w:t>
            </w:r>
          </w:p>
        </w:tc>
        <w:tc>
          <w:tcPr>
            <w:tcW w:w="389" w:type="pct"/>
            <w:vAlign w:val="bottom"/>
          </w:tcPr>
          <w:p w14:paraId="257B2360">
            <w:pPr>
              <w:pStyle w:val="17"/>
              <w:bidi w:val="0"/>
              <w:rPr>
                <w:color w:val="auto"/>
                <w:lang w:val="en-US" w:eastAsia="zh-CN"/>
              </w:rPr>
            </w:pPr>
            <w:r>
              <w:rPr>
                <w:color w:val="auto"/>
                <w:lang w:val="en-US" w:eastAsia="zh-CN"/>
              </w:rPr>
              <w:t>0.70</w:t>
            </w:r>
          </w:p>
        </w:tc>
        <w:tc>
          <w:tcPr>
            <w:tcW w:w="1717" w:type="pct"/>
            <w:vAlign w:val="center"/>
          </w:tcPr>
          <w:p w14:paraId="0008F1B2">
            <w:pPr>
              <w:pStyle w:val="17"/>
              <w:bidi w:val="0"/>
              <w:rPr>
                <w:color w:val="auto"/>
                <w:lang w:val="en-US" w:eastAsia="zh-CN"/>
              </w:rPr>
            </w:pPr>
          </w:p>
        </w:tc>
      </w:tr>
      <w:tr w14:paraId="3421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vMerge w:val="continue"/>
            <w:noWrap/>
            <w:vAlign w:val="center"/>
          </w:tcPr>
          <w:p w14:paraId="419F13A9">
            <w:pPr>
              <w:pStyle w:val="17"/>
              <w:bidi w:val="0"/>
              <w:rPr>
                <w:color w:val="auto"/>
                <w:lang w:val="en-US" w:eastAsia="zh-CN"/>
              </w:rPr>
            </w:pPr>
          </w:p>
        </w:tc>
        <w:tc>
          <w:tcPr>
            <w:tcW w:w="1124" w:type="pct"/>
            <w:noWrap/>
            <w:vAlign w:val="center"/>
          </w:tcPr>
          <w:p w14:paraId="0EC20C98">
            <w:pPr>
              <w:pStyle w:val="17"/>
              <w:bidi w:val="0"/>
              <w:rPr>
                <w:color w:val="auto"/>
                <w:lang w:val="en-US" w:eastAsia="zh-CN"/>
              </w:rPr>
            </w:pPr>
            <w:r>
              <w:rPr>
                <w:color w:val="auto"/>
                <w:lang w:val="en-US" w:eastAsia="zh-CN"/>
              </w:rPr>
              <w:t>水沟顶宽</w:t>
            </w:r>
          </w:p>
        </w:tc>
        <w:tc>
          <w:tcPr>
            <w:tcW w:w="368" w:type="pct"/>
            <w:noWrap/>
            <w:vAlign w:val="center"/>
          </w:tcPr>
          <w:p w14:paraId="4569E0A9">
            <w:pPr>
              <w:pStyle w:val="17"/>
              <w:bidi w:val="0"/>
              <w:rPr>
                <w:color w:val="auto"/>
                <w:lang w:val="en-US" w:eastAsia="zh-CN"/>
              </w:rPr>
            </w:pPr>
            <w:r>
              <w:rPr>
                <w:rFonts w:hint="eastAsia"/>
                <w:color w:val="auto"/>
                <w:lang w:val="en-US" w:eastAsia="zh-CN"/>
              </w:rPr>
              <w:t>B</w:t>
            </w:r>
            <w:r>
              <w:rPr>
                <w:rFonts w:hint="eastAsia"/>
                <w:color w:val="auto"/>
                <w:vertAlign w:val="subscript"/>
                <w:lang w:val="en-US" w:eastAsia="zh-CN"/>
              </w:rPr>
              <w:t>1</w:t>
            </w:r>
          </w:p>
        </w:tc>
        <w:tc>
          <w:tcPr>
            <w:tcW w:w="310" w:type="pct"/>
            <w:noWrap/>
            <w:vAlign w:val="center"/>
          </w:tcPr>
          <w:p w14:paraId="09DC8B24">
            <w:pPr>
              <w:pStyle w:val="17"/>
              <w:bidi w:val="0"/>
              <w:rPr>
                <w:color w:val="auto"/>
                <w:lang w:val="en-US" w:eastAsia="zh-CN"/>
              </w:rPr>
            </w:pPr>
            <w:r>
              <w:rPr>
                <w:rFonts w:hint="eastAsia"/>
                <w:color w:val="auto"/>
                <w:lang w:val="en-US" w:eastAsia="zh-CN"/>
              </w:rPr>
              <w:t>m</w:t>
            </w:r>
          </w:p>
        </w:tc>
        <w:tc>
          <w:tcPr>
            <w:tcW w:w="389" w:type="pct"/>
            <w:noWrap/>
            <w:vAlign w:val="bottom"/>
          </w:tcPr>
          <w:p w14:paraId="6CD28C16">
            <w:pPr>
              <w:pStyle w:val="17"/>
              <w:bidi w:val="0"/>
              <w:rPr>
                <w:color w:val="auto"/>
                <w:lang w:val="en-US" w:eastAsia="zh-CN"/>
              </w:rPr>
            </w:pPr>
            <w:r>
              <w:rPr>
                <w:color w:val="auto"/>
                <w:lang w:val="en-US" w:eastAsia="zh-CN"/>
              </w:rPr>
              <w:t>0.60</w:t>
            </w:r>
          </w:p>
        </w:tc>
        <w:tc>
          <w:tcPr>
            <w:tcW w:w="389" w:type="pct"/>
            <w:noWrap/>
            <w:vAlign w:val="bottom"/>
          </w:tcPr>
          <w:p w14:paraId="6455280B">
            <w:pPr>
              <w:pStyle w:val="17"/>
              <w:bidi w:val="0"/>
              <w:rPr>
                <w:color w:val="auto"/>
                <w:lang w:val="en-US" w:eastAsia="zh-CN"/>
              </w:rPr>
            </w:pPr>
            <w:r>
              <w:rPr>
                <w:color w:val="auto"/>
                <w:lang w:val="en-US" w:eastAsia="zh-CN"/>
              </w:rPr>
              <w:t>0.70</w:t>
            </w:r>
          </w:p>
        </w:tc>
        <w:tc>
          <w:tcPr>
            <w:tcW w:w="389" w:type="pct"/>
            <w:noWrap/>
            <w:vAlign w:val="bottom"/>
          </w:tcPr>
          <w:p w14:paraId="31EE182C">
            <w:pPr>
              <w:pStyle w:val="17"/>
              <w:bidi w:val="0"/>
              <w:rPr>
                <w:color w:val="auto"/>
                <w:lang w:val="en-US" w:eastAsia="zh-CN"/>
              </w:rPr>
            </w:pPr>
            <w:r>
              <w:rPr>
                <w:color w:val="auto"/>
                <w:lang w:val="en-US" w:eastAsia="zh-CN"/>
              </w:rPr>
              <w:t>0.70</w:t>
            </w:r>
          </w:p>
        </w:tc>
        <w:tc>
          <w:tcPr>
            <w:tcW w:w="1717" w:type="pct"/>
            <w:noWrap/>
            <w:vAlign w:val="center"/>
          </w:tcPr>
          <w:p w14:paraId="16221239">
            <w:pPr>
              <w:pStyle w:val="17"/>
              <w:bidi w:val="0"/>
              <w:rPr>
                <w:color w:val="auto"/>
                <w:lang w:val="en-US" w:eastAsia="zh-CN"/>
              </w:rPr>
            </w:pPr>
            <w:r>
              <w:rPr>
                <w:rFonts w:hint="eastAsia"/>
                <w:color w:val="auto"/>
                <w:lang w:val="en-US" w:eastAsia="zh-CN"/>
              </w:rPr>
              <w:t>a</w:t>
            </w:r>
            <w:r>
              <w:rPr>
                <w:rFonts w:hint="eastAsia"/>
                <w:color w:val="auto"/>
                <w:vertAlign w:val="subscript"/>
                <w:lang w:val="en-US" w:eastAsia="zh-CN"/>
              </w:rPr>
              <w:t>1</w:t>
            </w:r>
            <w:r>
              <w:rPr>
                <w:rFonts w:hint="eastAsia"/>
                <w:color w:val="auto"/>
                <w:lang w:val="en-US" w:eastAsia="zh-CN"/>
              </w:rPr>
              <w:t>=b</w:t>
            </w:r>
            <w:r>
              <w:rPr>
                <w:rFonts w:hint="eastAsia"/>
                <w:color w:val="auto"/>
                <w:vertAlign w:val="subscript"/>
                <w:lang w:val="en-US" w:eastAsia="zh-CN"/>
              </w:rPr>
              <w:t>1</w:t>
            </w:r>
            <w:r>
              <w:rPr>
                <w:rFonts w:hint="eastAsia"/>
                <w:color w:val="auto"/>
                <w:lang w:val="en-US" w:eastAsia="zh-CN"/>
              </w:rPr>
              <w:t>+2mh</w:t>
            </w:r>
            <w:r>
              <w:rPr>
                <w:rFonts w:hint="eastAsia"/>
                <w:color w:val="auto"/>
                <w:vertAlign w:val="subscript"/>
                <w:lang w:val="en-US" w:eastAsia="zh-CN"/>
              </w:rPr>
              <w:t>1</w:t>
            </w:r>
          </w:p>
        </w:tc>
      </w:tr>
      <w:tr w14:paraId="4FE5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vMerge w:val="continue"/>
            <w:noWrap/>
            <w:vAlign w:val="center"/>
          </w:tcPr>
          <w:p w14:paraId="1250DEFC">
            <w:pPr>
              <w:pStyle w:val="17"/>
              <w:bidi w:val="0"/>
              <w:rPr>
                <w:color w:val="auto"/>
                <w:lang w:val="en-US" w:eastAsia="zh-CN"/>
              </w:rPr>
            </w:pPr>
          </w:p>
        </w:tc>
        <w:tc>
          <w:tcPr>
            <w:tcW w:w="1124" w:type="pct"/>
            <w:noWrap/>
            <w:vAlign w:val="center"/>
          </w:tcPr>
          <w:p w14:paraId="438734DA">
            <w:pPr>
              <w:pStyle w:val="17"/>
              <w:bidi w:val="0"/>
              <w:rPr>
                <w:color w:val="auto"/>
                <w:lang w:val="en-US" w:eastAsia="zh-CN"/>
              </w:rPr>
            </w:pPr>
            <w:r>
              <w:rPr>
                <w:color w:val="auto"/>
                <w:lang w:val="en-US" w:eastAsia="zh-CN"/>
              </w:rPr>
              <w:t>水沟净断面积</w:t>
            </w:r>
          </w:p>
        </w:tc>
        <w:tc>
          <w:tcPr>
            <w:tcW w:w="368" w:type="pct"/>
            <w:noWrap/>
            <w:vAlign w:val="center"/>
          </w:tcPr>
          <w:p w14:paraId="350357BA">
            <w:pPr>
              <w:pStyle w:val="17"/>
              <w:bidi w:val="0"/>
              <w:rPr>
                <w:color w:val="auto"/>
                <w:lang w:val="en-US" w:eastAsia="zh-CN"/>
              </w:rPr>
            </w:pPr>
            <w:r>
              <w:rPr>
                <w:rFonts w:hint="eastAsia"/>
                <w:color w:val="auto"/>
                <w:lang w:val="en-US" w:eastAsia="zh-CN"/>
              </w:rPr>
              <w:t>S</w:t>
            </w:r>
            <w:r>
              <w:rPr>
                <w:rFonts w:hint="eastAsia"/>
                <w:color w:val="auto"/>
                <w:vertAlign w:val="subscript"/>
                <w:lang w:val="en-US" w:eastAsia="zh-CN"/>
              </w:rPr>
              <w:t>1</w:t>
            </w:r>
          </w:p>
        </w:tc>
        <w:tc>
          <w:tcPr>
            <w:tcW w:w="310" w:type="pct"/>
            <w:noWrap/>
            <w:vAlign w:val="center"/>
          </w:tcPr>
          <w:p w14:paraId="5C494DD0">
            <w:pPr>
              <w:pStyle w:val="17"/>
              <w:bidi w:val="0"/>
              <w:rPr>
                <w:color w:val="auto"/>
                <w:lang w:val="en-US" w:eastAsia="zh-CN"/>
              </w:rPr>
            </w:pPr>
            <w:r>
              <w:rPr>
                <w:rFonts w:hint="eastAsia"/>
                <w:color w:val="auto"/>
                <w:lang w:val="en-US" w:eastAsia="zh-CN"/>
              </w:rPr>
              <w:t>m</w:t>
            </w:r>
            <w:r>
              <w:rPr>
                <w:rFonts w:hint="eastAsia"/>
                <w:color w:val="auto"/>
                <w:vertAlign w:val="superscript"/>
                <w:lang w:val="en-US" w:eastAsia="zh-CN"/>
              </w:rPr>
              <w:t>2</w:t>
            </w:r>
          </w:p>
        </w:tc>
        <w:tc>
          <w:tcPr>
            <w:tcW w:w="389" w:type="pct"/>
            <w:noWrap/>
            <w:vAlign w:val="bottom"/>
          </w:tcPr>
          <w:p w14:paraId="033B1D33">
            <w:pPr>
              <w:pStyle w:val="17"/>
              <w:bidi w:val="0"/>
              <w:rPr>
                <w:color w:val="auto"/>
                <w:lang w:val="en-US" w:eastAsia="zh-CN"/>
              </w:rPr>
            </w:pPr>
            <w:r>
              <w:rPr>
                <w:color w:val="auto"/>
                <w:lang w:val="en-US" w:eastAsia="zh-CN"/>
              </w:rPr>
              <w:t>0.30</w:t>
            </w:r>
          </w:p>
        </w:tc>
        <w:tc>
          <w:tcPr>
            <w:tcW w:w="389" w:type="pct"/>
            <w:noWrap/>
            <w:vAlign w:val="bottom"/>
          </w:tcPr>
          <w:p w14:paraId="0DDBF1F1">
            <w:pPr>
              <w:pStyle w:val="17"/>
              <w:bidi w:val="0"/>
              <w:rPr>
                <w:color w:val="auto"/>
                <w:lang w:val="en-US" w:eastAsia="zh-CN"/>
              </w:rPr>
            </w:pPr>
            <w:r>
              <w:rPr>
                <w:color w:val="auto"/>
                <w:lang w:val="en-US" w:eastAsia="zh-CN"/>
              </w:rPr>
              <w:t>0.49</w:t>
            </w:r>
          </w:p>
        </w:tc>
        <w:tc>
          <w:tcPr>
            <w:tcW w:w="389" w:type="pct"/>
            <w:noWrap/>
            <w:vAlign w:val="bottom"/>
          </w:tcPr>
          <w:p w14:paraId="49DD57CF">
            <w:pPr>
              <w:pStyle w:val="17"/>
              <w:bidi w:val="0"/>
              <w:rPr>
                <w:color w:val="auto"/>
                <w:lang w:val="en-US" w:eastAsia="zh-CN"/>
              </w:rPr>
            </w:pPr>
            <w:r>
              <w:rPr>
                <w:color w:val="auto"/>
                <w:lang w:val="en-US" w:eastAsia="zh-CN"/>
              </w:rPr>
              <w:t>0.56</w:t>
            </w:r>
          </w:p>
        </w:tc>
        <w:tc>
          <w:tcPr>
            <w:tcW w:w="1717" w:type="pct"/>
            <w:noWrap/>
            <w:vAlign w:val="center"/>
          </w:tcPr>
          <w:p w14:paraId="4B7E85F4">
            <w:pPr>
              <w:pStyle w:val="17"/>
              <w:bidi w:val="0"/>
              <w:rPr>
                <w:color w:val="auto"/>
                <w:lang w:val="en-US" w:eastAsia="zh-CN"/>
              </w:rPr>
            </w:pPr>
          </w:p>
        </w:tc>
      </w:tr>
      <w:tr w14:paraId="5CCF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396D8557">
            <w:pPr>
              <w:pStyle w:val="17"/>
              <w:bidi w:val="0"/>
              <w:rPr>
                <w:color w:val="auto"/>
                <w:lang w:val="en-US" w:eastAsia="zh-CN"/>
              </w:rPr>
            </w:pPr>
            <w:r>
              <w:rPr>
                <w:color w:val="auto"/>
                <w:lang w:val="en-US" w:eastAsia="zh-CN"/>
              </w:rPr>
              <w:t>9</w:t>
            </w:r>
          </w:p>
        </w:tc>
        <w:tc>
          <w:tcPr>
            <w:tcW w:w="1124" w:type="pct"/>
            <w:noWrap/>
            <w:vAlign w:val="center"/>
          </w:tcPr>
          <w:p w14:paraId="39A13E09">
            <w:pPr>
              <w:pStyle w:val="17"/>
              <w:bidi w:val="0"/>
              <w:rPr>
                <w:color w:val="auto"/>
                <w:lang w:val="en-US" w:eastAsia="zh-CN"/>
              </w:rPr>
            </w:pPr>
            <w:r>
              <w:rPr>
                <w:color w:val="auto"/>
                <w:lang w:val="en-US" w:eastAsia="zh-CN"/>
              </w:rPr>
              <w:t>水沟过水断面积</w:t>
            </w:r>
          </w:p>
        </w:tc>
        <w:tc>
          <w:tcPr>
            <w:tcW w:w="368" w:type="pct"/>
            <w:noWrap/>
            <w:vAlign w:val="center"/>
          </w:tcPr>
          <w:p w14:paraId="79D5BA87">
            <w:pPr>
              <w:pStyle w:val="17"/>
              <w:bidi w:val="0"/>
              <w:rPr>
                <w:color w:val="auto"/>
                <w:lang w:val="en-US" w:eastAsia="zh-CN"/>
              </w:rPr>
            </w:pPr>
            <w:r>
              <w:rPr>
                <w:rFonts w:hint="eastAsia"/>
                <w:color w:val="auto"/>
                <w:lang w:val="en-US" w:eastAsia="zh-CN"/>
              </w:rPr>
              <w:t>W</w:t>
            </w:r>
          </w:p>
        </w:tc>
        <w:tc>
          <w:tcPr>
            <w:tcW w:w="310" w:type="pct"/>
            <w:noWrap/>
            <w:vAlign w:val="center"/>
          </w:tcPr>
          <w:p w14:paraId="1761D664">
            <w:pPr>
              <w:pStyle w:val="17"/>
              <w:bidi w:val="0"/>
              <w:rPr>
                <w:color w:val="auto"/>
                <w:lang w:val="en-US" w:eastAsia="zh-CN"/>
              </w:rPr>
            </w:pPr>
            <w:r>
              <w:rPr>
                <w:rFonts w:hint="eastAsia"/>
                <w:color w:val="auto"/>
                <w:lang w:val="en-US" w:eastAsia="zh-CN"/>
              </w:rPr>
              <w:t>m</w:t>
            </w:r>
            <w:r>
              <w:rPr>
                <w:rFonts w:hint="eastAsia"/>
                <w:color w:val="auto"/>
                <w:vertAlign w:val="superscript"/>
                <w:lang w:val="en-US" w:eastAsia="zh-CN"/>
              </w:rPr>
              <w:t>2</w:t>
            </w:r>
          </w:p>
        </w:tc>
        <w:tc>
          <w:tcPr>
            <w:tcW w:w="389" w:type="pct"/>
            <w:noWrap/>
            <w:vAlign w:val="bottom"/>
          </w:tcPr>
          <w:p w14:paraId="1F6A6BDC">
            <w:pPr>
              <w:pStyle w:val="17"/>
              <w:bidi w:val="0"/>
              <w:rPr>
                <w:color w:val="auto"/>
                <w:lang w:val="en-US" w:eastAsia="zh-CN"/>
              </w:rPr>
            </w:pPr>
            <w:r>
              <w:rPr>
                <w:color w:val="auto"/>
                <w:lang w:val="en-US" w:eastAsia="zh-CN"/>
              </w:rPr>
              <w:t>0.17</w:t>
            </w:r>
          </w:p>
        </w:tc>
        <w:tc>
          <w:tcPr>
            <w:tcW w:w="389" w:type="pct"/>
            <w:noWrap/>
            <w:vAlign w:val="bottom"/>
          </w:tcPr>
          <w:p w14:paraId="50B88CDF">
            <w:pPr>
              <w:pStyle w:val="17"/>
              <w:bidi w:val="0"/>
              <w:rPr>
                <w:color w:val="auto"/>
                <w:lang w:val="en-US" w:eastAsia="zh-CN"/>
              </w:rPr>
            </w:pPr>
            <w:r>
              <w:rPr>
                <w:color w:val="auto"/>
                <w:lang w:val="en-US" w:eastAsia="zh-CN"/>
              </w:rPr>
              <w:t>0.29</w:t>
            </w:r>
          </w:p>
        </w:tc>
        <w:tc>
          <w:tcPr>
            <w:tcW w:w="389" w:type="pct"/>
            <w:vAlign w:val="bottom"/>
          </w:tcPr>
          <w:p w14:paraId="53011875">
            <w:pPr>
              <w:pStyle w:val="17"/>
              <w:bidi w:val="0"/>
              <w:rPr>
                <w:color w:val="auto"/>
                <w:lang w:val="en-US" w:eastAsia="zh-CN"/>
              </w:rPr>
            </w:pPr>
            <w:r>
              <w:rPr>
                <w:color w:val="auto"/>
                <w:lang w:val="en-US" w:eastAsia="zh-CN"/>
              </w:rPr>
              <w:t>0.30</w:t>
            </w:r>
          </w:p>
        </w:tc>
        <w:tc>
          <w:tcPr>
            <w:tcW w:w="1717" w:type="pct"/>
            <w:vAlign w:val="center"/>
          </w:tcPr>
          <w:p w14:paraId="6C142B59">
            <w:pPr>
              <w:pStyle w:val="17"/>
              <w:bidi w:val="0"/>
              <w:rPr>
                <w:color w:val="auto"/>
                <w:lang w:val="en-US" w:eastAsia="zh-CN"/>
              </w:rPr>
            </w:pPr>
            <w:r>
              <w:rPr>
                <w:rFonts w:hint="eastAsia"/>
                <w:color w:val="auto"/>
                <w:lang w:val="en-US" w:eastAsia="zh-CN"/>
              </w:rPr>
              <w:t>W=（b</w:t>
            </w:r>
            <w:r>
              <w:rPr>
                <w:rFonts w:hint="eastAsia"/>
                <w:color w:val="auto"/>
                <w:vertAlign w:val="subscript"/>
                <w:lang w:val="en-US" w:eastAsia="zh-CN"/>
              </w:rPr>
              <w:t>1</w:t>
            </w:r>
            <w:r>
              <w:rPr>
                <w:rFonts w:hint="eastAsia"/>
                <w:color w:val="auto"/>
                <w:lang w:val="en-US" w:eastAsia="zh-CN"/>
              </w:rPr>
              <w:t>+m</w:t>
            </w:r>
            <w:r>
              <w:rPr>
                <w:rFonts w:hint="eastAsia"/>
                <w:color w:val="auto"/>
                <w:vertAlign w:val="subscript"/>
                <w:lang w:val="en-US" w:eastAsia="zh-CN"/>
              </w:rPr>
              <w:t>1</w:t>
            </w:r>
            <w:r>
              <w:rPr>
                <w:rFonts w:hint="eastAsia"/>
                <w:color w:val="auto"/>
                <w:lang w:val="en-US" w:eastAsia="zh-CN"/>
              </w:rPr>
              <w:t>h）×h</w:t>
            </w:r>
          </w:p>
        </w:tc>
      </w:tr>
      <w:tr w14:paraId="3A4A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31281939">
            <w:pPr>
              <w:pStyle w:val="17"/>
              <w:bidi w:val="0"/>
              <w:rPr>
                <w:color w:val="auto"/>
                <w:lang w:val="en-US" w:eastAsia="zh-CN"/>
              </w:rPr>
            </w:pPr>
            <w:r>
              <w:rPr>
                <w:color w:val="auto"/>
                <w:lang w:val="en-US" w:eastAsia="zh-CN"/>
              </w:rPr>
              <w:t>10</w:t>
            </w:r>
          </w:p>
        </w:tc>
        <w:tc>
          <w:tcPr>
            <w:tcW w:w="1124" w:type="pct"/>
            <w:noWrap/>
            <w:vAlign w:val="center"/>
          </w:tcPr>
          <w:p w14:paraId="6A5C7D37">
            <w:pPr>
              <w:pStyle w:val="17"/>
              <w:bidi w:val="0"/>
              <w:rPr>
                <w:color w:val="auto"/>
                <w:lang w:val="en-US" w:eastAsia="zh-CN"/>
              </w:rPr>
            </w:pPr>
            <w:r>
              <w:rPr>
                <w:color w:val="auto"/>
                <w:lang w:val="en-US" w:eastAsia="zh-CN"/>
              </w:rPr>
              <w:t>水沟湿周</w:t>
            </w:r>
          </w:p>
        </w:tc>
        <w:tc>
          <w:tcPr>
            <w:tcW w:w="368" w:type="pct"/>
            <w:noWrap/>
            <w:vAlign w:val="center"/>
          </w:tcPr>
          <w:p w14:paraId="793C9B31">
            <w:pPr>
              <w:pStyle w:val="17"/>
              <w:bidi w:val="0"/>
              <w:rPr>
                <w:color w:val="auto"/>
                <w:lang w:val="en-US" w:eastAsia="zh-CN"/>
              </w:rPr>
            </w:pPr>
            <w:r>
              <w:rPr>
                <w:rFonts w:hint="eastAsia"/>
                <w:color w:val="auto"/>
                <w:lang w:val="en-US" w:eastAsia="zh-CN"/>
              </w:rPr>
              <w:t>P</w:t>
            </w:r>
            <w:r>
              <w:rPr>
                <w:rFonts w:hint="eastAsia"/>
                <w:color w:val="auto"/>
                <w:vertAlign w:val="subscript"/>
                <w:lang w:val="en-US" w:eastAsia="zh-CN"/>
              </w:rPr>
              <w:t>w</w:t>
            </w:r>
          </w:p>
        </w:tc>
        <w:tc>
          <w:tcPr>
            <w:tcW w:w="310" w:type="pct"/>
            <w:noWrap/>
            <w:vAlign w:val="center"/>
          </w:tcPr>
          <w:p w14:paraId="251A9C71">
            <w:pPr>
              <w:pStyle w:val="17"/>
              <w:bidi w:val="0"/>
              <w:rPr>
                <w:color w:val="auto"/>
                <w:lang w:val="en-US" w:eastAsia="zh-CN"/>
              </w:rPr>
            </w:pPr>
            <w:r>
              <w:rPr>
                <w:rFonts w:hint="eastAsia"/>
                <w:color w:val="auto"/>
                <w:lang w:val="en-US" w:eastAsia="zh-CN"/>
              </w:rPr>
              <w:t>m</w:t>
            </w:r>
          </w:p>
        </w:tc>
        <w:tc>
          <w:tcPr>
            <w:tcW w:w="389" w:type="pct"/>
            <w:noWrap/>
            <w:vAlign w:val="bottom"/>
          </w:tcPr>
          <w:p w14:paraId="08F0556C">
            <w:pPr>
              <w:pStyle w:val="17"/>
              <w:bidi w:val="0"/>
              <w:rPr>
                <w:color w:val="auto"/>
                <w:lang w:val="en-US" w:eastAsia="zh-CN"/>
              </w:rPr>
            </w:pPr>
            <w:r>
              <w:rPr>
                <w:color w:val="auto"/>
                <w:lang w:val="en-US" w:eastAsia="zh-CN"/>
              </w:rPr>
              <w:t>1.18</w:t>
            </w:r>
          </w:p>
        </w:tc>
        <w:tc>
          <w:tcPr>
            <w:tcW w:w="389" w:type="pct"/>
            <w:noWrap/>
            <w:vAlign w:val="bottom"/>
          </w:tcPr>
          <w:p w14:paraId="0709D6D2">
            <w:pPr>
              <w:pStyle w:val="17"/>
              <w:bidi w:val="0"/>
              <w:rPr>
                <w:color w:val="auto"/>
                <w:lang w:val="en-US" w:eastAsia="zh-CN"/>
              </w:rPr>
            </w:pPr>
            <w:r>
              <w:rPr>
                <w:color w:val="auto"/>
                <w:lang w:val="en-US" w:eastAsia="zh-CN"/>
              </w:rPr>
              <w:t>1.52</w:t>
            </w:r>
          </w:p>
        </w:tc>
        <w:tc>
          <w:tcPr>
            <w:tcW w:w="389" w:type="pct"/>
            <w:vAlign w:val="bottom"/>
          </w:tcPr>
          <w:p w14:paraId="1F82EDD0">
            <w:pPr>
              <w:pStyle w:val="17"/>
              <w:bidi w:val="0"/>
              <w:rPr>
                <w:color w:val="auto"/>
                <w:lang w:val="en-US" w:eastAsia="zh-CN"/>
              </w:rPr>
            </w:pPr>
            <w:r>
              <w:rPr>
                <w:color w:val="auto"/>
                <w:lang w:val="en-US" w:eastAsia="zh-CN"/>
              </w:rPr>
              <w:t>1.56</w:t>
            </w:r>
          </w:p>
        </w:tc>
        <w:tc>
          <w:tcPr>
            <w:tcW w:w="1717" w:type="pct"/>
            <w:vAlign w:val="center"/>
          </w:tcPr>
          <w:p w14:paraId="7CEA0EE3">
            <w:pPr>
              <w:pStyle w:val="17"/>
              <w:bidi w:val="0"/>
              <w:rPr>
                <w:color w:val="auto"/>
                <w:lang w:val="en-US" w:eastAsia="zh-CN"/>
              </w:rPr>
            </w:pPr>
            <w:r>
              <w:rPr>
                <w:rFonts w:hint="eastAsia"/>
                <w:color w:val="auto"/>
                <w:lang w:val="en-US" w:eastAsia="zh-CN"/>
              </w:rPr>
              <w:t>P</w:t>
            </w:r>
            <w:r>
              <w:rPr>
                <w:rFonts w:hint="eastAsia"/>
                <w:color w:val="auto"/>
                <w:vertAlign w:val="subscript"/>
                <w:lang w:val="en-US" w:eastAsia="zh-CN"/>
              </w:rPr>
              <w:t>W</w:t>
            </w:r>
            <w:r>
              <w:rPr>
                <w:rFonts w:hint="eastAsia"/>
                <w:color w:val="auto"/>
                <w:lang w:val="en-US" w:eastAsia="zh-CN"/>
              </w:rPr>
              <w:t>=b</w:t>
            </w:r>
            <w:r>
              <w:rPr>
                <w:rFonts w:hint="eastAsia"/>
                <w:color w:val="auto"/>
                <w:vertAlign w:val="subscript"/>
                <w:lang w:val="en-US" w:eastAsia="zh-CN"/>
              </w:rPr>
              <w:t>1</w:t>
            </w:r>
            <w:r>
              <w:rPr>
                <w:rFonts w:hint="eastAsia"/>
                <w:color w:val="auto"/>
                <w:lang w:val="en-US" w:eastAsia="zh-CN"/>
              </w:rPr>
              <w:t>+2h×（1+m</w:t>
            </w:r>
            <w:r>
              <w:rPr>
                <w:rFonts w:hint="eastAsia"/>
                <w:color w:val="auto"/>
                <w:vertAlign w:val="superscript"/>
                <w:lang w:val="en-US" w:eastAsia="zh-CN"/>
              </w:rPr>
              <w:t>2</w:t>
            </w:r>
            <w:r>
              <w:rPr>
                <w:rFonts w:hint="eastAsia"/>
                <w:color w:val="auto"/>
                <w:lang w:val="en-US" w:eastAsia="zh-CN"/>
              </w:rPr>
              <w:t>）1/2</w:t>
            </w:r>
          </w:p>
        </w:tc>
      </w:tr>
      <w:tr w14:paraId="4412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4901D774">
            <w:pPr>
              <w:pStyle w:val="17"/>
              <w:bidi w:val="0"/>
              <w:rPr>
                <w:color w:val="auto"/>
                <w:lang w:val="en-US" w:eastAsia="zh-CN"/>
              </w:rPr>
            </w:pPr>
            <w:r>
              <w:rPr>
                <w:color w:val="auto"/>
                <w:lang w:val="en-US" w:eastAsia="zh-CN"/>
              </w:rPr>
              <w:t>11</w:t>
            </w:r>
          </w:p>
        </w:tc>
        <w:tc>
          <w:tcPr>
            <w:tcW w:w="1124" w:type="pct"/>
            <w:noWrap/>
            <w:vAlign w:val="center"/>
          </w:tcPr>
          <w:p w14:paraId="66B35182">
            <w:pPr>
              <w:pStyle w:val="17"/>
              <w:bidi w:val="0"/>
              <w:rPr>
                <w:color w:val="auto"/>
                <w:lang w:val="en-US" w:eastAsia="zh-CN"/>
              </w:rPr>
            </w:pPr>
            <w:r>
              <w:rPr>
                <w:color w:val="auto"/>
                <w:lang w:val="en-US" w:eastAsia="zh-CN"/>
              </w:rPr>
              <w:t>水沟水力半径</w:t>
            </w:r>
          </w:p>
        </w:tc>
        <w:tc>
          <w:tcPr>
            <w:tcW w:w="368" w:type="pct"/>
            <w:noWrap/>
            <w:vAlign w:val="center"/>
          </w:tcPr>
          <w:p w14:paraId="084AD64D">
            <w:pPr>
              <w:pStyle w:val="17"/>
              <w:bidi w:val="0"/>
              <w:rPr>
                <w:color w:val="auto"/>
                <w:lang w:val="en-US" w:eastAsia="zh-CN"/>
              </w:rPr>
            </w:pPr>
            <w:r>
              <w:rPr>
                <w:rFonts w:hint="eastAsia"/>
                <w:color w:val="auto"/>
                <w:lang w:val="en-US" w:eastAsia="zh-CN"/>
              </w:rPr>
              <w:t>R</w:t>
            </w:r>
          </w:p>
        </w:tc>
        <w:tc>
          <w:tcPr>
            <w:tcW w:w="310" w:type="pct"/>
            <w:noWrap/>
            <w:vAlign w:val="center"/>
          </w:tcPr>
          <w:p w14:paraId="3A0BF4EE">
            <w:pPr>
              <w:pStyle w:val="17"/>
              <w:bidi w:val="0"/>
              <w:rPr>
                <w:color w:val="auto"/>
                <w:lang w:val="en-US" w:eastAsia="zh-CN"/>
              </w:rPr>
            </w:pPr>
            <w:r>
              <w:rPr>
                <w:rFonts w:hint="eastAsia"/>
                <w:color w:val="auto"/>
                <w:lang w:val="en-US" w:eastAsia="zh-CN"/>
              </w:rPr>
              <w:t>m</w:t>
            </w:r>
          </w:p>
        </w:tc>
        <w:tc>
          <w:tcPr>
            <w:tcW w:w="389" w:type="pct"/>
            <w:noWrap/>
            <w:vAlign w:val="bottom"/>
          </w:tcPr>
          <w:p w14:paraId="77C027B3">
            <w:pPr>
              <w:pStyle w:val="17"/>
              <w:bidi w:val="0"/>
              <w:rPr>
                <w:color w:val="auto"/>
                <w:lang w:val="en-US" w:eastAsia="zh-CN"/>
              </w:rPr>
            </w:pPr>
            <w:r>
              <w:rPr>
                <w:color w:val="auto"/>
                <w:lang w:val="en-US" w:eastAsia="zh-CN"/>
              </w:rPr>
              <w:t>0.15</w:t>
            </w:r>
          </w:p>
        </w:tc>
        <w:tc>
          <w:tcPr>
            <w:tcW w:w="389" w:type="pct"/>
            <w:noWrap/>
            <w:vAlign w:val="bottom"/>
          </w:tcPr>
          <w:p w14:paraId="21BFE4AE">
            <w:pPr>
              <w:pStyle w:val="17"/>
              <w:bidi w:val="0"/>
              <w:rPr>
                <w:color w:val="auto"/>
                <w:lang w:val="en-US" w:eastAsia="zh-CN"/>
              </w:rPr>
            </w:pPr>
            <w:r>
              <w:rPr>
                <w:color w:val="auto"/>
                <w:lang w:val="en-US" w:eastAsia="zh-CN"/>
              </w:rPr>
              <w:t>0.21</w:t>
            </w:r>
          </w:p>
        </w:tc>
        <w:tc>
          <w:tcPr>
            <w:tcW w:w="389" w:type="pct"/>
            <w:vAlign w:val="bottom"/>
          </w:tcPr>
          <w:p w14:paraId="59B4BB5B">
            <w:pPr>
              <w:pStyle w:val="17"/>
              <w:bidi w:val="0"/>
              <w:rPr>
                <w:color w:val="auto"/>
                <w:lang w:val="en-US" w:eastAsia="zh-CN"/>
              </w:rPr>
            </w:pPr>
            <w:r>
              <w:rPr>
                <w:color w:val="auto"/>
                <w:lang w:val="en-US" w:eastAsia="zh-CN"/>
              </w:rPr>
              <w:t>0.22</w:t>
            </w:r>
          </w:p>
        </w:tc>
        <w:tc>
          <w:tcPr>
            <w:tcW w:w="1717" w:type="pct"/>
            <w:vAlign w:val="center"/>
          </w:tcPr>
          <w:p w14:paraId="05846B3A">
            <w:pPr>
              <w:pStyle w:val="17"/>
              <w:bidi w:val="0"/>
              <w:rPr>
                <w:color w:val="auto"/>
                <w:lang w:val="en-US" w:eastAsia="zh-CN"/>
              </w:rPr>
            </w:pPr>
            <w:r>
              <w:rPr>
                <w:rFonts w:hint="eastAsia"/>
                <w:color w:val="auto"/>
                <w:lang w:val="en-US" w:eastAsia="zh-CN"/>
              </w:rPr>
              <w:t>R=W÷PW或R=h÷2</w:t>
            </w:r>
          </w:p>
        </w:tc>
      </w:tr>
      <w:tr w14:paraId="7CED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0C965972">
            <w:pPr>
              <w:pStyle w:val="17"/>
              <w:bidi w:val="0"/>
              <w:rPr>
                <w:color w:val="auto"/>
                <w:lang w:val="en-US" w:eastAsia="zh-CN"/>
              </w:rPr>
            </w:pPr>
            <w:r>
              <w:rPr>
                <w:color w:val="auto"/>
                <w:lang w:val="en-US" w:eastAsia="zh-CN"/>
              </w:rPr>
              <w:t>12</w:t>
            </w:r>
          </w:p>
        </w:tc>
        <w:tc>
          <w:tcPr>
            <w:tcW w:w="1124" w:type="pct"/>
            <w:noWrap/>
            <w:vAlign w:val="center"/>
          </w:tcPr>
          <w:p w14:paraId="7EF23544">
            <w:pPr>
              <w:pStyle w:val="17"/>
              <w:bidi w:val="0"/>
              <w:rPr>
                <w:color w:val="auto"/>
                <w:lang w:val="en-US" w:eastAsia="zh-CN"/>
              </w:rPr>
            </w:pPr>
            <w:r>
              <w:rPr>
                <w:color w:val="auto"/>
                <w:lang w:val="en-US" w:eastAsia="zh-CN"/>
              </w:rPr>
              <w:t>水沟平均流速</w:t>
            </w:r>
          </w:p>
        </w:tc>
        <w:tc>
          <w:tcPr>
            <w:tcW w:w="368" w:type="pct"/>
            <w:noWrap/>
            <w:vAlign w:val="center"/>
          </w:tcPr>
          <w:p w14:paraId="2CF25D27">
            <w:pPr>
              <w:pStyle w:val="17"/>
              <w:bidi w:val="0"/>
              <w:rPr>
                <w:color w:val="auto"/>
                <w:lang w:val="en-US" w:eastAsia="zh-CN"/>
              </w:rPr>
            </w:pPr>
            <w:r>
              <w:rPr>
                <w:rFonts w:hint="eastAsia"/>
                <w:color w:val="auto"/>
                <w:lang w:val="en-US" w:eastAsia="zh-CN"/>
              </w:rPr>
              <w:t>V</w:t>
            </w:r>
            <w:r>
              <w:rPr>
                <w:rFonts w:hint="eastAsia"/>
                <w:color w:val="auto"/>
                <w:vertAlign w:val="subscript"/>
                <w:lang w:val="en-US" w:eastAsia="zh-CN"/>
              </w:rPr>
              <w:t>m</w:t>
            </w:r>
          </w:p>
        </w:tc>
        <w:tc>
          <w:tcPr>
            <w:tcW w:w="310" w:type="pct"/>
            <w:noWrap/>
            <w:vAlign w:val="center"/>
          </w:tcPr>
          <w:p w14:paraId="68EC66ED">
            <w:pPr>
              <w:pStyle w:val="17"/>
              <w:bidi w:val="0"/>
              <w:rPr>
                <w:color w:val="auto"/>
                <w:lang w:val="en-US" w:eastAsia="zh-CN"/>
              </w:rPr>
            </w:pPr>
            <w:r>
              <w:rPr>
                <w:rFonts w:hint="eastAsia"/>
                <w:color w:val="auto"/>
                <w:lang w:val="en-US" w:eastAsia="zh-CN"/>
              </w:rPr>
              <w:t>m/s</w:t>
            </w:r>
          </w:p>
        </w:tc>
        <w:tc>
          <w:tcPr>
            <w:tcW w:w="389" w:type="pct"/>
            <w:noWrap/>
            <w:vAlign w:val="bottom"/>
          </w:tcPr>
          <w:p w14:paraId="5035700F">
            <w:pPr>
              <w:pStyle w:val="17"/>
              <w:bidi w:val="0"/>
              <w:rPr>
                <w:color w:val="auto"/>
                <w:lang w:val="en-US" w:eastAsia="zh-CN"/>
              </w:rPr>
            </w:pPr>
            <w:r>
              <w:rPr>
                <w:color w:val="auto"/>
                <w:lang w:val="en-US" w:eastAsia="zh-CN"/>
              </w:rPr>
              <w:t>1.01</w:t>
            </w:r>
          </w:p>
        </w:tc>
        <w:tc>
          <w:tcPr>
            <w:tcW w:w="389" w:type="pct"/>
            <w:noWrap/>
            <w:vAlign w:val="bottom"/>
          </w:tcPr>
          <w:p w14:paraId="2D18C0BF">
            <w:pPr>
              <w:pStyle w:val="17"/>
              <w:bidi w:val="0"/>
              <w:rPr>
                <w:color w:val="auto"/>
                <w:lang w:val="en-US" w:eastAsia="zh-CN"/>
              </w:rPr>
            </w:pPr>
            <w:r>
              <w:rPr>
                <w:color w:val="auto"/>
                <w:lang w:val="en-US" w:eastAsia="zh-CN"/>
              </w:rPr>
              <w:t>1.27</w:t>
            </w:r>
          </w:p>
        </w:tc>
        <w:tc>
          <w:tcPr>
            <w:tcW w:w="389" w:type="pct"/>
            <w:vAlign w:val="bottom"/>
          </w:tcPr>
          <w:p w14:paraId="29A73C4D">
            <w:pPr>
              <w:pStyle w:val="17"/>
              <w:bidi w:val="0"/>
              <w:rPr>
                <w:color w:val="auto"/>
                <w:lang w:val="en-US" w:eastAsia="zh-CN"/>
              </w:rPr>
            </w:pPr>
            <w:r>
              <w:rPr>
                <w:color w:val="auto"/>
                <w:lang w:val="en-US" w:eastAsia="zh-CN"/>
              </w:rPr>
              <w:t>1.31</w:t>
            </w:r>
          </w:p>
        </w:tc>
        <w:tc>
          <w:tcPr>
            <w:tcW w:w="1717" w:type="pct"/>
            <w:vAlign w:val="center"/>
          </w:tcPr>
          <w:p w14:paraId="0FC11271">
            <w:pPr>
              <w:pStyle w:val="17"/>
              <w:bidi w:val="0"/>
              <w:rPr>
                <w:color w:val="auto"/>
                <w:lang w:val="en-US" w:eastAsia="zh-CN"/>
              </w:rPr>
            </w:pPr>
            <w:r>
              <w:rPr>
                <w:rFonts w:hint="eastAsia"/>
                <w:color w:val="auto"/>
                <w:lang w:val="en-US" w:eastAsia="zh-CN"/>
              </w:rPr>
              <w:t>V</w:t>
            </w:r>
            <w:r>
              <w:rPr>
                <w:rFonts w:hint="eastAsia"/>
                <w:color w:val="auto"/>
                <w:vertAlign w:val="subscript"/>
                <w:lang w:val="en-US" w:eastAsia="zh-CN"/>
              </w:rPr>
              <w:t>m</w:t>
            </w:r>
            <w:r>
              <w:rPr>
                <w:rFonts w:hint="eastAsia"/>
                <w:color w:val="auto"/>
                <w:lang w:val="en-US" w:eastAsia="zh-CN"/>
              </w:rPr>
              <w:t>=R2/3×i1/2 ÷n</w:t>
            </w:r>
          </w:p>
        </w:tc>
      </w:tr>
      <w:tr w14:paraId="11D2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352D820C">
            <w:pPr>
              <w:pStyle w:val="17"/>
              <w:bidi w:val="0"/>
              <w:rPr>
                <w:color w:val="auto"/>
                <w:lang w:val="en-US" w:eastAsia="zh-CN"/>
              </w:rPr>
            </w:pPr>
            <w:r>
              <w:rPr>
                <w:color w:val="auto"/>
                <w:lang w:val="en-US" w:eastAsia="zh-CN"/>
              </w:rPr>
              <w:t>13</w:t>
            </w:r>
          </w:p>
        </w:tc>
        <w:tc>
          <w:tcPr>
            <w:tcW w:w="1124" w:type="pct"/>
            <w:noWrap/>
            <w:vAlign w:val="center"/>
          </w:tcPr>
          <w:p w14:paraId="2DE2DB41">
            <w:pPr>
              <w:pStyle w:val="17"/>
              <w:bidi w:val="0"/>
              <w:rPr>
                <w:color w:val="auto"/>
                <w:lang w:val="en-US" w:eastAsia="zh-CN"/>
              </w:rPr>
            </w:pPr>
            <w:r>
              <w:rPr>
                <w:color w:val="auto"/>
                <w:lang w:val="en-US" w:eastAsia="zh-CN"/>
              </w:rPr>
              <w:t>水沟最大水流断面积</w:t>
            </w:r>
          </w:p>
        </w:tc>
        <w:tc>
          <w:tcPr>
            <w:tcW w:w="368" w:type="pct"/>
            <w:noWrap/>
            <w:vAlign w:val="center"/>
          </w:tcPr>
          <w:p w14:paraId="73021EBB">
            <w:pPr>
              <w:pStyle w:val="17"/>
              <w:bidi w:val="0"/>
              <w:rPr>
                <w:color w:val="auto"/>
                <w:lang w:val="en-US" w:eastAsia="zh-CN"/>
              </w:rPr>
            </w:pPr>
            <w:r>
              <w:rPr>
                <w:rFonts w:hint="eastAsia"/>
                <w:color w:val="auto"/>
                <w:lang w:val="en-US" w:eastAsia="zh-CN"/>
              </w:rPr>
              <w:t>S</w:t>
            </w:r>
            <w:r>
              <w:rPr>
                <w:rFonts w:hint="eastAsia"/>
                <w:color w:val="auto"/>
                <w:vertAlign w:val="subscript"/>
                <w:lang w:val="en-US" w:eastAsia="zh-CN"/>
              </w:rPr>
              <w:t>max</w:t>
            </w:r>
          </w:p>
        </w:tc>
        <w:tc>
          <w:tcPr>
            <w:tcW w:w="310" w:type="pct"/>
            <w:noWrap/>
            <w:vAlign w:val="center"/>
          </w:tcPr>
          <w:p w14:paraId="3361EF22">
            <w:pPr>
              <w:pStyle w:val="17"/>
              <w:bidi w:val="0"/>
              <w:rPr>
                <w:color w:val="auto"/>
                <w:lang w:val="en-US" w:eastAsia="zh-CN"/>
              </w:rPr>
            </w:pPr>
            <w:r>
              <w:rPr>
                <w:rFonts w:hint="eastAsia"/>
                <w:color w:val="auto"/>
                <w:lang w:val="en-US" w:eastAsia="zh-CN"/>
              </w:rPr>
              <w:t>m</w:t>
            </w:r>
            <w:r>
              <w:rPr>
                <w:rFonts w:hint="eastAsia"/>
                <w:color w:val="auto"/>
                <w:vertAlign w:val="superscript"/>
                <w:lang w:val="en-US" w:eastAsia="zh-CN"/>
              </w:rPr>
              <w:t>2</w:t>
            </w:r>
          </w:p>
        </w:tc>
        <w:tc>
          <w:tcPr>
            <w:tcW w:w="389" w:type="pct"/>
            <w:noWrap/>
            <w:vAlign w:val="center"/>
          </w:tcPr>
          <w:p w14:paraId="4F1FC74A">
            <w:pPr>
              <w:pStyle w:val="17"/>
              <w:bidi w:val="0"/>
              <w:rPr>
                <w:color w:val="auto"/>
                <w:lang w:val="en-US" w:eastAsia="zh-CN"/>
              </w:rPr>
            </w:pPr>
            <w:r>
              <w:rPr>
                <w:color w:val="auto"/>
                <w:lang w:val="en-US" w:eastAsia="zh-CN"/>
              </w:rPr>
              <w:t>0.23</w:t>
            </w:r>
          </w:p>
        </w:tc>
        <w:tc>
          <w:tcPr>
            <w:tcW w:w="389" w:type="pct"/>
            <w:noWrap/>
            <w:vAlign w:val="center"/>
          </w:tcPr>
          <w:p w14:paraId="112D36DB">
            <w:pPr>
              <w:pStyle w:val="17"/>
              <w:bidi w:val="0"/>
              <w:rPr>
                <w:color w:val="auto"/>
                <w:lang w:val="en-US" w:eastAsia="zh-CN"/>
              </w:rPr>
            </w:pPr>
            <w:r>
              <w:rPr>
                <w:color w:val="auto"/>
                <w:lang w:val="en-US" w:eastAsia="zh-CN"/>
              </w:rPr>
              <w:t>0.37</w:t>
            </w:r>
          </w:p>
        </w:tc>
        <w:tc>
          <w:tcPr>
            <w:tcW w:w="389" w:type="pct"/>
            <w:vAlign w:val="center"/>
          </w:tcPr>
          <w:p w14:paraId="0E9E224A">
            <w:pPr>
              <w:pStyle w:val="17"/>
              <w:bidi w:val="0"/>
              <w:rPr>
                <w:color w:val="auto"/>
                <w:lang w:val="en-US" w:eastAsia="zh-CN"/>
              </w:rPr>
            </w:pPr>
            <w:r>
              <w:rPr>
                <w:color w:val="auto"/>
                <w:lang w:val="en-US" w:eastAsia="zh-CN"/>
              </w:rPr>
              <w:t>0.42</w:t>
            </w:r>
          </w:p>
        </w:tc>
        <w:tc>
          <w:tcPr>
            <w:tcW w:w="1717" w:type="pct"/>
            <w:vAlign w:val="center"/>
          </w:tcPr>
          <w:p w14:paraId="6396233C">
            <w:pPr>
              <w:pStyle w:val="17"/>
              <w:bidi w:val="0"/>
              <w:rPr>
                <w:color w:val="auto"/>
                <w:lang w:val="en-US" w:eastAsia="zh-CN"/>
              </w:rPr>
            </w:pPr>
            <w:r>
              <w:rPr>
                <w:rFonts w:hint="eastAsia"/>
                <w:color w:val="auto"/>
                <w:lang w:val="en-US" w:eastAsia="zh-CN"/>
              </w:rPr>
              <w:t>不超过水沟净断面积的75%</w:t>
            </w:r>
          </w:p>
        </w:tc>
      </w:tr>
      <w:tr w14:paraId="4859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0" w:type="pct"/>
            <w:noWrap/>
            <w:vAlign w:val="center"/>
          </w:tcPr>
          <w:p w14:paraId="5612D0BF">
            <w:pPr>
              <w:pStyle w:val="17"/>
              <w:bidi w:val="0"/>
              <w:rPr>
                <w:color w:val="auto"/>
                <w:lang w:val="en-US" w:eastAsia="zh-CN"/>
              </w:rPr>
            </w:pPr>
            <w:r>
              <w:rPr>
                <w:color w:val="auto"/>
                <w:lang w:val="en-US" w:eastAsia="zh-CN"/>
              </w:rPr>
              <w:t>14</w:t>
            </w:r>
          </w:p>
        </w:tc>
        <w:tc>
          <w:tcPr>
            <w:tcW w:w="1124" w:type="pct"/>
            <w:noWrap/>
            <w:vAlign w:val="center"/>
          </w:tcPr>
          <w:p w14:paraId="2ADF1E5B">
            <w:pPr>
              <w:pStyle w:val="17"/>
              <w:bidi w:val="0"/>
              <w:rPr>
                <w:color w:val="auto"/>
                <w:lang w:val="en-US" w:eastAsia="zh-CN"/>
              </w:rPr>
            </w:pPr>
            <w:r>
              <w:rPr>
                <w:color w:val="auto"/>
                <w:lang w:val="en-US" w:eastAsia="zh-CN"/>
              </w:rPr>
              <w:t>设计排水沟最大流量校核</w:t>
            </w:r>
          </w:p>
        </w:tc>
        <w:tc>
          <w:tcPr>
            <w:tcW w:w="368" w:type="pct"/>
            <w:noWrap/>
            <w:vAlign w:val="center"/>
          </w:tcPr>
          <w:p w14:paraId="4C9C6346">
            <w:pPr>
              <w:pStyle w:val="17"/>
              <w:bidi w:val="0"/>
              <w:rPr>
                <w:color w:val="auto"/>
                <w:lang w:val="en-US" w:eastAsia="zh-CN"/>
              </w:rPr>
            </w:pPr>
            <w:r>
              <w:rPr>
                <w:rFonts w:hint="eastAsia"/>
                <w:color w:val="auto"/>
                <w:lang w:val="en-US" w:eastAsia="zh-CN"/>
              </w:rPr>
              <w:t>Q</w:t>
            </w:r>
            <w:r>
              <w:rPr>
                <w:rFonts w:hint="eastAsia"/>
                <w:color w:val="auto"/>
                <w:vertAlign w:val="subscript"/>
                <w:lang w:val="en-US" w:eastAsia="zh-CN"/>
              </w:rPr>
              <w:t>max</w:t>
            </w:r>
          </w:p>
        </w:tc>
        <w:tc>
          <w:tcPr>
            <w:tcW w:w="310" w:type="pct"/>
            <w:noWrap/>
            <w:vAlign w:val="center"/>
          </w:tcPr>
          <w:p w14:paraId="26994295">
            <w:pPr>
              <w:pStyle w:val="17"/>
              <w:bidi w:val="0"/>
              <w:rPr>
                <w:color w:val="auto"/>
                <w:lang w:val="en-US" w:eastAsia="zh-CN"/>
              </w:rPr>
            </w:pPr>
            <w:r>
              <w:rPr>
                <w:rFonts w:hint="eastAsia"/>
                <w:color w:val="auto"/>
                <w:lang w:val="en-US" w:eastAsia="zh-CN"/>
              </w:rPr>
              <w:t>m</w:t>
            </w:r>
            <w:r>
              <w:rPr>
                <w:rFonts w:hint="eastAsia"/>
                <w:color w:val="auto"/>
                <w:vertAlign w:val="superscript"/>
                <w:lang w:val="en-US" w:eastAsia="zh-CN"/>
              </w:rPr>
              <w:t>3</w:t>
            </w:r>
            <w:r>
              <w:rPr>
                <w:rFonts w:hint="eastAsia"/>
                <w:color w:val="auto"/>
                <w:lang w:val="en-US" w:eastAsia="zh-CN"/>
              </w:rPr>
              <w:t>/s</w:t>
            </w:r>
          </w:p>
        </w:tc>
        <w:tc>
          <w:tcPr>
            <w:tcW w:w="389" w:type="pct"/>
            <w:noWrap/>
            <w:vAlign w:val="center"/>
          </w:tcPr>
          <w:p w14:paraId="609C12E9">
            <w:pPr>
              <w:pStyle w:val="17"/>
              <w:bidi w:val="0"/>
              <w:rPr>
                <w:color w:val="auto"/>
                <w:lang w:val="en-US" w:eastAsia="zh-CN"/>
              </w:rPr>
            </w:pPr>
            <w:r>
              <w:rPr>
                <w:color w:val="auto"/>
                <w:lang w:val="en-US" w:eastAsia="zh-CN"/>
              </w:rPr>
              <w:t>0.23</w:t>
            </w:r>
          </w:p>
        </w:tc>
        <w:tc>
          <w:tcPr>
            <w:tcW w:w="389" w:type="pct"/>
            <w:noWrap/>
            <w:vAlign w:val="center"/>
          </w:tcPr>
          <w:p w14:paraId="5E8E6B1B">
            <w:pPr>
              <w:pStyle w:val="17"/>
              <w:bidi w:val="0"/>
              <w:rPr>
                <w:color w:val="auto"/>
                <w:lang w:val="en-US" w:eastAsia="zh-CN"/>
              </w:rPr>
            </w:pPr>
            <w:r>
              <w:rPr>
                <w:color w:val="auto"/>
                <w:lang w:val="en-US" w:eastAsia="zh-CN"/>
              </w:rPr>
              <w:t>0.47</w:t>
            </w:r>
          </w:p>
        </w:tc>
        <w:tc>
          <w:tcPr>
            <w:tcW w:w="389" w:type="pct"/>
            <w:noWrap/>
            <w:vAlign w:val="center"/>
          </w:tcPr>
          <w:p w14:paraId="18AFCB52">
            <w:pPr>
              <w:pStyle w:val="17"/>
              <w:bidi w:val="0"/>
              <w:rPr>
                <w:color w:val="auto"/>
                <w:lang w:val="en-US" w:eastAsia="zh-CN"/>
              </w:rPr>
            </w:pPr>
            <w:r>
              <w:rPr>
                <w:color w:val="auto"/>
                <w:lang w:val="en-US" w:eastAsia="zh-CN"/>
              </w:rPr>
              <w:t>0.55</w:t>
            </w:r>
          </w:p>
        </w:tc>
        <w:tc>
          <w:tcPr>
            <w:tcW w:w="1717" w:type="pct"/>
            <w:noWrap/>
            <w:vAlign w:val="center"/>
          </w:tcPr>
          <w:p w14:paraId="2B17BA78">
            <w:pPr>
              <w:pStyle w:val="17"/>
              <w:bidi w:val="0"/>
              <w:rPr>
                <w:color w:val="auto"/>
                <w:lang w:val="en-US" w:eastAsia="zh-CN"/>
              </w:rPr>
            </w:pPr>
            <w:r>
              <w:rPr>
                <w:rFonts w:hint="eastAsia"/>
                <w:color w:val="auto"/>
                <w:lang w:val="en-US" w:eastAsia="zh-CN"/>
              </w:rPr>
              <w:t>Q</w:t>
            </w:r>
            <w:r>
              <w:rPr>
                <w:rFonts w:hint="eastAsia"/>
                <w:color w:val="auto"/>
                <w:vertAlign w:val="subscript"/>
                <w:lang w:val="en-US" w:eastAsia="zh-CN"/>
              </w:rPr>
              <w:t>max</w:t>
            </w:r>
            <w:r>
              <w:rPr>
                <w:rFonts w:hint="eastAsia"/>
                <w:color w:val="auto"/>
                <w:lang w:val="en-US" w:eastAsia="zh-CN"/>
              </w:rPr>
              <w:t>=V</w:t>
            </w:r>
            <w:r>
              <w:rPr>
                <w:rFonts w:hint="eastAsia"/>
                <w:color w:val="auto"/>
                <w:vertAlign w:val="subscript"/>
                <w:lang w:val="en-US" w:eastAsia="zh-CN"/>
              </w:rPr>
              <w:t>m</w:t>
            </w:r>
            <w:r>
              <w:rPr>
                <w:rFonts w:hint="eastAsia"/>
                <w:color w:val="auto"/>
                <w:lang w:val="en-US" w:eastAsia="zh-CN"/>
              </w:rPr>
              <w:t>×S</w:t>
            </w:r>
            <w:r>
              <w:rPr>
                <w:rFonts w:hint="eastAsia"/>
                <w:color w:val="auto"/>
                <w:vertAlign w:val="subscript"/>
                <w:lang w:val="en-US" w:eastAsia="zh-CN"/>
              </w:rPr>
              <w:t>max</w:t>
            </w:r>
          </w:p>
        </w:tc>
      </w:tr>
    </w:tbl>
    <w:p w14:paraId="694E48B8">
      <w:pPr>
        <w:bidi w:val="0"/>
        <w:rPr>
          <w:rFonts w:hint="eastAsia"/>
          <w:color w:val="auto"/>
        </w:rPr>
      </w:pPr>
      <w:r>
        <w:rPr>
          <w:rFonts w:hint="eastAsia"/>
          <w:color w:val="auto"/>
        </w:rPr>
        <w:t>设计台阶排水沟基岩地段直接开挖毛沟，土层地段开挖后采用M7.5浆砌石砌筑，各段排水沟断面尺寸详见</w:t>
      </w:r>
      <w:r>
        <w:rPr>
          <w:rFonts w:hint="eastAsia"/>
          <w:color w:val="auto"/>
          <w:lang w:val="en-US" w:eastAsia="zh-CN"/>
        </w:rPr>
        <w:t>下</w:t>
      </w:r>
      <w:r>
        <w:rPr>
          <w:rFonts w:hint="eastAsia"/>
          <w:color w:val="auto"/>
        </w:rPr>
        <w:t>表。</w:t>
      </w:r>
    </w:p>
    <w:p w14:paraId="22C5ED66">
      <w:pPr>
        <w:pStyle w:val="16"/>
        <w:bidi w:val="0"/>
        <w:rPr>
          <w:rFonts w:hint="eastAsia"/>
          <w:color w:val="auto"/>
        </w:rPr>
      </w:pPr>
      <w:r>
        <w:rPr>
          <w:rFonts w:hint="eastAsia"/>
          <w:color w:val="auto"/>
        </w:rPr>
        <w:t>表</w:t>
      </w:r>
      <w:r>
        <w:rPr>
          <w:rFonts w:hint="eastAsia"/>
          <w:color w:val="auto"/>
          <w:lang w:val="en-US" w:eastAsia="zh-CN"/>
        </w:rPr>
        <w:t xml:space="preserve">3.5-5  </w:t>
      </w:r>
      <w:r>
        <w:rPr>
          <w:rFonts w:hint="eastAsia"/>
          <w:color w:val="auto"/>
        </w:rPr>
        <w:t>设计排水沟断面尺寸汇总表</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1"/>
        <w:gridCol w:w="1012"/>
        <w:gridCol w:w="835"/>
        <w:gridCol w:w="799"/>
        <w:gridCol w:w="871"/>
        <w:gridCol w:w="1508"/>
        <w:gridCol w:w="1971"/>
      </w:tblGrid>
      <w:tr w14:paraId="61CE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Merge w:val="restart"/>
            <w:vAlign w:val="center"/>
          </w:tcPr>
          <w:p w14:paraId="46E02D5C">
            <w:pPr>
              <w:pStyle w:val="17"/>
              <w:bidi w:val="0"/>
              <w:rPr>
                <w:b/>
                <w:bCs/>
                <w:color w:val="auto"/>
                <w:lang w:val="en-US" w:eastAsia="zh-CN"/>
              </w:rPr>
            </w:pPr>
            <w:r>
              <w:rPr>
                <w:b/>
                <w:bCs/>
                <w:color w:val="auto"/>
                <w:lang w:val="en-US" w:eastAsia="zh-CN"/>
              </w:rPr>
              <w:t>名称</w:t>
            </w:r>
          </w:p>
        </w:tc>
        <w:tc>
          <w:tcPr>
            <w:tcW w:w="538" w:type="pct"/>
            <w:vAlign w:val="center"/>
          </w:tcPr>
          <w:p w14:paraId="2138EA35">
            <w:pPr>
              <w:pStyle w:val="17"/>
              <w:bidi w:val="0"/>
              <w:rPr>
                <w:b/>
                <w:bCs/>
                <w:color w:val="auto"/>
                <w:lang w:val="en-US" w:eastAsia="zh-CN"/>
              </w:rPr>
            </w:pPr>
            <w:r>
              <w:rPr>
                <w:b/>
                <w:bCs/>
                <w:color w:val="auto"/>
                <w:lang w:val="en-US" w:eastAsia="zh-CN"/>
              </w:rPr>
              <w:t>长度</w:t>
            </w:r>
          </w:p>
        </w:tc>
        <w:tc>
          <w:tcPr>
            <w:tcW w:w="1332" w:type="pct"/>
            <w:gridSpan w:val="3"/>
            <w:vAlign w:val="center"/>
          </w:tcPr>
          <w:p w14:paraId="1F7DA72E">
            <w:pPr>
              <w:pStyle w:val="17"/>
              <w:bidi w:val="0"/>
              <w:rPr>
                <w:b/>
                <w:bCs/>
                <w:color w:val="auto"/>
                <w:lang w:val="en-US" w:eastAsia="zh-CN"/>
              </w:rPr>
            </w:pPr>
            <w:r>
              <w:rPr>
                <w:b/>
                <w:bCs/>
                <w:color w:val="auto"/>
                <w:lang w:val="en-US" w:eastAsia="zh-CN"/>
              </w:rPr>
              <w:t>排水沟尺寸（m）</w:t>
            </w:r>
          </w:p>
        </w:tc>
        <w:tc>
          <w:tcPr>
            <w:tcW w:w="802" w:type="pct"/>
            <w:vAlign w:val="center"/>
          </w:tcPr>
          <w:p w14:paraId="328364D5">
            <w:pPr>
              <w:pStyle w:val="17"/>
              <w:bidi w:val="0"/>
              <w:rPr>
                <w:b/>
                <w:bCs/>
                <w:color w:val="auto"/>
                <w:lang w:val="en-US" w:eastAsia="zh-CN"/>
              </w:rPr>
            </w:pPr>
            <w:r>
              <w:rPr>
                <w:b/>
                <w:bCs/>
                <w:color w:val="auto"/>
                <w:lang w:val="en-US" w:eastAsia="zh-CN"/>
              </w:rPr>
              <w:t>净断面积</w:t>
            </w:r>
          </w:p>
        </w:tc>
        <w:tc>
          <w:tcPr>
            <w:tcW w:w="1048" w:type="pct"/>
            <w:vMerge w:val="restart"/>
            <w:vAlign w:val="center"/>
          </w:tcPr>
          <w:p w14:paraId="75C0000A">
            <w:pPr>
              <w:pStyle w:val="17"/>
              <w:bidi w:val="0"/>
              <w:rPr>
                <w:b/>
                <w:bCs/>
                <w:color w:val="auto"/>
                <w:lang w:val="en-US" w:eastAsia="zh-CN"/>
              </w:rPr>
            </w:pPr>
            <w:r>
              <w:rPr>
                <w:b/>
                <w:bCs/>
                <w:color w:val="auto"/>
                <w:lang w:val="en-US" w:eastAsia="zh-CN"/>
              </w:rPr>
              <w:t>备注</w:t>
            </w:r>
          </w:p>
        </w:tc>
      </w:tr>
      <w:tr w14:paraId="38F4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Merge w:val="continue"/>
            <w:vAlign w:val="center"/>
          </w:tcPr>
          <w:p w14:paraId="48A3B6BB">
            <w:pPr>
              <w:pStyle w:val="17"/>
              <w:bidi w:val="0"/>
              <w:rPr>
                <w:color w:val="auto"/>
                <w:lang w:val="en-US" w:eastAsia="zh-CN"/>
              </w:rPr>
            </w:pPr>
          </w:p>
        </w:tc>
        <w:tc>
          <w:tcPr>
            <w:tcW w:w="538" w:type="pct"/>
            <w:vAlign w:val="center"/>
          </w:tcPr>
          <w:p w14:paraId="4BA5F54E">
            <w:pPr>
              <w:pStyle w:val="17"/>
              <w:bidi w:val="0"/>
              <w:rPr>
                <w:b/>
                <w:bCs/>
                <w:color w:val="auto"/>
                <w:lang w:val="en-US" w:eastAsia="zh-CN"/>
              </w:rPr>
            </w:pPr>
            <w:r>
              <w:rPr>
                <w:b/>
                <w:bCs/>
                <w:color w:val="auto"/>
                <w:lang w:val="en-US" w:eastAsia="zh-CN"/>
              </w:rPr>
              <w:t>（m）</w:t>
            </w:r>
          </w:p>
        </w:tc>
        <w:tc>
          <w:tcPr>
            <w:tcW w:w="444" w:type="pct"/>
            <w:vAlign w:val="center"/>
          </w:tcPr>
          <w:p w14:paraId="38C09537">
            <w:pPr>
              <w:pStyle w:val="17"/>
              <w:bidi w:val="0"/>
              <w:rPr>
                <w:b/>
                <w:bCs/>
                <w:color w:val="auto"/>
                <w:lang w:val="en-US" w:eastAsia="zh-CN"/>
              </w:rPr>
            </w:pPr>
            <w:r>
              <w:rPr>
                <w:b/>
                <w:bCs/>
                <w:color w:val="auto"/>
                <w:lang w:val="en-US" w:eastAsia="zh-CN"/>
              </w:rPr>
              <w:t>沟深</w:t>
            </w:r>
          </w:p>
        </w:tc>
        <w:tc>
          <w:tcPr>
            <w:tcW w:w="425" w:type="pct"/>
            <w:vAlign w:val="center"/>
          </w:tcPr>
          <w:p w14:paraId="4F293DB0">
            <w:pPr>
              <w:pStyle w:val="17"/>
              <w:bidi w:val="0"/>
              <w:rPr>
                <w:b/>
                <w:bCs/>
                <w:color w:val="auto"/>
                <w:lang w:val="en-US" w:eastAsia="zh-CN"/>
              </w:rPr>
            </w:pPr>
            <w:r>
              <w:rPr>
                <w:b/>
                <w:bCs/>
                <w:color w:val="auto"/>
                <w:lang w:val="en-US" w:eastAsia="zh-CN"/>
              </w:rPr>
              <w:t>顶宽</w:t>
            </w:r>
          </w:p>
        </w:tc>
        <w:tc>
          <w:tcPr>
            <w:tcW w:w="463" w:type="pct"/>
            <w:vAlign w:val="center"/>
          </w:tcPr>
          <w:p w14:paraId="7C30798D">
            <w:pPr>
              <w:pStyle w:val="17"/>
              <w:bidi w:val="0"/>
              <w:rPr>
                <w:b/>
                <w:bCs/>
                <w:color w:val="auto"/>
                <w:lang w:val="en-US" w:eastAsia="zh-CN"/>
              </w:rPr>
            </w:pPr>
            <w:r>
              <w:rPr>
                <w:b/>
                <w:bCs/>
                <w:color w:val="auto"/>
                <w:lang w:val="en-US" w:eastAsia="zh-CN"/>
              </w:rPr>
              <w:t>底宽</w:t>
            </w:r>
          </w:p>
        </w:tc>
        <w:tc>
          <w:tcPr>
            <w:tcW w:w="802" w:type="pct"/>
            <w:vAlign w:val="center"/>
          </w:tcPr>
          <w:p w14:paraId="6AB416A6">
            <w:pPr>
              <w:pStyle w:val="17"/>
              <w:bidi w:val="0"/>
              <w:rPr>
                <w:b/>
                <w:bCs/>
                <w:color w:val="auto"/>
                <w:lang w:val="en-US" w:eastAsia="zh-CN"/>
              </w:rPr>
            </w:pPr>
            <w:r>
              <w:rPr>
                <w:b/>
                <w:bCs/>
                <w:color w:val="auto"/>
                <w:lang w:val="en-US" w:eastAsia="zh-CN"/>
              </w:rPr>
              <w:t>（m</w:t>
            </w:r>
            <w:r>
              <w:rPr>
                <w:b/>
                <w:bCs/>
                <w:color w:val="auto"/>
                <w:vertAlign w:val="superscript"/>
                <w:lang w:val="en-US" w:eastAsia="zh-CN"/>
              </w:rPr>
              <w:t>3</w:t>
            </w:r>
            <w:r>
              <w:rPr>
                <w:b/>
                <w:bCs/>
                <w:color w:val="auto"/>
                <w:lang w:val="en-US" w:eastAsia="zh-CN"/>
              </w:rPr>
              <w:t>）</w:t>
            </w:r>
          </w:p>
        </w:tc>
        <w:tc>
          <w:tcPr>
            <w:tcW w:w="1048" w:type="pct"/>
            <w:vMerge w:val="continue"/>
            <w:vAlign w:val="center"/>
          </w:tcPr>
          <w:p w14:paraId="19D5C509">
            <w:pPr>
              <w:pStyle w:val="17"/>
              <w:bidi w:val="0"/>
              <w:rPr>
                <w:color w:val="auto"/>
                <w:lang w:val="en-US" w:eastAsia="zh-CN"/>
              </w:rPr>
            </w:pPr>
          </w:p>
        </w:tc>
      </w:tr>
      <w:tr w14:paraId="75DB0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Align w:val="center"/>
          </w:tcPr>
          <w:p w14:paraId="1B7F981F">
            <w:pPr>
              <w:pStyle w:val="17"/>
              <w:bidi w:val="0"/>
              <w:rPr>
                <w:color w:val="auto"/>
                <w:lang w:val="en-US" w:eastAsia="zh-CN"/>
              </w:rPr>
            </w:pPr>
            <w:r>
              <w:rPr>
                <w:color w:val="auto"/>
                <w:lang w:val="en-US" w:eastAsia="zh-CN"/>
              </w:rPr>
              <w:t>2</w:t>
            </w:r>
            <w:r>
              <w:rPr>
                <w:rFonts w:hint="eastAsia"/>
                <w:color w:val="auto"/>
                <w:lang w:val="en-US" w:eastAsia="zh-CN"/>
              </w:rPr>
              <w:t>020</w:t>
            </w:r>
            <w:r>
              <w:rPr>
                <w:color w:val="auto"/>
                <w:lang w:val="en-US" w:eastAsia="zh-CN"/>
              </w:rPr>
              <w:t>m平台排水沟</w:t>
            </w:r>
          </w:p>
        </w:tc>
        <w:tc>
          <w:tcPr>
            <w:tcW w:w="538" w:type="pct"/>
            <w:vAlign w:val="center"/>
          </w:tcPr>
          <w:p w14:paraId="08FB9F34">
            <w:pPr>
              <w:pStyle w:val="17"/>
              <w:bidi w:val="0"/>
              <w:rPr>
                <w:color w:val="auto"/>
                <w:lang w:val="en-US" w:eastAsia="zh-CN"/>
              </w:rPr>
            </w:pPr>
            <w:r>
              <w:rPr>
                <w:rFonts w:hint="eastAsia"/>
                <w:color w:val="auto"/>
                <w:lang w:val="en-US" w:eastAsia="zh-CN"/>
              </w:rPr>
              <w:t>414</w:t>
            </w:r>
          </w:p>
        </w:tc>
        <w:tc>
          <w:tcPr>
            <w:tcW w:w="444" w:type="pct"/>
            <w:vAlign w:val="center"/>
          </w:tcPr>
          <w:p w14:paraId="38173B5F">
            <w:pPr>
              <w:pStyle w:val="17"/>
              <w:bidi w:val="0"/>
              <w:rPr>
                <w:color w:val="auto"/>
                <w:lang w:val="en-US" w:eastAsia="zh-CN"/>
              </w:rPr>
            </w:pPr>
            <w:r>
              <w:rPr>
                <w:color w:val="auto"/>
                <w:lang w:val="en-US" w:eastAsia="zh-CN"/>
              </w:rPr>
              <w:t xml:space="preserve">0.50 </w:t>
            </w:r>
          </w:p>
        </w:tc>
        <w:tc>
          <w:tcPr>
            <w:tcW w:w="425" w:type="pct"/>
            <w:vAlign w:val="center"/>
          </w:tcPr>
          <w:p w14:paraId="6E4D8F2A">
            <w:pPr>
              <w:pStyle w:val="17"/>
              <w:bidi w:val="0"/>
              <w:rPr>
                <w:color w:val="auto"/>
                <w:lang w:val="en-US" w:eastAsia="zh-CN"/>
              </w:rPr>
            </w:pPr>
            <w:r>
              <w:rPr>
                <w:color w:val="auto"/>
                <w:lang w:val="en-US" w:eastAsia="zh-CN"/>
              </w:rPr>
              <w:t>0.</w:t>
            </w:r>
            <w:r>
              <w:rPr>
                <w:rFonts w:hint="eastAsia"/>
                <w:color w:val="auto"/>
                <w:lang w:val="en-US" w:eastAsia="zh-CN"/>
              </w:rPr>
              <w:t>6</w:t>
            </w:r>
            <w:r>
              <w:rPr>
                <w:color w:val="auto"/>
                <w:lang w:val="en-US" w:eastAsia="zh-CN"/>
              </w:rPr>
              <w:t xml:space="preserve">0 </w:t>
            </w:r>
          </w:p>
        </w:tc>
        <w:tc>
          <w:tcPr>
            <w:tcW w:w="463" w:type="pct"/>
            <w:vAlign w:val="center"/>
          </w:tcPr>
          <w:p w14:paraId="307A2E6D">
            <w:pPr>
              <w:pStyle w:val="17"/>
              <w:bidi w:val="0"/>
              <w:rPr>
                <w:color w:val="auto"/>
                <w:lang w:val="en-US" w:eastAsia="zh-CN"/>
              </w:rPr>
            </w:pPr>
            <w:r>
              <w:rPr>
                <w:color w:val="auto"/>
                <w:lang w:val="en-US" w:eastAsia="zh-CN"/>
              </w:rPr>
              <w:t>0.</w:t>
            </w:r>
            <w:r>
              <w:rPr>
                <w:rFonts w:hint="eastAsia"/>
                <w:color w:val="auto"/>
                <w:lang w:val="en-US" w:eastAsia="zh-CN"/>
              </w:rPr>
              <w:t>6</w:t>
            </w:r>
            <w:r>
              <w:rPr>
                <w:color w:val="auto"/>
                <w:lang w:val="en-US" w:eastAsia="zh-CN"/>
              </w:rPr>
              <w:t xml:space="preserve">0 </w:t>
            </w:r>
          </w:p>
        </w:tc>
        <w:tc>
          <w:tcPr>
            <w:tcW w:w="802" w:type="pct"/>
            <w:vAlign w:val="center"/>
          </w:tcPr>
          <w:p w14:paraId="5A53E24A">
            <w:pPr>
              <w:pStyle w:val="17"/>
              <w:bidi w:val="0"/>
              <w:rPr>
                <w:color w:val="auto"/>
                <w:lang w:val="en-US" w:eastAsia="zh-CN"/>
              </w:rPr>
            </w:pPr>
            <w:r>
              <w:rPr>
                <w:rFonts w:hint="eastAsia"/>
                <w:color w:val="auto"/>
                <w:lang w:val="en-US" w:eastAsia="zh-CN"/>
              </w:rPr>
              <w:t>0.30</w:t>
            </w:r>
          </w:p>
        </w:tc>
        <w:tc>
          <w:tcPr>
            <w:tcW w:w="1048" w:type="pct"/>
            <w:vMerge w:val="restart"/>
            <w:vAlign w:val="center"/>
          </w:tcPr>
          <w:p w14:paraId="5F1D10CA">
            <w:pPr>
              <w:pStyle w:val="17"/>
              <w:bidi w:val="0"/>
              <w:rPr>
                <w:color w:val="auto"/>
                <w:lang w:val="en-US" w:eastAsia="zh-CN"/>
              </w:rPr>
            </w:pPr>
            <w:r>
              <w:rPr>
                <w:color w:val="auto"/>
                <w:lang w:val="en-US" w:eastAsia="zh-CN"/>
              </w:rPr>
              <w:t>排水沟为矩形</w:t>
            </w:r>
          </w:p>
          <w:p w14:paraId="791A0266">
            <w:pPr>
              <w:pStyle w:val="17"/>
              <w:bidi w:val="0"/>
              <w:rPr>
                <w:color w:val="auto"/>
                <w:lang w:val="en-US" w:eastAsia="zh-CN"/>
              </w:rPr>
            </w:pPr>
            <w:r>
              <w:rPr>
                <w:color w:val="auto"/>
                <w:lang w:val="en-US" w:eastAsia="zh-CN"/>
              </w:rPr>
              <w:t>断面</w:t>
            </w:r>
          </w:p>
        </w:tc>
      </w:tr>
      <w:tr w14:paraId="3CB2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Align w:val="center"/>
          </w:tcPr>
          <w:p w14:paraId="6FBF59C9">
            <w:pPr>
              <w:pStyle w:val="17"/>
              <w:bidi w:val="0"/>
              <w:rPr>
                <w:color w:val="auto"/>
                <w:lang w:val="en-US" w:eastAsia="zh-CN"/>
              </w:rPr>
            </w:pPr>
            <w:r>
              <w:rPr>
                <w:rFonts w:hint="eastAsia"/>
                <w:color w:val="auto"/>
                <w:lang w:val="en-US" w:eastAsia="zh-CN"/>
              </w:rPr>
              <w:t>1975</w:t>
            </w:r>
            <w:r>
              <w:rPr>
                <w:color w:val="auto"/>
                <w:lang w:val="en-US" w:eastAsia="zh-CN"/>
              </w:rPr>
              <w:t>m平台排水沟</w:t>
            </w:r>
          </w:p>
        </w:tc>
        <w:tc>
          <w:tcPr>
            <w:tcW w:w="538" w:type="pct"/>
            <w:vAlign w:val="center"/>
          </w:tcPr>
          <w:p w14:paraId="1AE46371">
            <w:pPr>
              <w:pStyle w:val="17"/>
              <w:bidi w:val="0"/>
              <w:rPr>
                <w:color w:val="auto"/>
                <w:lang w:val="en-US" w:eastAsia="zh-CN"/>
              </w:rPr>
            </w:pPr>
            <w:r>
              <w:rPr>
                <w:rFonts w:hint="eastAsia"/>
                <w:color w:val="auto"/>
                <w:lang w:val="en-US" w:eastAsia="zh-CN"/>
              </w:rPr>
              <w:t>998</w:t>
            </w:r>
          </w:p>
        </w:tc>
        <w:tc>
          <w:tcPr>
            <w:tcW w:w="444" w:type="pct"/>
            <w:vAlign w:val="center"/>
          </w:tcPr>
          <w:p w14:paraId="46C79D6C">
            <w:pPr>
              <w:pStyle w:val="17"/>
              <w:bidi w:val="0"/>
              <w:rPr>
                <w:color w:val="auto"/>
                <w:lang w:val="en-US" w:eastAsia="zh-CN"/>
              </w:rPr>
            </w:pPr>
            <w:r>
              <w:rPr>
                <w:color w:val="auto"/>
                <w:lang w:val="en-US" w:eastAsia="zh-CN"/>
              </w:rPr>
              <w:t>0.</w:t>
            </w:r>
            <w:r>
              <w:rPr>
                <w:rFonts w:hint="eastAsia"/>
                <w:color w:val="auto"/>
                <w:lang w:val="en-US" w:eastAsia="zh-CN"/>
              </w:rPr>
              <w:t>7</w:t>
            </w:r>
            <w:r>
              <w:rPr>
                <w:color w:val="auto"/>
                <w:lang w:val="en-US" w:eastAsia="zh-CN"/>
              </w:rPr>
              <w:t xml:space="preserve">0 </w:t>
            </w:r>
          </w:p>
        </w:tc>
        <w:tc>
          <w:tcPr>
            <w:tcW w:w="425" w:type="pct"/>
            <w:vAlign w:val="center"/>
          </w:tcPr>
          <w:p w14:paraId="72EF1AFD">
            <w:pPr>
              <w:pStyle w:val="17"/>
              <w:bidi w:val="0"/>
              <w:rPr>
                <w:color w:val="auto"/>
                <w:lang w:val="en-US" w:eastAsia="zh-CN"/>
              </w:rPr>
            </w:pPr>
            <w:r>
              <w:rPr>
                <w:color w:val="auto"/>
                <w:lang w:val="en-US" w:eastAsia="zh-CN"/>
              </w:rPr>
              <w:t xml:space="preserve">0.70 </w:t>
            </w:r>
          </w:p>
        </w:tc>
        <w:tc>
          <w:tcPr>
            <w:tcW w:w="463" w:type="pct"/>
            <w:vAlign w:val="center"/>
          </w:tcPr>
          <w:p w14:paraId="59EB452F">
            <w:pPr>
              <w:pStyle w:val="17"/>
              <w:bidi w:val="0"/>
              <w:rPr>
                <w:color w:val="auto"/>
                <w:lang w:val="en-US" w:eastAsia="zh-CN"/>
              </w:rPr>
            </w:pPr>
            <w:r>
              <w:rPr>
                <w:color w:val="auto"/>
                <w:lang w:val="en-US" w:eastAsia="zh-CN"/>
              </w:rPr>
              <w:t xml:space="preserve">0.70 </w:t>
            </w:r>
          </w:p>
        </w:tc>
        <w:tc>
          <w:tcPr>
            <w:tcW w:w="802" w:type="pct"/>
            <w:vAlign w:val="center"/>
          </w:tcPr>
          <w:p w14:paraId="31C9FDDB">
            <w:pPr>
              <w:pStyle w:val="17"/>
              <w:bidi w:val="0"/>
              <w:rPr>
                <w:color w:val="auto"/>
                <w:lang w:val="en-US" w:eastAsia="zh-CN"/>
              </w:rPr>
            </w:pPr>
            <w:r>
              <w:rPr>
                <w:color w:val="auto"/>
                <w:lang w:val="en-US" w:eastAsia="zh-CN"/>
              </w:rPr>
              <w:t>0.</w:t>
            </w:r>
            <w:r>
              <w:rPr>
                <w:rFonts w:hint="eastAsia"/>
                <w:color w:val="auto"/>
                <w:lang w:val="en-US" w:eastAsia="zh-CN"/>
              </w:rPr>
              <w:t>49</w:t>
            </w:r>
          </w:p>
        </w:tc>
        <w:tc>
          <w:tcPr>
            <w:tcW w:w="1048" w:type="pct"/>
            <w:vMerge w:val="continue"/>
            <w:vAlign w:val="center"/>
          </w:tcPr>
          <w:p w14:paraId="2D1C95F9">
            <w:pPr>
              <w:pStyle w:val="17"/>
              <w:bidi w:val="0"/>
              <w:rPr>
                <w:color w:val="auto"/>
                <w:lang w:val="en-US" w:eastAsia="zh-CN"/>
              </w:rPr>
            </w:pPr>
          </w:p>
        </w:tc>
      </w:tr>
      <w:tr w14:paraId="0119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7" w:type="pct"/>
            <w:vAlign w:val="center"/>
          </w:tcPr>
          <w:p w14:paraId="1CB50EAB">
            <w:pPr>
              <w:pStyle w:val="17"/>
              <w:bidi w:val="0"/>
              <w:rPr>
                <w:color w:val="auto"/>
                <w:lang w:val="en-US" w:eastAsia="zh-CN"/>
              </w:rPr>
            </w:pPr>
            <w:r>
              <w:rPr>
                <w:rFonts w:hint="eastAsia"/>
                <w:color w:val="auto"/>
                <w:lang w:val="en-US" w:eastAsia="zh-CN"/>
              </w:rPr>
              <w:t>1960</w:t>
            </w:r>
            <w:r>
              <w:rPr>
                <w:color w:val="auto"/>
                <w:lang w:val="en-US" w:eastAsia="zh-CN"/>
              </w:rPr>
              <w:t>m平台排水沟</w:t>
            </w:r>
          </w:p>
        </w:tc>
        <w:tc>
          <w:tcPr>
            <w:tcW w:w="538" w:type="pct"/>
            <w:vAlign w:val="center"/>
          </w:tcPr>
          <w:p w14:paraId="690065D9">
            <w:pPr>
              <w:pStyle w:val="17"/>
              <w:bidi w:val="0"/>
              <w:rPr>
                <w:color w:val="auto"/>
                <w:lang w:val="en-US" w:eastAsia="zh-CN"/>
              </w:rPr>
            </w:pPr>
            <w:r>
              <w:rPr>
                <w:rFonts w:hint="eastAsia"/>
                <w:color w:val="auto"/>
                <w:lang w:val="en-US" w:eastAsia="zh-CN"/>
              </w:rPr>
              <w:t>1142</w:t>
            </w:r>
          </w:p>
        </w:tc>
        <w:tc>
          <w:tcPr>
            <w:tcW w:w="444" w:type="pct"/>
            <w:vAlign w:val="center"/>
          </w:tcPr>
          <w:p w14:paraId="4F502AB8">
            <w:pPr>
              <w:pStyle w:val="17"/>
              <w:bidi w:val="0"/>
              <w:rPr>
                <w:color w:val="auto"/>
                <w:lang w:val="en-US" w:eastAsia="zh-CN"/>
              </w:rPr>
            </w:pPr>
            <w:r>
              <w:rPr>
                <w:color w:val="auto"/>
                <w:lang w:val="en-US" w:eastAsia="zh-CN"/>
              </w:rPr>
              <w:t>0.</w:t>
            </w:r>
            <w:r>
              <w:rPr>
                <w:rFonts w:hint="eastAsia"/>
                <w:color w:val="auto"/>
                <w:lang w:val="en-US" w:eastAsia="zh-CN"/>
              </w:rPr>
              <w:t>8</w:t>
            </w:r>
            <w:r>
              <w:rPr>
                <w:color w:val="auto"/>
                <w:lang w:val="en-US" w:eastAsia="zh-CN"/>
              </w:rPr>
              <w:t xml:space="preserve">0 </w:t>
            </w:r>
          </w:p>
        </w:tc>
        <w:tc>
          <w:tcPr>
            <w:tcW w:w="425" w:type="pct"/>
            <w:vAlign w:val="center"/>
          </w:tcPr>
          <w:p w14:paraId="5183BC78">
            <w:pPr>
              <w:pStyle w:val="17"/>
              <w:bidi w:val="0"/>
              <w:rPr>
                <w:color w:val="auto"/>
                <w:lang w:val="en-US" w:eastAsia="zh-CN"/>
              </w:rPr>
            </w:pPr>
            <w:r>
              <w:rPr>
                <w:color w:val="auto"/>
                <w:lang w:val="en-US" w:eastAsia="zh-CN"/>
              </w:rPr>
              <w:t xml:space="preserve">0.70 </w:t>
            </w:r>
          </w:p>
        </w:tc>
        <w:tc>
          <w:tcPr>
            <w:tcW w:w="463" w:type="pct"/>
            <w:vAlign w:val="center"/>
          </w:tcPr>
          <w:p w14:paraId="45E22973">
            <w:pPr>
              <w:pStyle w:val="17"/>
              <w:bidi w:val="0"/>
              <w:rPr>
                <w:color w:val="auto"/>
                <w:lang w:val="en-US" w:eastAsia="zh-CN"/>
              </w:rPr>
            </w:pPr>
            <w:r>
              <w:rPr>
                <w:color w:val="auto"/>
                <w:lang w:val="en-US" w:eastAsia="zh-CN"/>
              </w:rPr>
              <w:t xml:space="preserve">0.70 </w:t>
            </w:r>
          </w:p>
        </w:tc>
        <w:tc>
          <w:tcPr>
            <w:tcW w:w="802" w:type="pct"/>
            <w:vAlign w:val="center"/>
          </w:tcPr>
          <w:p w14:paraId="105D0329">
            <w:pPr>
              <w:pStyle w:val="17"/>
              <w:bidi w:val="0"/>
              <w:rPr>
                <w:color w:val="auto"/>
                <w:lang w:val="en-US" w:eastAsia="zh-CN"/>
              </w:rPr>
            </w:pPr>
            <w:r>
              <w:rPr>
                <w:color w:val="auto"/>
                <w:lang w:val="en-US" w:eastAsia="zh-CN"/>
              </w:rPr>
              <w:t>0.</w:t>
            </w:r>
            <w:r>
              <w:rPr>
                <w:rFonts w:hint="eastAsia"/>
                <w:color w:val="auto"/>
                <w:lang w:val="en-US" w:eastAsia="zh-CN"/>
              </w:rPr>
              <w:t>56</w:t>
            </w:r>
          </w:p>
        </w:tc>
        <w:tc>
          <w:tcPr>
            <w:tcW w:w="1048" w:type="pct"/>
            <w:vMerge w:val="continue"/>
            <w:vAlign w:val="center"/>
          </w:tcPr>
          <w:p w14:paraId="5B4F0253">
            <w:pPr>
              <w:pStyle w:val="17"/>
              <w:bidi w:val="0"/>
              <w:rPr>
                <w:color w:val="auto"/>
                <w:lang w:val="en-US" w:eastAsia="zh-CN"/>
              </w:rPr>
            </w:pPr>
          </w:p>
        </w:tc>
      </w:tr>
    </w:tbl>
    <w:p w14:paraId="7DF9DC57">
      <w:pPr>
        <w:bidi w:val="0"/>
        <w:rPr>
          <w:rFonts w:hint="eastAsia"/>
          <w:color w:val="auto"/>
        </w:rPr>
      </w:pPr>
      <w:r>
        <w:rPr>
          <w:rFonts w:hint="eastAsia"/>
          <w:color w:val="auto"/>
          <w:lang w:val="en-US" w:eastAsia="zh-CN"/>
        </w:rPr>
        <w:t>3、</w:t>
      </w:r>
      <w:r>
        <w:rPr>
          <w:rFonts w:hint="eastAsia"/>
          <w:color w:val="auto"/>
        </w:rPr>
        <w:t>道路排水沟</w:t>
      </w:r>
    </w:p>
    <w:p w14:paraId="1740F3B1">
      <w:pPr>
        <w:bidi w:val="0"/>
        <w:rPr>
          <w:rFonts w:hint="eastAsia"/>
          <w:color w:val="auto"/>
        </w:rPr>
      </w:pPr>
      <w:r>
        <w:rPr>
          <w:rFonts w:hint="eastAsia"/>
          <w:color w:val="auto"/>
        </w:rPr>
        <w:t>设计在运输道路旁修筑排水沟，基岩地段直接开挖毛沟，土层地段开挖后采用M7.5浆砌石砌筑；排水沟为梯形断面，净断面尺寸：上口宽0.6m、下口宽0.4m、沟深0.4m。在1960m底部平台与1940m平台之间安装DN300的排水管导流，将1960m底部平台的水排至1940m</w:t>
      </w:r>
      <w:r>
        <w:rPr>
          <w:rFonts w:hint="eastAsia"/>
          <w:color w:val="auto"/>
          <w:lang w:val="en-US" w:eastAsia="zh-CN"/>
        </w:rPr>
        <w:t>平台道路</w:t>
      </w:r>
      <w:r>
        <w:rPr>
          <w:rFonts w:hint="eastAsia"/>
          <w:color w:val="auto"/>
        </w:rPr>
        <w:t>水沟。</w:t>
      </w:r>
    </w:p>
    <w:p w14:paraId="0B8FE700">
      <w:pPr>
        <w:pStyle w:val="4"/>
        <w:bidi w:val="0"/>
        <w:rPr>
          <w:rFonts w:ascii="Times New Roman" w:hAnsi="Times New Roman"/>
          <w:color w:val="auto"/>
        </w:rPr>
      </w:pPr>
      <w:bookmarkStart w:id="198" w:name="_Toc407"/>
      <w:bookmarkStart w:id="199" w:name="_Toc30518"/>
      <w:bookmarkStart w:id="200" w:name="_Toc6350"/>
      <w:bookmarkStart w:id="201" w:name="_Toc14925"/>
      <w:r>
        <w:rPr>
          <w:rFonts w:ascii="Times New Roman" w:hAnsi="Times New Roman"/>
          <w:color w:val="auto"/>
        </w:rPr>
        <w:t>3.5.5</w:t>
      </w:r>
      <w:r>
        <w:rPr>
          <w:rFonts w:hint="eastAsia" w:ascii="Times New Roman" w:hAnsi="Times New Roman"/>
          <w:color w:val="auto"/>
          <w:lang w:val="en-US" w:eastAsia="zh-CN"/>
        </w:rPr>
        <w:t xml:space="preserve"> </w:t>
      </w:r>
      <w:r>
        <w:rPr>
          <w:rFonts w:ascii="Times New Roman" w:hAnsi="Times New Roman"/>
          <w:color w:val="auto"/>
        </w:rPr>
        <w:t>单元小结</w:t>
      </w:r>
      <w:bookmarkEnd w:id="198"/>
      <w:bookmarkEnd w:id="199"/>
      <w:bookmarkEnd w:id="200"/>
      <w:bookmarkEnd w:id="201"/>
    </w:p>
    <w:p w14:paraId="4CBD4A72">
      <w:pPr>
        <w:bidi w:val="0"/>
        <w:rPr>
          <w:rFonts w:ascii="Times New Roman" w:hAnsi="Times New Roman"/>
          <w:color w:val="auto"/>
        </w:rPr>
      </w:pPr>
      <w:r>
        <w:rPr>
          <w:rFonts w:hint="eastAsia" w:ascii="Times New Roman" w:hAnsi="Times New Roman"/>
          <w:color w:val="auto"/>
          <w:lang w:eastAsia="zh-CN"/>
        </w:rPr>
        <w:t>初步设计（代可研）</w:t>
      </w:r>
      <w:r>
        <w:rPr>
          <w:rFonts w:ascii="Times New Roman" w:hAnsi="Times New Roman"/>
          <w:color w:val="auto"/>
        </w:rPr>
        <w:t>中对矿山防排水进行了设计描述，并提出了一些相应安全对策措施建议，基本符合《金属非金属矿山安全规程》</w:t>
      </w:r>
      <w:r>
        <w:rPr>
          <w:rFonts w:hint="eastAsia" w:ascii="Times New Roman" w:hAnsi="Times New Roman"/>
          <w:color w:val="auto"/>
          <w:lang w:eastAsia="zh-CN"/>
        </w:rPr>
        <w:t>（</w:t>
      </w:r>
      <w:r>
        <w:rPr>
          <w:rFonts w:ascii="Times New Roman" w:hAnsi="Times New Roman"/>
          <w:color w:val="auto"/>
        </w:rPr>
        <w:t>GB16423-2020</w:t>
      </w:r>
      <w:r>
        <w:rPr>
          <w:rFonts w:hint="eastAsia" w:ascii="Times New Roman" w:hAnsi="Times New Roman"/>
          <w:color w:val="auto"/>
          <w:lang w:eastAsia="zh-CN"/>
        </w:rPr>
        <w:t>）</w:t>
      </w:r>
      <w:r>
        <w:rPr>
          <w:rFonts w:ascii="Times New Roman" w:hAnsi="Times New Roman"/>
          <w:color w:val="auto"/>
        </w:rPr>
        <w:t>的相关要求。</w:t>
      </w:r>
    </w:p>
    <w:p w14:paraId="4F0BD6B0">
      <w:pPr>
        <w:bidi w:val="0"/>
        <w:rPr>
          <w:rFonts w:ascii="Times New Roman" w:hAnsi="Times New Roman"/>
          <w:color w:val="auto"/>
        </w:rPr>
      </w:pPr>
      <w:r>
        <w:rPr>
          <w:rFonts w:ascii="Times New Roman" w:hAnsi="Times New Roman"/>
          <w:color w:val="auto"/>
        </w:rPr>
        <w:t>本单元应注意以下问题：</w:t>
      </w:r>
    </w:p>
    <w:p w14:paraId="231DC33F">
      <w:pPr>
        <w:bidi w:val="0"/>
        <w:rPr>
          <w:rFonts w:ascii="Times New Roman" w:hAnsi="Times New Roman"/>
          <w:color w:val="auto"/>
        </w:rPr>
      </w:pPr>
      <w:r>
        <w:rPr>
          <w:rFonts w:ascii="Times New Roman" w:hAnsi="Times New Roman"/>
          <w:color w:val="auto"/>
        </w:rPr>
        <w:t>（1）</w:t>
      </w:r>
      <w:r>
        <w:rPr>
          <w:rFonts w:hint="eastAsia" w:ascii="Times New Roman" w:hAnsi="Times New Roman"/>
          <w:color w:val="auto"/>
          <w:lang w:eastAsia="zh-CN"/>
        </w:rPr>
        <w:t>初步设计（代可研）</w:t>
      </w:r>
      <w:r>
        <w:rPr>
          <w:rFonts w:ascii="Times New Roman" w:hAnsi="Times New Roman"/>
          <w:color w:val="auto"/>
        </w:rPr>
        <w:t>中未对防护用品仓库等重要场所的防火规定和措施进行说明，下一步设计中应完善建立防火制度，备足消防器材的相关要求。</w:t>
      </w:r>
    </w:p>
    <w:p w14:paraId="4307554B">
      <w:pPr>
        <w:bidi w:val="0"/>
        <w:rPr>
          <w:rFonts w:ascii="Times New Roman" w:hAnsi="Times New Roman"/>
          <w:color w:val="auto"/>
        </w:rPr>
      </w:pPr>
      <w:r>
        <w:rPr>
          <w:rFonts w:ascii="Times New Roman" w:hAnsi="Times New Roman"/>
          <w:color w:val="auto"/>
        </w:rPr>
        <w:t>（2）</w:t>
      </w:r>
      <w:r>
        <w:rPr>
          <w:rFonts w:hint="eastAsia" w:ascii="Times New Roman" w:hAnsi="Times New Roman"/>
          <w:color w:val="auto"/>
          <w:lang w:eastAsia="zh-CN"/>
        </w:rPr>
        <w:t>初步设计（代可研）</w:t>
      </w:r>
      <w:r>
        <w:rPr>
          <w:rFonts w:ascii="Times New Roman" w:hAnsi="Times New Roman"/>
          <w:color w:val="auto"/>
        </w:rPr>
        <w:t>中未对露天矿用设备配备灭火器情况进行说明，下一步设计中应完善</w:t>
      </w:r>
      <w:r>
        <w:rPr>
          <w:rFonts w:ascii="Times New Roman" w:hAnsi="Times New Roman"/>
          <w:color w:val="auto"/>
          <w:lang w:val="en-GB"/>
        </w:rPr>
        <w:t>重要采掘设备、</w:t>
      </w:r>
      <w:r>
        <w:rPr>
          <w:rFonts w:ascii="Times New Roman" w:hAnsi="Times New Roman"/>
          <w:color w:val="auto"/>
        </w:rPr>
        <w:t>配电室、生活办公区配备灭火器要求。</w:t>
      </w:r>
    </w:p>
    <w:p w14:paraId="0A7D078B">
      <w:pPr>
        <w:bidi w:val="0"/>
        <w:rPr>
          <w:rFonts w:ascii="Times New Roman" w:hAnsi="Times New Roman"/>
          <w:color w:val="auto"/>
        </w:rPr>
      </w:pPr>
      <w:r>
        <w:rPr>
          <w:rFonts w:ascii="Times New Roman" w:hAnsi="Times New Roman"/>
          <w:color w:val="auto"/>
        </w:rPr>
        <w:t>（3）矿山应完善采场防排水设施，特别是雨季，加强边坡监测和采场排水沟日常检查。</w:t>
      </w:r>
    </w:p>
    <w:p w14:paraId="7899E566">
      <w:pPr>
        <w:pStyle w:val="3"/>
        <w:bidi w:val="0"/>
        <w:rPr>
          <w:rFonts w:ascii="Times New Roman" w:hAnsi="Times New Roman"/>
          <w:color w:val="auto"/>
        </w:rPr>
      </w:pPr>
      <w:bookmarkStart w:id="202" w:name="_Toc19849"/>
      <w:bookmarkStart w:id="203" w:name="_Toc19005"/>
      <w:bookmarkStart w:id="204" w:name="_Toc17258"/>
      <w:bookmarkStart w:id="205" w:name="_Toc24341"/>
      <w:bookmarkStart w:id="206" w:name="_Toc9861"/>
      <w:bookmarkStart w:id="207" w:name="_Toc31883"/>
      <w:r>
        <w:rPr>
          <w:rFonts w:ascii="Times New Roman" w:hAnsi="Times New Roman"/>
          <w:color w:val="auto"/>
        </w:rPr>
        <w:t>3.</w:t>
      </w:r>
      <w:r>
        <w:rPr>
          <w:rFonts w:hint="eastAsia" w:ascii="Times New Roman" w:hAnsi="Times New Roman"/>
          <w:color w:val="auto"/>
          <w:lang w:val="en-US" w:eastAsia="zh-CN"/>
        </w:rPr>
        <w:t xml:space="preserve">6 </w:t>
      </w:r>
      <w:r>
        <w:rPr>
          <w:rFonts w:ascii="Times New Roman" w:hAnsi="Times New Roman"/>
          <w:color w:val="auto"/>
        </w:rPr>
        <w:t>安全管理及其他单元</w:t>
      </w:r>
      <w:bookmarkEnd w:id="202"/>
      <w:bookmarkEnd w:id="203"/>
      <w:bookmarkEnd w:id="204"/>
      <w:bookmarkEnd w:id="205"/>
      <w:bookmarkEnd w:id="206"/>
      <w:bookmarkEnd w:id="207"/>
    </w:p>
    <w:p w14:paraId="29D4E92D">
      <w:pPr>
        <w:pStyle w:val="4"/>
        <w:bidi w:val="0"/>
        <w:rPr>
          <w:rFonts w:ascii="Times New Roman" w:hAnsi="Times New Roman"/>
          <w:color w:val="auto"/>
          <w:sz w:val="28"/>
          <w:szCs w:val="28"/>
        </w:rPr>
      </w:pPr>
      <w:bookmarkStart w:id="208" w:name="_Toc3832"/>
      <w:bookmarkStart w:id="209" w:name="_Toc27262"/>
      <w:bookmarkStart w:id="210" w:name="_Toc19753"/>
      <w:r>
        <w:rPr>
          <w:rFonts w:ascii="Times New Roman" w:hAnsi="Times New Roman"/>
          <w:color w:val="auto"/>
          <w:sz w:val="28"/>
          <w:szCs w:val="28"/>
        </w:rPr>
        <w:t>3.</w:t>
      </w:r>
      <w:r>
        <w:rPr>
          <w:rFonts w:hint="eastAsia" w:ascii="Times New Roman" w:hAnsi="Times New Roman"/>
          <w:color w:val="auto"/>
          <w:sz w:val="28"/>
          <w:szCs w:val="28"/>
          <w:lang w:val="en-US" w:eastAsia="zh-CN"/>
        </w:rPr>
        <w:t>6</w:t>
      </w:r>
      <w:r>
        <w:rPr>
          <w:rFonts w:ascii="Times New Roman" w:hAnsi="Times New Roman"/>
          <w:color w:val="auto"/>
          <w:sz w:val="28"/>
          <w:szCs w:val="28"/>
        </w:rPr>
        <w:t>.1</w:t>
      </w:r>
      <w:r>
        <w:rPr>
          <w:rFonts w:hint="eastAsia" w:ascii="Times New Roman" w:hAnsi="Times New Roman"/>
          <w:color w:val="auto"/>
          <w:sz w:val="28"/>
          <w:szCs w:val="28"/>
          <w:lang w:val="en-US" w:eastAsia="zh-CN"/>
        </w:rPr>
        <w:t xml:space="preserve"> </w:t>
      </w:r>
      <w:r>
        <w:rPr>
          <w:rFonts w:ascii="Times New Roman" w:hAnsi="Times New Roman"/>
          <w:color w:val="auto"/>
          <w:sz w:val="28"/>
          <w:szCs w:val="28"/>
          <w:lang w:val="en-GB"/>
        </w:rPr>
        <w:t>安全管理及其他单元危险有害因素辨识与分析</w:t>
      </w:r>
      <w:bookmarkEnd w:id="208"/>
      <w:bookmarkEnd w:id="209"/>
      <w:bookmarkEnd w:id="210"/>
    </w:p>
    <w:p w14:paraId="27512D18">
      <w:pPr>
        <w:bidi w:val="0"/>
        <w:rPr>
          <w:rFonts w:ascii="Times New Roman" w:hAnsi="Times New Roman"/>
          <w:color w:val="auto"/>
          <w:lang w:val="en-GB"/>
        </w:rPr>
      </w:pPr>
      <w:r>
        <w:rPr>
          <w:rFonts w:ascii="Times New Roman" w:hAnsi="Times New Roman"/>
          <w:color w:val="auto"/>
          <w:lang w:val="en-GB"/>
        </w:rPr>
        <w:t>各类事故的发生都与安全生产管理有关，管理的缺失、不到位等安全管理因素一般是导致各类事故发生的间接原因。</w:t>
      </w:r>
    </w:p>
    <w:p w14:paraId="0DB74CCE">
      <w:pPr>
        <w:bidi w:val="0"/>
        <w:rPr>
          <w:rFonts w:ascii="Times New Roman" w:hAnsi="Times New Roman"/>
          <w:color w:val="auto"/>
          <w:lang w:val="en-GB"/>
        </w:rPr>
      </w:pPr>
      <w:r>
        <w:rPr>
          <w:rFonts w:ascii="Times New Roman" w:hAnsi="Times New Roman"/>
          <w:color w:val="auto"/>
          <w:lang w:val="en-GB"/>
        </w:rPr>
        <w:t>本单元安全管理的危险有害因素包括：</w:t>
      </w:r>
    </w:p>
    <w:p w14:paraId="0E29353F">
      <w:pPr>
        <w:bidi w:val="0"/>
        <w:rPr>
          <w:rFonts w:ascii="Times New Roman" w:hAnsi="Times New Roman"/>
          <w:color w:val="auto"/>
          <w:lang w:val="en-GB"/>
        </w:rPr>
      </w:pPr>
      <w:r>
        <w:rPr>
          <w:rFonts w:ascii="Times New Roman" w:hAnsi="Times New Roman"/>
          <w:color w:val="auto"/>
          <w:lang w:val="en-GB"/>
        </w:rPr>
        <w:t>（</w:t>
      </w:r>
      <w:r>
        <w:rPr>
          <w:rFonts w:ascii="Times New Roman" w:hAnsi="Times New Roman"/>
          <w:color w:val="auto"/>
        </w:rPr>
        <w:t>1</w:t>
      </w:r>
      <w:r>
        <w:rPr>
          <w:rFonts w:ascii="Times New Roman" w:hAnsi="Times New Roman"/>
          <w:color w:val="auto"/>
          <w:lang w:val="en-GB"/>
        </w:rPr>
        <w:t>）未设置安全管理机构，造成安全管理工作衔接不当、管理空白、专业不全等，从而造成安全管理上的漏洞。</w:t>
      </w:r>
    </w:p>
    <w:p w14:paraId="17A7AFB0">
      <w:pPr>
        <w:bidi w:val="0"/>
        <w:rPr>
          <w:rFonts w:ascii="Times New Roman" w:hAnsi="Times New Roman"/>
          <w:color w:val="auto"/>
          <w:lang w:val="en-GB"/>
        </w:rPr>
      </w:pPr>
      <w:r>
        <w:rPr>
          <w:rFonts w:ascii="Times New Roman" w:hAnsi="Times New Roman"/>
          <w:color w:val="auto"/>
          <w:lang w:val="en-GB"/>
        </w:rPr>
        <w:t>（</w:t>
      </w:r>
      <w:r>
        <w:rPr>
          <w:rFonts w:ascii="Times New Roman" w:hAnsi="Times New Roman"/>
          <w:color w:val="auto"/>
        </w:rPr>
        <w:t>2</w:t>
      </w:r>
      <w:r>
        <w:rPr>
          <w:rFonts w:ascii="Times New Roman" w:hAnsi="Times New Roman"/>
          <w:color w:val="auto"/>
          <w:lang w:val="en-GB"/>
        </w:rPr>
        <w:t>）未健全和落实安全生产责任制、安全生产管理制度，安全操作规程，容易造成生产过程中责任不落实，任务不明确，工作中无章可循，造成生产次序混乱，诱发各类安全生产事故。</w:t>
      </w:r>
    </w:p>
    <w:p w14:paraId="09295A9C">
      <w:pPr>
        <w:bidi w:val="0"/>
        <w:rPr>
          <w:rFonts w:ascii="Times New Roman" w:hAnsi="Times New Roman"/>
          <w:color w:val="auto"/>
          <w:lang w:val="en-GB"/>
        </w:rPr>
      </w:pPr>
      <w:r>
        <w:rPr>
          <w:rFonts w:ascii="Times New Roman" w:hAnsi="Times New Roman"/>
          <w:color w:val="auto"/>
          <w:lang w:val="en-GB"/>
        </w:rPr>
        <w:t>（</w:t>
      </w:r>
      <w:r>
        <w:rPr>
          <w:rFonts w:ascii="Times New Roman" w:hAnsi="Times New Roman"/>
          <w:color w:val="auto"/>
        </w:rPr>
        <w:t>3</w:t>
      </w:r>
      <w:r>
        <w:rPr>
          <w:rFonts w:ascii="Times New Roman" w:hAnsi="Times New Roman"/>
          <w:color w:val="auto"/>
          <w:lang w:val="en-GB"/>
        </w:rPr>
        <w:t>）未对矿山进行日常检查，不能及时发现矿山存在的隐患，导致隐患未能及时消除而诱发安全生产事故。</w:t>
      </w:r>
    </w:p>
    <w:p w14:paraId="18B021F1">
      <w:pPr>
        <w:bidi w:val="0"/>
        <w:rPr>
          <w:rFonts w:ascii="Times New Roman" w:hAnsi="Times New Roman"/>
          <w:color w:val="auto"/>
          <w:lang w:val="en-GB"/>
        </w:rPr>
      </w:pPr>
      <w:r>
        <w:rPr>
          <w:rFonts w:ascii="Times New Roman" w:hAnsi="Times New Roman"/>
          <w:color w:val="auto"/>
          <w:lang w:val="en-GB"/>
        </w:rPr>
        <w:t>（</w:t>
      </w:r>
      <w:r>
        <w:rPr>
          <w:rFonts w:ascii="Times New Roman" w:hAnsi="Times New Roman"/>
          <w:color w:val="auto"/>
        </w:rPr>
        <w:t>4</w:t>
      </w:r>
      <w:r>
        <w:rPr>
          <w:rFonts w:ascii="Times New Roman" w:hAnsi="Times New Roman"/>
          <w:color w:val="auto"/>
          <w:lang w:val="en-GB"/>
        </w:rPr>
        <w:t>）未建立安全生产管理档案，不利于及时、全面系统的掌握企业安全生产情况，不利于及时反应安全生产动态，不利于分析安全生产中的危险因素和作出安全管理决策。</w:t>
      </w:r>
    </w:p>
    <w:p w14:paraId="1E2C07A0">
      <w:pPr>
        <w:bidi w:val="0"/>
        <w:rPr>
          <w:rFonts w:ascii="Times New Roman" w:hAnsi="Times New Roman"/>
          <w:color w:val="auto"/>
          <w:lang w:val="en-GB"/>
        </w:rPr>
      </w:pPr>
      <w:r>
        <w:rPr>
          <w:rFonts w:ascii="Times New Roman" w:hAnsi="Times New Roman"/>
          <w:color w:val="auto"/>
          <w:lang w:val="en-GB"/>
        </w:rPr>
        <w:t>（</w:t>
      </w:r>
      <w:r>
        <w:rPr>
          <w:rFonts w:ascii="Times New Roman" w:hAnsi="Times New Roman"/>
          <w:color w:val="auto"/>
        </w:rPr>
        <w:t>5</w:t>
      </w:r>
      <w:r>
        <w:rPr>
          <w:rFonts w:ascii="Times New Roman" w:hAnsi="Times New Roman"/>
          <w:color w:val="auto"/>
          <w:lang w:val="en-GB"/>
        </w:rPr>
        <w:t>）没有足够安全投入，导致企业在安全生产上的投入资金不足，而引发安全生产事故。</w:t>
      </w:r>
    </w:p>
    <w:p w14:paraId="4B24F0D0">
      <w:pPr>
        <w:bidi w:val="0"/>
        <w:rPr>
          <w:rFonts w:ascii="Times New Roman" w:hAnsi="Times New Roman"/>
          <w:color w:val="auto"/>
          <w:lang w:val="en-GB"/>
        </w:rPr>
      </w:pPr>
      <w:r>
        <w:rPr>
          <w:rFonts w:ascii="Times New Roman" w:hAnsi="Times New Roman"/>
          <w:color w:val="auto"/>
          <w:lang w:val="en-GB"/>
        </w:rPr>
        <w:t>（</w:t>
      </w:r>
      <w:r>
        <w:rPr>
          <w:rFonts w:ascii="Times New Roman" w:hAnsi="Times New Roman"/>
          <w:color w:val="auto"/>
        </w:rPr>
        <w:t>6</w:t>
      </w:r>
      <w:r>
        <w:rPr>
          <w:rFonts w:ascii="Times New Roman" w:hAnsi="Times New Roman"/>
          <w:color w:val="auto"/>
          <w:lang w:val="en-GB"/>
        </w:rPr>
        <w:t>）矿山的安全管理人员及特种作业人员如果未按要求培训取证，安全管理人员和特种作业人员没有相应的操作技术及经验，将导致巨大的安全事故。</w:t>
      </w:r>
    </w:p>
    <w:p w14:paraId="131F27C2">
      <w:pPr>
        <w:bidi w:val="0"/>
        <w:rPr>
          <w:rFonts w:ascii="Times New Roman" w:hAnsi="Times New Roman"/>
          <w:color w:val="auto"/>
          <w:lang w:val="en-GB"/>
        </w:rPr>
      </w:pPr>
      <w:r>
        <w:rPr>
          <w:rFonts w:ascii="Times New Roman" w:hAnsi="Times New Roman"/>
          <w:color w:val="auto"/>
          <w:lang w:val="en-GB"/>
        </w:rPr>
        <w:t>（</w:t>
      </w:r>
      <w:r>
        <w:rPr>
          <w:rFonts w:ascii="Times New Roman" w:hAnsi="Times New Roman"/>
          <w:color w:val="auto"/>
        </w:rPr>
        <w:t>7</w:t>
      </w:r>
      <w:r>
        <w:rPr>
          <w:rFonts w:ascii="Times New Roman" w:hAnsi="Times New Roman"/>
          <w:color w:val="auto"/>
          <w:lang w:val="en-GB"/>
        </w:rPr>
        <w:t>）劳动防护用品未及时发放，作业人员未能按相关要求穿戴将导致作业人员的伤情扩大。</w:t>
      </w:r>
    </w:p>
    <w:p w14:paraId="07E4A8C4">
      <w:pPr>
        <w:bidi w:val="0"/>
        <w:rPr>
          <w:rFonts w:ascii="Times New Roman" w:hAnsi="Times New Roman"/>
          <w:color w:val="auto"/>
        </w:rPr>
      </w:pPr>
      <w:r>
        <w:rPr>
          <w:rFonts w:ascii="Times New Roman" w:hAnsi="Times New Roman"/>
          <w:color w:val="auto"/>
          <w:lang w:val="en-GB"/>
        </w:rPr>
        <w:t>（</w:t>
      </w:r>
      <w:r>
        <w:rPr>
          <w:rFonts w:ascii="Times New Roman" w:hAnsi="Times New Roman"/>
          <w:color w:val="auto"/>
        </w:rPr>
        <w:t>8</w:t>
      </w:r>
      <w:r>
        <w:rPr>
          <w:rFonts w:ascii="Times New Roman" w:hAnsi="Times New Roman"/>
          <w:color w:val="auto"/>
          <w:lang w:val="en-GB"/>
        </w:rPr>
        <w:t>）未编制应急预案，对突发事故无预见性，事故发生后无法及时组织救援，导致事故扩大，造成重大损失</w:t>
      </w:r>
      <w:r>
        <w:rPr>
          <w:rFonts w:ascii="Times New Roman" w:hAnsi="Times New Roman"/>
          <w:color w:val="auto"/>
        </w:rPr>
        <w:t>。</w:t>
      </w:r>
    </w:p>
    <w:p w14:paraId="675A2330">
      <w:pPr>
        <w:pStyle w:val="4"/>
        <w:bidi w:val="0"/>
        <w:rPr>
          <w:rFonts w:ascii="Times New Roman" w:hAnsi="Times New Roman"/>
          <w:color w:val="auto"/>
        </w:rPr>
      </w:pPr>
      <w:bookmarkStart w:id="211" w:name="_Toc11671"/>
      <w:bookmarkStart w:id="212" w:name="_Toc31983"/>
      <w:bookmarkStart w:id="213" w:name="_Toc26764"/>
      <w:bookmarkStart w:id="214" w:name="_Toc30638"/>
      <w:bookmarkStart w:id="215" w:name="_Toc289325631"/>
      <w:r>
        <w:rPr>
          <w:rFonts w:ascii="Times New Roman" w:hAnsi="Times New Roman"/>
          <w:color w:val="auto"/>
        </w:rPr>
        <w:t>3.6.2</w:t>
      </w:r>
      <w:r>
        <w:rPr>
          <w:rFonts w:hint="eastAsia" w:ascii="Times New Roman" w:hAnsi="Times New Roman"/>
          <w:color w:val="auto"/>
          <w:lang w:val="en-US" w:eastAsia="zh-CN"/>
        </w:rPr>
        <w:t xml:space="preserve"> </w:t>
      </w:r>
      <w:r>
        <w:rPr>
          <w:rFonts w:ascii="Times New Roman" w:hAnsi="Times New Roman"/>
          <w:color w:val="auto"/>
        </w:rPr>
        <w:t>预先危险分析</w:t>
      </w:r>
      <w:bookmarkEnd w:id="211"/>
      <w:bookmarkEnd w:id="212"/>
      <w:bookmarkEnd w:id="213"/>
      <w:bookmarkEnd w:id="214"/>
      <w:bookmarkEnd w:id="215"/>
    </w:p>
    <w:p w14:paraId="47593466">
      <w:pPr>
        <w:pStyle w:val="16"/>
        <w:bidi w:val="0"/>
        <w:rPr>
          <w:rFonts w:ascii="Times New Roman" w:hAnsi="Times New Roman"/>
          <w:color w:val="auto"/>
        </w:rPr>
      </w:pPr>
      <w:r>
        <w:rPr>
          <w:rFonts w:ascii="Times New Roman" w:hAnsi="Times New Roman"/>
          <w:color w:val="auto"/>
        </w:rPr>
        <w:t>表3.6-1  安全管理预先危险分析表</w:t>
      </w:r>
    </w:p>
    <w:tbl>
      <w:tblPr>
        <w:tblStyle w:val="12"/>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1332"/>
        <w:gridCol w:w="1503"/>
        <w:gridCol w:w="701"/>
        <w:gridCol w:w="3809"/>
      </w:tblGrid>
      <w:tr w14:paraId="7395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32" w:type="dxa"/>
            <w:noWrap w:val="0"/>
            <w:vAlign w:val="center"/>
          </w:tcPr>
          <w:p w14:paraId="7E181043">
            <w:pPr>
              <w:pStyle w:val="17"/>
              <w:bidi w:val="0"/>
              <w:rPr>
                <w:rFonts w:ascii="Times New Roman" w:hAnsi="Times New Roman"/>
                <w:b/>
                <w:bCs/>
                <w:color w:val="auto"/>
              </w:rPr>
            </w:pPr>
            <w:r>
              <w:rPr>
                <w:rFonts w:ascii="Times New Roman" w:hAnsi="Times New Roman"/>
                <w:b/>
                <w:bCs/>
                <w:color w:val="auto"/>
              </w:rPr>
              <w:t>危险因素</w:t>
            </w:r>
          </w:p>
        </w:tc>
        <w:tc>
          <w:tcPr>
            <w:tcW w:w="1332" w:type="dxa"/>
            <w:noWrap w:val="0"/>
            <w:vAlign w:val="center"/>
          </w:tcPr>
          <w:p w14:paraId="54298806">
            <w:pPr>
              <w:pStyle w:val="17"/>
              <w:bidi w:val="0"/>
              <w:rPr>
                <w:rFonts w:ascii="Times New Roman" w:hAnsi="Times New Roman"/>
                <w:b/>
                <w:bCs/>
                <w:color w:val="auto"/>
              </w:rPr>
            </w:pPr>
            <w:r>
              <w:rPr>
                <w:rFonts w:ascii="Times New Roman" w:hAnsi="Times New Roman"/>
                <w:b/>
                <w:bCs/>
                <w:color w:val="auto"/>
              </w:rPr>
              <w:t>诱导因素</w:t>
            </w:r>
          </w:p>
        </w:tc>
        <w:tc>
          <w:tcPr>
            <w:tcW w:w="1503" w:type="dxa"/>
            <w:noWrap w:val="0"/>
            <w:vAlign w:val="center"/>
          </w:tcPr>
          <w:p w14:paraId="33A23F47">
            <w:pPr>
              <w:pStyle w:val="17"/>
              <w:bidi w:val="0"/>
              <w:rPr>
                <w:rFonts w:ascii="Times New Roman" w:hAnsi="Times New Roman"/>
                <w:b/>
                <w:bCs/>
                <w:color w:val="auto"/>
              </w:rPr>
            </w:pPr>
            <w:r>
              <w:rPr>
                <w:rFonts w:ascii="Times New Roman" w:hAnsi="Times New Roman"/>
                <w:b/>
                <w:bCs/>
                <w:color w:val="auto"/>
              </w:rPr>
              <w:t>事故后果</w:t>
            </w:r>
          </w:p>
        </w:tc>
        <w:tc>
          <w:tcPr>
            <w:tcW w:w="701" w:type="dxa"/>
            <w:noWrap w:val="0"/>
            <w:vAlign w:val="center"/>
          </w:tcPr>
          <w:p w14:paraId="0CD64E28">
            <w:pPr>
              <w:pStyle w:val="17"/>
              <w:bidi w:val="0"/>
              <w:rPr>
                <w:rFonts w:ascii="Times New Roman" w:hAnsi="Times New Roman"/>
                <w:b/>
                <w:bCs/>
                <w:color w:val="auto"/>
              </w:rPr>
            </w:pPr>
            <w:r>
              <w:rPr>
                <w:rFonts w:ascii="Times New Roman" w:hAnsi="Times New Roman"/>
                <w:b/>
                <w:bCs/>
                <w:color w:val="auto"/>
              </w:rPr>
              <w:t>危险</w:t>
            </w:r>
          </w:p>
          <w:p w14:paraId="6978773B">
            <w:pPr>
              <w:pStyle w:val="17"/>
              <w:bidi w:val="0"/>
              <w:rPr>
                <w:rFonts w:ascii="Times New Roman" w:hAnsi="Times New Roman"/>
                <w:b/>
                <w:bCs/>
                <w:color w:val="auto"/>
              </w:rPr>
            </w:pPr>
            <w:r>
              <w:rPr>
                <w:rFonts w:ascii="Times New Roman" w:hAnsi="Times New Roman"/>
                <w:b/>
                <w:bCs/>
                <w:color w:val="auto"/>
              </w:rPr>
              <w:t>等级</w:t>
            </w:r>
          </w:p>
        </w:tc>
        <w:tc>
          <w:tcPr>
            <w:tcW w:w="3809" w:type="dxa"/>
            <w:noWrap w:val="0"/>
            <w:vAlign w:val="center"/>
          </w:tcPr>
          <w:p w14:paraId="7DC55407">
            <w:pPr>
              <w:pStyle w:val="17"/>
              <w:bidi w:val="0"/>
              <w:rPr>
                <w:rFonts w:ascii="Times New Roman" w:hAnsi="Times New Roman"/>
                <w:b/>
                <w:bCs/>
                <w:color w:val="auto"/>
              </w:rPr>
            </w:pPr>
            <w:r>
              <w:rPr>
                <w:rFonts w:ascii="Times New Roman" w:hAnsi="Times New Roman"/>
                <w:b/>
                <w:bCs/>
                <w:color w:val="auto"/>
              </w:rPr>
              <w:t>措施</w:t>
            </w:r>
          </w:p>
        </w:tc>
      </w:tr>
      <w:tr w14:paraId="67AB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1B23CE76">
            <w:pPr>
              <w:pStyle w:val="17"/>
              <w:bidi w:val="0"/>
              <w:rPr>
                <w:rFonts w:ascii="Times New Roman" w:hAnsi="Times New Roman"/>
                <w:color w:val="auto"/>
              </w:rPr>
            </w:pPr>
            <w:r>
              <w:rPr>
                <w:rFonts w:ascii="Times New Roman" w:hAnsi="Times New Roman"/>
                <w:color w:val="auto"/>
              </w:rPr>
              <w:t>1.安全生产责任制不健全，缺乏科学性和完整性，与矿山现行组织机构不相对应，影响执行效果。</w:t>
            </w:r>
          </w:p>
        </w:tc>
        <w:tc>
          <w:tcPr>
            <w:tcW w:w="1332" w:type="dxa"/>
            <w:noWrap w:val="0"/>
            <w:vAlign w:val="center"/>
          </w:tcPr>
          <w:p w14:paraId="1B60EA24">
            <w:pPr>
              <w:pStyle w:val="17"/>
              <w:bidi w:val="0"/>
              <w:rPr>
                <w:rFonts w:ascii="Times New Roman" w:hAnsi="Times New Roman"/>
                <w:color w:val="auto"/>
              </w:rPr>
            </w:pPr>
            <w:r>
              <w:rPr>
                <w:rFonts w:ascii="Times New Roman" w:hAnsi="Times New Roman"/>
                <w:color w:val="auto"/>
              </w:rPr>
              <w:t>发生安全生产责任事故</w:t>
            </w:r>
          </w:p>
        </w:tc>
        <w:tc>
          <w:tcPr>
            <w:tcW w:w="1503" w:type="dxa"/>
            <w:noWrap w:val="0"/>
            <w:vAlign w:val="center"/>
          </w:tcPr>
          <w:p w14:paraId="08DEEEFF">
            <w:pPr>
              <w:pStyle w:val="17"/>
              <w:bidi w:val="0"/>
              <w:rPr>
                <w:rFonts w:ascii="Times New Roman" w:hAnsi="Times New Roman"/>
                <w:color w:val="auto"/>
              </w:rPr>
            </w:pPr>
            <w:r>
              <w:rPr>
                <w:rFonts w:ascii="Times New Roman" w:hAnsi="Times New Roman"/>
                <w:color w:val="auto"/>
              </w:rPr>
              <w:t>1.发生事故后，无人负责处理。</w:t>
            </w:r>
          </w:p>
          <w:p w14:paraId="29172FD0">
            <w:pPr>
              <w:pStyle w:val="17"/>
              <w:bidi w:val="0"/>
              <w:rPr>
                <w:rFonts w:ascii="Times New Roman" w:hAnsi="Times New Roman"/>
                <w:color w:val="auto"/>
              </w:rPr>
            </w:pPr>
            <w:r>
              <w:rPr>
                <w:rFonts w:ascii="Times New Roman" w:hAnsi="Times New Roman"/>
                <w:color w:val="auto"/>
              </w:rPr>
              <w:t>2.职责不明，导致事故发生后，扑救不及时，造成重大损失。</w:t>
            </w:r>
          </w:p>
        </w:tc>
        <w:tc>
          <w:tcPr>
            <w:tcW w:w="701" w:type="dxa"/>
            <w:noWrap w:val="0"/>
            <w:vAlign w:val="center"/>
          </w:tcPr>
          <w:p w14:paraId="790D58CE">
            <w:pPr>
              <w:pStyle w:val="17"/>
              <w:bidi w:val="0"/>
              <w:rPr>
                <w:rFonts w:ascii="Times New Roman" w:hAnsi="Times New Roman"/>
                <w:color w:val="auto"/>
              </w:rPr>
            </w:pPr>
            <w:r>
              <w:rPr>
                <w:rFonts w:ascii="Times New Roman" w:hAnsi="Times New Roman"/>
                <w:color w:val="auto"/>
              </w:rPr>
              <w:t>Ⅳ</w:t>
            </w:r>
          </w:p>
        </w:tc>
        <w:tc>
          <w:tcPr>
            <w:tcW w:w="3809" w:type="dxa"/>
            <w:noWrap w:val="0"/>
            <w:vAlign w:val="center"/>
          </w:tcPr>
          <w:p w14:paraId="55817168">
            <w:pPr>
              <w:pStyle w:val="17"/>
              <w:bidi w:val="0"/>
              <w:rPr>
                <w:rFonts w:ascii="Times New Roman" w:hAnsi="Times New Roman"/>
                <w:color w:val="auto"/>
              </w:rPr>
            </w:pPr>
            <w:r>
              <w:rPr>
                <w:rFonts w:ascii="Times New Roman" w:hAnsi="Times New Roman"/>
                <w:color w:val="auto"/>
              </w:rPr>
              <w:t>①有健全的行政领导岗位安全生产责任制；②有健全的职能机构安全生产责任制；③岗位人员的安全生产责任制。</w:t>
            </w:r>
          </w:p>
        </w:tc>
      </w:tr>
      <w:tr w14:paraId="09E0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45D023AD">
            <w:pPr>
              <w:pStyle w:val="17"/>
              <w:bidi w:val="0"/>
              <w:rPr>
                <w:rFonts w:ascii="Times New Roman" w:hAnsi="Times New Roman"/>
                <w:color w:val="auto"/>
              </w:rPr>
            </w:pPr>
            <w:r>
              <w:rPr>
                <w:rFonts w:ascii="Times New Roman" w:hAnsi="Times New Roman"/>
                <w:color w:val="auto"/>
              </w:rPr>
              <w:t>2.矿长对企业的安全生产不重视。</w:t>
            </w:r>
          </w:p>
        </w:tc>
        <w:tc>
          <w:tcPr>
            <w:tcW w:w="1332" w:type="dxa"/>
            <w:noWrap w:val="0"/>
            <w:vAlign w:val="center"/>
          </w:tcPr>
          <w:p w14:paraId="2DFCA8E2">
            <w:pPr>
              <w:pStyle w:val="17"/>
              <w:bidi w:val="0"/>
              <w:rPr>
                <w:rFonts w:ascii="Times New Roman" w:hAnsi="Times New Roman"/>
                <w:color w:val="auto"/>
              </w:rPr>
            </w:pPr>
            <w:r>
              <w:rPr>
                <w:rFonts w:ascii="Times New Roman" w:hAnsi="Times New Roman"/>
                <w:color w:val="auto"/>
              </w:rPr>
              <w:t>发生重大安全责任事故</w:t>
            </w:r>
          </w:p>
        </w:tc>
        <w:tc>
          <w:tcPr>
            <w:tcW w:w="1503" w:type="dxa"/>
            <w:noWrap w:val="0"/>
            <w:vAlign w:val="center"/>
          </w:tcPr>
          <w:p w14:paraId="4F7DA639">
            <w:pPr>
              <w:pStyle w:val="17"/>
              <w:bidi w:val="0"/>
              <w:rPr>
                <w:rFonts w:ascii="Times New Roman" w:hAnsi="Times New Roman"/>
                <w:color w:val="auto"/>
              </w:rPr>
            </w:pPr>
            <w:r>
              <w:rPr>
                <w:rFonts w:ascii="Times New Roman" w:hAnsi="Times New Roman"/>
                <w:color w:val="auto"/>
              </w:rPr>
              <w:t>1.造成重大伤亡和损失。</w:t>
            </w:r>
          </w:p>
        </w:tc>
        <w:tc>
          <w:tcPr>
            <w:tcW w:w="701" w:type="dxa"/>
            <w:noWrap w:val="0"/>
            <w:vAlign w:val="center"/>
          </w:tcPr>
          <w:p w14:paraId="2FBAF4A2">
            <w:pPr>
              <w:pStyle w:val="17"/>
              <w:bidi w:val="0"/>
              <w:rPr>
                <w:rFonts w:ascii="Times New Roman" w:hAnsi="Times New Roman"/>
                <w:color w:val="auto"/>
              </w:rPr>
            </w:pPr>
            <w:r>
              <w:rPr>
                <w:rFonts w:ascii="Times New Roman" w:hAnsi="Times New Roman"/>
                <w:color w:val="auto"/>
              </w:rPr>
              <w:t>Ⅳ</w:t>
            </w:r>
          </w:p>
        </w:tc>
        <w:tc>
          <w:tcPr>
            <w:tcW w:w="3809" w:type="dxa"/>
            <w:noWrap w:val="0"/>
            <w:vAlign w:val="center"/>
          </w:tcPr>
          <w:p w14:paraId="770CAEF6">
            <w:pPr>
              <w:pStyle w:val="17"/>
              <w:bidi w:val="0"/>
              <w:rPr>
                <w:rFonts w:ascii="Times New Roman" w:hAnsi="Times New Roman"/>
                <w:color w:val="auto"/>
              </w:rPr>
            </w:pPr>
            <w:r>
              <w:rPr>
                <w:rFonts w:ascii="Times New Roman" w:hAnsi="Times New Roman"/>
                <w:color w:val="auto"/>
              </w:rPr>
              <w:t>①矿长必须认真贯彻执行《矿山安全法》和其他法律、法规中有关矿山安全生产的规定；②指定本企业安全生产管理制度；③根据需要配备合格的安全工作人员，对每个作业场所进行跟班检查；④采取有效措施，改善职工劳动条件，保证安全生产所需要的材料、设备、仪器和劳动防护用品的及时供应；⑤对职工进行安全教育、培训；⑥制定矿山灾害的预防和应急计划；⑦及时采取措施，处理矿山存在的事故隐患；⑧及时、如实向劳动行政主管部门和管理矿山企业的主管部门报告矿山事故。</w:t>
            </w:r>
          </w:p>
        </w:tc>
      </w:tr>
      <w:tr w14:paraId="4E9A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46D15376">
            <w:pPr>
              <w:pStyle w:val="17"/>
              <w:bidi w:val="0"/>
              <w:rPr>
                <w:rFonts w:ascii="Times New Roman" w:hAnsi="Times New Roman"/>
                <w:color w:val="auto"/>
              </w:rPr>
            </w:pPr>
            <w:r>
              <w:rPr>
                <w:rFonts w:ascii="Times New Roman" w:hAnsi="Times New Roman"/>
                <w:color w:val="auto"/>
              </w:rPr>
              <w:t>3.矿山对职工的安全教育、培训不完全。</w:t>
            </w:r>
          </w:p>
        </w:tc>
        <w:tc>
          <w:tcPr>
            <w:tcW w:w="1332" w:type="dxa"/>
            <w:noWrap w:val="0"/>
            <w:vAlign w:val="center"/>
          </w:tcPr>
          <w:p w14:paraId="192B4F19">
            <w:pPr>
              <w:pStyle w:val="17"/>
              <w:bidi w:val="0"/>
              <w:rPr>
                <w:rFonts w:ascii="Times New Roman" w:hAnsi="Times New Roman"/>
                <w:color w:val="auto"/>
              </w:rPr>
            </w:pPr>
            <w:r>
              <w:rPr>
                <w:rFonts w:ascii="Times New Roman" w:hAnsi="Times New Roman"/>
                <w:color w:val="auto"/>
              </w:rPr>
              <w:t>职工对安全知识了解不完全，在作业中忽视安全防护或违反安全操作规定。</w:t>
            </w:r>
          </w:p>
        </w:tc>
        <w:tc>
          <w:tcPr>
            <w:tcW w:w="1503" w:type="dxa"/>
            <w:noWrap w:val="0"/>
            <w:vAlign w:val="center"/>
          </w:tcPr>
          <w:p w14:paraId="60FC56E3">
            <w:pPr>
              <w:pStyle w:val="17"/>
              <w:bidi w:val="0"/>
              <w:rPr>
                <w:rFonts w:ascii="Times New Roman" w:hAnsi="Times New Roman"/>
                <w:color w:val="auto"/>
              </w:rPr>
            </w:pPr>
            <w:r>
              <w:rPr>
                <w:rFonts w:ascii="Times New Roman" w:hAnsi="Times New Roman"/>
                <w:color w:val="auto"/>
              </w:rPr>
              <w:t>1.造成职工在作业中，因不了解安全责任或安全规定，疏忽大意造成人员伤亡，设备损坏。</w:t>
            </w:r>
          </w:p>
        </w:tc>
        <w:tc>
          <w:tcPr>
            <w:tcW w:w="701" w:type="dxa"/>
            <w:noWrap w:val="0"/>
            <w:vAlign w:val="center"/>
          </w:tcPr>
          <w:p w14:paraId="2737D212">
            <w:pPr>
              <w:pStyle w:val="17"/>
              <w:bidi w:val="0"/>
              <w:rPr>
                <w:rFonts w:ascii="Times New Roman" w:hAnsi="Times New Roman"/>
                <w:color w:val="auto"/>
              </w:rPr>
            </w:pPr>
            <w:r>
              <w:rPr>
                <w:rFonts w:ascii="Times New Roman" w:hAnsi="Times New Roman"/>
                <w:color w:val="auto"/>
              </w:rPr>
              <w:t>Ⅳ</w:t>
            </w:r>
          </w:p>
        </w:tc>
        <w:tc>
          <w:tcPr>
            <w:tcW w:w="3809" w:type="dxa"/>
            <w:noWrap w:val="0"/>
            <w:vAlign w:val="center"/>
          </w:tcPr>
          <w:p w14:paraId="3929E078">
            <w:pPr>
              <w:pStyle w:val="17"/>
              <w:bidi w:val="0"/>
              <w:rPr>
                <w:rFonts w:ascii="Times New Roman" w:hAnsi="Times New Roman"/>
                <w:color w:val="auto"/>
              </w:rPr>
            </w:pPr>
            <w:r>
              <w:rPr>
                <w:rFonts w:ascii="Times New Roman" w:hAnsi="Times New Roman"/>
                <w:color w:val="auto"/>
              </w:rPr>
              <w:t>对职工的安全教育、培训，应包括下列内容：</w:t>
            </w:r>
          </w:p>
          <w:p w14:paraId="532A118A">
            <w:pPr>
              <w:pStyle w:val="17"/>
              <w:bidi w:val="0"/>
              <w:rPr>
                <w:rFonts w:ascii="Times New Roman" w:hAnsi="Times New Roman"/>
                <w:color w:val="auto"/>
              </w:rPr>
            </w:pPr>
            <w:r>
              <w:rPr>
                <w:rFonts w:ascii="Times New Roman" w:hAnsi="Times New Roman"/>
                <w:color w:val="auto"/>
              </w:rPr>
              <w:t>①《矿山安全法》及其他法律、法规赋予矿山职工的权利和义务；②矿山安全规程及矿山企业有关安全管理的规章制度；③与职工本职工作有关的安全知识；④各种事故征兆的识别、发生紧急危险情况时的应急措施和撤退路线；⑤自救装备的使用和有关急救方面的知识；⑥有关主管部门规定的其他内容。</w:t>
            </w:r>
          </w:p>
        </w:tc>
      </w:tr>
      <w:tr w14:paraId="5CA9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6EA433BD">
            <w:pPr>
              <w:pStyle w:val="17"/>
              <w:bidi w:val="0"/>
              <w:rPr>
                <w:rFonts w:ascii="Times New Roman" w:hAnsi="Times New Roman"/>
                <w:color w:val="auto"/>
              </w:rPr>
            </w:pPr>
            <w:r>
              <w:rPr>
                <w:rFonts w:ascii="Times New Roman" w:hAnsi="Times New Roman"/>
                <w:color w:val="auto"/>
              </w:rPr>
              <w:t>4.特种作业人员未接受专门技术培训。</w:t>
            </w:r>
          </w:p>
        </w:tc>
        <w:tc>
          <w:tcPr>
            <w:tcW w:w="1332" w:type="dxa"/>
            <w:noWrap w:val="0"/>
            <w:vAlign w:val="center"/>
          </w:tcPr>
          <w:p w14:paraId="6D70BDDC">
            <w:pPr>
              <w:pStyle w:val="17"/>
              <w:bidi w:val="0"/>
              <w:rPr>
                <w:rFonts w:ascii="Times New Roman" w:hAnsi="Times New Roman"/>
                <w:color w:val="auto"/>
              </w:rPr>
            </w:pPr>
            <w:r>
              <w:rPr>
                <w:rFonts w:ascii="Times New Roman" w:hAnsi="Times New Roman"/>
                <w:color w:val="auto"/>
              </w:rPr>
              <w:t>不了解作业程序，引起误操作</w:t>
            </w:r>
          </w:p>
        </w:tc>
        <w:tc>
          <w:tcPr>
            <w:tcW w:w="1503" w:type="dxa"/>
            <w:noWrap w:val="0"/>
            <w:vAlign w:val="center"/>
          </w:tcPr>
          <w:p w14:paraId="782332A1">
            <w:pPr>
              <w:pStyle w:val="17"/>
              <w:bidi w:val="0"/>
              <w:rPr>
                <w:rFonts w:ascii="Times New Roman" w:hAnsi="Times New Roman"/>
                <w:color w:val="auto"/>
              </w:rPr>
            </w:pPr>
            <w:r>
              <w:rPr>
                <w:rFonts w:ascii="Times New Roman" w:hAnsi="Times New Roman"/>
                <w:color w:val="auto"/>
              </w:rPr>
              <w:t>造成未遂事故或重大事故，使人员伤亡或设备损失。</w:t>
            </w:r>
          </w:p>
        </w:tc>
        <w:tc>
          <w:tcPr>
            <w:tcW w:w="701" w:type="dxa"/>
            <w:noWrap w:val="0"/>
            <w:vAlign w:val="center"/>
          </w:tcPr>
          <w:p w14:paraId="759C656E">
            <w:pPr>
              <w:pStyle w:val="17"/>
              <w:bidi w:val="0"/>
              <w:rPr>
                <w:rFonts w:ascii="Times New Roman" w:hAnsi="Times New Roman"/>
                <w:color w:val="auto"/>
              </w:rPr>
            </w:pPr>
            <w:r>
              <w:rPr>
                <w:rFonts w:ascii="Times New Roman" w:hAnsi="Times New Roman"/>
                <w:color w:val="auto"/>
              </w:rPr>
              <w:t>Ⅳ</w:t>
            </w:r>
          </w:p>
        </w:tc>
        <w:tc>
          <w:tcPr>
            <w:tcW w:w="3809" w:type="dxa"/>
            <w:noWrap w:val="0"/>
            <w:vAlign w:val="center"/>
          </w:tcPr>
          <w:p w14:paraId="13792D42">
            <w:pPr>
              <w:pStyle w:val="17"/>
              <w:bidi w:val="0"/>
              <w:rPr>
                <w:rFonts w:ascii="Times New Roman" w:hAnsi="Times New Roman"/>
                <w:color w:val="auto"/>
              </w:rPr>
            </w:pPr>
            <w:r>
              <w:rPr>
                <w:rFonts w:ascii="Times New Roman" w:hAnsi="Times New Roman"/>
                <w:color w:val="auto"/>
              </w:rPr>
              <w:t>特种作业人员必须接受专门的技术培训，经考核合格取得操作资格证书后，方可上岗作业。</w:t>
            </w:r>
          </w:p>
        </w:tc>
      </w:tr>
      <w:tr w14:paraId="6FE4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1DEE3F03">
            <w:pPr>
              <w:pStyle w:val="17"/>
              <w:bidi w:val="0"/>
              <w:rPr>
                <w:rFonts w:ascii="Times New Roman" w:hAnsi="Times New Roman"/>
                <w:color w:val="auto"/>
              </w:rPr>
            </w:pPr>
            <w:r>
              <w:rPr>
                <w:rFonts w:ascii="Times New Roman" w:hAnsi="Times New Roman"/>
                <w:color w:val="auto"/>
              </w:rPr>
              <w:t>5.矿山向企业职工发放的劳动保护用品未经过鉴定和检验合格的产品。</w:t>
            </w:r>
          </w:p>
        </w:tc>
        <w:tc>
          <w:tcPr>
            <w:tcW w:w="1332" w:type="dxa"/>
            <w:noWrap w:val="0"/>
            <w:vAlign w:val="center"/>
          </w:tcPr>
          <w:p w14:paraId="48A4C6EF">
            <w:pPr>
              <w:pStyle w:val="17"/>
              <w:bidi w:val="0"/>
              <w:rPr>
                <w:rFonts w:ascii="Times New Roman" w:hAnsi="Times New Roman"/>
                <w:color w:val="auto"/>
              </w:rPr>
            </w:pPr>
            <w:r>
              <w:rPr>
                <w:rFonts w:ascii="Times New Roman" w:hAnsi="Times New Roman"/>
                <w:color w:val="auto"/>
              </w:rPr>
              <w:t>发生伤害事故</w:t>
            </w:r>
          </w:p>
        </w:tc>
        <w:tc>
          <w:tcPr>
            <w:tcW w:w="1503" w:type="dxa"/>
            <w:noWrap w:val="0"/>
            <w:vAlign w:val="center"/>
          </w:tcPr>
          <w:p w14:paraId="7A0BE0C1">
            <w:pPr>
              <w:pStyle w:val="17"/>
              <w:bidi w:val="0"/>
              <w:rPr>
                <w:rFonts w:ascii="Times New Roman" w:hAnsi="Times New Roman"/>
                <w:color w:val="auto"/>
              </w:rPr>
            </w:pPr>
            <w:r>
              <w:rPr>
                <w:rFonts w:ascii="Times New Roman" w:hAnsi="Times New Roman"/>
                <w:color w:val="auto"/>
              </w:rPr>
              <w:t>职工由于劳动保护用品失效而造成伤害，甚至死亡。</w:t>
            </w:r>
          </w:p>
        </w:tc>
        <w:tc>
          <w:tcPr>
            <w:tcW w:w="701" w:type="dxa"/>
            <w:noWrap w:val="0"/>
            <w:vAlign w:val="center"/>
          </w:tcPr>
          <w:p w14:paraId="6AD848DE">
            <w:pPr>
              <w:pStyle w:val="17"/>
              <w:bidi w:val="0"/>
              <w:rPr>
                <w:rFonts w:ascii="Times New Roman" w:hAnsi="Times New Roman"/>
                <w:color w:val="auto"/>
              </w:rPr>
            </w:pPr>
            <w:r>
              <w:rPr>
                <w:rFonts w:ascii="Times New Roman" w:hAnsi="Times New Roman"/>
                <w:color w:val="auto"/>
              </w:rPr>
              <w:t>Ⅲ</w:t>
            </w:r>
          </w:p>
        </w:tc>
        <w:tc>
          <w:tcPr>
            <w:tcW w:w="3809" w:type="dxa"/>
            <w:noWrap w:val="0"/>
            <w:vAlign w:val="center"/>
          </w:tcPr>
          <w:p w14:paraId="02309EAF">
            <w:pPr>
              <w:pStyle w:val="17"/>
              <w:bidi w:val="0"/>
              <w:rPr>
                <w:rFonts w:ascii="Times New Roman" w:hAnsi="Times New Roman"/>
                <w:color w:val="auto"/>
              </w:rPr>
            </w:pPr>
            <w:r>
              <w:rPr>
                <w:rFonts w:ascii="Times New Roman" w:hAnsi="Times New Roman"/>
                <w:color w:val="auto"/>
              </w:rPr>
              <w:t>依据国务院劳动行政主管部门指定的劳动防护用品发放标准发放劳动保护用品。</w:t>
            </w:r>
          </w:p>
        </w:tc>
      </w:tr>
      <w:tr w14:paraId="5314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005A9591">
            <w:pPr>
              <w:pStyle w:val="17"/>
              <w:bidi w:val="0"/>
              <w:rPr>
                <w:rFonts w:ascii="Times New Roman" w:hAnsi="Times New Roman"/>
                <w:color w:val="auto"/>
              </w:rPr>
            </w:pPr>
            <w:r>
              <w:rPr>
                <w:rFonts w:ascii="Times New Roman" w:hAnsi="Times New Roman"/>
                <w:color w:val="auto"/>
              </w:rPr>
              <w:t>6.未编制矿山年度灾害预防和应急计划或编制不完全，每季度未根据实际情况对计划及时进行修改，制定相应的措施。</w:t>
            </w:r>
          </w:p>
        </w:tc>
        <w:tc>
          <w:tcPr>
            <w:tcW w:w="1332" w:type="dxa"/>
            <w:noWrap w:val="0"/>
            <w:vAlign w:val="center"/>
          </w:tcPr>
          <w:p w14:paraId="732298A1">
            <w:pPr>
              <w:pStyle w:val="17"/>
              <w:bidi w:val="0"/>
              <w:rPr>
                <w:rFonts w:ascii="Times New Roman" w:hAnsi="Times New Roman"/>
                <w:color w:val="auto"/>
              </w:rPr>
            </w:pPr>
            <w:r>
              <w:rPr>
                <w:rFonts w:ascii="Times New Roman" w:hAnsi="Times New Roman"/>
                <w:color w:val="auto"/>
              </w:rPr>
              <w:t>发生灾害或重大事故</w:t>
            </w:r>
          </w:p>
        </w:tc>
        <w:tc>
          <w:tcPr>
            <w:tcW w:w="1503" w:type="dxa"/>
            <w:noWrap w:val="0"/>
            <w:vAlign w:val="center"/>
          </w:tcPr>
          <w:p w14:paraId="63F739B3">
            <w:pPr>
              <w:pStyle w:val="17"/>
              <w:bidi w:val="0"/>
              <w:rPr>
                <w:rFonts w:ascii="Times New Roman" w:hAnsi="Times New Roman"/>
                <w:color w:val="auto"/>
              </w:rPr>
            </w:pPr>
            <w:r>
              <w:rPr>
                <w:rFonts w:ascii="Times New Roman" w:hAnsi="Times New Roman"/>
                <w:color w:val="auto"/>
              </w:rPr>
              <w:t>在灾害和事故发生时，未能按计划有序有效的进行抢救，造成重大损失</w:t>
            </w:r>
          </w:p>
        </w:tc>
        <w:tc>
          <w:tcPr>
            <w:tcW w:w="701" w:type="dxa"/>
            <w:noWrap w:val="0"/>
            <w:vAlign w:val="center"/>
          </w:tcPr>
          <w:p w14:paraId="5C91E936">
            <w:pPr>
              <w:pStyle w:val="17"/>
              <w:bidi w:val="0"/>
              <w:rPr>
                <w:rFonts w:ascii="Times New Roman" w:hAnsi="Times New Roman"/>
                <w:color w:val="auto"/>
              </w:rPr>
            </w:pPr>
            <w:r>
              <w:rPr>
                <w:rFonts w:ascii="Times New Roman" w:hAnsi="Times New Roman"/>
                <w:color w:val="auto"/>
              </w:rPr>
              <w:t>Ⅳ</w:t>
            </w:r>
          </w:p>
        </w:tc>
        <w:tc>
          <w:tcPr>
            <w:tcW w:w="3809" w:type="dxa"/>
            <w:noWrap w:val="0"/>
            <w:vAlign w:val="center"/>
          </w:tcPr>
          <w:p w14:paraId="7BC3C887">
            <w:pPr>
              <w:pStyle w:val="17"/>
              <w:bidi w:val="0"/>
              <w:rPr>
                <w:rFonts w:ascii="Times New Roman" w:hAnsi="Times New Roman"/>
                <w:color w:val="auto"/>
              </w:rPr>
            </w:pPr>
            <w:r>
              <w:rPr>
                <w:rFonts w:ascii="Times New Roman" w:hAnsi="Times New Roman"/>
                <w:color w:val="auto"/>
              </w:rPr>
              <w:t>矿山必须编制年度灾害预防和应急计划。每季度末根据实际情况对计划及时修改，制定相应的措施。</w:t>
            </w:r>
          </w:p>
        </w:tc>
      </w:tr>
      <w:tr w14:paraId="17A2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07565221">
            <w:pPr>
              <w:pStyle w:val="17"/>
              <w:bidi w:val="0"/>
              <w:rPr>
                <w:rFonts w:ascii="Times New Roman" w:hAnsi="Times New Roman"/>
                <w:color w:val="auto"/>
              </w:rPr>
            </w:pPr>
            <w:r>
              <w:rPr>
                <w:rFonts w:ascii="Times New Roman" w:hAnsi="Times New Roman"/>
                <w:color w:val="auto"/>
              </w:rPr>
              <w:t>7.矿山没有使每个职工熟悉矿山灾害预防和应急计划，并没有每年至少一次的矿山救灾演习。</w:t>
            </w:r>
          </w:p>
        </w:tc>
        <w:tc>
          <w:tcPr>
            <w:tcW w:w="1332" w:type="dxa"/>
            <w:noWrap w:val="0"/>
            <w:vAlign w:val="center"/>
          </w:tcPr>
          <w:p w14:paraId="73DB60D6">
            <w:pPr>
              <w:pStyle w:val="17"/>
              <w:bidi w:val="0"/>
              <w:rPr>
                <w:rFonts w:ascii="Times New Roman" w:hAnsi="Times New Roman"/>
                <w:color w:val="auto"/>
              </w:rPr>
            </w:pPr>
            <w:r>
              <w:rPr>
                <w:rFonts w:ascii="Times New Roman" w:hAnsi="Times New Roman"/>
                <w:color w:val="auto"/>
              </w:rPr>
              <w:t>发生灾害或重大事故</w:t>
            </w:r>
          </w:p>
        </w:tc>
        <w:tc>
          <w:tcPr>
            <w:tcW w:w="1503" w:type="dxa"/>
            <w:noWrap w:val="0"/>
            <w:vAlign w:val="center"/>
          </w:tcPr>
          <w:p w14:paraId="3C2700A5">
            <w:pPr>
              <w:pStyle w:val="17"/>
              <w:bidi w:val="0"/>
              <w:rPr>
                <w:rFonts w:ascii="Times New Roman" w:hAnsi="Times New Roman"/>
                <w:color w:val="auto"/>
              </w:rPr>
            </w:pPr>
            <w:r>
              <w:rPr>
                <w:rFonts w:ascii="Times New Roman" w:hAnsi="Times New Roman"/>
                <w:color w:val="auto"/>
              </w:rPr>
              <w:t>职工由于不了解预防和应急计划，不能及时避灾或自救，造成伤亡</w:t>
            </w:r>
          </w:p>
        </w:tc>
        <w:tc>
          <w:tcPr>
            <w:tcW w:w="701" w:type="dxa"/>
            <w:noWrap w:val="0"/>
            <w:vAlign w:val="center"/>
          </w:tcPr>
          <w:p w14:paraId="2F7C5611">
            <w:pPr>
              <w:pStyle w:val="17"/>
              <w:bidi w:val="0"/>
              <w:rPr>
                <w:rFonts w:ascii="Times New Roman" w:hAnsi="Times New Roman"/>
                <w:color w:val="auto"/>
              </w:rPr>
            </w:pPr>
            <w:r>
              <w:rPr>
                <w:rFonts w:ascii="Times New Roman" w:hAnsi="Times New Roman"/>
                <w:color w:val="auto"/>
              </w:rPr>
              <w:t>Ⅲ</w:t>
            </w:r>
          </w:p>
        </w:tc>
        <w:tc>
          <w:tcPr>
            <w:tcW w:w="3809" w:type="dxa"/>
            <w:noWrap w:val="0"/>
            <w:vAlign w:val="center"/>
          </w:tcPr>
          <w:p w14:paraId="3EC61AF5">
            <w:pPr>
              <w:pStyle w:val="17"/>
              <w:bidi w:val="0"/>
              <w:rPr>
                <w:rFonts w:ascii="Times New Roman" w:hAnsi="Times New Roman"/>
                <w:color w:val="auto"/>
              </w:rPr>
            </w:pPr>
            <w:r>
              <w:rPr>
                <w:rFonts w:ascii="Times New Roman" w:hAnsi="Times New Roman"/>
                <w:color w:val="auto"/>
              </w:rPr>
              <w:t>矿山必须使每一个职工熟悉矿山灾害预防和应急计划，并每半年至少一次的矿山救灾演习。</w:t>
            </w:r>
          </w:p>
        </w:tc>
      </w:tr>
      <w:tr w14:paraId="033F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5569F23C">
            <w:pPr>
              <w:pStyle w:val="17"/>
              <w:bidi w:val="0"/>
              <w:rPr>
                <w:rFonts w:ascii="Times New Roman" w:hAnsi="Times New Roman"/>
                <w:color w:val="auto"/>
              </w:rPr>
            </w:pPr>
            <w:r>
              <w:rPr>
                <w:rFonts w:ascii="Times New Roman" w:hAnsi="Times New Roman"/>
                <w:color w:val="auto"/>
              </w:rPr>
              <w:t>8.在不同的作业场所未按要求设置矿山安全标志。</w:t>
            </w:r>
          </w:p>
        </w:tc>
        <w:tc>
          <w:tcPr>
            <w:tcW w:w="1332" w:type="dxa"/>
            <w:noWrap w:val="0"/>
            <w:vAlign w:val="center"/>
          </w:tcPr>
          <w:p w14:paraId="5FCF38B4">
            <w:pPr>
              <w:pStyle w:val="17"/>
              <w:bidi w:val="0"/>
              <w:rPr>
                <w:rFonts w:ascii="Times New Roman" w:hAnsi="Times New Roman"/>
                <w:color w:val="auto"/>
              </w:rPr>
            </w:pPr>
            <w:r>
              <w:rPr>
                <w:rFonts w:ascii="Times New Roman" w:hAnsi="Times New Roman"/>
                <w:color w:val="auto"/>
              </w:rPr>
              <w:t>发生伤亡事故</w:t>
            </w:r>
          </w:p>
        </w:tc>
        <w:tc>
          <w:tcPr>
            <w:tcW w:w="1503" w:type="dxa"/>
            <w:noWrap w:val="0"/>
            <w:vAlign w:val="center"/>
          </w:tcPr>
          <w:p w14:paraId="08EB0F98">
            <w:pPr>
              <w:pStyle w:val="17"/>
              <w:bidi w:val="0"/>
              <w:rPr>
                <w:rFonts w:ascii="Times New Roman" w:hAnsi="Times New Roman"/>
                <w:color w:val="auto"/>
              </w:rPr>
            </w:pPr>
            <w:r>
              <w:rPr>
                <w:rFonts w:ascii="Times New Roman" w:hAnsi="Times New Roman"/>
                <w:color w:val="auto"/>
              </w:rPr>
              <w:t>由于标志不清或无标志造成人身伤亡</w:t>
            </w:r>
          </w:p>
        </w:tc>
        <w:tc>
          <w:tcPr>
            <w:tcW w:w="701" w:type="dxa"/>
            <w:noWrap w:val="0"/>
            <w:vAlign w:val="center"/>
          </w:tcPr>
          <w:p w14:paraId="43BDCC8C">
            <w:pPr>
              <w:pStyle w:val="17"/>
              <w:bidi w:val="0"/>
              <w:rPr>
                <w:rFonts w:ascii="Times New Roman" w:hAnsi="Times New Roman"/>
                <w:color w:val="auto"/>
              </w:rPr>
            </w:pPr>
            <w:r>
              <w:rPr>
                <w:rFonts w:ascii="Times New Roman" w:hAnsi="Times New Roman"/>
                <w:color w:val="auto"/>
              </w:rPr>
              <w:t>Ⅳ</w:t>
            </w:r>
          </w:p>
        </w:tc>
        <w:tc>
          <w:tcPr>
            <w:tcW w:w="3809" w:type="dxa"/>
            <w:noWrap w:val="0"/>
            <w:vAlign w:val="center"/>
          </w:tcPr>
          <w:p w14:paraId="260892F5">
            <w:pPr>
              <w:pStyle w:val="17"/>
              <w:bidi w:val="0"/>
              <w:rPr>
                <w:rFonts w:ascii="Times New Roman" w:hAnsi="Times New Roman"/>
                <w:color w:val="auto"/>
              </w:rPr>
            </w:pPr>
            <w:r>
              <w:rPr>
                <w:rFonts w:ascii="Times New Roman" w:hAnsi="Times New Roman"/>
                <w:color w:val="auto"/>
              </w:rPr>
              <w:t>在不同的作业场所必须按规定设置矿山安全标志</w:t>
            </w:r>
          </w:p>
        </w:tc>
      </w:tr>
      <w:tr w14:paraId="26ED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75B67C9C">
            <w:pPr>
              <w:pStyle w:val="17"/>
              <w:bidi w:val="0"/>
              <w:rPr>
                <w:rFonts w:ascii="Times New Roman" w:hAnsi="Times New Roman"/>
                <w:color w:val="auto"/>
              </w:rPr>
            </w:pPr>
            <w:r>
              <w:rPr>
                <w:rFonts w:ascii="Times New Roman" w:hAnsi="Times New Roman"/>
                <w:color w:val="auto"/>
              </w:rPr>
              <w:t>9.矿山未建立专职或兼职的人员组成的矿山救护和医疗组织。</w:t>
            </w:r>
          </w:p>
        </w:tc>
        <w:tc>
          <w:tcPr>
            <w:tcW w:w="1332" w:type="dxa"/>
            <w:noWrap w:val="0"/>
            <w:vAlign w:val="center"/>
          </w:tcPr>
          <w:p w14:paraId="6558F8F7">
            <w:pPr>
              <w:pStyle w:val="17"/>
              <w:bidi w:val="0"/>
              <w:rPr>
                <w:rFonts w:ascii="Times New Roman" w:hAnsi="Times New Roman"/>
                <w:color w:val="auto"/>
              </w:rPr>
            </w:pPr>
            <w:r>
              <w:rPr>
                <w:rFonts w:ascii="Times New Roman" w:hAnsi="Times New Roman"/>
                <w:color w:val="auto"/>
              </w:rPr>
              <w:t>发生事故</w:t>
            </w:r>
          </w:p>
        </w:tc>
        <w:tc>
          <w:tcPr>
            <w:tcW w:w="1503" w:type="dxa"/>
            <w:noWrap w:val="0"/>
            <w:vAlign w:val="center"/>
          </w:tcPr>
          <w:p w14:paraId="50212D47">
            <w:pPr>
              <w:pStyle w:val="17"/>
              <w:bidi w:val="0"/>
              <w:rPr>
                <w:rFonts w:ascii="Times New Roman" w:hAnsi="Times New Roman"/>
                <w:color w:val="auto"/>
              </w:rPr>
            </w:pPr>
            <w:r>
              <w:rPr>
                <w:rFonts w:ascii="Times New Roman" w:hAnsi="Times New Roman"/>
                <w:color w:val="auto"/>
              </w:rPr>
              <w:t>不能及时进行抢救，造成更大的伤亡。</w:t>
            </w:r>
          </w:p>
        </w:tc>
        <w:tc>
          <w:tcPr>
            <w:tcW w:w="701" w:type="dxa"/>
            <w:noWrap w:val="0"/>
            <w:vAlign w:val="center"/>
          </w:tcPr>
          <w:p w14:paraId="27995697">
            <w:pPr>
              <w:pStyle w:val="17"/>
              <w:bidi w:val="0"/>
              <w:rPr>
                <w:rFonts w:ascii="Times New Roman" w:hAnsi="Times New Roman"/>
                <w:color w:val="auto"/>
              </w:rPr>
            </w:pPr>
            <w:r>
              <w:rPr>
                <w:rFonts w:ascii="Times New Roman" w:hAnsi="Times New Roman"/>
                <w:color w:val="auto"/>
              </w:rPr>
              <w:t>Ⅳ</w:t>
            </w:r>
          </w:p>
        </w:tc>
        <w:tc>
          <w:tcPr>
            <w:tcW w:w="3809" w:type="dxa"/>
            <w:noWrap w:val="0"/>
            <w:vAlign w:val="center"/>
          </w:tcPr>
          <w:p w14:paraId="1F5ADF8D">
            <w:pPr>
              <w:pStyle w:val="17"/>
              <w:bidi w:val="0"/>
              <w:rPr>
                <w:rFonts w:ascii="Times New Roman" w:hAnsi="Times New Roman"/>
                <w:color w:val="auto"/>
              </w:rPr>
            </w:pPr>
            <w:r>
              <w:rPr>
                <w:rFonts w:ascii="Times New Roman" w:hAnsi="Times New Roman"/>
                <w:color w:val="auto"/>
              </w:rPr>
              <w:t>矿山必须建立由专职或者兼职的人员组成的矿山救护和医疗组织。不具备单独建立专业救护和医疗急救组织的小型矿山企业，除应当建立兼职的救护和医疗急救组织外，还应当与邻近的有专业的救护和医疗急救组织的矿山企业签订救护和急救协议，或者与邻近的矿山企业联合建立专业救护和医疗急救组织。</w:t>
            </w:r>
          </w:p>
        </w:tc>
      </w:tr>
      <w:tr w14:paraId="5D10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342B2420">
            <w:pPr>
              <w:pStyle w:val="17"/>
              <w:bidi w:val="0"/>
              <w:rPr>
                <w:rFonts w:ascii="Times New Roman" w:hAnsi="Times New Roman"/>
                <w:color w:val="auto"/>
              </w:rPr>
            </w:pPr>
            <w:r>
              <w:rPr>
                <w:rFonts w:ascii="Times New Roman" w:hAnsi="Times New Roman"/>
                <w:color w:val="auto"/>
              </w:rPr>
              <w:t>10.矿山安全资金挪作他用。</w:t>
            </w:r>
          </w:p>
        </w:tc>
        <w:tc>
          <w:tcPr>
            <w:tcW w:w="1332" w:type="dxa"/>
            <w:noWrap w:val="0"/>
            <w:vAlign w:val="center"/>
          </w:tcPr>
          <w:p w14:paraId="5BB92F8D">
            <w:pPr>
              <w:pStyle w:val="17"/>
              <w:bidi w:val="0"/>
              <w:rPr>
                <w:rFonts w:ascii="Times New Roman" w:hAnsi="Times New Roman"/>
                <w:color w:val="auto"/>
              </w:rPr>
            </w:pPr>
            <w:r>
              <w:rPr>
                <w:rFonts w:ascii="Times New Roman" w:hAnsi="Times New Roman"/>
                <w:color w:val="auto"/>
              </w:rPr>
              <w:t>由于安全隐患不能及时消除，造成安全事故</w:t>
            </w:r>
          </w:p>
        </w:tc>
        <w:tc>
          <w:tcPr>
            <w:tcW w:w="1503" w:type="dxa"/>
            <w:noWrap w:val="0"/>
            <w:vAlign w:val="center"/>
          </w:tcPr>
          <w:p w14:paraId="67F46E23">
            <w:pPr>
              <w:pStyle w:val="17"/>
              <w:bidi w:val="0"/>
              <w:rPr>
                <w:rFonts w:ascii="Times New Roman" w:hAnsi="Times New Roman"/>
                <w:color w:val="auto"/>
              </w:rPr>
            </w:pPr>
            <w:r>
              <w:rPr>
                <w:rFonts w:ascii="Times New Roman" w:hAnsi="Times New Roman"/>
                <w:color w:val="auto"/>
              </w:rPr>
              <w:t>造成人员伤亡，设备损坏。</w:t>
            </w:r>
          </w:p>
        </w:tc>
        <w:tc>
          <w:tcPr>
            <w:tcW w:w="701" w:type="dxa"/>
            <w:noWrap w:val="0"/>
            <w:vAlign w:val="center"/>
          </w:tcPr>
          <w:p w14:paraId="62731876">
            <w:pPr>
              <w:pStyle w:val="17"/>
              <w:bidi w:val="0"/>
              <w:rPr>
                <w:rFonts w:ascii="Times New Roman" w:hAnsi="Times New Roman"/>
                <w:color w:val="auto"/>
              </w:rPr>
            </w:pPr>
            <w:r>
              <w:rPr>
                <w:rFonts w:ascii="Times New Roman" w:hAnsi="Times New Roman"/>
                <w:color w:val="auto"/>
              </w:rPr>
              <w:t>Ⅲ</w:t>
            </w:r>
          </w:p>
        </w:tc>
        <w:tc>
          <w:tcPr>
            <w:tcW w:w="3809" w:type="dxa"/>
            <w:noWrap w:val="0"/>
            <w:vAlign w:val="center"/>
          </w:tcPr>
          <w:p w14:paraId="67692A1A">
            <w:pPr>
              <w:pStyle w:val="17"/>
              <w:bidi w:val="0"/>
              <w:rPr>
                <w:rFonts w:ascii="Times New Roman" w:hAnsi="Times New Roman"/>
                <w:color w:val="auto"/>
              </w:rPr>
            </w:pPr>
            <w:r>
              <w:rPr>
                <w:rFonts w:ascii="Times New Roman" w:hAnsi="Times New Roman"/>
                <w:color w:val="auto"/>
              </w:rPr>
              <w:t>矿山企业必须按照国家规定的安全条件进行生产，并安排一部分资金，用于下列改善矿山安全生产条件的项目：</w:t>
            </w:r>
          </w:p>
          <w:p w14:paraId="38866A1C">
            <w:pPr>
              <w:pStyle w:val="17"/>
              <w:bidi w:val="0"/>
              <w:rPr>
                <w:rFonts w:ascii="Times New Roman" w:hAnsi="Times New Roman"/>
                <w:color w:val="auto"/>
              </w:rPr>
            </w:pPr>
            <w:r>
              <w:rPr>
                <w:rFonts w:ascii="Times New Roman" w:hAnsi="Times New Roman"/>
                <w:color w:val="auto"/>
              </w:rPr>
              <w:t>①预防矿山事故的安全技术措施；②预防职业危害的劳动卫生技术措施；③职工的安全培训；④改善矿山安全生产条件的其他技术措施。</w:t>
            </w:r>
          </w:p>
        </w:tc>
      </w:tr>
      <w:tr w14:paraId="0A8B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136E0AA7">
            <w:pPr>
              <w:pStyle w:val="17"/>
              <w:bidi w:val="0"/>
              <w:rPr>
                <w:rFonts w:ascii="Times New Roman" w:hAnsi="Times New Roman"/>
                <w:color w:val="auto"/>
              </w:rPr>
            </w:pPr>
            <w:r>
              <w:rPr>
                <w:rFonts w:ascii="Times New Roman" w:hAnsi="Times New Roman"/>
                <w:color w:val="auto"/>
              </w:rPr>
              <w:t>11.安全装备技术水平低</w:t>
            </w:r>
          </w:p>
        </w:tc>
        <w:tc>
          <w:tcPr>
            <w:tcW w:w="1332" w:type="dxa"/>
            <w:noWrap w:val="0"/>
            <w:vAlign w:val="center"/>
          </w:tcPr>
          <w:p w14:paraId="454B7D63">
            <w:pPr>
              <w:pStyle w:val="17"/>
              <w:bidi w:val="0"/>
              <w:rPr>
                <w:rFonts w:ascii="Times New Roman" w:hAnsi="Times New Roman"/>
                <w:color w:val="auto"/>
              </w:rPr>
            </w:pPr>
            <w:r>
              <w:rPr>
                <w:rFonts w:ascii="Times New Roman" w:hAnsi="Times New Roman"/>
                <w:color w:val="auto"/>
              </w:rPr>
              <w:t>未能发现安全隐患或发生事故</w:t>
            </w:r>
          </w:p>
        </w:tc>
        <w:tc>
          <w:tcPr>
            <w:tcW w:w="1503" w:type="dxa"/>
            <w:noWrap w:val="0"/>
            <w:vAlign w:val="center"/>
          </w:tcPr>
          <w:p w14:paraId="6A29CDD1">
            <w:pPr>
              <w:pStyle w:val="17"/>
              <w:bidi w:val="0"/>
              <w:rPr>
                <w:rFonts w:ascii="Times New Roman" w:hAnsi="Times New Roman"/>
                <w:color w:val="auto"/>
              </w:rPr>
            </w:pPr>
            <w:r>
              <w:rPr>
                <w:rFonts w:ascii="Times New Roman" w:hAnsi="Times New Roman"/>
                <w:color w:val="auto"/>
              </w:rPr>
              <w:t>由于未能及时发现安全隐患，造成重大安全事故。或发生事故时，不能及时发挥安全装备的效用，致使事故损失增大。</w:t>
            </w:r>
          </w:p>
        </w:tc>
        <w:tc>
          <w:tcPr>
            <w:tcW w:w="701" w:type="dxa"/>
            <w:noWrap w:val="0"/>
            <w:vAlign w:val="center"/>
          </w:tcPr>
          <w:p w14:paraId="68454313">
            <w:pPr>
              <w:pStyle w:val="17"/>
              <w:bidi w:val="0"/>
              <w:rPr>
                <w:rFonts w:ascii="Times New Roman" w:hAnsi="Times New Roman"/>
                <w:color w:val="auto"/>
              </w:rPr>
            </w:pPr>
            <w:r>
              <w:rPr>
                <w:rFonts w:ascii="Times New Roman" w:hAnsi="Times New Roman"/>
                <w:color w:val="auto"/>
              </w:rPr>
              <w:t>Ⅲ</w:t>
            </w:r>
          </w:p>
        </w:tc>
        <w:tc>
          <w:tcPr>
            <w:tcW w:w="3809" w:type="dxa"/>
            <w:noWrap w:val="0"/>
            <w:vAlign w:val="center"/>
          </w:tcPr>
          <w:p w14:paraId="4AAA4D38">
            <w:pPr>
              <w:pStyle w:val="17"/>
              <w:bidi w:val="0"/>
              <w:rPr>
                <w:rFonts w:ascii="Times New Roman" w:hAnsi="Times New Roman"/>
                <w:color w:val="auto"/>
              </w:rPr>
            </w:pPr>
            <w:r>
              <w:rPr>
                <w:rFonts w:ascii="Times New Roman" w:hAnsi="Times New Roman"/>
                <w:color w:val="auto"/>
              </w:rPr>
              <w:t>①矿山必须每年对现有安全装备进行维护、更新。②矿山必须每年对易损耗的安全装备进行补充。③采用技术水平较高、且与矿山经济实力相当的装备。</w:t>
            </w:r>
          </w:p>
        </w:tc>
      </w:tr>
      <w:tr w14:paraId="1F69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2F46E4B7">
            <w:pPr>
              <w:pStyle w:val="17"/>
              <w:bidi w:val="0"/>
              <w:rPr>
                <w:rFonts w:ascii="Times New Roman" w:hAnsi="Times New Roman"/>
                <w:color w:val="auto"/>
              </w:rPr>
            </w:pPr>
            <w:bookmarkStart w:id="216" w:name="_Toc26094"/>
            <w:r>
              <w:rPr>
                <w:rFonts w:ascii="Times New Roman" w:hAnsi="Times New Roman"/>
                <w:color w:val="auto"/>
              </w:rPr>
              <w:t>12.管理不到位</w:t>
            </w:r>
          </w:p>
        </w:tc>
        <w:tc>
          <w:tcPr>
            <w:tcW w:w="1332" w:type="dxa"/>
            <w:noWrap w:val="0"/>
            <w:vAlign w:val="center"/>
          </w:tcPr>
          <w:p w14:paraId="345DFC46">
            <w:pPr>
              <w:pStyle w:val="17"/>
              <w:bidi w:val="0"/>
              <w:rPr>
                <w:rFonts w:ascii="Times New Roman" w:hAnsi="Times New Roman"/>
                <w:color w:val="auto"/>
              </w:rPr>
            </w:pPr>
            <w:r>
              <w:rPr>
                <w:rFonts w:ascii="Times New Roman" w:hAnsi="Times New Roman"/>
                <w:color w:val="auto"/>
              </w:rPr>
              <w:t>安全生产责任制未落实。</w:t>
            </w:r>
          </w:p>
        </w:tc>
        <w:tc>
          <w:tcPr>
            <w:tcW w:w="1503" w:type="dxa"/>
            <w:noWrap w:val="0"/>
            <w:vAlign w:val="center"/>
          </w:tcPr>
          <w:p w14:paraId="17B834B7">
            <w:pPr>
              <w:pStyle w:val="17"/>
              <w:bidi w:val="0"/>
              <w:rPr>
                <w:rFonts w:ascii="Times New Roman" w:hAnsi="Times New Roman"/>
                <w:color w:val="auto"/>
              </w:rPr>
            </w:pPr>
            <w:r>
              <w:rPr>
                <w:rFonts w:ascii="Times New Roman" w:hAnsi="Times New Roman"/>
                <w:color w:val="auto"/>
              </w:rPr>
              <w:t>发生重大事故。</w:t>
            </w:r>
          </w:p>
        </w:tc>
        <w:tc>
          <w:tcPr>
            <w:tcW w:w="701" w:type="dxa"/>
            <w:noWrap w:val="0"/>
            <w:vAlign w:val="center"/>
          </w:tcPr>
          <w:p w14:paraId="55855EF7">
            <w:pPr>
              <w:pStyle w:val="17"/>
              <w:bidi w:val="0"/>
              <w:rPr>
                <w:rFonts w:ascii="Times New Roman" w:hAnsi="Times New Roman"/>
                <w:color w:val="auto"/>
              </w:rPr>
            </w:pPr>
            <w:r>
              <w:rPr>
                <w:rFonts w:ascii="Times New Roman" w:hAnsi="Times New Roman"/>
                <w:color w:val="auto"/>
              </w:rPr>
              <w:t>Ⅱ</w:t>
            </w:r>
          </w:p>
        </w:tc>
        <w:tc>
          <w:tcPr>
            <w:tcW w:w="3809" w:type="dxa"/>
            <w:noWrap w:val="0"/>
            <w:vAlign w:val="center"/>
          </w:tcPr>
          <w:p w14:paraId="317D5A7E">
            <w:pPr>
              <w:pStyle w:val="17"/>
              <w:bidi w:val="0"/>
              <w:rPr>
                <w:rFonts w:ascii="Times New Roman" w:hAnsi="Times New Roman"/>
                <w:color w:val="auto"/>
              </w:rPr>
            </w:pPr>
            <w:r>
              <w:rPr>
                <w:rFonts w:ascii="Times New Roman" w:hAnsi="Times New Roman"/>
                <w:color w:val="auto"/>
              </w:rPr>
              <w:t>建立并落实安全生产责任制；完善各类规章制度和规程。</w:t>
            </w:r>
          </w:p>
        </w:tc>
      </w:tr>
      <w:tr w14:paraId="1D54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7750F264">
            <w:pPr>
              <w:pStyle w:val="17"/>
              <w:bidi w:val="0"/>
              <w:rPr>
                <w:rFonts w:ascii="Times New Roman" w:hAnsi="Times New Roman"/>
                <w:color w:val="auto"/>
              </w:rPr>
            </w:pPr>
            <w:r>
              <w:rPr>
                <w:rFonts w:ascii="Times New Roman" w:hAnsi="Times New Roman"/>
                <w:color w:val="auto"/>
              </w:rPr>
              <w:t>13.没制定事故应急救援预案</w:t>
            </w:r>
          </w:p>
        </w:tc>
        <w:tc>
          <w:tcPr>
            <w:tcW w:w="1332" w:type="dxa"/>
            <w:noWrap w:val="0"/>
            <w:vAlign w:val="center"/>
          </w:tcPr>
          <w:p w14:paraId="171E4286">
            <w:pPr>
              <w:pStyle w:val="17"/>
              <w:bidi w:val="0"/>
              <w:rPr>
                <w:rFonts w:ascii="Times New Roman" w:hAnsi="Times New Roman"/>
                <w:color w:val="auto"/>
              </w:rPr>
            </w:pPr>
            <w:r>
              <w:rPr>
                <w:rFonts w:ascii="Times New Roman" w:hAnsi="Times New Roman"/>
                <w:color w:val="auto"/>
              </w:rPr>
              <w:t>对突出事故无预见性；领导及管理人员不重视。</w:t>
            </w:r>
          </w:p>
        </w:tc>
        <w:tc>
          <w:tcPr>
            <w:tcW w:w="1503" w:type="dxa"/>
            <w:noWrap w:val="0"/>
            <w:vAlign w:val="center"/>
          </w:tcPr>
          <w:p w14:paraId="5247143B">
            <w:pPr>
              <w:pStyle w:val="17"/>
              <w:bidi w:val="0"/>
              <w:rPr>
                <w:rFonts w:ascii="Times New Roman" w:hAnsi="Times New Roman"/>
                <w:color w:val="auto"/>
              </w:rPr>
            </w:pPr>
            <w:r>
              <w:rPr>
                <w:rFonts w:ascii="Times New Roman" w:hAnsi="Times New Roman"/>
                <w:color w:val="auto"/>
              </w:rPr>
              <w:t>事故发生后，失去控制，事故的损失扩大。</w:t>
            </w:r>
          </w:p>
        </w:tc>
        <w:tc>
          <w:tcPr>
            <w:tcW w:w="701" w:type="dxa"/>
            <w:noWrap w:val="0"/>
            <w:vAlign w:val="center"/>
          </w:tcPr>
          <w:p w14:paraId="6D9D272B">
            <w:pPr>
              <w:pStyle w:val="17"/>
              <w:bidi w:val="0"/>
              <w:rPr>
                <w:rFonts w:ascii="Times New Roman" w:hAnsi="Times New Roman"/>
                <w:color w:val="auto"/>
              </w:rPr>
            </w:pPr>
            <w:r>
              <w:rPr>
                <w:rFonts w:ascii="Times New Roman" w:hAnsi="Times New Roman"/>
                <w:color w:val="auto"/>
              </w:rPr>
              <w:t>Ⅱ</w:t>
            </w:r>
          </w:p>
        </w:tc>
        <w:tc>
          <w:tcPr>
            <w:tcW w:w="3809" w:type="dxa"/>
            <w:noWrap w:val="0"/>
            <w:vAlign w:val="center"/>
          </w:tcPr>
          <w:p w14:paraId="47FD88CB">
            <w:pPr>
              <w:pStyle w:val="17"/>
              <w:bidi w:val="0"/>
              <w:rPr>
                <w:rFonts w:ascii="Times New Roman" w:hAnsi="Times New Roman"/>
                <w:color w:val="auto"/>
              </w:rPr>
            </w:pPr>
            <w:r>
              <w:rPr>
                <w:rFonts w:ascii="Times New Roman" w:hAnsi="Times New Roman"/>
                <w:color w:val="auto"/>
              </w:rPr>
              <w:t>立即建立健全事故应急救援预案。</w:t>
            </w:r>
          </w:p>
        </w:tc>
      </w:tr>
      <w:tr w14:paraId="2AB6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32" w:type="dxa"/>
            <w:noWrap w:val="0"/>
            <w:vAlign w:val="center"/>
          </w:tcPr>
          <w:p w14:paraId="15A1A1EB">
            <w:pPr>
              <w:pStyle w:val="17"/>
              <w:bidi w:val="0"/>
              <w:rPr>
                <w:rFonts w:ascii="Times New Roman" w:hAnsi="Times New Roman"/>
                <w:color w:val="auto"/>
              </w:rPr>
            </w:pPr>
            <w:r>
              <w:rPr>
                <w:rFonts w:ascii="Times New Roman" w:hAnsi="Times New Roman"/>
                <w:color w:val="auto"/>
              </w:rPr>
              <w:t>14.危险源点监控不力</w:t>
            </w:r>
          </w:p>
        </w:tc>
        <w:tc>
          <w:tcPr>
            <w:tcW w:w="1332" w:type="dxa"/>
            <w:noWrap w:val="0"/>
            <w:vAlign w:val="center"/>
          </w:tcPr>
          <w:p w14:paraId="3CCFFE3B">
            <w:pPr>
              <w:pStyle w:val="17"/>
              <w:bidi w:val="0"/>
              <w:rPr>
                <w:rFonts w:ascii="Times New Roman" w:hAnsi="Times New Roman"/>
                <w:color w:val="auto"/>
              </w:rPr>
            </w:pPr>
            <w:r>
              <w:rPr>
                <w:rFonts w:ascii="Times New Roman" w:hAnsi="Times New Roman"/>
                <w:color w:val="auto"/>
              </w:rPr>
              <w:t>无监控设施或监控设备落后、监测数据不准确。</w:t>
            </w:r>
          </w:p>
        </w:tc>
        <w:tc>
          <w:tcPr>
            <w:tcW w:w="1503" w:type="dxa"/>
            <w:noWrap w:val="0"/>
            <w:vAlign w:val="center"/>
          </w:tcPr>
          <w:p w14:paraId="750053DD">
            <w:pPr>
              <w:pStyle w:val="17"/>
              <w:bidi w:val="0"/>
              <w:rPr>
                <w:rFonts w:ascii="Times New Roman" w:hAnsi="Times New Roman"/>
                <w:color w:val="auto"/>
              </w:rPr>
            </w:pPr>
            <w:r>
              <w:rPr>
                <w:rFonts w:ascii="Times New Roman" w:hAnsi="Times New Roman"/>
                <w:color w:val="auto"/>
              </w:rPr>
              <w:t>造成事故的发生。</w:t>
            </w:r>
          </w:p>
        </w:tc>
        <w:tc>
          <w:tcPr>
            <w:tcW w:w="701" w:type="dxa"/>
            <w:noWrap w:val="0"/>
            <w:vAlign w:val="center"/>
          </w:tcPr>
          <w:p w14:paraId="429DDA18">
            <w:pPr>
              <w:pStyle w:val="17"/>
              <w:bidi w:val="0"/>
              <w:rPr>
                <w:rFonts w:ascii="Times New Roman" w:hAnsi="Times New Roman"/>
                <w:color w:val="auto"/>
              </w:rPr>
            </w:pPr>
          </w:p>
          <w:p w14:paraId="5A27F9AE">
            <w:pPr>
              <w:pStyle w:val="17"/>
              <w:bidi w:val="0"/>
              <w:rPr>
                <w:rFonts w:ascii="Times New Roman" w:hAnsi="Times New Roman"/>
                <w:color w:val="auto"/>
              </w:rPr>
            </w:pPr>
            <w:r>
              <w:rPr>
                <w:rFonts w:ascii="Times New Roman" w:hAnsi="Times New Roman"/>
                <w:color w:val="auto"/>
              </w:rPr>
              <w:t>Ⅱ</w:t>
            </w:r>
          </w:p>
        </w:tc>
        <w:tc>
          <w:tcPr>
            <w:tcW w:w="3809" w:type="dxa"/>
            <w:noWrap w:val="0"/>
            <w:vAlign w:val="center"/>
          </w:tcPr>
          <w:p w14:paraId="026D4952">
            <w:pPr>
              <w:pStyle w:val="17"/>
              <w:bidi w:val="0"/>
              <w:rPr>
                <w:rFonts w:ascii="Times New Roman" w:hAnsi="Times New Roman"/>
                <w:color w:val="auto"/>
              </w:rPr>
            </w:pPr>
            <w:r>
              <w:rPr>
                <w:rFonts w:ascii="Times New Roman" w:hAnsi="Times New Roman"/>
                <w:color w:val="auto"/>
              </w:rPr>
              <w:t>对矿山的每一危险源逐一登记；采用合理可行的监测手段；及时更新监测设备，采用安全，精确的设备。</w:t>
            </w:r>
          </w:p>
        </w:tc>
      </w:tr>
      <w:bookmarkEnd w:id="216"/>
    </w:tbl>
    <w:p w14:paraId="1E0684C1">
      <w:pPr>
        <w:pStyle w:val="4"/>
        <w:bidi w:val="0"/>
        <w:rPr>
          <w:rFonts w:ascii="Times New Roman" w:hAnsi="Times New Roman"/>
          <w:color w:val="auto"/>
        </w:rPr>
      </w:pPr>
      <w:bookmarkStart w:id="217" w:name="_Toc24007"/>
      <w:bookmarkStart w:id="218" w:name="_Toc28082"/>
      <w:bookmarkStart w:id="219" w:name="_Toc17351"/>
      <w:bookmarkStart w:id="220" w:name="_Toc17426"/>
      <w:r>
        <w:rPr>
          <w:rFonts w:ascii="Times New Roman" w:hAnsi="Times New Roman"/>
          <w:color w:val="auto"/>
        </w:rPr>
        <w:t>3.</w:t>
      </w:r>
      <w:r>
        <w:rPr>
          <w:rFonts w:hint="eastAsia" w:ascii="Times New Roman" w:hAnsi="Times New Roman"/>
          <w:color w:val="auto"/>
          <w:lang w:val="en-US" w:eastAsia="zh-CN"/>
        </w:rPr>
        <w:t>6</w:t>
      </w:r>
      <w:r>
        <w:rPr>
          <w:rFonts w:ascii="Times New Roman" w:hAnsi="Times New Roman"/>
          <w:color w:val="auto"/>
        </w:rPr>
        <w:t>.</w:t>
      </w:r>
      <w:r>
        <w:rPr>
          <w:rFonts w:hint="eastAsia" w:ascii="Times New Roman" w:hAnsi="Times New Roman"/>
          <w:color w:val="auto"/>
        </w:rPr>
        <w:t>3</w:t>
      </w:r>
      <w:r>
        <w:rPr>
          <w:rFonts w:hint="eastAsia" w:ascii="Times New Roman" w:hAnsi="Times New Roman"/>
          <w:color w:val="auto"/>
          <w:lang w:val="en-US" w:eastAsia="zh-CN"/>
        </w:rPr>
        <w:t xml:space="preserve"> </w:t>
      </w:r>
      <w:r>
        <w:rPr>
          <w:rFonts w:hint="eastAsia" w:ascii="Times New Roman" w:hAnsi="Times New Roman"/>
          <w:color w:val="auto"/>
        </w:rPr>
        <w:t>安全管理分析评价</w:t>
      </w:r>
      <w:bookmarkEnd w:id="217"/>
    </w:p>
    <w:p w14:paraId="116B7343">
      <w:pPr>
        <w:bidi w:val="0"/>
        <w:rPr>
          <w:rFonts w:hint="eastAsia" w:ascii="Times New Roman" w:hAnsi="Times New Roman"/>
          <w:color w:val="auto"/>
        </w:rPr>
      </w:pPr>
      <w:r>
        <w:rPr>
          <w:rFonts w:hint="eastAsia" w:ascii="Times New Roman" w:hAnsi="Times New Roman"/>
          <w:color w:val="auto"/>
        </w:rPr>
        <w:t>（1）安全生产管理机构</w:t>
      </w:r>
    </w:p>
    <w:p w14:paraId="0E316D86">
      <w:pPr>
        <w:bidi w:val="0"/>
        <w:rPr>
          <w:rFonts w:hint="eastAsia" w:ascii="Times New Roman" w:hAnsi="Times New Roman"/>
          <w:color w:val="auto"/>
        </w:rPr>
      </w:pPr>
      <w:r>
        <w:rPr>
          <w:rFonts w:hint="eastAsia" w:ascii="Times New Roman" w:hAnsi="Times New Roman"/>
          <w:color w:val="auto"/>
        </w:rPr>
        <w:t>企业应按《中华人民共和国安全生产法》的要求设置矿山安全生产管理机构，明确矿山第一责任人，全面负责矿山安全生产管理，专职安全员负责矿山日常安全管理工作，班组长负责当班安全管理工作，形成矿山三级安全管理机构，并由该机构负责落实国家有关安全生产法律法规，组织企业内部各种安全检查活动，负责日常安全检查，及时整改各种事故隐患，监督安全生产责任制的落实等。</w:t>
      </w:r>
    </w:p>
    <w:p w14:paraId="6B56F17C">
      <w:pPr>
        <w:bidi w:val="0"/>
        <w:rPr>
          <w:rFonts w:hint="eastAsia" w:ascii="Times New Roman" w:hAnsi="Times New Roman"/>
          <w:color w:val="auto"/>
        </w:rPr>
      </w:pPr>
      <w:r>
        <w:rPr>
          <w:rFonts w:hint="eastAsia" w:ascii="Times New Roman" w:hAnsi="Times New Roman"/>
          <w:color w:val="auto"/>
        </w:rPr>
        <w:t>（2）建立健全全员安全生产责任制</w:t>
      </w:r>
    </w:p>
    <w:p w14:paraId="4EDED599">
      <w:pPr>
        <w:bidi w:val="0"/>
        <w:rPr>
          <w:rFonts w:hint="eastAsia" w:ascii="Times New Roman" w:hAnsi="Times New Roman"/>
          <w:color w:val="auto"/>
        </w:rPr>
      </w:pPr>
      <w:r>
        <w:rPr>
          <w:rFonts w:hint="eastAsia" w:ascii="Times New Roman" w:hAnsi="Times New Roman"/>
          <w:color w:val="auto"/>
        </w:rPr>
        <w:t>企业应按《中华人民共和国安全生产法》和其它相关的法律法规的要求完善企业的安全生产责任制。包括但不限于：</w:t>
      </w:r>
    </w:p>
    <w:p w14:paraId="7A352CE4">
      <w:pPr>
        <w:bidi w:val="0"/>
        <w:rPr>
          <w:rFonts w:hint="eastAsia" w:ascii="Times New Roman" w:hAnsi="Times New Roman"/>
          <w:color w:val="auto"/>
        </w:rPr>
      </w:pPr>
      <w:r>
        <w:rPr>
          <w:rFonts w:hint="eastAsia" w:ascii="Times New Roman" w:hAnsi="Times New Roman"/>
          <w:color w:val="auto"/>
        </w:rPr>
        <w:t>①矿山主要负责人及安全管理人员安全生产责任制；</w:t>
      </w:r>
    </w:p>
    <w:p w14:paraId="3BD7D01E">
      <w:pPr>
        <w:bidi w:val="0"/>
        <w:rPr>
          <w:rFonts w:hint="eastAsia" w:ascii="Times New Roman" w:hAnsi="Times New Roman"/>
          <w:color w:val="auto"/>
        </w:rPr>
      </w:pPr>
      <w:r>
        <w:rPr>
          <w:rFonts w:hint="eastAsia" w:ascii="Times New Roman" w:hAnsi="Times New Roman"/>
          <w:color w:val="auto"/>
        </w:rPr>
        <w:t>②安全生产管理机构及各职能机构负责人及其工作人员安全生产责任制；</w:t>
      </w:r>
    </w:p>
    <w:p w14:paraId="74BBFAD2">
      <w:pPr>
        <w:bidi w:val="0"/>
        <w:rPr>
          <w:rFonts w:hint="eastAsia" w:ascii="Times New Roman" w:hAnsi="Times New Roman"/>
          <w:color w:val="auto"/>
        </w:rPr>
      </w:pPr>
      <w:r>
        <w:rPr>
          <w:rFonts w:hint="eastAsia" w:ascii="Times New Roman" w:hAnsi="Times New Roman"/>
          <w:color w:val="auto"/>
        </w:rPr>
        <w:t>③班、组长安全生产责任制；</w:t>
      </w:r>
    </w:p>
    <w:p w14:paraId="5FC2AA72">
      <w:pPr>
        <w:bidi w:val="0"/>
        <w:rPr>
          <w:rFonts w:hint="eastAsia" w:ascii="Times New Roman" w:hAnsi="Times New Roman"/>
          <w:color w:val="auto"/>
        </w:rPr>
      </w:pPr>
      <w:r>
        <w:rPr>
          <w:rFonts w:hint="eastAsia" w:ascii="Times New Roman" w:hAnsi="Times New Roman"/>
          <w:color w:val="auto"/>
        </w:rPr>
        <w:t>④岗位</w:t>
      </w:r>
      <w:r>
        <w:rPr>
          <w:rFonts w:hint="eastAsia" w:ascii="Times New Roman" w:hAnsi="Times New Roman"/>
          <w:color w:val="auto"/>
          <w:lang w:eastAsia="zh-CN"/>
        </w:rPr>
        <w:t>（</w:t>
      </w:r>
      <w:r>
        <w:rPr>
          <w:rFonts w:hint="eastAsia" w:ascii="Times New Roman" w:hAnsi="Times New Roman"/>
          <w:color w:val="auto"/>
        </w:rPr>
        <w:t>工种</w:t>
      </w:r>
      <w:r>
        <w:rPr>
          <w:rFonts w:hint="eastAsia" w:ascii="Times New Roman" w:hAnsi="Times New Roman"/>
          <w:color w:val="auto"/>
          <w:lang w:eastAsia="zh-CN"/>
        </w:rPr>
        <w:t>）</w:t>
      </w:r>
      <w:r>
        <w:rPr>
          <w:rFonts w:hint="eastAsia" w:ascii="Times New Roman" w:hAnsi="Times New Roman"/>
          <w:color w:val="auto"/>
        </w:rPr>
        <w:t>工人安全生产责任制。</w:t>
      </w:r>
    </w:p>
    <w:p w14:paraId="0913206A">
      <w:pPr>
        <w:bidi w:val="0"/>
        <w:rPr>
          <w:rFonts w:hint="eastAsia" w:ascii="Times New Roman" w:hAnsi="Times New Roman"/>
          <w:color w:val="auto"/>
        </w:rPr>
      </w:pPr>
      <w:r>
        <w:rPr>
          <w:rFonts w:hint="eastAsia" w:ascii="Times New Roman" w:hAnsi="Times New Roman"/>
          <w:color w:val="auto"/>
        </w:rPr>
        <w:t>企业在项目建设和生产中，进行工程承包和部分工作承包的，必须依照《中华人民共和国安全生产法》的有关规定与施工单位、承包生产单位签订安全生产协议，并履行监督、协调和管理职能。</w:t>
      </w:r>
    </w:p>
    <w:p w14:paraId="0C1CE9DC">
      <w:pPr>
        <w:bidi w:val="0"/>
        <w:rPr>
          <w:rFonts w:hint="eastAsia" w:ascii="Times New Roman" w:hAnsi="Times New Roman"/>
          <w:color w:val="auto"/>
        </w:rPr>
      </w:pPr>
      <w:r>
        <w:rPr>
          <w:rFonts w:hint="eastAsia" w:ascii="Times New Roman" w:hAnsi="Times New Roman"/>
          <w:color w:val="auto"/>
        </w:rPr>
        <w:t>（3）建立健全安全生产管理制度</w:t>
      </w:r>
    </w:p>
    <w:p w14:paraId="1473A799">
      <w:pPr>
        <w:bidi w:val="0"/>
        <w:rPr>
          <w:rFonts w:hint="eastAsia" w:ascii="Times New Roman" w:hAnsi="Times New Roman"/>
          <w:color w:val="auto"/>
        </w:rPr>
      </w:pPr>
      <w:r>
        <w:rPr>
          <w:rFonts w:hint="eastAsia" w:ascii="Times New Roman" w:hAnsi="Times New Roman"/>
          <w:color w:val="auto"/>
        </w:rPr>
        <w:t>按《中华人民共和国安全生产法》和其它相关的法律法规的规定建立健全安全管理制度：如安全生产责任制度；安全生产例会制度；安全生产奖惩制度；安全生产教育培训制度；安全生产检查制度；设备、设施安全管理制度；安全生产风险分级管理控制制度；危险源管理制度；安全生产应急管理和事故报告处理制度；职业危害预防制度及职业健康监护制度；安全生产奖惩制度；安全生产档案管理制度；特种作业人员管理制度；劳动防护用品发放管理制度；重大危险源监控制度；安全生产目标管理制度；隐患排查、整改制度；安全生产承诺制度；应急救援物资管理制度以及法律法规规定的其他安全生产制度。</w:t>
      </w:r>
    </w:p>
    <w:p w14:paraId="7A8189D2">
      <w:pPr>
        <w:bidi w:val="0"/>
        <w:rPr>
          <w:rFonts w:hint="eastAsia" w:ascii="Times New Roman" w:hAnsi="Times New Roman"/>
          <w:color w:val="auto"/>
        </w:rPr>
      </w:pPr>
      <w:r>
        <w:rPr>
          <w:rFonts w:hint="eastAsia" w:ascii="Times New Roman" w:hAnsi="Times New Roman"/>
          <w:color w:val="auto"/>
        </w:rPr>
        <w:t>（4）制定作业安全规程和各工种安全操作规程</w:t>
      </w:r>
    </w:p>
    <w:p w14:paraId="49EEE52B">
      <w:pPr>
        <w:bidi w:val="0"/>
        <w:rPr>
          <w:rFonts w:hint="eastAsia" w:ascii="Times New Roman" w:hAnsi="Times New Roman"/>
          <w:color w:val="auto"/>
        </w:rPr>
      </w:pPr>
      <w:r>
        <w:rPr>
          <w:rFonts w:hint="eastAsia" w:ascii="Times New Roman" w:hAnsi="Times New Roman"/>
          <w:color w:val="auto"/>
        </w:rPr>
        <w:t>根据生产工艺、设备、设施、工序、工种的构成和组成情况，按设备、工序、工种建立健全安全操作规程。</w:t>
      </w:r>
    </w:p>
    <w:p w14:paraId="32EC9F9F">
      <w:pPr>
        <w:bidi w:val="0"/>
        <w:rPr>
          <w:rFonts w:hint="eastAsia" w:ascii="Times New Roman" w:hAnsi="Times New Roman"/>
          <w:color w:val="auto"/>
        </w:rPr>
      </w:pPr>
      <w:r>
        <w:rPr>
          <w:rFonts w:hint="eastAsia" w:ascii="Times New Roman" w:hAnsi="Times New Roman"/>
          <w:color w:val="auto"/>
        </w:rPr>
        <w:t>（5）建立企业安全生产管理档案</w:t>
      </w:r>
    </w:p>
    <w:p w14:paraId="677CD8C1">
      <w:pPr>
        <w:bidi w:val="0"/>
        <w:rPr>
          <w:rFonts w:hint="eastAsia" w:ascii="Times New Roman" w:hAnsi="Times New Roman"/>
          <w:color w:val="auto"/>
        </w:rPr>
      </w:pPr>
      <w:r>
        <w:rPr>
          <w:rFonts w:hint="eastAsia" w:ascii="Times New Roman" w:hAnsi="Times New Roman"/>
          <w:color w:val="auto"/>
        </w:rPr>
        <w:t>建立完善安全生产记录档案，及时掌握企业安全生产状况，便于企业制定安全生产技术措施和安全决策。故建议企业建立以下安全生产记录档案。</w:t>
      </w:r>
    </w:p>
    <w:p w14:paraId="2A37EDB9">
      <w:pPr>
        <w:bidi w:val="0"/>
        <w:rPr>
          <w:rFonts w:hint="eastAsia" w:ascii="Times New Roman" w:hAnsi="Times New Roman"/>
          <w:color w:val="auto"/>
        </w:rPr>
      </w:pPr>
      <w:r>
        <w:rPr>
          <w:rFonts w:hint="eastAsia" w:ascii="Times New Roman" w:hAnsi="Times New Roman"/>
          <w:color w:val="auto"/>
        </w:rPr>
        <w:t>①安全生产会议记录档案；</w:t>
      </w:r>
    </w:p>
    <w:p w14:paraId="5F4C9BC4">
      <w:pPr>
        <w:bidi w:val="0"/>
        <w:rPr>
          <w:rFonts w:hint="eastAsia" w:ascii="Times New Roman" w:hAnsi="Times New Roman"/>
          <w:color w:val="auto"/>
        </w:rPr>
      </w:pPr>
      <w:r>
        <w:rPr>
          <w:rFonts w:hint="eastAsia" w:ascii="Times New Roman" w:hAnsi="Times New Roman"/>
          <w:color w:val="auto"/>
        </w:rPr>
        <w:t>②各类从业人员安全教育培训、考核、持证情况档案；</w:t>
      </w:r>
    </w:p>
    <w:p w14:paraId="2BA2FCFF">
      <w:pPr>
        <w:bidi w:val="0"/>
        <w:rPr>
          <w:rFonts w:hint="eastAsia" w:ascii="Times New Roman" w:hAnsi="Times New Roman"/>
          <w:color w:val="auto"/>
        </w:rPr>
      </w:pPr>
      <w:r>
        <w:rPr>
          <w:rFonts w:hint="eastAsia" w:ascii="Times New Roman" w:hAnsi="Times New Roman"/>
          <w:color w:val="auto"/>
        </w:rPr>
        <w:t>③设备、设施安全管理档案；</w:t>
      </w:r>
    </w:p>
    <w:p w14:paraId="356A655E">
      <w:pPr>
        <w:bidi w:val="0"/>
        <w:rPr>
          <w:rFonts w:hint="eastAsia" w:ascii="Times New Roman" w:hAnsi="Times New Roman"/>
          <w:color w:val="auto"/>
        </w:rPr>
      </w:pPr>
      <w:r>
        <w:rPr>
          <w:rFonts w:hint="eastAsia" w:ascii="Times New Roman" w:hAnsi="Times New Roman"/>
          <w:color w:val="auto"/>
        </w:rPr>
        <w:t>④现场安全检查、事故隐患及其整改情况档案；</w:t>
      </w:r>
    </w:p>
    <w:p w14:paraId="0AAF57B3">
      <w:pPr>
        <w:bidi w:val="0"/>
        <w:rPr>
          <w:rFonts w:hint="eastAsia" w:ascii="Times New Roman" w:hAnsi="Times New Roman"/>
          <w:color w:val="auto"/>
        </w:rPr>
      </w:pPr>
      <w:r>
        <w:rPr>
          <w:rFonts w:hint="eastAsia" w:ascii="Times New Roman" w:hAnsi="Times New Roman"/>
          <w:color w:val="auto"/>
        </w:rPr>
        <w:t>⑤劳动用品发放管理档案；</w:t>
      </w:r>
    </w:p>
    <w:p w14:paraId="574F62B0">
      <w:pPr>
        <w:bidi w:val="0"/>
        <w:rPr>
          <w:rFonts w:hint="eastAsia" w:ascii="Times New Roman" w:hAnsi="Times New Roman"/>
          <w:color w:val="auto"/>
        </w:rPr>
      </w:pPr>
      <w:r>
        <w:rPr>
          <w:rFonts w:hint="eastAsia" w:ascii="Times New Roman" w:hAnsi="Times New Roman"/>
          <w:color w:val="auto"/>
        </w:rPr>
        <w:t xml:space="preserve">⑥伤亡事故分析、处理、统计档案； </w:t>
      </w:r>
    </w:p>
    <w:p w14:paraId="44F83E20">
      <w:pPr>
        <w:bidi w:val="0"/>
        <w:rPr>
          <w:rFonts w:hint="eastAsia" w:ascii="Times New Roman" w:hAnsi="Times New Roman"/>
          <w:color w:val="auto"/>
        </w:rPr>
      </w:pPr>
      <w:r>
        <w:rPr>
          <w:rFonts w:hint="eastAsia" w:ascii="Times New Roman" w:hAnsi="Times New Roman"/>
          <w:color w:val="auto"/>
        </w:rPr>
        <w:t>⑦安全生产责任制签订、考核情况档案；</w:t>
      </w:r>
    </w:p>
    <w:p w14:paraId="656AFCAB">
      <w:pPr>
        <w:bidi w:val="0"/>
        <w:rPr>
          <w:rFonts w:hint="eastAsia" w:ascii="Times New Roman" w:hAnsi="Times New Roman"/>
          <w:color w:val="auto"/>
        </w:rPr>
      </w:pPr>
      <w:r>
        <w:rPr>
          <w:rFonts w:hint="eastAsia" w:ascii="Times New Roman" w:hAnsi="Times New Roman"/>
          <w:color w:val="auto"/>
        </w:rPr>
        <w:t>⑧其它安全生产管理档案。</w:t>
      </w:r>
    </w:p>
    <w:p w14:paraId="3F8AE56D">
      <w:pPr>
        <w:bidi w:val="0"/>
        <w:rPr>
          <w:rFonts w:hint="eastAsia" w:ascii="Times New Roman" w:hAnsi="Times New Roman"/>
          <w:color w:val="auto"/>
        </w:rPr>
      </w:pPr>
      <w:r>
        <w:rPr>
          <w:rFonts w:hint="eastAsia" w:ascii="Times New Roman" w:hAnsi="Times New Roman"/>
          <w:color w:val="auto"/>
        </w:rPr>
        <w:t>（6）制定企业安全生产投入和技术措施计划</w:t>
      </w:r>
    </w:p>
    <w:p w14:paraId="33F573B4">
      <w:pPr>
        <w:bidi w:val="0"/>
        <w:rPr>
          <w:rFonts w:hint="eastAsia" w:ascii="Times New Roman" w:hAnsi="Times New Roman"/>
          <w:color w:val="auto"/>
        </w:rPr>
      </w:pPr>
      <w:r>
        <w:rPr>
          <w:rFonts w:hint="eastAsia" w:ascii="Times New Roman" w:hAnsi="Times New Roman"/>
          <w:color w:val="auto"/>
        </w:rPr>
        <w:t>通过制定安全技术措施，以便不同作业场所的具体情况进行安全控制。</w:t>
      </w:r>
    </w:p>
    <w:p w14:paraId="5B4E26FA">
      <w:pPr>
        <w:bidi w:val="0"/>
        <w:rPr>
          <w:rFonts w:hint="eastAsia" w:ascii="Times New Roman" w:hAnsi="Times New Roman"/>
          <w:color w:val="auto"/>
        </w:rPr>
      </w:pPr>
      <w:r>
        <w:rPr>
          <w:rFonts w:hint="eastAsia" w:ascii="Times New Roman" w:hAnsi="Times New Roman"/>
          <w:color w:val="auto"/>
        </w:rPr>
        <w:t>（7）加强对企业各级人员的安全培训考核工作</w:t>
      </w:r>
    </w:p>
    <w:p w14:paraId="057D18B9">
      <w:pPr>
        <w:bidi w:val="0"/>
        <w:rPr>
          <w:rFonts w:hint="eastAsia" w:ascii="Times New Roman" w:hAnsi="Times New Roman"/>
          <w:color w:val="auto"/>
        </w:rPr>
      </w:pPr>
      <w:r>
        <w:rPr>
          <w:rFonts w:hint="eastAsia" w:ascii="Times New Roman" w:hAnsi="Times New Roman"/>
          <w:color w:val="auto"/>
        </w:rPr>
        <w:t>《安全生产法》规定，主要负责人和安全生产管理人员，应当由主管的负有安全生产监督管理职责的部门对其安全生产知识和管理能力考核合格；《安全生产法》、《特种作业人员安全技术培训考核管理规定》等规定要求，特种作业人员需经培训，考核取得资格证后方可持证上岗作业；生产作业人员需经</w:t>
      </w:r>
      <w:r>
        <w:rPr>
          <w:rFonts w:hint="eastAsia" w:ascii="Times New Roman" w:hAnsi="Times New Roman"/>
          <w:color w:val="auto"/>
          <w:lang w:eastAsia="zh-CN"/>
        </w:rPr>
        <w:t>“</w:t>
      </w:r>
      <w:r>
        <w:rPr>
          <w:rFonts w:hint="eastAsia" w:ascii="Times New Roman" w:hAnsi="Times New Roman"/>
          <w:color w:val="auto"/>
        </w:rPr>
        <w:t>三级</w:t>
      </w:r>
      <w:r>
        <w:rPr>
          <w:rFonts w:hint="eastAsia" w:ascii="Times New Roman" w:hAnsi="Times New Roman"/>
          <w:color w:val="auto"/>
          <w:lang w:eastAsia="zh-CN"/>
        </w:rPr>
        <w:t>”</w:t>
      </w:r>
      <w:r>
        <w:rPr>
          <w:rFonts w:hint="eastAsia" w:ascii="Times New Roman" w:hAnsi="Times New Roman"/>
          <w:color w:val="auto"/>
        </w:rPr>
        <w:t>安全教育、岗前培训后方可上岗作业。未经安全生产教育和培训合格的从业人员，不得上岗作业。</w:t>
      </w:r>
    </w:p>
    <w:p w14:paraId="794DD90D">
      <w:pPr>
        <w:bidi w:val="0"/>
        <w:rPr>
          <w:rFonts w:hint="eastAsia" w:ascii="Times New Roman" w:hAnsi="Times New Roman"/>
          <w:color w:val="auto"/>
        </w:rPr>
      </w:pPr>
      <w:r>
        <w:rPr>
          <w:rFonts w:hint="eastAsia" w:ascii="Times New Roman" w:hAnsi="Times New Roman"/>
          <w:color w:val="auto"/>
        </w:rPr>
        <w:t>本报告根据有关安全生产的培训要求提出安全教育培训对象和内容如下：</w:t>
      </w:r>
    </w:p>
    <w:p w14:paraId="6AA66E21">
      <w:pPr>
        <w:bidi w:val="0"/>
        <w:rPr>
          <w:rFonts w:hint="eastAsia" w:ascii="Times New Roman" w:hAnsi="Times New Roman"/>
          <w:color w:val="auto"/>
        </w:rPr>
      </w:pPr>
      <w:r>
        <w:rPr>
          <w:rFonts w:hint="eastAsia" w:ascii="Times New Roman" w:hAnsi="Times New Roman"/>
          <w:color w:val="auto"/>
        </w:rPr>
        <w:t>①对新从业人员，应进行</w:t>
      </w:r>
      <w:r>
        <w:rPr>
          <w:rFonts w:hint="eastAsia" w:ascii="Times New Roman" w:hAnsi="Times New Roman"/>
          <w:color w:val="auto"/>
          <w:lang w:eastAsia="zh-CN"/>
        </w:rPr>
        <w:t>“</w:t>
      </w:r>
      <w:r>
        <w:rPr>
          <w:rFonts w:hint="eastAsia" w:ascii="Times New Roman" w:hAnsi="Times New Roman"/>
          <w:color w:val="auto"/>
        </w:rPr>
        <w:t>三级</w:t>
      </w:r>
      <w:r>
        <w:rPr>
          <w:rFonts w:hint="eastAsia" w:ascii="Times New Roman" w:hAnsi="Times New Roman"/>
          <w:color w:val="auto"/>
          <w:lang w:eastAsia="zh-CN"/>
        </w:rPr>
        <w:t>”</w:t>
      </w:r>
      <w:r>
        <w:rPr>
          <w:rFonts w:hint="eastAsia" w:ascii="Times New Roman" w:hAnsi="Times New Roman"/>
          <w:color w:val="auto"/>
        </w:rPr>
        <w:t>安全生产教育培训。</w:t>
      </w:r>
    </w:p>
    <w:p w14:paraId="0BCD8CB4">
      <w:pPr>
        <w:bidi w:val="0"/>
        <w:rPr>
          <w:rFonts w:hint="eastAsia" w:ascii="Times New Roman" w:hAnsi="Times New Roman"/>
          <w:color w:val="auto"/>
        </w:rPr>
      </w:pPr>
      <w:r>
        <w:rPr>
          <w:rFonts w:hint="eastAsia" w:ascii="Times New Roman" w:hAnsi="Times New Roman"/>
          <w:color w:val="auto"/>
        </w:rPr>
        <w:t>a.厂级安全生产教育培训内容主要是：安全生产基本知识；本单位安全生产规章制度；劳动纪律；作业场所和工作岗位存在的危险因素、防范措施及事故应急措施；有关事故案例等。</w:t>
      </w:r>
    </w:p>
    <w:p w14:paraId="21408F5C">
      <w:pPr>
        <w:bidi w:val="0"/>
        <w:rPr>
          <w:rFonts w:hint="eastAsia" w:ascii="Times New Roman" w:hAnsi="Times New Roman"/>
          <w:color w:val="auto"/>
        </w:rPr>
      </w:pPr>
      <w:r>
        <w:rPr>
          <w:rFonts w:hint="eastAsia" w:ascii="Times New Roman" w:hAnsi="Times New Roman"/>
          <w:color w:val="auto"/>
        </w:rPr>
        <w:t>b.车间级安全生产教育培训内容主要是：本车间安全生产状况和规章制度；作业场所和工作岗位存在的危险因素、防范措施及事故应急措施；事故案例等。</w:t>
      </w:r>
    </w:p>
    <w:p w14:paraId="4ED7AB79">
      <w:pPr>
        <w:bidi w:val="0"/>
        <w:rPr>
          <w:rFonts w:hint="eastAsia" w:ascii="Times New Roman" w:hAnsi="Times New Roman"/>
          <w:color w:val="auto"/>
        </w:rPr>
      </w:pPr>
      <w:r>
        <w:rPr>
          <w:rFonts w:hint="eastAsia" w:ascii="Times New Roman" w:hAnsi="Times New Roman"/>
          <w:color w:val="auto"/>
        </w:rPr>
        <w:t>c.班组级安全生产教育培训内容主要是：岗位安全操作规程；生产设备、安全装置、劳动防护用品（用具）的正确使用方法；事故案例等。</w:t>
      </w:r>
    </w:p>
    <w:p w14:paraId="3B9B69A3">
      <w:pPr>
        <w:bidi w:val="0"/>
        <w:rPr>
          <w:rFonts w:hint="eastAsia" w:ascii="Times New Roman" w:hAnsi="Times New Roman"/>
          <w:color w:val="auto"/>
        </w:rPr>
      </w:pPr>
      <w:r>
        <w:rPr>
          <w:rFonts w:hint="eastAsia" w:ascii="Times New Roman" w:hAnsi="Times New Roman"/>
          <w:color w:val="auto"/>
        </w:rPr>
        <w:t>②培训时间</w:t>
      </w:r>
    </w:p>
    <w:p w14:paraId="55B25AC8">
      <w:pPr>
        <w:bidi w:val="0"/>
        <w:rPr>
          <w:rFonts w:hint="eastAsia" w:ascii="Times New Roman" w:hAnsi="Times New Roman"/>
          <w:color w:val="auto"/>
        </w:rPr>
      </w:pPr>
      <w:r>
        <w:rPr>
          <w:rFonts w:hint="eastAsia" w:ascii="Times New Roman" w:hAnsi="Times New Roman"/>
          <w:color w:val="auto"/>
        </w:rPr>
        <w:t>a.新进露天矿山的作业人员，应接受不少于72h的安全教育，经考试合格后，方可上岗作业，老员工每年接受再培训的时间不得少于20学时。</w:t>
      </w:r>
    </w:p>
    <w:p w14:paraId="1ADB9BDC">
      <w:pPr>
        <w:bidi w:val="0"/>
        <w:rPr>
          <w:rFonts w:hint="eastAsia" w:ascii="Times New Roman" w:hAnsi="Times New Roman"/>
          <w:color w:val="auto"/>
        </w:rPr>
      </w:pPr>
      <w:r>
        <w:rPr>
          <w:rFonts w:hint="eastAsia" w:ascii="Times New Roman" w:hAnsi="Times New Roman"/>
          <w:color w:val="auto"/>
        </w:rPr>
        <w:t>b.调整工作岗位或离岗一年以上重新上岗的从业人员调整工作岗位或离岗一年以上重新上岗时，应进行相应的车间级安全生产教育培训。</w:t>
      </w:r>
    </w:p>
    <w:p w14:paraId="2DBC3401">
      <w:pPr>
        <w:bidi w:val="0"/>
        <w:rPr>
          <w:rFonts w:hint="eastAsia" w:ascii="Times New Roman" w:hAnsi="Times New Roman"/>
          <w:color w:val="auto"/>
        </w:rPr>
      </w:pPr>
      <w:r>
        <w:rPr>
          <w:rFonts w:hint="eastAsia" w:ascii="Times New Roman" w:hAnsi="Times New Roman"/>
          <w:color w:val="auto"/>
        </w:rPr>
        <w:t>c.实施新工艺、新技术或使用新设备、新材料时应对从业人员进行有针对性的安全生产教育培训。</w:t>
      </w:r>
    </w:p>
    <w:p w14:paraId="1053FAE5">
      <w:pPr>
        <w:bidi w:val="0"/>
        <w:rPr>
          <w:rFonts w:hint="eastAsia" w:ascii="Times New Roman" w:hAnsi="Times New Roman"/>
          <w:color w:val="auto"/>
        </w:rPr>
      </w:pPr>
      <w:r>
        <w:rPr>
          <w:rFonts w:hint="eastAsia" w:ascii="Times New Roman" w:hAnsi="Times New Roman"/>
          <w:color w:val="auto"/>
        </w:rPr>
        <w:t>要确立终身教育的观念和全员培训的目标，对在岗的从业人员应进行经常性的安全生产教育培训，其内容主要是：安全生产新知识、新技术；安全生产法律法规；作业场所和工作岗位存在的危险因素、防范措施及事故应急措施事故案例等。</w:t>
      </w:r>
    </w:p>
    <w:p w14:paraId="2BFBBD1D">
      <w:pPr>
        <w:bidi w:val="0"/>
        <w:rPr>
          <w:rFonts w:hint="eastAsia" w:ascii="Times New Roman" w:hAnsi="Times New Roman"/>
          <w:color w:val="auto"/>
        </w:rPr>
      </w:pPr>
      <w:r>
        <w:rPr>
          <w:rFonts w:hint="eastAsia" w:ascii="Times New Roman" w:hAnsi="Times New Roman"/>
          <w:color w:val="auto"/>
        </w:rPr>
        <w:t>（8）加强安全警示、标示</w:t>
      </w:r>
    </w:p>
    <w:p w14:paraId="22366671">
      <w:pPr>
        <w:bidi w:val="0"/>
        <w:rPr>
          <w:rFonts w:hint="eastAsia" w:ascii="Times New Roman" w:hAnsi="Times New Roman"/>
          <w:color w:val="auto"/>
        </w:rPr>
      </w:pPr>
      <w:r>
        <w:rPr>
          <w:rFonts w:hint="eastAsia" w:ascii="Times New Roman" w:hAnsi="Times New Roman"/>
          <w:color w:val="auto"/>
        </w:rPr>
        <w:t>企业应在机械设备、供配电设施、进入矿区道路、采场上部边坡及排弃作业范围等设置安全警示、标示牌。</w:t>
      </w:r>
    </w:p>
    <w:p w14:paraId="699ADCCC">
      <w:pPr>
        <w:bidi w:val="0"/>
        <w:rPr>
          <w:rFonts w:hint="eastAsia" w:ascii="Times New Roman" w:hAnsi="Times New Roman"/>
          <w:color w:val="auto"/>
        </w:rPr>
      </w:pPr>
      <w:r>
        <w:rPr>
          <w:rFonts w:hint="eastAsia" w:ascii="Times New Roman" w:hAnsi="Times New Roman"/>
          <w:color w:val="auto"/>
        </w:rPr>
        <w:t>（9）应急预案</w:t>
      </w:r>
    </w:p>
    <w:p w14:paraId="60664A06">
      <w:pPr>
        <w:bidi w:val="0"/>
        <w:rPr>
          <w:rFonts w:ascii="Times New Roman" w:hAnsi="Times New Roman"/>
          <w:color w:val="auto"/>
        </w:rPr>
      </w:pPr>
      <w:r>
        <w:rPr>
          <w:rFonts w:hint="eastAsia" w:ascii="Times New Roman" w:hAnsi="Times New Roman"/>
          <w:color w:val="auto"/>
        </w:rPr>
        <w:t>根据本项目存在的危险有害因素分布情况，建立矿山生产安全事故应急预案，并按照要求进行评审备案，定期进行应急预案的演练。</w:t>
      </w:r>
    </w:p>
    <w:p w14:paraId="4DC18878">
      <w:pPr>
        <w:pStyle w:val="4"/>
        <w:bidi w:val="0"/>
        <w:rPr>
          <w:rFonts w:ascii="Times New Roman" w:hAnsi="Times New Roman"/>
          <w:color w:val="auto"/>
        </w:rPr>
      </w:pPr>
      <w:bookmarkStart w:id="221" w:name="_Toc6388"/>
      <w:r>
        <w:rPr>
          <w:rFonts w:ascii="Times New Roman" w:hAnsi="Times New Roman"/>
          <w:color w:val="auto"/>
        </w:rPr>
        <w:t>3.</w:t>
      </w:r>
      <w:r>
        <w:rPr>
          <w:rFonts w:hint="eastAsia" w:ascii="Times New Roman" w:hAnsi="Times New Roman"/>
          <w:color w:val="auto"/>
          <w:lang w:val="en-US" w:eastAsia="zh-CN"/>
        </w:rPr>
        <w:t>6</w:t>
      </w:r>
      <w:r>
        <w:rPr>
          <w:rFonts w:ascii="Times New Roman" w:hAnsi="Times New Roman"/>
          <w:color w:val="auto"/>
        </w:rPr>
        <w:t>.</w:t>
      </w:r>
      <w:r>
        <w:rPr>
          <w:rFonts w:hint="eastAsia" w:ascii="Times New Roman" w:hAnsi="Times New Roman"/>
          <w:color w:val="auto"/>
        </w:rPr>
        <w:t>4</w:t>
      </w:r>
      <w:r>
        <w:rPr>
          <w:rFonts w:hint="eastAsia" w:ascii="Times New Roman" w:hAnsi="Times New Roman"/>
          <w:color w:val="auto"/>
          <w:lang w:val="en-US" w:eastAsia="zh-CN"/>
        </w:rPr>
        <w:t xml:space="preserve"> </w:t>
      </w:r>
      <w:r>
        <w:rPr>
          <w:rFonts w:ascii="Times New Roman" w:hAnsi="Times New Roman"/>
          <w:color w:val="auto"/>
        </w:rPr>
        <w:t>单元小结</w:t>
      </w:r>
      <w:bookmarkEnd w:id="218"/>
      <w:bookmarkEnd w:id="219"/>
      <w:bookmarkEnd w:id="220"/>
      <w:bookmarkEnd w:id="221"/>
    </w:p>
    <w:p w14:paraId="75DE9FD5">
      <w:pPr>
        <w:bidi w:val="0"/>
        <w:rPr>
          <w:rFonts w:ascii="Times New Roman" w:hAnsi="Times New Roman"/>
          <w:color w:val="auto"/>
        </w:rPr>
      </w:pPr>
      <w:r>
        <w:rPr>
          <w:rFonts w:ascii="Times New Roman" w:hAnsi="Times New Roman"/>
          <w:color w:val="auto"/>
        </w:rPr>
        <w:t>企业应根据生产的发展及建设项目的具体情况，及时建立健全安全生产管理机构，完善</w:t>
      </w:r>
      <w:r>
        <w:rPr>
          <w:rFonts w:hint="eastAsia" w:ascii="Times New Roman" w:hAnsi="Times New Roman"/>
          <w:color w:val="auto"/>
        </w:rPr>
        <w:t>安全生产管理台账</w:t>
      </w:r>
      <w:r>
        <w:rPr>
          <w:rFonts w:ascii="Times New Roman" w:hAnsi="Times New Roman"/>
          <w:color w:val="auto"/>
        </w:rPr>
        <w:t>。</w:t>
      </w:r>
    </w:p>
    <w:p w14:paraId="54489267">
      <w:pPr>
        <w:bidi w:val="0"/>
        <w:rPr>
          <w:rFonts w:ascii="Times New Roman" w:hAnsi="Times New Roman"/>
          <w:color w:val="auto"/>
        </w:rPr>
      </w:pPr>
      <w:r>
        <w:rPr>
          <w:rFonts w:ascii="Times New Roman" w:hAnsi="Times New Roman"/>
          <w:color w:val="auto"/>
        </w:rPr>
        <w:t>本单元应注意以下问题：</w:t>
      </w:r>
    </w:p>
    <w:p w14:paraId="0F8525B9">
      <w:pPr>
        <w:bidi w:val="0"/>
        <w:rPr>
          <w:rFonts w:ascii="Times New Roman" w:hAnsi="Times New Roman"/>
          <w:color w:val="auto"/>
        </w:rPr>
      </w:pPr>
      <w:r>
        <w:rPr>
          <w:rFonts w:ascii="Times New Roman" w:hAnsi="Times New Roman"/>
          <w:color w:val="auto"/>
        </w:rPr>
        <w:t>（1）建立安全生产管理机构，特种作业人员要取得特种作业资格证。</w:t>
      </w:r>
    </w:p>
    <w:p w14:paraId="72ABFB5F">
      <w:pPr>
        <w:bidi w:val="0"/>
        <w:rPr>
          <w:rFonts w:ascii="Times New Roman" w:hAnsi="Times New Roman"/>
          <w:color w:val="auto"/>
        </w:rPr>
      </w:pPr>
      <w:r>
        <w:rPr>
          <w:rFonts w:ascii="Times New Roman" w:hAnsi="Times New Roman"/>
          <w:color w:val="auto"/>
        </w:rPr>
        <w:t>（2）</w:t>
      </w:r>
      <w:r>
        <w:rPr>
          <w:rFonts w:hint="eastAsia" w:ascii="Times New Roman" w:hAnsi="Times New Roman"/>
          <w:color w:val="auto"/>
        </w:rPr>
        <w:t>企业应完善各安全责任制、安全管理制度、安全操作规程及相应的安全管理台帐</w:t>
      </w:r>
      <w:r>
        <w:rPr>
          <w:rFonts w:ascii="Times New Roman" w:hAnsi="Times New Roman"/>
          <w:color w:val="auto"/>
        </w:rPr>
        <w:t>。</w:t>
      </w:r>
    </w:p>
    <w:p w14:paraId="0172FA39">
      <w:pPr>
        <w:bidi w:val="0"/>
        <w:rPr>
          <w:rFonts w:ascii="Times New Roman" w:hAnsi="Times New Roman"/>
          <w:color w:val="auto"/>
        </w:rPr>
      </w:pPr>
      <w:r>
        <w:rPr>
          <w:rFonts w:ascii="Times New Roman" w:hAnsi="Times New Roman"/>
          <w:color w:val="auto"/>
        </w:rPr>
        <w:t>（3）矿山应按照矿安〔2022〕4号文</w:t>
      </w:r>
      <w:r>
        <w:rPr>
          <w:rFonts w:hint="eastAsia" w:ascii="Times New Roman" w:hAnsi="Times New Roman"/>
          <w:color w:val="auto"/>
          <w:lang w:val="en-US" w:eastAsia="zh-CN"/>
        </w:rPr>
        <w:t>和矿安综〔2025〕12号文</w:t>
      </w:r>
      <w:r>
        <w:rPr>
          <w:rFonts w:ascii="Times New Roman" w:hAnsi="Times New Roman"/>
          <w:color w:val="auto"/>
        </w:rPr>
        <w:t>内容，强化</w:t>
      </w:r>
      <w:r>
        <w:rPr>
          <w:rFonts w:hint="eastAsia" w:ascii="Times New Roman" w:hAnsi="Times New Roman"/>
          <w:color w:val="auto"/>
        </w:rPr>
        <w:t>生产技术、调度、机电运输、地质测量、安全管理工作</w:t>
      </w:r>
      <w:r>
        <w:rPr>
          <w:rFonts w:ascii="Times New Roman" w:hAnsi="Times New Roman"/>
          <w:color w:val="auto"/>
        </w:rPr>
        <w:t>，</w:t>
      </w:r>
      <w:r>
        <w:rPr>
          <w:rFonts w:hint="eastAsia" w:ascii="Times New Roman" w:hAnsi="Times New Roman"/>
          <w:color w:val="auto"/>
        </w:rPr>
        <w:t>矿长和负责技术、安全、生产、机电工作的副矿长，必须有主体专业大专以上学历且有10年以上矿山一线从业经历</w:t>
      </w:r>
      <w:r>
        <w:rPr>
          <w:rFonts w:hint="eastAsia" w:ascii="Times New Roman" w:hAnsi="Times New Roman"/>
          <w:color w:val="auto"/>
          <w:lang w:eastAsia="zh-CN"/>
        </w:rPr>
        <w:t>。</w:t>
      </w:r>
      <w:r>
        <w:rPr>
          <w:rFonts w:hint="eastAsia" w:ascii="Times New Roman" w:hAnsi="Times New Roman"/>
          <w:color w:val="auto"/>
          <w:lang w:val="en-US" w:eastAsia="zh-CN"/>
        </w:rPr>
        <w:t>配备</w:t>
      </w:r>
      <w:r>
        <w:rPr>
          <w:rFonts w:hint="eastAsia" w:ascii="Times New Roman" w:hAnsi="Times New Roman"/>
          <w:color w:val="auto"/>
          <w:lang w:eastAsia="zh-CN"/>
        </w:rPr>
        <w:t>负责生产技术、调度、机电运输、地质测量、安全管理工作职能部门的技术人员，上述职能部门的主要负责人必须为主体专业毕业且有5年以上矿山一线从业经历</w:t>
      </w:r>
      <w:r>
        <w:rPr>
          <w:rFonts w:ascii="Times New Roman" w:hAnsi="Times New Roman"/>
          <w:color w:val="auto"/>
        </w:rPr>
        <w:t>。</w:t>
      </w:r>
    </w:p>
    <w:p w14:paraId="7107A168">
      <w:pPr>
        <w:bidi w:val="0"/>
        <w:rPr>
          <w:rFonts w:hint="eastAsia" w:ascii="Times New Roman" w:hAnsi="Times New Roman"/>
          <w:color w:val="auto"/>
        </w:rPr>
      </w:pPr>
      <w:r>
        <w:rPr>
          <w:rFonts w:hint="eastAsia" w:ascii="Times New Roman" w:hAnsi="Times New Roman"/>
          <w:color w:val="auto"/>
        </w:rPr>
        <w:t>（4）矿山应当配备注册安全工程师从事安全生产管理工作。</w:t>
      </w:r>
    </w:p>
    <w:p w14:paraId="7927371A">
      <w:pPr>
        <w:pStyle w:val="3"/>
        <w:bidi w:val="0"/>
        <w:rPr>
          <w:rFonts w:ascii="Times New Roman" w:hAnsi="Times New Roman"/>
          <w:color w:val="auto"/>
        </w:rPr>
      </w:pPr>
      <w:bookmarkStart w:id="222" w:name="_Toc11494"/>
      <w:bookmarkStart w:id="223" w:name="_Toc25783"/>
      <w:bookmarkStart w:id="224" w:name="_Toc8404"/>
      <w:bookmarkStart w:id="225" w:name="_Toc7866"/>
      <w:bookmarkStart w:id="226" w:name="_Toc8750"/>
      <w:bookmarkStart w:id="227" w:name="_Toc29824"/>
      <w:bookmarkStart w:id="228" w:name="_Toc9363"/>
      <w:bookmarkStart w:id="229" w:name="_Toc17133"/>
      <w:r>
        <w:rPr>
          <w:rFonts w:ascii="Times New Roman" w:hAnsi="Times New Roman"/>
          <w:color w:val="auto"/>
        </w:rPr>
        <w:t>3.</w:t>
      </w:r>
      <w:r>
        <w:rPr>
          <w:rFonts w:hint="eastAsia" w:ascii="Times New Roman" w:hAnsi="Times New Roman"/>
          <w:color w:val="auto"/>
          <w:lang w:val="en-US" w:eastAsia="zh-CN"/>
        </w:rPr>
        <w:t xml:space="preserve">7 </w:t>
      </w:r>
      <w:r>
        <w:rPr>
          <w:rFonts w:ascii="Times New Roman" w:hAnsi="Times New Roman"/>
          <w:color w:val="auto"/>
        </w:rPr>
        <w:t>重大危险源辨识</w:t>
      </w:r>
      <w:bookmarkEnd w:id="222"/>
      <w:r>
        <w:rPr>
          <w:rFonts w:ascii="Times New Roman" w:hAnsi="Times New Roman"/>
          <w:color w:val="auto"/>
        </w:rPr>
        <w:t>单元</w:t>
      </w:r>
      <w:bookmarkEnd w:id="223"/>
      <w:bookmarkEnd w:id="224"/>
      <w:bookmarkEnd w:id="225"/>
      <w:bookmarkEnd w:id="226"/>
      <w:bookmarkEnd w:id="227"/>
      <w:bookmarkEnd w:id="228"/>
      <w:bookmarkEnd w:id="229"/>
    </w:p>
    <w:p w14:paraId="2C83E0B8">
      <w:pPr>
        <w:pStyle w:val="4"/>
        <w:bidi w:val="0"/>
        <w:rPr>
          <w:rFonts w:ascii="Times New Roman" w:hAnsi="Times New Roman"/>
          <w:color w:val="auto"/>
        </w:rPr>
      </w:pPr>
      <w:bookmarkStart w:id="230" w:name="_Toc1203"/>
      <w:bookmarkStart w:id="231" w:name="_Toc24716"/>
      <w:bookmarkStart w:id="232" w:name="_Toc2478"/>
      <w:bookmarkStart w:id="233" w:name="_Toc9536"/>
      <w:bookmarkStart w:id="234" w:name="_Toc9241"/>
      <w:bookmarkStart w:id="235" w:name="_Toc16238723"/>
      <w:bookmarkStart w:id="236" w:name="_Toc29363"/>
      <w:bookmarkStart w:id="237" w:name="_Toc30117"/>
      <w:bookmarkStart w:id="238" w:name="_Toc13671"/>
      <w:bookmarkStart w:id="239" w:name="_Toc380947320"/>
      <w:bookmarkStart w:id="240" w:name="_Toc2063"/>
      <w:bookmarkStart w:id="241" w:name="_Toc29544"/>
      <w:bookmarkStart w:id="242" w:name="_Toc365901786"/>
      <w:bookmarkStart w:id="243" w:name="_Toc964"/>
      <w:r>
        <w:rPr>
          <w:rFonts w:ascii="Times New Roman" w:hAnsi="Times New Roman"/>
          <w:color w:val="auto"/>
        </w:rPr>
        <w:t>3.</w:t>
      </w:r>
      <w:r>
        <w:rPr>
          <w:rFonts w:hint="eastAsia" w:ascii="Times New Roman" w:hAnsi="Times New Roman"/>
          <w:color w:val="auto"/>
          <w:lang w:val="en-US" w:eastAsia="zh-CN"/>
        </w:rPr>
        <w:t>7</w:t>
      </w:r>
      <w:r>
        <w:rPr>
          <w:rFonts w:ascii="Times New Roman" w:hAnsi="Times New Roman"/>
          <w:color w:val="auto"/>
        </w:rPr>
        <w:t>.1</w:t>
      </w:r>
      <w:r>
        <w:rPr>
          <w:rFonts w:hint="eastAsia" w:ascii="Times New Roman" w:hAnsi="Times New Roman"/>
          <w:color w:val="auto"/>
          <w:lang w:val="en-US" w:eastAsia="zh-CN"/>
        </w:rPr>
        <w:t xml:space="preserve"> </w:t>
      </w:r>
      <w:r>
        <w:rPr>
          <w:rFonts w:ascii="Times New Roman" w:hAnsi="Times New Roman"/>
          <w:color w:val="auto"/>
        </w:rPr>
        <w:t>按《危险化学品重大危险源辨识》（GB18218-2018）辨识</w:t>
      </w:r>
      <w:bookmarkEnd w:id="230"/>
      <w:bookmarkEnd w:id="231"/>
      <w:bookmarkEnd w:id="232"/>
      <w:bookmarkEnd w:id="233"/>
      <w:bookmarkEnd w:id="234"/>
      <w:bookmarkEnd w:id="235"/>
      <w:bookmarkEnd w:id="236"/>
      <w:bookmarkEnd w:id="237"/>
      <w:bookmarkEnd w:id="238"/>
      <w:bookmarkEnd w:id="239"/>
      <w:bookmarkEnd w:id="240"/>
    </w:p>
    <w:p w14:paraId="730F51CD">
      <w:pPr>
        <w:bidi w:val="0"/>
        <w:rPr>
          <w:rFonts w:ascii="Times New Roman" w:hAnsi="Times New Roman"/>
          <w:color w:val="auto"/>
          <w:lang w:val="en-GB"/>
        </w:rPr>
      </w:pPr>
      <w:r>
        <w:rPr>
          <w:rFonts w:ascii="Times New Roman" w:hAnsi="Times New Roman"/>
          <w:color w:val="auto"/>
          <w:lang w:val="en-GB"/>
        </w:rPr>
        <w:t>《危险化学品重大危险源辨识》（GB18218-2018）根据物质不同的特性，将危险物质分为爆炸品、易燃气体、毒性气体、易燃液体、易于自燃的物质、遇水放出易燃气体的物质、氧化性物质、有机过氧化物、毒性物质八大类，并且分别给出了物质的名称及其临界量。</w:t>
      </w:r>
    </w:p>
    <w:p w14:paraId="22DE270A">
      <w:pPr>
        <w:bidi w:val="0"/>
        <w:rPr>
          <w:rFonts w:ascii="Times New Roman" w:hAnsi="Times New Roman"/>
          <w:color w:val="auto"/>
        </w:rPr>
      </w:pPr>
      <w:r>
        <w:rPr>
          <w:rFonts w:ascii="Times New Roman" w:hAnsi="Times New Roman"/>
          <w:color w:val="auto"/>
        </w:rPr>
        <w:t>危险化学品重大危险源分为生产单元危险化学品重大危险源和储存单元危险化学品重大危险源。</w:t>
      </w:r>
    </w:p>
    <w:p w14:paraId="7BC05EDD">
      <w:pPr>
        <w:bidi w:val="0"/>
        <w:rPr>
          <w:rFonts w:ascii="Times New Roman" w:hAnsi="Times New Roman"/>
          <w:color w:val="auto"/>
        </w:rPr>
      </w:pPr>
      <w:r>
        <w:rPr>
          <w:rFonts w:ascii="Times New Roman" w:hAnsi="Times New Roman"/>
          <w:color w:val="auto"/>
        </w:rPr>
        <w:t>生产单元、储存单元内存在危险化学品的数量等于或超过危险物质规定的临界量，即被定为重大危险源。单元内存在危险化学品的数量根据危险化学品种类的多少区分为以下两种情况：</w:t>
      </w:r>
    </w:p>
    <w:p w14:paraId="05D8A989">
      <w:pPr>
        <w:bidi w:val="0"/>
        <w:rPr>
          <w:rFonts w:ascii="Times New Roman" w:hAnsi="Times New Roman"/>
          <w:color w:val="auto"/>
        </w:rPr>
      </w:pPr>
      <w:r>
        <w:rPr>
          <w:rFonts w:ascii="Times New Roman" w:hAnsi="Times New Roman"/>
          <w:color w:val="auto"/>
        </w:rPr>
        <w:t>1、生产单元、储存单元内存在的危险化学品为单一品种，则该危险化学品的数量即为单元内危险化学品的总量，若等于或超过相应的临界量，则定为重大危险源。</w:t>
      </w:r>
    </w:p>
    <w:p w14:paraId="375F2BC0">
      <w:pPr>
        <w:bidi w:val="0"/>
        <w:rPr>
          <w:rFonts w:ascii="Times New Roman" w:hAnsi="Times New Roman"/>
          <w:color w:val="auto"/>
        </w:rPr>
      </w:pPr>
      <w:r>
        <w:rPr>
          <w:rFonts w:ascii="Times New Roman" w:hAnsi="Times New Roman"/>
          <w:color w:val="auto"/>
        </w:rPr>
        <w:t>2、生产单元、储存单元内存在的危险化学品为多品种时，则按下式计算，若满足下面公式，则定为重大危险源：</w:t>
      </w:r>
    </w:p>
    <w:p w14:paraId="22BF9EC3">
      <w:pPr>
        <w:bidi w:val="0"/>
        <w:rPr>
          <w:rFonts w:ascii="Times New Roman" w:hAnsi="Times New Roman"/>
          <w:color w:val="auto"/>
        </w:rPr>
      </w:pPr>
      <w:r>
        <w:rPr>
          <w:rFonts w:ascii="Times New Roman" w:hAnsi="Times New Roman"/>
          <w:color w:val="auto"/>
        </w:rPr>
        <w:drawing>
          <wp:anchor distT="0" distB="0" distL="114300" distR="114300" simplePos="0" relativeHeight="251662336" behindDoc="0" locked="0" layoutInCell="1" allowOverlap="1">
            <wp:simplePos x="0" y="0"/>
            <wp:positionH relativeFrom="column">
              <wp:posOffset>353695</wp:posOffset>
            </wp:positionH>
            <wp:positionV relativeFrom="paragraph">
              <wp:posOffset>91440</wp:posOffset>
            </wp:positionV>
            <wp:extent cx="2132330" cy="445770"/>
            <wp:effectExtent l="0" t="0" r="0" b="12700"/>
            <wp:wrapTopAndBottom/>
            <wp:docPr id="1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
                    <pic:cNvPicPr>
                      <a:picLocks noChangeAspect="1"/>
                    </pic:cNvPicPr>
                  </pic:nvPicPr>
                  <pic:blipFill>
                    <a:blip r:embed="rId28"/>
                    <a:stretch>
                      <a:fillRect/>
                    </a:stretch>
                  </pic:blipFill>
                  <pic:spPr>
                    <a:xfrm>
                      <a:off x="0" y="0"/>
                      <a:ext cx="2132330" cy="445770"/>
                    </a:xfrm>
                    <a:prstGeom prst="rect">
                      <a:avLst/>
                    </a:prstGeom>
                    <a:noFill/>
                    <a:ln>
                      <a:noFill/>
                    </a:ln>
                  </pic:spPr>
                </pic:pic>
              </a:graphicData>
            </a:graphic>
          </wp:anchor>
        </w:drawing>
      </w:r>
      <w:r>
        <w:rPr>
          <w:rFonts w:ascii="Times New Roman" w:hAnsi="Times New Roman"/>
          <w:color w:val="auto"/>
        </w:rPr>
        <w:t>式中：q</w:t>
      </w:r>
      <w:r>
        <w:rPr>
          <w:rFonts w:ascii="Times New Roman" w:hAnsi="Times New Roman"/>
          <w:color w:val="auto"/>
          <w:vertAlign w:val="subscript"/>
        </w:rPr>
        <w:t>1</w:t>
      </w:r>
      <w:r>
        <w:rPr>
          <w:rFonts w:ascii="Times New Roman" w:hAnsi="Times New Roman"/>
          <w:color w:val="auto"/>
        </w:rPr>
        <w:t>，q</w:t>
      </w:r>
      <w:r>
        <w:rPr>
          <w:rFonts w:ascii="Times New Roman" w:hAnsi="Times New Roman"/>
          <w:color w:val="auto"/>
          <w:vertAlign w:val="subscript"/>
        </w:rPr>
        <w:t>2</w:t>
      </w:r>
      <w:r>
        <w:rPr>
          <w:rFonts w:ascii="Times New Roman" w:hAnsi="Times New Roman"/>
          <w:color w:val="auto"/>
        </w:rPr>
        <w:t>……q</w:t>
      </w:r>
      <w:r>
        <w:rPr>
          <w:rFonts w:ascii="Times New Roman" w:hAnsi="Times New Roman"/>
          <w:color w:val="auto"/>
          <w:vertAlign w:val="subscript"/>
        </w:rPr>
        <w:t>n</w:t>
      </w:r>
      <w:r>
        <w:rPr>
          <w:rFonts w:ascii="Times New Roman" w:hAnsi="Times New Roman"/>
          <w:color w:val="auto"/>
        </w:rPr>
        <w:t>—每种危险化学品实际存在量，单位为（t）。</w:t>
      </w:r>
    </w:p>
    <w:p w14:paraId="6F42EE89">
      <w:pPr>
        <w:bidi w:val="0"/>
        <w:rPr>
          <w:rFonts w:ascii="Times New Roman" w:hAnsi="Times New Roman"/>
          <w:color w:val="auto"/>
        </w:rPr>
      </w:pPr>
      <w:r>
        <w:rPr>
          <w:rFonts w:ascii="Times New Roman" w:hAnsi="Times New Roman"/>
          <w:color w:val="auto"/>
        </w:rPr>
        <w:t>Q</w:t>
      </w:r>
      <w:r>
        <w:rPr>
          <w:rFonts w:ascii="Times New Roman" w:hAnsi="Times New Roman"/>
          <w:color w:val="auto"/>
          <w:vertAlign w:val="subscript"/>
        </w:rPr>
        <w:t>1</w:t>
      </w:r>
      <w:r>
        <w:rPr>
          <w:rFonts w:ascii="Times New Roman" w:hAnsi="Times New Roman"/>
          <w:color w:val="auto"/>
        </w:rPr>
        <w:t>，Q</w:t>
      </w:r>
      <w:r>
        <w:rPr>
          <w:rFonts w:ascii="Times New Roman" w:hAnsi="Times New Roman"/>
          <w:color w:val="auto"/>
          <w:vertAlign w:val="subscript"/>
        </w:rPr>
        <w:t>2</w:t>
      </w:r>
      <w:r>
        <w:rPr>
          <w:rFonts w:ascii="Times New Roman" w:hAnsi="Times New Roman"/>
          <w:color w:val="auto"/>
        </w:rPr>
        <w:t>……Q</w:t>
      </w:r>
      <w:r>
        <w:rPr>
          <w:rFonts w:ascii="Times New Roman" w:hAnsi="Times New Roman"/>
          <w:color w:val="auto"/>
          <w:vertAlign w:val="subscript"/>
        </w:rPr>
        <w:t>N</w:t>
      </w:r>
      <w:r>
        <w:rPr>
          <w:rFonts w:ascii="Times New Roman" w:hAnsi="Times New Roman"/>
          <w:color w:val="auto"/>
        </w:rPr>
        <w:t>—与各危险化学品相对应的临界量，单位为（t）。</w:t>
      </w:r>
    </w:p>
    <w:p w14:paraId="400DABA2">
      <w:pPr>
        <w:bidi w:val="0"/>
        <w:rPr>
          <w:rFonts w:ascii="Times New Roman" w:hAnsi="Times New Roman"/>
          <w:color w:val="auto"/>
        </w:rPr>
      </w:pPr>
      <w:r>
        <w:rPr>
          <w:rFonts w:ascii="Times New Roman" w:hAnsi="Times New Roman"/>
          <w:color w:val="auto"/>
          <w:lang w:val="en-GB"/>
        </w:rPr>
        <w:t>根据《危险化学品重大危险源辨识》（GB18218-2018）规定，项目涉及的危险化学品的临界量如下表</w:t>
      </w:r>
      <w:r>
        <w:rPr>
          <w:rFonts w:ascii="Times New Roman" w:hAnsi="Times New Roman"/>
          <w:color w:val="auto"/>
        </w:rPr>
        <w:t>：</w:t>
      </w:r>
    </w:p>
    <w:p w14:paraId="1D0DF81C">
      <w:pPr>
        <w:bidi w:val="0"/>
        <w:rPr>
          <w:rFonts w:ascii="Times New Roman" w:hAnsi="Times New Roman"/>
          <w:color w:val="auto"/>
        </w:rPr>
      </w:pPr>
    </w:p>
    <w:p w14:paraId="291ABF00">
      <w:pPr>
        <w:pStyle w:val="16"/>
        <w:bidi w:val="0"/>
        <w:rPr>
          <w:rFonts w:ascii="Times New Roman" w:hAnsi="Times New Roman"/>
          <w:color w:val="auto"/>
        </w:rPr>
      </w:pPr>
      <w:r>
        <w:rPr>
          <w:rFonts w:ascii="Times New Roman" w:hAnsi="Times New Roman"/>
          <w:color w:val="auto"/>
        </w:rPr>
        <w:t>表3.</w:t>
      </w:r>
      <w:r>
        <w:rPr>
          <w:rFonts w:hint="eastAsia"/>
          <w:color w:val="auto"/>
          <w:lang w:val="en-US" w:eastAsia="zh-CN"/>
        </w:rPr>
        <w:t>7</w:t>
      </w:r>
      <w:r>
        <w:rPr>
          <w:rFonts w:ascii="Times New Roman" w:hAnsi="Times New Roman"/>
          <w:color w:val="auto"/>
        </w:rPr>
        <w:t>-1  危险化学品的临界量</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1"/>
        <w:gridCol w:w="1339"/>
        <w:gridCol w:w="3579"/>
        <w:gridCol w:w="1480"/>
      </w:tblGrid>
      <w:tr w14:paraId="2299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596" w:type="pct"/>
            <w:noWrap w:val="0"/>
            <w:vAlign w:val="center"/>
          </w:tcPr>
          <w:p w14:paraId="22196363">
            <w:pPr>
              <w:pStyle w:val="17"/>
              <w:bidi w:val="0"/>
              <w:jc w:val="center"/>
              <w:rPr>
                <w:rFonts w:ascii="Times New Roman" w:hAnsi="Times New Roman"/>
                <w:color w:val="auto"/>
              </w:rPr>
            </w:pPr>
            <w:r>
              <w:rPr>
                <w:rFonts w:ascii="Times New Roman" w:hAnsi="Times New Roman"/>
                <w:color w:val="auto"/>
              </w:rPr>
              <w:t>化学品品名</w:t>
            </w:r>
          </w:p>
        </w:tc>
        <w:tc>
          <w:tcPr>
            <w:tcW w:w="712" w:type="pct"/>
            <w:noWrap w:val="0"/>
            <w:vAlign w:val="center"/>
          </w:tcPr>
          <w:p w14:paraId="5BC5BC13">
            <w:pPr>
              <w:pStyle w:val="17"/>
              <w:bidi w:val="0"/>
              <w:jc w:val="center"/>
              <w:rPr>
                <w:rFonts w:ascii="Times New Roman" w:hAnsi="Times New Roman"/>
                <w:color w:val="auto"/>
              </w:rPr>
            </w:pPr>
            <w:r>
              <w:rPr>
                <w:rFonts w:ascii="Times New Roman" w:hAnsi="Times New Roman"/>
                <w:color w:val="auto"/>
              </w:rPr>
              <w:t>类别</w:t>
            </w:r>
          </w:p>
        </w:tc>
        <w:tc>
          <w:tcPr>
            <w:tcW w:w="1903" w:type="pct"/>
            <w:noWrap w:val="0"/>
            <w:vAlign w:val="center"/>
          </w:tcPr>
          <w:p w14:paraId="3D14ED4F">
            <w:pPr>
              <w:pStyle w:val="17"/>
              <w:bidi w:val="0"/>
              <w:jc w:val="center"/>
              <w:rPr>
                <w:rFonts w:ascii="Times New Roman" w:hAnsi="Times New Roman"/>
                <w:color w:val="auto"/>
              </w:rPr>
            </w:pPr>
            <w:r>
              <w:rPr>
                <w:rFonts w:ascii="Times New Roman" w:hAnsi="Times New Roman"/>
                <w:color w:val="auto"/>
              </w:rPr>
              <w:t>危险性分类及说明</w:t>
            </w:r>
          </w:p>
        </w:tc>
        <w:tc>
          <w:tcPr>
            <w:tcW w:w="787" w:type="pct"/>
            <w:noWrap w:val="0"/>
            <w:vAlign w:val="center"/>
          </w:tcPr>
          <w:p w14:paraId="7E62C9A6">
            <w:pPr>
              <w:pStyle w:val="17"/>
              <w:bidi w:val="0"/>
              <w:jc w:val="center"/>
              <w:rPr>
                <w:rFonts w:ascii="Times New Roman" w:hAnsi="Times New Roman"/>
                <w:color w:val="auto"/>
              </w:rPr>
            </w:pPr>
            <w:r>
              <w:rPr>
                <w:rFonts w:ascii="Times New Roman" w:hAnsi="Times New Roman"/>
                <w:color w:val="auto"/>
              </w:rPr>
              <w:t>临界量</w:t>
            </w:r>
          </w:p>
        </w:tc>
      </w:tr>
      <w:tr w14:paraId="766C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96" w:type="pct"/>
            <w:noWrap w:val="0"/>
            <w:vAlign w:val="center"/>
          </w:tcPr>
          <w:p w14:paraId="38D679DB">
            <w:pPr>
              <w:pStyle w:val="17"/>
              <w:bidi w:val="0"/>
              <w:jc w:val="center"/>
              <w:rPr>
                <w:rFonts w:ascii="Times New Roman" w:hAnsi="Times New Roman"/>
                <w:color w:val="auto"/>
              </w:rPr>
            </w:pPr>
            <w:r>
              <w:rPr>
                <w:rFonts w:ascii="Times New Roman" w:hAnsi="Times New Roman"/>
                <w:color w:val="auto"/>
              </w:rPr>
              <w:t>柴油</w:t>
            </w:r>
          </w:p>
        </w:tc>
        <w:tc>
          <w:tcPr>
            <w:tcW w:w="712" w:type="pct"/>
            <w:noWrap w:val="0"/>
            <w:vAlign w:val="center"/>
          </w:tcPr>
          <w:p w14:paraId="7D6E1661">
            <w:pPr>
              <w:pStyle w:val="17"/>
              <w:bidi w:val="0"/>
              <w:jc w:val="center"/>
              <w:rPr>
                <w:rFonts w:ascii="Times New Roman" w:hAnsi="Times New Roman"/>
                <w:color w:val="auto"/>
              </w:rPr>
            </w:pPr>
            <w:r>
              <w:rPr>
                <w:rFonts w:ascii="Times New Roman" w:hAnsi="Times New Roman"/>
                <w:color w:val="auto"/>
              </w:rPr>
              <w:t>易燃液体</w:t>
            </w:r>
          </w:p>
        </w:tc>
        <w:tc>
          <w:tcPr>
            <w:tcW w:w="1903" w:type="pct"/>
            <w:noWrap w:val="0"/>
            <w:vAlign w:val="center"/>
          </w:tcPr>
          <w:p w14:paraId="3D7A4436">
            <w:pPr>
              <w:pStyle w:val="17"/>
              <w:bidi w:val="0"/>
              <w:jc w:val="center"/>
              <w:rPr>
                <w:rFonts w:ascii="Times New Roman" w:hAnsi="Times New Roman"/>
                <w:color w:val="auto"/>
              </w:rPr>
            </w:pPr>
            <w:r>
              <w:rPr>
                <w:rFonts w:ascii="Times New Roman" w:hAnsi="Times New Roman"/>
                <w:color w:val="auto"/>
              </w:rPr>
              <w:t>丙类易燃液体</w:t>
            </w:r>
          </w:p>
        </w:tc>
        <w:tc>
          <w:tcPr>
            <w:tcW w:w="787" w:type="pct"/>
            <w:noWrap w:val="0"/>
            <w:vAlign w:val="center"/>
          </w:tcPr>
          <w:p w14:paraId="43FE78B1">
            <w:pPr>
              <w:pStyle w:val="17"/>
              <w:bidi w:val="0"/>
              <w:jc w:val="center"/>
              <w:rPr>
                <w:rFonts w:ascii="Times New Roman" w:hAnsi="Times New Roman"/>
                <w:color w:val="auto"/>
              </w:rPr>
            </w:pPr>
            <w:r>
              <w:rPr>
                <w:rFonts w:ascii="Times New Roman" w:hAnsi="Times New Roman"/>
                <w:color w:val="auto"/>
              </w:rPr>
              <w:t>5000t</w:t>
            </w:r>
          </w:p>
        </w:tc>
      </w:tr>
      <w:bookmarkEnd w:id="241"/>
      <w:bookmarkEnd w:id="242"/>
      <w:bookmarkEnd w:id="243"/>
    </w:tbl>
    <w:p w14:paraId="1A536740">
      <w:pPr>
        <w:pStyle w:val="4"/>
        <w:bidi w:val="0"/>
        <w:rPr>
          <w:rFonts w:ascii="Times New Roman" w:hAnsi="Times New Roman"/>
          <w:color w:val="auto"/>
        </w:rPr>
      </w:pPr>
      <w:bookmarkStart w:id="244" w:name="_Toc16238724"/>
      <w:bookmarkStart w:id="245" w:name="_Toc12743"/>
      <w:bookmarkStart w:id="246" w:name="_Toc12923"/>
      <w:bookmarkStart w:id="247" w:name="_Toc29506"/>
      <w:bookmarkStart w:id="248" w:name="_Toc14700"/>
      <w:bookmarkStart w:id="249" w:name="_Toc1807"/>
      <w:bookmarkStart w:id="250" w:name="_Toc29859"/>
      <w:bookmarkStart w:id="251" w:name="_Toc20938"/>
      <w:r>
        <w:rPr>
          <w:rFonts w:ascii="Times New Roman" w:hAnsi="Times New Roman"/>
          <w:color w:val="auto"/>
        </w:rPr>
        <w:t>3.</w:t>
      </w:r>
      <w:r>
        <w:rPr>
          <w:rFonts w:hint="eastAsia" w:ascii="Times New Roman" w:hAnsi="Times New Roman"/>
          <w:color w:val="auto"/>
          <w:lang w:val="en-US" w:eastAsia="zh-CN"/>
        </w:rPr>
        <w:t>7</w:t>
      </w:r>
      <w:r>
        <w:rPr>
          <w:rFonts w:ascii="Times New Roman" w:hAnsi="Times New Roman"/>
          <w:color w:val="auto"/>
        </w:rPr>
        <w:t>.2</w:t>
      </w:r>
      <w:r>
        <w:rPr>
          <w:rFonts w:hint="eastAsia" w:ascii="Times New Roman" w:hAnsi="Times New Roman"/>
          <w:color w:val="auto"/>
          <w:lang w:val="en-US" w:eastAsia="zh-CN"/>
        </w:rPr>
        <w:t xml:space="preserve"> </w:t>
      </w:r>
      <w:r>
        <w:rPr>
          <w:rFonts w:ascii="Times New Roman" w:hAnsi="Times New Roman"/>
          <w:color w:val="auto"/>
        </w:rPr>
        <w:t>重大危险源辨识小结</w:t>
      </w:r>
      <w:bookmarkEnd w:id="244"/>
      <w:bookmarkEnd w:id="245"/>
      <w:bookmarkEnd w:id="246"/>
      <w:bookmarkEnd w:id="247"/>
      <w:bookmarkEnd w:id="248"/>
      <w:bookmarkEnd w:id="249"/>
      <w:bookmarkEnd w:id="250"/>
      <w:bookmarkEnd w:id="251"/>
    </w:p>
    <w:p w14:paraId="59A3588D">
      <w:pPr>
        <w:bidi w:val="0"/>
        <w:rPr>
          <w:rFonts w:ascii="Times New Roman" w:hAnsi="Times New Roman"/>
          <w:color w:val="auto"/>
        </w:rPr>
      </w:pPr>
      <w:r>
        <w:rPr>
          <w:rFonts w:ascii="Times New Roman" w:hAnsi="Times New Roman"/>
          <w:color w:val="auto"/>
          <w:lang w:val="en-GB"/>
        </w:rPr>
        <w:t>在</w:t>
      </w:r>
      <w:r>
        <w:rPr>
          <w:rFonts w:ascii="Times New Roman" w:hAnsi="Times New Roman"/>
          <w:color w:val="auto"/>
        </w:rPr>
        <w:t>矿山</w:t>
      </w:r>
      <w:r>
        <w:rPr>
          <w:rFonts w:ascii="Times New Roman" w:hAnsi="Times New Roman"/>
          <w:color w:val="auto"/>
          <w:lang w:val="en-GB"/>
        </w:rPr>
        <w:t>生产过程中只涉及车辆（挖掘机、装载机）及机械设备使用的0#柴油，不进行生产、加工，属正常使用，场内未设置油库</w:t>
      </w:r>
      <w:r>
        <w:rPr>
          <w:rFonts w:ascii="Times New Roman" w:hAnsi="Times New Roman"/>
          <w:color w:val="auto"/>
        </w:rPr>
        <w:t>。</w:t>
      </w:r>
    </w:p>
    <w:p w14:paraId="52A93122">
      <w:pPr>
        <w:bidi w:val="0"/>
        <w:rPr>
          <w:rFonts w:ascii="Times New Roman" w:hAnsi="Times New Roman"/>
          <w:color w:val="auto"/>
          <w:szCs w:val="28"/>
        </w:rPr>
      </w:pPr>
      <w:r>
        <w:rPr>
          <w:rFonts w:ascii="Times New Roman" w:hAnsi="Times New Roman"/>
          <w:color w:val="auto"/>
          <w:lang w:val="en-GB"/>
        </w:rPr>
        <w:t>根据《危险化学品重大危险源</w:t>
      </w:r>
      <w:r>
        <w:rPr>
          <w:rFonts w:hint="eastAsia" w:ascii="Times New Roman" w:hAnsi="Times New Roman"/>
          <w:color w:val="auto"/>
          <w:lang w:val="en-GB"/>
        </w:rPr>
        <w:t>辨</w:t>
      </w:r>
      <w:r>
        <w:rPr>
          <w:rFonts w:ascii="Times New Roman" w:hAnsi="Times New Roman"/>
          <w:color w:val="auto"/>
          <w:lang w:val="en-GB"/>
        </w:rPr>
        <w:t>识》（GB18218-2018）中的重大危险源申报范围，对矿山进行重大危险源综合</w:t>
      </w:r>
      <w:r>
        <w:rPr>
          <w:rFonts w:hint="eastAsia" w:ascii="Times New Roman" w:hAnsi="Times New Roman"/>
          <w:color w:val="auto"/>
          <w:lang w:val="en-GB"/>
        </w:rPr>
        <w:t>辨</w:t>
      </w:r>
      <w:r>
        <w:rPr>
          <w:rFonts w:ascii="Times New Roman" w:hAnsi="Times New Roman"/>
          <w:color w:val="auto"/>
          <w:lang w:val="en-GB"/>
        </w:rPr>
        <w:t>识后，确认该矿山不</w:t>
      </w:r>
      <w:r>
        <w:rPr>
          <w:rFonts w:ascii="Times New Roman" w:hAnsi="Times New Roman"/>
          <w:color w:val="auto"/>
        </w:rPr>
        <w:t>构成</w:t>
      </w:r>
      <w:r>
        <w:rPr>
          <w:rFonts w:ascii="Times New Roman" w:hAnsi="Times New Roman"/>
          <w:color w:val="auto"/>
          <w:lang w:val="en-GB"/>
        </w:rPr>
        <w:t>重大危险源</w:t>
      </w:r>
      <w:r>
        <w:rPr>
          <w:rFonts w:ascii="Times New Roman" w:hAnsi="Times New Roman"/>
          <w:color w:val="auto"/>
        </w:rPr>
        <w:t>。</w:t>
      </w:r>
    </w:p>
    <w:p w14:paraId="49877916">
      <w:pPr>
        <w:rPr>
          <w:rFonts w:ascii="Times New Roman" w:hAnsi="Times New Roman"/>
          <w:color w:val="auto"/>
        </w:rPr>
      </w:pPr>
      <w:bookmarkStart w:id="252" w:name="_Toc14631"/>
      <w:bookmarkStart w:id="253" w:name="_Toc115120673"/>
      <w:bookmarkStart w:id="254" w:name="_Toc32557"/>
      <w:bookmarkStart w:id="255" w:name="_Toc165"/>
      <w:bookmarkStart w:id="256" w:name="_Toc27403"/>
      <w:bookmarkStart w:id="257" w:name="_Toc9598"/>
      <w:bookmarkStart w:id="258" w:name="_Toc242849811"/>
      <w:bookmarkStart w:id="259" w:name="_Toc226963199"/>
      <w:bookmarkStart w:id="260" w:name="_Toc115120279"/>
      <w:r>
        <w:rPr>
          <w:rFonts w:ascii="Times New Roman" w:hAnsi="Times New Roman"/>
          <w:color w:val="auto"/>
        </w:rPr>
        <w:br w:type="page"/>
      </w:r>
    </w:p>
    <w:p w14:paraId="124C1DC8">
      <w:pPr>
        <w:pStyle w:val="2"/>
        <w:bidi w:val="0"/>
        <w:rPr>
          <w:rFonts w:ascii="Times New Roman" w:hAnsi="Times New Roman"/>
          <w:color w:val="auto"/>
        </w:rPr>
      </w:pPr>
      <w:bookmarkStart w:id="261" w:name="_Toc15579"/>
      <w:r>
        <w:rPr>
          <w:rFonts w:ascii="Times New Roman" w:hAnsi="Times New Roman"/>
          <w:color w:val="auto"/>
        </w:rPr>
        <w:t>4</w:t>
      </w:r>
      <w:r>
        <w:rPr>
          <w:rFonts w:hint="eastAsia" w:ascii="Times New Roman" w:hAnsi="Times New Roman"/>
          <w:color w:val="auto"/>
          <w:lang w:val="en-US" w:eastAsia="zh-CN"/>
        </w:rPr>
        <w:t xml:space="preserve"> </w:t>
      </w:r>
      <w:r>
        <w:rPr>
          <w:rFonts w:ascii="Times New Roman" w:hAnsi="Times New Roman"/>
          <w:color w:val="auto"/>
        </w:rPr>
        <w:t>安全对策措施建议</w:t>
      </w:r>
      <w:bookmarkEnd w:id="252"/>
      <w:bookmarkEnd w:id="253"/>
      <w:bookmarkEnd w:id="254"/>
      <w:bookmarkEnd w:id="255"/>
      <w:bookmarkEnd w:id="256"/>
      <w:bookmarkEnd w:id="257"/>
      <w:bookmarkEnd w:id="258"/>
      <w:bookmarkEnd w:id="259"/>
      <w:bookmarkEnd w:id="260"/>
      <w:bookmarkEnd w:id="261"/>
    </w:p>
    <w:p w14:paraId="6DBA60F7">
      <w:pPr>
        <w:pStyle w:val="3"/>
        <w:bidi w:val="0"/>
        <w:rPr>
          <w:rFonts w:ascii="Times New Roman" w:hAnsi="Times New Roman"/>
          <w:color w:val="auto"/>
        </w:rPr>
      </w:pPr>
      <w:bookmarkStart w:id="262" w:name="_Toc21967"/>
      <w:bookmarkStart w:id="263" w:name="_Toc18135"/>
      <w:bookmarkStart w:id="264" w:name="_Toc24297"/>
      <w:bookmarkStart w:id="265" w:name="_Toc8801"/>
      <w:bookmarkStart w:id="266" w:name="_Toc5634"/>
      <w:bookmarkStart w:id="267" w:name="_Toc4104"/>
      <w:r>
        <w:rPr>
          <w:rFonts w:ascii="Times New Roman" w:hAnsi="Times New Roman"/>
          <w:color w:val="auto"/>
        </w:rPr>
        <w:t>4.1</w:t>
      </w:r>
      <w:r>
        <w:rPr>
          <w:rFonts w:hint="eastAsia" w:ascii="Times New Roman" w:hAnsi="Times New Roman"/>
          <w:color w:val="auto"/>
          <w:lang w:val="en-US" w:eastAsia="zh-CN"/>
        </w:rPr>
        <w:t xml:space="preserve"> </w:t>
      </w:r>
      <w:r>
        <w:rPr>
          <w:rFonts w:ascii="Times New Roman" w:hAnsi="Times New Roman"/>
          <w:color w:val="auto"/>
        </w:rPr>
        <w:t>各单元安全对策措施建议</w:t>
      </w:r>
      <w:bookmarkEnd w:id="262"/>
      <w:bookmarkEnd w:id="263"/>
      <w:bookmarkEnd w:id="264"/>
      <w:bookmarkEnd w:id="265"/>
      <w:bookmarkEnd w:id="266"/>
      <w:bookmarkEnd w:id="267"/>
    </w:p>
    <w:p w14:paraId="10D3EA5D">
      <w:pPr>
        <w:pStyle w:val="4"/>
        <w:bidi w:val="0"/>
        <w:rPr>
          <w:rFonts w:ascii="Times New Roman" w:hAnsi="Times New Roman"/>
          <w:color w:val="auto"/>
        </w:rPr>
      </w:pPr>
      <w:bookmarkStart w:id="268" w:name="_Toc18250"/>
      <w:bookmarkStart w:id="269" w:name="_Toc31368"/>
      <w:bookmarkStart w:id="270" w:name="_Toc8747"/>
      <w:bookmarkStart w:id="271" w:name="_Toc5895"/>
      <w:r>
        <w:rPr>
          <w:rFonts w:ascii="Times New Roman" w:hAnsi="Times New Roman"/>
          <w:color w:val="auto"/>
        </w:rPr>
        <w:t>4.1.1</w:t>
      </w:r>
      <w:r>
        <w:rPr>
          <w:rFonts w:hint="eastAsia" w:ascii="Times New Roman" w:hAnsi="Times New Roman"/>
          <w:color w:val="auto"/>
          <w:lang w:val="en-US" w:eastAsia="zh-CN"/>
        </w:rPr>
        <w:t xml:space="preserve"> </w:t>
      </w:r>
      <w:r>
        <w:rPr>
          <w:rFonts w:ascii="Times New Roman" w:hAnsi="Times New Roman"/>
          <w:color w:val="auto"/>
        </w:rPr>
        <w:t>总平面布置单元</w:t>
      </w:r>
      <w:bookmarkEnd w:id="268"/>
      <w:bookmarkEnd w:id="269"/>
      <w:bookmarkEnd w:id="270"/>
      <w:bookmarkEnd w:id="271"/>
    </w:p>
    <w:p w14:paraId="0B1E9FAD">
      <w:pPr>
        <w:bidi w:val="0"/>
        <w:rPr>
          <w:rFonts w:hint="eastAsia" w:ascii="Times New Roman" w:hAnsi="Times New Roman"/>
          <w:color w:val="auto"/>
          <w:lang w:eastAsia="zh-CN"/>
        </w:rPr>
      </w:pPr>
      <w:r>
        <w:rPr>
          <w:rFonts w:ascii="Times New Roman" w:hAnsi="Times New Roman"/>
          <w:color w:val="auto"/>
        </w:rPr>
        <w:t>（</w:t>
      </w:r>
      <w:r>
        <w:rPr>
          <w:rFonts w:hint="eastAsia" w:ascii="Times New Roman" w:hAnsi="Times New Roman"/>
          <w:color w:val="auto"/>
        </w:rPr>
        <w:t>1</w:t>
      </w:r>
      <w:r>
        <w:rPr>
          <w:rFonts w:ascii="Times New Roman" w:hAnsi="Times New Roman"/>
          <w:color w:val="auto"/>
        </w:rPr>
        <w:t>）露天开采会形成较高边坡，下一步安全设施设计应考虑在采场边界危险性大的区域设置护栏等安全设施</w:t>
      </w:r>
      <w:r>
        <w:rPr>
          <w:rFonts w:hint="eastAsia" w:ascii="Times New Roman" w:hAnsi="Times New Roman"/>
          <w:color w:val="auto"/>
          <w:lang w:eastAsia="zh-CN"/>
        </w:rPr>
        <w:t>；</w:t>
      </w:r>
    </w:p>
    <w:p w14:paraId="262258C5">
      <w:pPr>
        <w:bidi w:val="0"/>
        <w:rPr>
          <w:rFonts w:hint="eastAsia" w:ascii="Times New Roman" w:hAnsi="Times New Roman"/>
          <w:color w:val="auto"/>
          <w:lang w:eastAsia="zh-CN"/>
        </w:rPr>
      </w:pPr>
      <w:r>
        <w:rPr>
          <w:rFonts w:ascii="Times New Roman" w:hAnsi="Times New Roman"/>
          <w:color w:val="auto"/>
        </w:rPr>
        <w:t>（</w:t>
      </w:r>
      <w:r>
        <w:rPr>
          <w:rFonts w:hint="eastAsia" w:ascii="Times New Roman" w:hAnsi="Times New Roman"/>
          <w:color w:val="auto"/>
        </w:rPr>
        <w:t>2</w:t>
      </w:r>
      <w:r>
        <w:rPr>
          <w:rFonts w:ascii="Times New Roman" w:hAnsi="Times New Roman"/>
          <w:color w:val="auto"/>
        </w:rPr>
        <w:t>）矿山应按设计要求进行开采，并严格按照设计要求爆破警戒线按上坡方向200m下坡300m圈定，所有无关人员撤出300m外安全地点，并在路口设置岗警戒</w:t>
      </w:r>
      <w:r>
        <w:rPr>
          <w:rFonts w:hint="eastAsia" w:ascii="Times New Roman" w:hAnsi="Times New Roman"/>
          <w:color w:val="auto"/>
          <w:lang w:eastAsia="zh-CN"/>
        </w:rPr>
        <w:t>；</w:t>
      </w:r>
    </w:p>
    <w:p w14:paraId="2C941D7A">
      <w:pPr>
        <w:bidi w:val="0"/>
        <w:rPr>
          <w:rFonts w:hint="eastAsia" w:ascii="Times New Roman" w:hAnsi="Times New Roman"/>
          <w:color w:val="auto"/>
          <w:lang w:val="en-US" w:eastAsia="zh-CN"/>
        </w:rPr>
      </w:pPr>
      <w:r>
        <w:rPr>
          <w:rFonts w:hint="eastAsia" w:ascii="Times New Roman" w:hAnsi="Times New Roman"/>
          <w:color w:val="auto"/>
          <w:lang w:val="en-US" w:eastAsia="zh-CN"/>
        </w:rPr>
        <w:t>（3）在下一步安全设施设计中完善禁采区的标识、隔离等安全对策措施。</w:t>
      </w:r>
    </w:p>
    <w:p w14:paraId="5E1FD887">
      <w:pPr>
        <w:bidi w:val="0"/>
        <w:rPr>
          <w:rFonts w:hint="eastAsia" w:ascii="Times New Roman" w:hAnsi="Times New Roman"/>
          <w:color w:val="auto"/>
          <w:lang w:val="en-US" w:eastAsia="zh-CN"/>
        </w:rPr>
      </w:pPr>
      <w:r>
        <w:rPr>
          <w:rFonts w:hint="eastAsia"/>
          <w:color w:val="auto"/>
          <w:lang w:val="en-US" w:eastAsia="zh-CN"/>
        </w:rPr>
        <w:t>（4）</w:t>
      </w:r>
      <w:r>
        <w:rPr>
          <w:rFonts w:hint="eastAsia" w:ascii="Times New Roman" w:hAnsi="Times New Roman"/>
          <w:color w:val="auto"/>
          <w:lang w:val="en-US" w:eastAsia="zh-CN"/>
        </w:rPr>
        <w:t>下一步安全设施设计中补充爆破警戒范围内的村组公路、办公生活区、未征用土地的安全防护</w:t>
      </w:r>
      <w:r>
        <w:rPr>
          <w:rFonts w:hint="eastAsia"/>
          <w:color w:val="auto"/>
          <w:lang w:val="en-US" w:eastAsia="zh-CN"/>
        </w:rPr>
        <w:t>措施；</w:t>
      </w:r>
    </w:p>
    <w:p w14:paraId="311D1C94">
      <w:pPr>
        <w:bidi w:val="0"/>
        <w:rPr>
          <w:rFonts w:hint="default"/>
          <w:color w:val="auto"/>
          <w:lang w:val="en-US" w:eastAsia="zh-CN"/>
        </w:rPr>
      </w:pPr>
      <w:r>
        <w:rPr>
          <w:rFonts w:hint="eastAsia"/>
          <w:color w:val="auto"/>
          <w:lang w:val="en-US" w:eastAsia="zh-CN"/>
        </w:rPr>
        <w:t>（5）</w:t>
      </w:r>
      <w:r>
        <w:rPr>
          <w:rFonts w:hint="eastAsia" w:ascii="Times New Roman" w:hAnsi="Times New Roman"/>
          <w:color w:val="auto"/>
          <w:lang w:val="en-US" w:eastAsia="zh-CN"/>
        </w:rPr>
        <w:t>下一步安全设施设计中完善临时排土场的安全设施</w:t>
      </w:r>
      <w:r>
        <w:rPr>
          <w:rFonts w:hint="eastAsia"/>
          <w:color w:val="auto"/>
          <w:lang w:val="en-US" w:eastAsia="zh-CN"/>
        </w:rPr>
        <w:t>。</w:t>
      </w:r>
    </w:p>
    <w:p w14:paraId="37B21491">
      <w:pPr>
        <w:pStyle w:val="4"/>
        <w:bidi w:val="0"/>
        <w:rPr>
          <w:rFonts w:ascii="Times New Roman" w:hAnsi="Times New Roman"/>
          <w:color w:val="auto"/>
        </w:rPr>
      </w:pPr>
      <w:bookmarkStart w:id="272" w:name="_Toc6121"/>
      <w:bookmarkStart w:id="273" w:name="_Toc895"/>
      <w:bookmarkStart w:id="274" w:name="_Toc13471"/>
      <w:bookmarkStart w:id="275" w:name="_Toc30081"/>
      <w:r>
        <w:rPr>
          <w:rFonts w:ascii="Times New Roman" w:hAnsi="Times New Roman"/>
          <w:color w:val="auto"/>
        </w:rPr>
        <w:t>4.1.2</w:t>
      </w:r>
      <w:r>
        <w:rPr>
          <w:rFonts w:hint="eastAsia" w:ascii="Times New Roman" w:hAnsi="Times New Roman"/>
          <w:color w:val="auto"/>
          <w:lang w:val="en-US" w:eastAsia="zh-CN"/>
        </w:rPr>
        <w:t xml:space="preserve"> </w:t>
      </w:r>
      <w:r>
        <w:rPr>
          <w:rFonts w:ascii="Times New Roman" w:hAnsi="Times New Roman"/>
          <w:color w:val="auto"/>
        </w:rPr>
        <w:t>开拓运输单元</w:t>
      </w:r>
      <w:bookmarkEnd w:id="272"/>
      <w:bookmarkEnd w:id="273"/>
      <w:bookmarkEnd w:id="274"/>
      <w:bookmarkEnd w:id="275"/>
    </w:p>
    <w:p w14:paraId="67299D1B">
      <w:pPr>
        <w:bidi w:val="0"/>
        <w:rPr>
          <w:rFonts w:ascii="Times New Roman" w:hAnsi="Times New Roman"/>
          <w:color w:val="auto"/>
        </w:rPr>
      </w:pPr>
      <w:r>
        <w:rPr>
          <w:rFonts w:ascii="Times New Roman" w:hAnsi="Times New Roman"/>
          <w:color w:val="auto"/>
        </w:rPr>
        <w:t>（1）矿区道路边坡需加强支护并设置安全警示牌，</w:t>
      </w:r>
      <w:r>
        <w:rPr>
          <w:rFonts w:hint="eastAsia" w:ascii="Times New Roman" w:hAnsi="Times New Roman"/>
          <w:color w:val="auto"/>
          <w:lang w:val="en-US" w:eastAsia="zh-CN"/>
        </w:rPr>
        <w:t>矿区现状东侧</w:t>
      </w:r>
      <w:r>
        <w:rPr>
          <w:rFonts w:ascii="Times New Roman" w:hAnsi="Times New Roman"/>
          <w:color w:val="auto"/>
        </w:rPr>
        <w:t>山坡填方的弯道、坡度较大的填方地段以及高路基外侧应设置护栏或挡车墙，在下一步安全设施设计中应补充、完善。同时，矿山应建立道路安全管理制度，定期对运输设备进行检查维护；</w:t>
      </w:r>
    </w:p>
    <w:p w14:paraId="437281DD">
      <w:pPr>
        <w:bidi w:val="0"/>
        <w:rPr>
          <w:rFonts w:ascii="Times New Roman" w:hAnsi="Times New Roman"/>
          <w:color w:val="auto"/>
        </w:rPr>
      </w:pPr>
      <w:r>
        <w:rPr>
          <w:rFonts w:ascii="Times New Roman" w:hAnsi="Times New Roman"/>
          <w:color w:val="auto"/>
        </w:rPr>
        <w:t>（2）根据预选危险性分析，开拓运输环节存在众多危险有害因素，危害程度为Ⅱ~Ⅳ级，危害程度较高，在今后的矿山建设和矿山生产过程中，矿山应当从主观上高度重视矿山内外部视运输环节中的危害，充分落实上述安全对策措施，确保矿山安全生产</w:t>
      </w:r>
      <w:r>
        <w:rPr>
          <w:rFonts w:hint="eastAsia" w:ascii="Times New Roman" w:hAnsi="Times New Roman"/>
          <w:color w:val="auto"/>
          <w:lang w:eastAsia="zh-CN"/>
        </w:rPr>
        <w:t>。</w:t>
      </w:r>
    </w:p>
    <w:p w14:paraId="64C4C732">
      <w:pPr>
        <w:bidi w:val="0"/>
        <w:rPr>
          <w:rFonts w:hint="eastAsia"/>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）下一步</w:t>
      </w:r>
      <w:r>
        <w:rPr>
          <w:rFonts w:hint="eastAsia"/>
          <w:color w:val="auto"/>
          <w:lang w:val="en-US" w:eastAsia="zh-CN"/>
        </w:rPr>
        <w:t>安全设施设计</w:t>
      </w:r>
      <w:r>
        <w:rPr>
          <w:rFonts w:hint="eastAsia"/>
          <w:color w:val="auto"/>
          <w:lang w:eastAsia="zh-CN"/>
        </w:rPr>
        <w:t>应当完善道路错车道及缓坡段的内容。</w:t>
      </w:r>
    </w:p>
    <w:p w14:paraId="12B33064">
      <w:pPr>
        <w:pStyle w:val="4"/>
        <w:bidi w:val="0"/>
        <w:rPr>
          <w:rFonts w:ascii="Times New Roman" w:hAnsi="Times New Roman"/>
          <w:color w:val="auto"/>
        </w:rPr>
      </w:pPr>
      <w:bookmarkStart w:id="276" w:name="_Toc18355"/>
      <w:bookmarkStart w:id="277" w:name="_Toc26189"/>
      <w:bookmarkStart w:id="278" w:name="_Toc3497"/>
      <w:bookmarkStart w:id="279" w:name="_Toc6143"/>
      <w:r>
        <w:rPr>
          <w:rFonts w:ascii="Times New Roman" w:hAnsi="Times New Roman"/>
          <w:color w:val="auto"/>
        </w:rPr>
        <w:t>4.1.3</w:t>
      </w:r>
      <w:r>
        <w:rPr>
          <w:rFonts w:hint="eastAsia" w:ascii="Times New Roman" w:hAnsi="Times New Roman"/>
          <w:color w:val="auto"/>
          <w:lang w:val="en-US" w:eastAsia="zh-CN"/>
        </w:rPr>
        <w:t xml:space="preserve"> </w:t>
      </w:r>
      <w:r>
        <w:rPr>
          <w:rFonts w:ascii="Times New Roman" w:hAnsi="Times New Roman"/>
          <w:color w:val="auto"/>
        </w:rPr>
        <w:t>采剥单元</w:t>
      </w:r>
      <w:bookmarkEnd w:id="276"/>
      <w:bookmarkEnd w:id="277"/>
      <w:bookmarkEnd w:id="278"/>
      <w:bookmarkEnd w:id="279"/>
    </w:p>
    <w:p w14:paraId="191F3797">
      <w:pPr>
        <w:bidi w:val="0"/>
        <w:rPr>
          <w:rFonts w:ascii="Times New Roman" w:hAnsi="Times New Roman"/>
          <w:color w:val="auto"/>
        </w:rPr>
      </w:pPr>
      <w:r>
        <w:rPr>
          <w:rFonts w:ascii="Times New Roman" w:hAnsi="Times New Roman"/>
          <w:color w:val="auto"/>
        </w:rPr>
        <w:t>1</w:t>
      </w:r>
      <w:r>
        <w:rPr>
          <w:rFonts w:hint="eastAsia" w:ascii="Times New Roman" w:hAnsi="Times New Roman"/>
          <w:color w:val="auto"/>
          <w:lang w:eastAsia="zh-CN"/>
        </w:rPr>
        <w:t>、</w:t>
      </w:r>
      <w:r>
        <w:rPr>
          <w:rFonts w:ascii="Times New Roman" w:hAnsi="Times New Roman"/>
          <w:color w:val="auto"/>
        </w:rPr>
        <w:t>采场子单元：</w:t>
      </w:r>
    </w:p>
    <w:p w14:paraId="32A746CC">
      <w:pPr>
        <w:bidi w:val="0"/>
        <w:rPr>
          <w:rFonts w:hint="eastAsia" w:ascii="Times New Roman" w:hAnsi="Times New Roman"/>
          <w:color w:val="auto"/>
          <w:lang w:eastAsia="zh-CN"/>
        </w:rPr>
      </w:pPr>
      <w:r>
        <w:rPr>
          <w:rFonts w:ascii="Times New Roman" w:hAnsi="Times New Roman"/>
          <w:color w:val="auto"/>
        </w:rPr>
        <w:t>（1）下一步设计中应完善采场应采取的安全措施，矿山在露天坑入口和露天坑周围易于发生危险的区域</w:t>
      </w:r>
      <w:r>
        <w:rPr>
          <w:rFonts w:hint="eastAsia" w:ascii="Times New Roman" w:hAnsi="Times New Roman"/>
          <w:color w:val="auto"/>
          <w:lang w:eastAsia="zh-CN"/>
        </w:rPr>
        <w:t>（禁采区、采空区、高边坡等）</w:t>
      </w:r>
      <w:r>
        <w:rPr>
          <w:rFonts w:ascii="Times New Roman" w:hAnsi="Times New Roman"/>
          <w:color w:val="auto"/>
        </w:rPr>
        <w:t>应设置围栏和警示标志，防止无关人员误入</w:t>
      </w:r>
      <w:r>
        <w:rPr>
          <w:rFonts w:hint="eastAsia" w:ascii="Times New Roman" w:hAnsi="Times New Roman"/>
          <w:color w:val="auto"/>
          <w:lang w:eastAsia="zh-CN"/>
        </w:rPr>
        <w:t>；</w:t>
      </w:r>
    </w:p>
    <w:p w14:paraId="3D267B3E">
      <w:pPr>
        <w:bidi w:val="0"/>
        <w:rPr>
          <w:rFonts w:hint="eastAsia" w:ascii="Times New Roman" w:hAnsi="Times New Roman"/>
          <w:color w:val="auto"/>
          <w:lang w:eastAsia="zh-CN"/>
        </w:rPr>
      </w:pPr>
      <w:r>
        <w:rPr>
          <w:rFonts w:ascii="Times New Roman" w:hAnsi="Times New Roman"/>
          <w:color w:val="auto"/>
        </w:rPr>
        <w:t>（2）作业人员在距坠落基准面2m及2m以上，有人员坠落危险的作业场所进行高处作业时，作业人员应佩戴安全带。有六级以上强风时，不应进行高处作业和露天起重作业</w:t>
      </w:r>
      <w:r>
        <w:rPr>
          <w:rFonts w:hint="eastAsia" w:ascii="Times New Roman" w:hAnsi="Times New Roman"/>
          <w:color w:val="auto"/>
          <w:lang w:eastAsia="zh-CN"/>
        </w:rPr>
        <w:t>；</w:t>
      </w:r>
    </w:p>
    <w:p w14:paraId="6861D36C">
      <w:pPr>
        <w:bidi w:val="0"/>
        <w:rPr>
          <w:rFonts w:hint="eastAsia" w:ascii="Times New Roman" w:hAnsi="Times New Roman"/>
          <w:color w:val="auto"/>
          <w:lang w:eastAsia="zh-CN"/>
        </w:rPr>
      </w:pPr>
      <w:r>
        <w:rPr>
          <w:rFonts w:ascii="Times New Roman" w:hAnsi="Times New Roman"/>
          <w:color w:val="auto"/>
        </w:rPr>
        <w:t>（3）定期对</w:t>
      </w:r>
      <w:r>
        <w:rPr>
          <w:rFonts w:hint="eastAsia" w:ascii="Times New Roman" w:hAnsi="Times New Roman"/>
          <w:color w:val="auto"/>
        </w:rPr>
        <w:t>矿</w:t>
      </w:r>
      <w:r>
        <w:rPr>
          <w:rFonts w:ascii="Times New Roman" w:hAnsi="Times New Roman"/>
          <w:color w:val="auto"/>
        </w:rPr>
        <w:t>区进行检查，发现灾害隐患时及时采取相应的控制及治理措施</w:t>
      </w:r>
      <w:r>
        <w:rPr>
          <w:rFonts w:hint="eastAsia" w:ascii="Times New Roman" w:hAnsi="Times New Roman"/>
          <w:color w:val="auto"/>
          <w:lang w:eastAsia="zh-CN"/>
        </w:rPr>
        <w:t>；</w:t>
      </w:r>
    </w:p>
    <w:p w14:paraId="11A66B0C">
      <w:pPr>
        <w:bidi w:val="0"/>
        <w:rPr>
          <w:rFonts w:hint="eastAsia" w:ascii="Times New Roman" w:hAnsi="Times New Roman"/>
          <w:color w:val="auto"/>
          <w:lang w:eastAsia="zh-CN"/>
        </w:rPr>
      </w:pPr>
      <w:r>
        <w:rPr>
          <w:rFonts w:ascii="Times New Roman" w:hAnsi="Times New Roman"/>
          <w:color w:val="auto"/>
        </w:rPr>
        <w:t>（4）露天采场工作边坡应每季度检查1次，运输或者行人的非工作边坡每半年检查1次；边坡出现滑坡或者坍塌迹象时，应立即停止受影响区域的生产作业，撤出相关人员和设备，采取安全措施</w:t>
      </w:r>
      <w:r>
        <w:rPr>
          <w:rFonts w:hint="eastAsia" w:ascii="Times New Roman" w:hAnsi="Times New Roman"/>
          <w:color w:val="auto"/>
          <w:lang w:eastAsia="zh-CN"/>
        </w:rPr>
        <w:t>；</w:t>
      </w:r>
    </w:p>
    <w:p w14:paraId="3938A776">
      <w:pPr>
        <w:bidi w:val="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5</w:t>
      </w:r>
      <w:r>
        <w:rPr>
          <w:rFonts w:hint="eastAsia" w:ascii="Times New Roman" w:hAnsi="Times New Roman"/>
          <w:color w:val="auto"/>
          <w:lang w:eastAsia="zh-CN"/>
        </w:rPr>
        <w:t>）</w:t>
      </w:r>
      <w:r>
        <w:rPr>
          <w:rFonts w:hint="eastAsia" w:ascii="Times New Roman" w:hAnsi="Times New Roman"/>
          <w:color w:val="auto"/>
        </w:rPr>
        <w:t>加强边坡安全管理。矿山建成投产后，成立专门的边坡维护队伍，制定边坡管理制度，严格执行边坡到界靠帮操作规程。建立有效的边坡监测系统，以确保矿区生产期的边坡安全</w:t>
      </w:r>
      <w:r>
        <w:rPr>
          <w:rFonts w:hint="eastAsia" w:ascii="Times New Roman" w:hAnsi="Times New Roman"/>
          <w:color w:val="auto"/>
          <w:lang w:eastAsia="zh-CN"/>
        </w:rPr>
        <w:t>。</w:t>
      </w:r>
    </w:p>
    <w:p w14:paraId="728C821B">
      <w:pPr>
        <w:bidi w:val="0"/>
        <w:rPr>
          <w:rFonts w:hint="eastAsia" w:ascii="Times New Roman" w:hAnsi="Times New Roman" w:eastAsia="宋体"/>
          <w:color w:val="auto"/>
          <w:lang w:eastAsia="zh-CN"/>
        </w:rPr>
      </w:pPr>
      <w:r>
        <w:rPr>
          <w:rFonts w:hint="eastAsia" w:ascii="Times New Roman" w:hAnsi="Times New Roman"/>
          <w:color w:val="auto"/>
          <w:lang w:eastAsia="zh-CN"/>
        </w:rPr>
        <w:t>（</w:t>
      </w:r>
      <w:r>
        <w:rPr>
          <w:rFonts w:hint="eastAsia" w:ascii="Times New Roman" w:hAnsi="Times New Roman"/>
          <w:color w:val="auto"/>
          <w:lang w:val="en-US" w:eastAsia="zh-CN"/>
        </w:rPr>
        <w:t>6</w:t>
      </w:r>
      <w:r>
        <w:rPr>
          <w:rFonts w:hint="eastAsia" w:ascii="Times New Roman" w:hAnsi="Times New Roman"/>
          <w:color w:val="auto"/>
          <w:lang w:eastAsia="zh-CN"/>
        </w:rPr>
        <w:t>）</w:t>
      </w:r>
      <w:r>
        <w:rPr>
          <w:rFonts w:hint="eastAsia" w:ascii="Times New Roman" w:hAnsi="Times New Roman"/>
          <w:color w:val="auto"/>
        </w:rPr>
        <w:t>下一步设计中应明确上、下台阶同时作业时，上部台阶的铲装设备应超前下部台阶铲装设备，超前距离不小于铲装设备最大工作半径的3倍，且不小于50m</w:t>
      </w:r>
      <w:r>
        <w:rPr>
          <w:rFonts w:hint="eastAsia" w:ascii="Times New Roman" w:hAnsi="Times New Roman"/>
          <w:color w:val="auto"/>
          <w:lang w:eastAsia="zh-CN"/>
        </w:rPr>
        <w:t>。</w:t>
      </w:r>
    </w:p>
    <w:p w14:paraId="6817A7E0">
      <w:pPr>
        <w:bidi w:val="0"/>
        <w:rPr>
          <w:rFonts w:hint="eastAsia" w:ascii="Times New Roman" w:hAnsi="Times New Roman"/>
          <w:color w:val="auto"/>
          <w:lang w:eastAsia="zh-CN"/>
        </w:rPr>
      </w:pPr>
      <w:r>
        <w:rPr>
          <w:rFonts w:hint="eastAsia" w:ascii="Times New Roman" w:hAnsi="Times New Roman"/>
          <w:color w:val="auto"/>
          <w:lang w:eastAsia="zh-CN"/>
        </w:rPr>
        <w:t>（</w:t>
      </w:r>
      <w:r>
        <w:rPr>
          <w:rFonts w:hint="eastAsia" w:ascii="Times New Roman" w:hAnsi="Times New Roman"/>
          <w:color w:val="auto"/>
          <w:lang w:val="en-US" w:eastAsia="zh-CN"/>
        </w:rPr>
        <w:t>7</w:t>
      </w:r>
      <w:r>
        <w:rPr>
          <w:rFonts w:hint="eastAsia" w:ascii="Times New Roman" w:hAnsi="Times New Roman"/>
          <w:color w:val="auto"/>
          <w:lang w:eastAsia="zh-CN"/>
        </w:rPr>
        <w:t>）定期进行边坡稳定性研究分析及监测，发现灾害隐患时及时采取相应的控制及治理措施。</w:t>
      </w:r>
    </w:p>
    <w:p w14:paraId="623BD979">
      <w:pPr>
        <w:bidi w:val="0"/>
        <w:rPr>
          <w:rFonts w:hint="eastAsia" w:ascii="Times New Roman" w:hAnsi="Times New Roman"/>
          <w:color w:val="auto"/>
          <w:lang w:eastAsia="zh-CN"/>
        </w:rPr>
      </w:pPr>
      <w:r>
        <w:rPr>
          <w:rFonts w:hint="eastAsia" w:ascii="Times New Roman" w:hAnsi="Times New Roman"/>
          <w:color w:val="auto"/>
          <w:lang w:eastAsia="zh-CN"/>
        </w:rPr>
        <w:t>（</w:t>
      </w:r>
      <w:r>
        <w:rPr>
          <w:rFonts w:hint="eastAsia" w:ascii="Times New Roman" w:hAnsi="Times New Roman"/>
          <w:color w:val="auto"/>
          <w:lang w:val="en-US" w:eastAsia="zh-CN"/>
        </w:rPr>
        <w:t>8</w:t>
      </w:r>
      <w:r>
        <w:rPr>
          <w:rFonts w:hint="eastAsia" w:ascii="Times New Roman" w:hAnsi="Times New Roman"/>
          <w:color w:val="auto"/>
          <w:lang w:eastAsia="zh-CN"/>
        </w:rPr>
        <w:t>）下一步设计中应补充原有采场过渡衔接的安全措施。</w:t>
      </w:r>
    </w:p>
    <w:p w14:paraId="6957C1AA">
      <w:pPr>
        <w:bidi w:val="0"/>
        <w:rPr>
          <w:rFonts w:ascii="Times New Roman" w:hAnsi="Times New Roman"/>
          <w:color w:val="auto"/>
        </w:rPr>
      </w:pPr>
      <w:r>
        <w:rPr>
          <w:rFonts w:ascii="Times New Roman" w:hAnsi="Times New Roman"/>
          <w:color w:val="auto"/>
        </w:rPr>
        <w:t>2</w:t>
      </w:r>
      <w:r>
        <w:rPr>
          <w:rFonts w:hint="eastAsia" w:ascii="Times New Roman" w:hAnsi="Times New Roman"/>
          <w:color w:val="auto"/>
          <w:lang w:eastAsia="zh-CN"/>
        </w:rPr>
        <w:t>、</w:t>
      </w:r>
      <w:r>
        <w:rPr>
          <w:rFonts w:ascii="Times New Roman" w:hAnsi="Times New Roman"/>
          <w:color w:val="auto"/>
        </w:rPr>
        <w:t>穿孔爆破子单元</w:t>
      </w:r>
    </w:p>
    <w:p w14:paraId="5C282BBF">
      <w:pPr>
        <w:bidi w:val="0"/>
        <w:rPr>
          <w:rFonts w:hint="eastAsia" w:ascii="Times New Roman" w:hAnsi="Times New Roman"/>
          <w:color w:val="auto"/>
          <w:lang w:eastAsia="zh-CN"/>
        </w:rPr>
      </w:pPr>
      <w:r>
        <w:rPr>
          <w:rFonts w:ascii="Times New Roman" w:hAnsi="Times New Roman"/>
          <w:color w:val="auto"/>
        </w:rPr>
        <w:t>（1）爆破作业后应先清除边坡上的孤石、浮石，待清除完成后，方可进入采场进行铲装作业</w:t>
      </w:r>
      <w:r>
        <w:rPr>
          <w:rFonts w:hint="eastAsia" w:ascii="Times New Roman" w:hAnsi="Times New Roman"/>
          <w:color w:val="auto"/>
          <w:lang w:eastAsia="zh-CN"/>
        </w:rPr>
        <w:t>；</w:t>
      </w:r>
    </w:p>
    <w:p w14:paraId="224F5CB4">
      <w:pPr>
        <w:bidi w:val="0"/>
        <w:rPr>
          <w:rFonts w:hint="eastAsia" w:ascii="Times New Roman" w:hAnsi="Times New Roman"/>
          <w:color w:val="auto"/>
          <w:lang w:eastAsia="zh-CN"/>
        </w:rPr>
      </w:pPr>
      <w:r>
        <w:rPr>
          <w:rFonts w:ascii="Times New Roman" w:hAnsi="Times New Roman"/>
          <w:color w:val="auto"/>
        </w:rPr>
        <w:t>（2）矿山在爆破过程中应严格控制爆破指向，减少装药量，采取覆盖措施等，避免造成爆破伤害事故，并严格按照</w:t>
      </w:r>
      <w:r>
        <w:rPr>
          <w:rFonts w:hint="eastAsia" w:ascii="Times New Roman" w:hAnsi="Times New Roman"/>
          <w:color w:val="auto"/>
          <w:lang w:eastAsia="zh-CN"/>
        </w:rPr>
        <w:t>初步设计（代可研）</w:t>
      </w:r>
      <w:r>
        <w:rPr>
          <w:rFonts w:ascii="Times New Roman" w:hAnsi="Times New Roman"/>
          <w:color w:val="auto"/>
        </w:rPr>
        <w:t>要求圈定300m爆破警戒范围，所有无关人员撤出300m外安全地点，并在路口设置岗警戒</w:t>
      </w:r>
      <w:r>
        <w:rPr>
          <w:rFonts w:hint="eastAsia" w:ascii="Times New Roman" w:hAnsi="Times New Roman"/>
          <w:color w:val="auto"/>
          <w:lang w:eastAsia="zh-CN"/>
        </w:rPr>
        <w:t>；</w:t>
      </w:r>
    </w:p>
    <w:p w14:paraId="4B0CD414">
      <w:pPr>
        <w:bidi w:val="0"/>
        <w:rPr>
          <w:rFonts w:ascii="Times New Roman" w:hAnsi="Times New Roman"/>
          <w:color w:val="auto"/>
        </w:rPr>
      </w:pPr>
      <w:r>
        <w:rPr>
          <w:rFonts w:hint="eastAsia" w:ascii="Times New Roman" w:hAnsi="Times New Roman"/>
          <w:color w:val="auto"/>
          <w:lang w:val="en-US" w:eastAsia="zh-CN"/>
        </w:rPr>
        <w:t>（3）东北侧村组道路距离设计露天境界最近为82m，西侧村组道路距离设计露天境界最近为78m，农耕道路局部在矿区范围内穿过，矿区内存在未征地，在爆破前，应安排人员在爆破范围300m的道路两端设置警戒岗，避免无关人员进入。</w:t>
      </w:r>
    </w:p>
    <w:p w14:paraId="5DECCACE">
      <w:pPr>
        <w:bidi w:val="0"/>
        <w:rPr>
          <w:rFonts w:hint="eastAsia"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4</w:t>
      </w:r>
      <w:r>
        <w:rPr>
          <w:rFonts w:hint="eastAsia" w:ascii="Times New Roman" w:hAnsi="Times New Roman"/>
          <w:color w:val="auto"/>
          <w:lang w:eastAsia="zh-CN"/>
        </w:rPr>
        <w:t>）</w:t>
      </w:r>
      <w:r>
        <w:rPr>
          <w:rFonts w:hint="eastAsia" w:ascii="Times New Roman" w:hAnsi="Times New Roman"/>
          <w:color w:val="auto"/>
        </w:rPr>
        <w:t>本矿山正常生产采用微差爆破，属于松动性爆破，飞石一般不会太远。但深孔爆破有时会产生大块的矿石，对此类大块矿石本项目采用液压碎石锤进行机械破碎，不需进行二次爆破。因此不会有爆破飞石产生。在进行清</w:t>
      </w:r>
      <w:r>
        <w:rPr>
          <w:rFonts w:hint="eastAsia" w:ascii="Times New Roman" w:hAnsi="Times New Roman"/>
          <w:color w:val="auto"/>
          <w:lang w:val="en-US" w:eastAsia="zh-CN"/>
        </w:rPr>
        <w:t>理</w:t>
      </w:r>
      <w:r>
        <w:rPr>
          <w:rFonts w:hint="eastAsia" w:ascii="Times New Roman" w:hAnsi="Times New Roman"/>
          <w:color w:val="auto"/>
        </w:rPr>
        <w:t>作业时应做好防护工作，以防砸伤。</w:t>
      </w:r>
    </w:p>
    <w:p w14:paraId="72A0D812">
      <w:pPr>
        <w:bidi w:val="0"/>
        <w:rPr>
          <w:rFonts w:hint="eastAsia"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5</w:t>
      </w:r>
      <w:r>
        <w:rPr>
          <w:rFonts w:hint="eastAsia" w:ascii="Times New Roman" w:hAnsi="Times New Roman"/>
          <w:color w:val="auto"/>
          <w:lang w:eastAsia="zh-CN"/>
        </w:rPr>
        <w:t>）</w:t>
      </w:r>
      <w:r>
        <w:rPr>
          <w:rFonts w:hint="eastAsia" w:ascii="Times New Roman" w:hAnsi="Times New Roman"/>
          <w:color w:val="auto"/>
        </w:rPr>
        <w:t>矿山周边有大量耕地，矿山生产爆破时位于爆破警戒范围内的所有人员必须撤离至爆破警戒线以外。企业爆破采取定时爆破，爆破前提前告知周边种植户，并配专人进行负责撤离爆破警戒范围内人员后方可爆破。</w:t>
      </w:r>
    </w:p>
    <w:p w14:paraId="6822AF07">
      <w:pPr>
        <w:bidi w:val="0"/>
        <w:rPr>
          <w:rFonts w:hint="default" w:ascii="Times New Roman" w:hAnsi="Times New Roman"/>
          <w:color w:val="auto"/>
          <w:lang w:val="en-US" w:eastAsia="zh-CN"/>
        </w:rPr>
      </w:pPr>
      <w:r>
        <w:rPr>
          <w:rFonts w:hint="eastAsia" w:ascii="Times New Roman" w:hAnsi="Times New Roman"/>
          <w:color w:val="auto"/>
          <w:lang w:val="en-US" w:eastAsia="zh-CN"/>
        </w:rPr>
        <w:t>（6）</w:t>
      </w:r>
      <w:r>
        <w:rPr>
          <w:rFonts w:hint="default" w:ascii="Times New Roman" w:hAnsi="Times New Roman"/>
          <w:color w:val="auto"/>
          <w:lang w:val="en-US" w:eastAsia="zh-CN"/>
        </w:rPr>
        <w:t>矿山在生产中一定要加强爆破警戒管理，科学有效计划并组织实施周边人员、车辆等的避炮工作，确保矿山生产的安全。</w:t>
      </w:r>
    </w:p>
    <w:p w14:paraId="3425FEBF">
      <w:pPr>
        <w:bidi w:val="0"/>
        <w:rPr>
          <w:rFonts w:hint="default" w:ascii="Times New Roman" w:hAnsi="Times New Roman"/>
          <w:color w:val="auto"/>
          <w:lang w:val="en-US" w:eastAsia="zh-CN"/>
        </w:rPr>
      </w:pPr>
      <w:r>
        <w:rPr>
          <w:rFonts w:hint="eastAsia" w:ascii="Times New Roman" w:hAnsi="Times New Roman"/>
          <w:color w:val="auto"/>
          <w:lang w:val="en-US" w:eastAsia="zh-CN"/>
        </w:rPr>
        <w:t>（7）下一步设计中应补充空压机相关内容。</w:t>
      </w:r>
    </w:p>
    <w:p w14:paraId="66D762A5">
      <w:pPr>
        <w:bidi w:val="0"/>
        <w:rPr>
          <w:rFonts w:ascii="Times New Roman" w:hAnsi="Times New Roman"/>
          <w:color w:val="auto"/>
        </w:rPr>
      </w:pPr>
      <w:r>
        <w:rPr>
          <w:rFonts w:ascii="Times New Roman" w:hAnsi="Times New Roman"/>
          <w:color w:val="auto"/>
        </w:rPr>
        <w:t>3</w:t>
      </w:r>
      <w:r>
        <w:rPr>
          <w:rFonts w:hint="eastAsia" w:ascii="Times New Roman" w:hAnsi="Times New Roman"/>
          <w:color w:val="auto"/>
          <w:lang w:eastAsia="zh-CN"/>
        </w:rPr>
        <w:t>、</w:t>
      </w:r>
      <w:r>
        <w:rPr>
          <w:rFonts w:ascii="Times New Roman" w:hAnsi="Times New Roman"/>
          <w:color w:val="auto"/>
        </w:rPr>
        <w:t>铲装运输子单元：</w:t>
      </w:r>
    </w:p>
    <w:p w14:paraId="1DF88377">
      <w:pPr>
        <w:bidi w:val="0"/>
        <w:rPr>
          <w:rFonts w:hint="eastAsia" w:ascii="Times New Roman" w:hAnsi="Times New Roman"/>
          <w:color w:val="auto"/>
          <w:lang w:eastAsia="zh-CN"/>
        </w:rPr>
      </w:pPr>
      <w:r>
        <w:rPr>
          <w:rFonts w:ascii="Times New Roman" w:hAnsi="Times New Roman"/>
          <w:color w:val="auto"/>
        </w:rPr>
        <w:t>（1）铲装设备在工作台阶上铲装作业时，应尽量避免靠近平台边缘，由于工作台阶边缘矿岩松散，有可能导致铲装设备坠落、倾翻</w:t>
      </w:r>
      <w:r>
        <w:rPr>
          <w:rFonts w:hint="eastAsia" w:ascii="Times New Roman" w:hAnsi="Times New Roman"/>
          <w:color w:val="auto"/>
          <w:lang w:eastAsia="zh-CN"/>
        </w:rPr>
        <w:t>；</w:t>
      </w:r>
    </w:p>
    <w:p w14:paraId="17C715FE">
      <w:pPr>
        <w:bidi w:val="0"/>
        <w:rPr>
          <w:rFonts w:hint="eastAsia" w:ascii="Times New Roman" w:hAnsi="Times New Roman"/>
          <w:color w:val="auto"/>
          <w:lang w:eastAsia="zh-CN"/>
        </w:rPr>
      </w:pPr>
      <w:r>
        <w:rPr>
          <w:rFonts w:ascii="Times New Roman" w:hAnsi="Times New Roman"/>
          <w:color w:val="auto"/>
        </w:rPr>
        <w:t>（2）挖掘机汽笛或警报器应完好，进行各种操作时，均应发出警告信号。挖掘机作业时，悬臂和铲斗下面及工作面附近，不应有人停留</w:t>
      </w:r>
      <w:r>
        <w:rPr>
          <w:rFonts w:hint="eastAsia" w:ascii="Times New Roman" w:hAnsi="Times New Roman"/>
          <w:color w:val="auto"/>
          <w:lang w:eastAsia="zh-CN"/>
        </w:rPr>
        <w:t>；</w:t>
      </w:r>
    </w:p>
    <w:p w14:paraId="6D796705">
      <w:pPr>
        <w:bidi w:val="0"/>
        <w:rPr>
          <w:rFonts w:hint="eastAsia" w:ascii="Times New Roman" w:hAnsi="Times New Roman"/>
          <w:color w:val="auto"/>
          <w:lang w:eastAsia="zh-CN"/>
        </w:rPr>
      </w:pPr>
      <w:r>
        <w:rPr>
          <w:rFonts w:ascii="Times New Roman" w:hAnsi="Times New Roman"/>
          <w:color w:val="auto"/>
        </w:rPr>
        <w:t>（3）对运输设备建立定期的检测和保养制度，以确保运输设备的安全可靠性，防止机械失灵造成安全事故；建立运输系统各岗位安全职责及安全操作规程安全管理制度</w:t>
      </w:r>
      <w:r>
        <w:rPr>
          <w:rFonts w:hint="eastAsia" w:ascii="Times New Roman" w:hAnsi="Times New Roman"/>
          <w:color w:val="auto"/>
          <w:lang w:eastAsia="zh-CN"/>
        </w:rPr>
        <w:t>；</w:t>
      </w:r>
    </w:p>
    <w:p w14:paraId="1F404508">
      <w:pPr>
        <w:bidi w:val="0"/>
        <w:rPr>
          <w:rFonts w:ascii="Times New Roman" w:hAnsi="Times New Roman"/>
          <w:color w:val="auto"/>
        </w:rPr>
      </w:pPr>
      <w:r>
        <w:rPr>
          <w:rFonts w:ascii="Times New Roman" w:hAnsi="Times New Roman"/>
          <w:color w:val="auto"/>
        </w:rPr>
        <w:t>（4）道路设置安全警示标牌。包括：限速、弯道、路口指示、停车指示等标志；沿道路外侧设立安全桩或安全墙；建立道路运输安全管理制度，对操作人员的行为进行规范，定期进行车辆维护保养确保车况良好。</w:t>
      </w:r>
    </w:p>
    <w:p w14:paraId="0CB248B5">
      <w:pPr>
        <w:pStyle w:val="4"/>
        <w:bidi w:val="0"/>
        <w:rPr>
          <w:rFonts w:ascii="Times New Roman" w:hAnsi="Times New Roman"/>
          <w:color w:val="auto"/>
        </w:rPr>
      </w:pPr>
      <w:bookmarkStart w:id="280" w:name="_Toc8361"/>
      <w:bookmarkStart w:id="281" w:name="_Toc22162"/>
      <w:bookmarkStart w:id="282" w:name="_Toc21264"/>
      <w:bookmarkStart w:id="283" w:name="_Toc3894"/>
      <w:r>
        <w:rPr>
          <w:rFonts w:ascii="Times New Roman" w:hAnsi="Times New Roman"/>
          <w:color w:val="auto"/>
        </w:rPr>
        <w:t>4.1.4</w:t>
      </w:r>
      <w:r>
        <w:rPr>
          <w:rFonts w:hint="eastAsia" w:ascii="Times New Roman" w:hAnsi="Times New Roman"/>
          <w:color w:val="auto"/>
          <w:lang w:val="en-US" w:eastAsia="zh-CN"/>
        </w:rPr>
        <w:t xml:space="preserve"> </w:t>
      </w:r>
      <w:r>
        <w:rPr>
          <w:rFonts w:ascii="Times New Roman" w:hAnsi="Times New Roman"/>
          <w:color w:val="auto"/>
        </w:rPr>
        <w:t>矿山供配电设施单元</w:t>
      </w:r>
      <w:bookmarkEnd w:id="280"/>
      <w:bookmarkEnd w:id="281"/>
      <w:bookmarkEnd w:id="282"/>
      <w:bookmarkEnd w:id="283"/>
    </w:p>
    <w:p w14:paraId="7B92F2F8">
      <w:pPr>
        <w:bidi w:val="0"/>
        <w:rPr>
          <w:rFonts w:hint="eastAsia" w:ascii="Times New Roman" w:hAnsi="Times New Roman"/>
          <w:color w:val="auto"/>
          <w:lang w:eastAsia="zh-CN"/>
        </w:rPr>
      </w:pPr>
      <w:r>
        <w:rPr>
          <w:rFonts w:ascii="Times New Roman" w:hAnsi="Times New Roman"/>
          <w:color w:val="auto"/>
        </w:rPr>
        <w:t>（1）设计中应当明确用电产品应具有符合规定的铭牌或标志，以满足安装、使用和维护的要求</w:t>
      </w:r>
      <w:r>
        <w:rPr>
          <w:rFonts w:hint="eastAsia" w:ascii="Times New Roman" w:hAnsi="Times New Roman"/>
          <w:color w:val="auto"/>
          <w:lang w:eastAsia="zh-CN"/>
        </w:rPr>
        <w:t>；</w:t>
      </w:r>
    </w:p>
    <w:p w14:paraId="59BF0627">
      <w:pPr>
        <w:bidi w:val="0"/>
        <w:rPr>
          <w:rFonts w:ascii="Times New Roman" w:hAnsi="Times New Roman"/>
          <w:color w:val="auto"/>
        </w:rPr>
      </w:pPr>
      <w:r>
        <w:rPr>
          <w:rFonts w:ascii="Times New Roman" w:hAnsi="Times New Roman"/>
          <w:color w:val="auto"/>
        </w:rPr>
        <w:t>（</w:t>
      </w:r>
      <w:r>
        <w:rPr>
          <w:rFonts w:hint="eastAsia" w:ascii="Times New Roman" w:hAnsi="Times New Roman"/>
          <w:color w:val="auto"/>
        </w:rPr>
        <w:t>2</w:t>
      </w:r>
      <w:r>
        <w:rPr>
          <w:rFonts w:ascii="Times New Roman" w:hAnsi="Times New Roman"/>
          <w:color w:val="auto"/>
        </w:rPr>
        <w:t>）下一步安全设施设计应进一步完善矿山供配电设施应配备的安全设施，变压器室、配电室、电容器室等房间应设置防止雨、雪和蛇、鼠等小动物从采光窗、通风窗、门、电缆沟等处进入室内的设施。</w:t>
      </w:r>
    </w:p>
    <w:p w14:paraId="21996475">
      <w:pPr>
        <w:pStyle w:val="4"/>
        <w:bidi w:val="0"/>
        <w:rPr>
          <w:rFonts w:ascii="Times New Roman" w:hAnsi="Times New Roman"/>
          <w:color w:val="auto"/>
        </w:rPr>
      </w:pPr>
      <w:bookmarkStart w:id="284" w:name="_Toc25555"/>
      <w:bookmarkStart w:id="285" w:name="_Toc1460"/>
      <w:bookmarkStart w:id="286" w:name="_Toc12523"/>
      <w:bookmarkStart w:id="287" w:name="_Toc12575"/>
      <w:r>
        <w:rPr>
          <w:rFonts w:ascii="Times New Roman" w:hAnsi="Times New Roman"/>
          <w:color w:val="auto"/>
        </w:rPr>
        <w:t>4.1.5</w:t>
      </w:r>
      <w:r>
        <w:rPr>
          <w:rFonts w:hint="eastAsia" w:ascii="Times New Roman" w:hAnsi="Times New Roman"/>
          <w:color w:val="auto"/>
          <w:lang w:val="en-US" w:eastAsia="zh-CN"/>
        </w:rPr>
        <w:t xml:space="preserve"> </w:t>
      </w:r>
      <w:r>
        <w:rPr>
          <w:rFonts w:ascii="Times New Roman" w:hAnsi="Times New Roman"/>
          <w:color w:val="auto"/>
        </w:rPr>
        <w:t>防排水</w:t>
      </w:r>
      <w:r>
        <w:rPr>
          <w:rFonts w:hint="eastAsia" w:ascii="Times New Roman" w:hAnsi="Times New Roman"/>
          <w:color w:val="auto"/>
          <w:lang w:val="en-US" w:eastAsia="zh-CN"/>
        </w:rPr>
        <w:t>与防灭火</w:t>
      </w:r>
      <w:r>
        <w:rPr>
          <w:rFonts w:ascii="Times New Roman" w:hAnsi="Times New Roman"/>
          <w:color w:val="auto"/>
        </w:rPr>
        <w:t>单元</w:t>
      </w:r>
      <w:bookmarkEnd w:id="284"/>
      <w:bookmarkEnd w:id="285"/>
      <w:bookmarkEnd w:id="286"/>
      <w:bookmarkEnd w:id="287"/>
    </w:p>
    <w:p w14:paraId="47A9DC26">
      <w:pPr>
        <w:bidi w:val="0"/>
        <w:rPr>
          <w:rFonts w:hint="eastAsia" w:ascii="Times New Roman" w:hAnsi="Times New Roman"/>
          <w:color w:val="auto"/>
          <w:lang w:eastAsia="zh-CN"/>
        </w:rPr>
      </w:pPr>
      <w:r>
        <w:rPr>
          <w:rFonts w:ascii="Times New Roman" w:hAnsi="Times New Roman"/>
          <w:color w:val="auto"/>
        </w:rPr>
        <w:t>（1）</w:t>
      </w:r>
      <w:r>
        <w:rPr>
          <w:rFonts w:hint="eastAsia" w:ascii="Times New Roman" w:hAnsi="Times New Roman"/>
          <w:color w:val="auto"/>
          <w:lang w:eastAsia="zh-CN"/>
        </w:rPr>
        <w:t>初步设计（代可研）</w:t>
      </w:r>
      <w:r>
        <w:rPr>
          <w:rFonts w:ascii="Times New Roman" w:hAnsi="Times New Roman"/>
          <w:color w:val="auto"/>
        </w:rPr>
        <w:t>中未对防护用品仓库等重要场所的防火规定和措施进行说明，下一步设计中应完善建立防火制度，备足消防器材的相关要求</w:t>
      </w:r>
      <w:r>
        <w:rPr>
          <w:rFonts w:hint="eastAsia" w:ascii="Times New Roman" w:hAnsi="Times New Roman"/>
          <w:color w:val="auto"/>
          <w:lang w:eastAsia="zh-CN"/>
        </w:rPr>
        <w:t>；</w:t>
      </w:r>
    </w:p>
    <w:p w14:paraId="3B60937F">
      <w:pPr>
        <w:bidi w:val="0"/>
        <w:rPr>
          <w:rFonts w:hint="eastAsia" w:ascii="Times New Roman" w:hAnsi="Times New Roman"/>
          <w:color w:val="auto"/>
          <w:lang w:eastAsia="zh-CN"/>
        </w:rPr>
      </w:pPr>
      <w:r>
        <w:rPr>
          <w:rFonts w:ascii="Times New Roman" w:hAnsi="Times New Roman"/>
          <w:color w:val="auto"/>
        </w:rPr>
        <w:t>（2）</w:t>
      </w:r>
      <w:r>
        <w:rPr>
          <w:rFonts w:hint="eastAsia" w:ascii="Times New Roman" w:hAnsi="Times New Roman"/>
          <w:color w:val="auto"/>
          <w:lang w:eastAsia="zh-CN"/>
        </w:rPr>
        <w:t>初步设计（代可研）</w:t>
      </w:r>
      <w:r>
        <w:rPr>
          <w:rFonts w:ascii="Times New Roman" w:hAnsi="Times New Roman"/>
          <w:color w:val="auto"/>
        </w:rPr>
        <w:t>中未对露天矿用设备配备灭火器情况进行说明，下一步设计中应完善</w:t>
      </w:r>
      <w:r>
        <w:rPr>
          <w:rFonts w:ascii="Times New Roman" w:hAnsi="Times New Roman"/>
          <w:color w:val="auto"/>
          <w:lang w:val="en-GB"/>
        </w:rPr>
        <w:t>重要采掘设备、</w:t>
      </w:r>
      <w:r>
        <w:rPr>
          <w:rFonts w:ascii="Times New Roman" w:hAnsi="Times New Roman"/>
          <w:color w:val="auto"/>
        </w:rPr>
        <w:t>配电室、生活办公区配备灭火器要求</w:t>
      </w:r>
      <w:r>
        <w:rPr>
          <w:rFonts w:hint="eastAsia" w:ascii="Times New Roman" w:hAnsi="Times New Roman"/>
          <w:color w:val="auto"/>
          <w:lang w:eastAsia="zh-CN"/>
        </w:rPr>
        <w:t>；</w:t>
      </w:r>
    </w:p>
    <w:p w14:paraId="63E25E8E">
      <w:pPr>
        <w:bidi w:val="0"/>
        <w:rPr>
          <w:rFonts w:hint="eastAsia" w:ascii="Times New Roman" w:hAnsi="Times New Roman"/>
          <w:color w:val="auto"/>
          <w:lang w:eastAsia="zh-CN"/>
        </w:rPr>
      </w:pPr>
      <w:r>
        <w:rPr>
          <w:rFonts w:ascii="Times New Roman" w:hAnsi="Times New Roman"/>
          <w:color w:val="auto"/>
        </w:rPr>
        <w:t>（3）矿山应完善采场防排水设施，特别是雨季，加强边坡监测和采场排水沟日常检查</w:t>
      </w:r>
      <w:r>
        <w:rPr>
          <w:rFonts w:hint="eastAsia" w:ascii="Times New Roman" w:hAnsi="Times New Roman"/>
          <w:color w:val="auto"/>
          <w:lang w:eastAsia="zh-CN"/>
        </w:rPr>
        <w:t>。</w:t>
      </w:r>
    </w:p>
    <w:p w14:paraId="59AAB56F">
      <w:pPr>
        <w:pStyle w:val="4"/>
        <w:bidi w:val="0"/>
        <w:rPr>
          <w:rFonts w:ascii="Times New Roman" w:hAnsi="Times New Roman"/>
          <w:color w:val="auto"/>
        </w:rPr>
      </w:pPr>
      <w:bookmarkStart w:id="288" w:name="_Toc448"/>
      <w:bookmarkStart w:id="289" w:name="_Toc18834"/>
      <w:bookmarkStart w:id="290" w:name="_Toc2927"/>
      <w:bookmarkStart w:id="291" w:name="_Toc22296"/>
      <w:r>
        <w:rPr>
          <w:rFonts w:ascii="Times New Roman" w:hAnsi="Times New Roman"/>
          <w:color w:val="auto"/>
        </w:rPr>
        <w:t>4.1.</w:t>
      </w:r>
      <w:r>
        <w:rPr>
          <w:rFonts w:hint="eastAsia" w:ascii="Times New Roman" w:hAnsi="Times New Roman"/>
          <w:color w:val="auto"/>
          <w:lang w:val="en-US" w:eastAsia="zh-CN"/>
        </w:rPr>
        <w:t xml:space="preserve">6 </w:t>
      </w:r>
      <w:r>
        <w:rPr>
          <w:rFonts w:ascii="Times New Roman" w:hAnsi="Times New Roman"/>
          <w:color w:val="auto"/>
        </w:rPr>
        <w:t>安全管理单元</w:t>
      </w:r>
      <w:bookmarkEnd w:id="288"/>
      <w:bookmarkEnd w:id="289"/>
      <w:bookmarkEnd w:id="290"/>
      <w:bookmarkEnd w:id="291"/>
    </w:p>
    <w:p w14:paraId="77E94879">
      <w:pPr>
        <w:bidi w:val="0"/>
        <w:rPr>
          <w:rFonts w:hint="eastAsia" w:ascii="Times New Roman" w:hAnsi="Times New Roman"/>
          <w:color w:val="auto"/>
          <w:lang w:eastAsia="zh-CN"/>
        </w:rPr>
      </w:pPr>
      <w:r>
        <w:rPr>
          <w:rFonts w:hint="eastAsia" w:ascii="Times New Roman" w:hAnsi="Times New Roman"/>
          <w:color w:val="auto"/>
        </w:rPr>
        <w:t>（1）建立安全生产管理机构，特种作业人员要取得特种作业资格证</w:t>
      </w:r>
      <w:r>
        <w:rPr>
          <w:rFonts w:hint="eastAsia" w:ascii="Times New Roman" w:hAnsi="Times New Roman"/>
          <w:color w:val="auto"/>
          <w:lang w:eastAsia="zh-CN"/>
        </w:rPr>
        <w:t>；</w:t>
      </w:r>
    </w:p>
    <w:p w14:paraId="3276BE34">
      <w:pPr>
        <w:bidi w:val="0"/>
        <w:rPr>
          <w:rFonts w:hint="eastAsia" w:ascii="Times New Roman" w:hAnsi="Times New Roman"/>
          <w:color w:val="auto"/>
          <w:lang w:eastAsia="zh-CN"/>
        </w:rPr>
      </w:pPr>
      <w:r>
        <w:rPr>
          <w:rFonts w:hint="eastAsia" w:ascii="Times New Roman" w:hAnsi="Times New Roman"/>
          <w:color w:val="auto"/>
        </w:rPr>
        <w:t>（2）企业应完善各安全责任制、安全管理制度、安全操作规程及相应的安全管理台帐</w:t>
      </w:r>
      <w:r>
        <w:rPr>
          <w:rFonts w:hint="eastAsia" w:ascii="Times New Roman" w:hAnsi="Times New Roman"/>
          <w:color w:val="auto"/>
          <w:lang w:eastAsia="zh-CN"/>
        </w:rPr>
        <w:t>；</w:t>
      </w:r>
    </w:p>
    <w:p w14:paraId="63CE6C69">
      <w:pPr>
        <w:bidi w:val="0"/>
        <w:rPr>
          <w:rFonts w:hint="eastAsia" w:ascii="Times New Roman" w:hAnsi="Times New Roman"/>
          <w:color w:val="auto"/>
          <w:lang w:eastAsia="zh-CN"/>
        </w:rPr>
      </w:pPr>
      <w:r>
        <w:rPr>
          <w:rFonts w:hint="eastAsia" w:ascii="Times New Roman" w:hAnsi="Times New Roman"/>
          <w:color w:val="auto"/>
        </w:rPr>
        <w:t>（3）矿山应按照矿安〔2022〕4号文和矿安综〔2025〕12号文内容，强化生产技术、调度、机电运输、地质测量、安全管理工作，矿长和负责技术、安全、生产、机电工作的副矿长，必须有主体专业大专以上学历且有10年以上矿山一线从业经历。配备负责生产技术、调度、机电运输、地质测量、安全管理工作职能部门的技术人员，上述职能部门的主要负责人必须为主体专业毕业且有5年以上矿山一线从业经历。</w:t>
      </w:r>
    </w:p>
    <w:p w14:paraId="5554BBFD">
      <w:pPr>
        <w:bidi w:val="0"/>
        <w:rPr>
          <w:rFonts w:hint="eastAsia" w:ascii="Times New Roman" w:hAnsi="Times New Roman" w:eastAsia="宋体"/>
          <w:color w:val="auto"/>
          <w:lang w:eastAsia="zh-CN"/>
        </w:rPr>
      </w:pPr>
      <w:r>
        <w:rPr>
          <w:rFonts w:hint="eastAsia" w:ascii="Times New Roman" w:hAnsi="Times New Roman"/>
          <w:color w:val="auto"/>
        </w:rPr>
        <w:t>（4）矿山应当配备注册安全工程师从事安全生产管理工作</w:t>
      </w:r>
      <w:r>
        <w:rPr>
          <w:rFonts w:hint="eastAsia" w:ascii="Times New Roman" w:hAnsi="Times New Roman"/>
          <w:color w:val="auto"/>
          <w:lang w:eastAsia="zh-CN"/>
        </w:rPr>
        <w:t>。</w:t>
      </w:r>
    </w:p>
    <w:p w14:paraId="4EB9577D">
      <w:pPr>
        <w:pStyle w:val="3"/>
        <w:bidi w:val="0"/>
        <w:rPr>
          <w:rFonts w:ascii="Times New Roman" w:hAnsi="Times New Roman"/>
          <w:color w:val="auto"/>
        </w:rPr>
      </w:pPr>
      <w:bookmarkStart w:id="292" w:name="_Toc23350"/>
      <w:bookmarkStart w:id="293" w:name="_Toc15439"/>
      <w:bookmarkStart w:id="294" w:name="_Toc17414"/>
      <w:bookmarkStart w:id="295" w:name="_Toc31723"/>
      <w:bookmarkStart w:id="296" w:name="_Toc19594"/>
      <w:bookmarkStart w:id="297" w:name="_Toc28714"/>
      <w:r>
        <w:rPr>
          <w:rFonts w:ascii="Times New Roman" w:hAnsi="Times New Roman"/>
          <w:color w:val="auto"/>
        </w:rPr>
        <w:t>4.2</w:t>
      </w:r>
      <w:r>
        <w:rPr>
          <w:rFonts w:hint="eastAsia" w:ascii="Times New Roman" w:hAnsi="Times New Roman"/>
          <w:color w:val="auto"/>
          <w:lang w:val="en-US" w:eastAsia="zh-CN"/>
        </w:rPr>
        <w:t xml:space="preserve"> </w:t>
      </w:r>
      <w:r>
        <w:rPr>
          <w:rFonts w:ascii="Times New Roman" w:hAnsi="Times New Roman"/>
          <w:color w:val="auto"/>
        </w:rPr>
        <w:t>其他对策措施及建议</w:t>
      </w:r>
      <w:bookmarkEnd w:id="292"/>
      <w:bookmarkEnd w:id="293"/>
      <w:bookmarkEnd w:id="294"/>
      <w:bookmarkEnd w:id="295"/>
      <w:bookmarkEnd w:id="296"/>
      <w:bookmarkEnd w:id="297"/>
    </w:p>
    <w:p w14:paraId="2D060F3C">
      <w:pPr>
        <w:bidi w:val="0"/>
        <w:rPr>
          <w:rFonts w:ascii="Times New Roman" w:hAnsi="Times New Roman"/>
          <w:color w:val="auto"/>
        </w:rPr>
      </w:pPr>
      <w:r>
        <w:rPr>
          <w:rFonts w:ascii="Times New Roman" w:hAnsi="Times New Roman"/>
          <w:color w:val="auto"/>
        </w:rPr>
        <w:t>（1）矿山应委托有相应资质的设计单位编制安全设施设计，施工及监理单位应由有相应资质的单位承担。</w:t>
      </w:r>
    </w:p>
    <w:p w14:paraId="1B7EB15C">
      <w:pPr>
        <w:bidi w:val="0"/>
        <w:rPr>
          <w:rFonts w:ascii="Times New Roman" w:hAnsi="Times New Roman"/>
          <w:color w:val="auto"/>
        </w:rPr>
      </w:pPr>
      <w:r>
        <w:rPr>
          <w:rFonts w:ascii="Times New Roman" w:hAnsi="Times New Roman"/>
          <w:color w:val="auto"/>
        </w:rPr>
        <w:t>（2）根据边坡失稳的影响因素分析，结合料场现有资料反映的工程及水文地质特征，建议加强可能对边坡稳定性产生影响地质等方面的研究；在生产过程中应对边坡参数进行详细确定，对边坡加固和维护作进一步说明和提出预防和控制措施系统，并根据生产实际情况调整边坡参数，以减少边坡失稳的可能性；对可能发生的坍塌、滚石影响及作业面人员、设备的安全条件采取安全可靠的措施。</w:t>
      </w:r>
    </w:p>
    <w:p w14:paraId="1CED6E15">
      <w:pPr>
        <w:bidi w:val="0"/>
        <w:rPr>
          <w:rFonts w:ascii="Times New Roman" w:hAnsi="Times New Roman"/>
          <w:color w:val="auto"/>
        </w:rPr>
      </w:pPr>
      <w:r>
        <w:rPr>
          <w:rFonts w:ascii="Times New Roman" w:hAnsi="Times New Roman"/>
          <w:color w:val="auto"/>
        </w:rPr>
        <w:t>（</w:t>
      </w:r>
      <w:r>
        <w:rPr>
          <w:rFonts w:hint="eastAsia" w:ascii="Times New Roman" w:hAnsi="Times New Roman"/>
          <w:color w:val="auto"/>
        </w:rPr>
        <w:t>3</w:t>
      </w:r>
      <w:r>
        <w:rPr>
          <w:rFonts w:ascii="Times New Roman" w:hAnsi="Times New Roman"/>
          <w:color w:val="auto"/>
        </w:rPr>
        <w:t>）汛期时应做好矿区的防汛工作，包括明确防汛安全生产责任制，建立应急预案，疏通矿区内外的排水沟，详细检查排洪系统的安全状况，配备足够物资，确保通讯、照明、道路、供电可靠和畅通等。</w:t>
      </w:r>
    </w:p>
    <w:p w14:paraId="6C32B4B5">
      <w:pPr>
        <w:bidi w:val="0"/>
        <w:rPr>
          <w:rFonts w:ascii="Times New Roman" w:hAnsi="Times New Roman"/>
          <w:color w:val="auto"/>
        </w:rPr>
      </w:pPr>
      <w:r>
        <w:rPr>
          <w:rFonts w:ascii="Times New Roman" w:hAnsi="Times New Roman"/>
          <w:color w:val="auto"/>
        </w:rPr>
        <w:t>（</w:t>
      </w:r>
      <w:r>
        <w:rPr>
          <w:rFonts w:hint="eastAsia" w:ascii="Times New Roman" w:hAnsi="Times New Roman"/>
          <w:color w:val="auto"/>
        </w:rPr>
        <w:t>4</w:t>
      </w:r>
      <w:r>
        <w:rPr>
          <w:rFonts w:ascii="Times New Roman" w:hAnsi="Times New Roman"/>
          <w:color w:val="auto"/>
        </w:rPr>
        <w:t>）凡禁止跨越、禁止通行、禁止烟火的场所均应设置红色禁止标志；凡易发生坠落、触电伤人、机械伤害、主要交通道口等处均应设置黄色警告标志；所设各类安全标志应牢固、醒目、易于识别，真正起到应有警示作用。</w:t>
      </w:r>
    </w:p>
    <w:p w14:paraId="7E14EBA0">
      <w:pPr>
        <w:bidi w:val="0"/>
        <w:rPr>
          <w:rFonts w:ascii="Times New Roman" w:hAnsi="Times New Roman"/>
          <w:color w:val="auto"/>
          <w:lang w:val="zh-CN"/>
        </w:rPr>
      </w:pPr>
      <w:r>
        <w:rPr>
          <w:rFonts w:ascii="Times New Roman" w:hAnsi="Times New Roman"/>
          <w:color w:val="auto"/>
        </w:rPr>
        <w:t>（</w:t>
      </w:r>
      <w:r>
        <w:rPr>
          <w:rFonts w:hint="eastAsia" w:ascii="Times New Roman" w:hAnsi="Times New Roman"/>
          <w:color w:val="auto"/>
        </w:rPr>
        <w:t>5</w:t>
      </w:r>
      <w:r>
        <w:rPr>
          <w:rFonts w:ascii="Times New Roman" w:hAnsi="Times New Roman"/>
          <w:color w:val="auto"/>
        </w:rPr>
        <w:t>）对员工进行操作技术培训和安全教育（安全教育中除包括思想、纪律、安全知识、消防器材使用、个体防护用品使用等内容外，还应包括事故紧急处理、抢救、报告方法的教育），既保证员工安全健康，又保证在紧急事故中能采取正确的处理方法，使事故损失降到最低</w:t>
      </w:r>
      <w:r>
        <w:rPr>
          <w:rFonts w:ascii="Times New Roman" w:hAnsi="Times New Roman"/>
          <w:color w:val="auto"/>
          <w:lang w:val="zh-CN"/>
        </w:rPr>
        <w:t>。</w:t>
      </w:r>
    </w:p>
    <w:p w14:paraId="6BFB292E">
      <w:pPr>
        <w:bidi w:val="0"/>
        <w:rPr>
          <w:rFonts w:ascii="Times New Roman" w:hAnsi="Times New Roman"/>
          <w:color w:val="auto"/>
        </w:rPr>
      </w:pPr>
      <w:r>
        <w:rPr>
          <w:rFonts w:ascii="Times New Roman" w:hAnsi="Times New Roman"/>
          <w:color w:val="auto"/>
          <w:lang w:val="zh-CN"/>
        </w:rPr>
        <w:t>（</w:t>
      </w:r>
      <w:r>
        <w:rPr>
          <w:rFonts w:ascii="Times New Roman" w:hAnsi="Times New Roman"/>
          <w:color w:val="auto"/>
        </w:rPr>
        <w:t>6</w:t>
      </w:r>
      <w:r>
        <w:rPr>
          <w:rFonts w:ascii="Times New Roman" w:hAnsi="Times New Roman"/>
          <w:color w:val="auto"/>
          <w:lang w:val="zh-CN"/>
        </w:rPr>
        <w:t>）</w:t>
      </w:r>
      <w:r>
        <w:rPr>
          <w:rFonts w:ascii="Times New Roman" w:hAnsi="Times New Roman"/>
          <w:color w:val="auto"/>
        </w:rPr>
        <w:t>矿山应当建立安全风险分级管控制度，按照安全风险分级采取相应的管控措施</w:t>
      </w:r>
      <w:r>
        <w:rPr>
          <w:rFonts w:ascii="Times New Roman" w:hAnsi="Times New Roman"/>
          <w:color w:val="auto"/>
          <w:szCs w:val="28"/>
        </w:rPr>
        <w:t>。</w:t>
      </w:r>
    </w:p>
    <w:p w14:paraId="747A6A79">
      <w:pPr>
        <w:bidi w:val="0"/>
        <w:rPr>
          <w:color w:val="auto"/>
        </w:rPr>
      </w:pPr>
      <w:r>
        <w:rPr>
          <w:rFonts w:hint="eastAsia"/>
          <w:color w:val="auto"/>
          <w:lang w:eastAsia="zh-CN"/>
        </w:rPr>
        <w:t>（</w:t>
      </w:r>
      <w:r>
        <w:rPr>
          <w:rFonts w:hint="eastAsia"/>
          <w:color w:val="auto"/>
          <w:lang w:val="en-US" w:eastAsia="zh-CN"/>
        </w:rPr>
        <w:t>7</w:t>
      </w:r>
      <w:r>
        <w:rPr>
          <w:rFonts w:hint="eastAsia"/>
          <w:color w:val="auto"/>
          <w:lang w:eastAsia="zh-CN"/>
        </w:rPr>
        <w:t>）</w:t>
      </w:r>
      <w:r>
        <w:rPr>
          <w:rFonts w:hint="eastAsia"/>
          <w:color w:val="auto"/>
          <w:lang w:val="en-US" w:eastAsia="zh-CN"/>
        </w:rPr>
        <w:t>矿山应</w:t>
      </w:r>
      <w:r>
        <w:rPr>
          <w:rFonts w:hint="eastAsia"/>
          <w:color w:val="auto"/>
        </w:rPr>
        <w:t>定期进行边坡稳定分析</w:t>
      </w:r>
      <w:r>
        <w:rPr>
          <w:rFonts w:hint="eastAsia"/>
          <w:color w:val="auto"/>
          <w:lang w:eastAsia="zh-CN"/>
        </w:rPr>
        <w:t>。</w:t>
      </w:r>
    </w:p>
    <w:p w14:paraId="68294E52">
      <w:pPr>
        <w:bidi w:val="0"/>
        <w:rPr>
          <w:rFonts w:hint="eastAsia"/>
          <w:color w:val="auto"/>
          <w:lang w:val="en-US" w:eastAsia="zh-CN"/>
        </w:rPr>
      </w:pPr>
      <w:r>
        <w:rPr>
          <w:rFonts w:hint="eastAsia"/>
          <w:color w:val="auto"/>
          <w:lang w:eastAsia="zh-CN"/>
        </w:rPr>
        <w:t>（</w:t>
      </w:r>
      <w:r>
        <w:rPr>
          <w:rFonts w:hint="eastAsia"/>
          <w:color w:val="auto"/>
          <w:lang w:val="en-US" w:eastAsia="zh-CN"/>
        </w:rPr>
        <w:t>8</w:t>
      </w:r>
      <w:r>
        <w:rPr>
          <w:rFonts w:hint="eastAsia"/>
          <w:color w:val="auto"/>
          <w:lang w:eastAsia="zh-CN"/>
        </w:rPr>
        <w:t>）企业应查明对非煤矿山安全生产存在影响的相关隐蔽致灾因素，分析和评估其危险性，采取有效措施进行治理。</w:t>
      </w:r>
    </w:p>
    <w:p w14:paraId="27A69056">
      <w:pPr>
        <w:rPr>
          <w:rFonts w:ascii="Times New Roman" w:hAnsi="Times New Roman"/>
          <w:color w:val="auto"/>
          <w:szCs w:val="28"/>
        </w:rPr>
      </w:pPr>
      <w:r>
        <w:rPr>
          <w:rFonts w:ascii="Times New Roman" w:hAnsi="Times New Roman"/>
          <w:color w:val="auto"/>
          <w:szCs w:val="28"/>
        </w:rPr>
        <w:br w:type="page"/>
      </w:r>
    </w:p>
    <w:p w14:paraId="27AEB868">
      <w:pPr>
        <w:pStyle w:val="2"/>
        <w:bidi w:val="0"/>
        <w:rPr>
          <w:rFonts w:ascii="Times New Roman" w:hAnsi="Times New Roman"/>
          <w:color w:val="auto"/>
        </w:rPr>
      </w:pPr>
      <w:bookmarkStart w:id="298" w:name="_Toc4221"/>
      <w:bookmarkStart w:id="299" w:name="_Toc18466"/>
      <w:bookmarkStart w:id="300" w:name="_Toc32414"/>
      <w:bookmarkStart w:id="301" w:name="_Toc1082"/>
      <w:bookmarkStart w:id="302" w:name="_Toc11664"/>
      <w:bookmarkStart w:id="303" w:name="_Toc26675"/>
      <w:r>
        <w:rPr>
          <w:rFonts w:hint="eastAsia" w:ascii="Times New Roman" w:hAnsi="Times New Roman"/>
          <w:color w:val="auto"/>
          <w:lang w:val="en-US" w:eastAsia="zh-CN"/>
        </w:rPr>
        <w:t xml:space="preserve">5 </w:t>
      </w:r>
      <w:r>
        <w:rPr>
          <w:rFonts w:ascii="Times New Roman" w:hAnsi="Times New Roman"/>
          <w:color w:val="auto"/>
        </w:rPr>
        <w:t>评价结论</w:t>
      </w:r>
      <w:bookmarkEnd w:id="298"/>
      <w:bookmarkEnd w:id="299"/>
      <w:bookmarkEnd w:id="300"/>
      <w:bookmarkEnd w:id="301"/>
      <w:bookmarkEnd w:id="302"/>
      <w:bookmarkEnd w:id="303"/>
    </w:p>
    <w:p w14:paraId="75AB91EE">
      <w:pPr>
        <w:pStyle w:val="3"/>
        <w:bidi w:val="0"/>
        <w:rPr>
          <w:rFonts w:ascii="Times New Roman" w:hAnsi="Times New Roman"/>
          <w:color w:val="auto"/>
        </w:rPr>
      </w:pPr>
      <w:bookmarkStart w:id="304" w:name="_Toc26992"/>
      <w:bookmarkStart w:id="305" w:name="_Toc115120692"/>
      <w:bookmarkStart w:id="306" w:name="_Toc115141969"/>
      <w:bookmarkStart w:id="307" w:name="_Toc11917"/>
      <w:bookmarkStart w:id="308" w:name="_Toc115120298"/>
      <w:bookmarkStart w:id="309" w:name="_Toc226963213"/>
      <w:bookmarkStart w:id="310" w:name="_Toc242849825"/>
      <w:bookmarkStart w:id="311" w:name="_Toc28824"/>
      <w:bookmarkStart w:id="312" w:name="_Toc29239"/>
      <w:bookmarkStart w:id="313" w:name="_Toc17859"/>
      <w:bookmarkStart w:id="314" w:name="_Toc1301"/>
      <w:r>
        <w:rPr>
          <w:rFonts w:ascii="Times New Roman" w:hAnsi="Times New Roman"/>
          <w:color w:val="auto"/>
        </w:rPr>
        <w:t>5.1</w:t>
      </w:r>
      <w:r>
        <w:rPr>
          <w:rFonts w:hint="eastAsia" w:ascii="Times New Roman" w:hAnsi="Times New Roman"/>
          <w:color w:val="auto"/>
          <w:lang w:val="en-US" w:eastAsia="zh-CN"/>
        </w:rPr>
        <w:t xml:space="preserve"> </w:t>
      </w:r>
      <w:r>
        <w:rPr>
          <w:rFonts w:ascii="Times New Roman" w:hAnsi="Times New Roman"/>
          <w:color w:val="auto"/>
        </w:rPr>
        <w:t>主要危险、有害因素评价结果</w:t>
      </w:r>
      <w:bookmarkEnd w:id="304"/>
      <w:bookmarkEnd w:id="305"/>
      <w:bookmarkEnd w:id="306"/>
      <w:bookmarkEnd w:id="307"/>
      <w:bookmarkEnd w:id="308"/>
      <w:bookmarkEnd w:id="309"/>
      <w:bookmarkEnd w:id="310"/>
      <w:bookmarkEnd w:id="311"/>
      <w:bookmarkEnd w:id="312"/>
      <w:bookmarkEnd w:id="313"/>
      <w:bookmarkEnd w:id="314"/>
    </w:p>
    <w:p w14:paraId="065547A7">
      <w:pPr>
        <w:pStyle w:val="4"/>
        <w:bidi w:val="0"/>
        <w:rPr>
          <w:rFonts w:ascii="Times New Roman" w:hAnsi="Times New Roman"/>
          <w:color w:val="auto"/>
        </w:rPr>
      </w:pPr>
      <w:bookmarkStart w:id="315" w:name="_Toc954"/>
      <w:bookmarkStart w:id="316" w:name="_Toc4731"/>
      <w:bookmarkStart w:id="317" w:name="_Toc27346"/>
      <w:bookmarkStart w:id="318" w:name="_Toc242849826"/>
      <w:bookmarkStart w:id="319" w:name="_Toc115120693"/>
      <w:bookmarkStart w:id="320" w:name="_Toc10043"/>
      <w:bookmarkStart w:id="321" w:name="_Toc115120299"/>
      <w:bookmarkStart w:id="322" w:name="_Toc226963214"/>
      <w:bookmarkStart w:id="323" w:name="_Toc115141970"/>
      <w:r>
        <w:rPr>
          <w:rFonts w:ascii="Times New Roman" w:hAnsi="Times New Roman"/>
          <w:color w:val="auto"/>
        </w:rPr>
        <w:t>5.1.1</w:t>
      </w:r>
      <w:r>
        <w:rPr>
          <w:rFonts w:hint="eastAsia" w:ascii="Times New Roman" w:hAnsi="Times New Roman"/>
          <w:color w:val="auto"/>
          <w:lang w:val="en-US" w:eastAsia="zh-CN"/>
        </w:rPr>
        <w:t xml:space="preserve"> </w:t>
      </w:r>
      <w:r>
        <w:rPr>
          <w:rFonts w:ascii="Times New Roman" w:hAnsi="Times New Roman"/>
          <w:color w:val="auto"/>
        </w:rPr>
        <w:t>该项目存在的主要危险、有害因素</w:t>
      </w:r>
      <w:bookmarkEnd w:id="315"/>
      <w:bookmarkEnd w:id="316"/>
      <w:bookmarkEnd w:id="317"/>
      <w:bookmarkEnd w:id="318"/>
      <w:bookmarkEnd w:id="319"/>
      <w:bookmarkEnd w:id="320"/>
      <w:bookmarkEnd w:id="321"/>
      <w:bookmarkEnd w:id="322"/>
      <w:bookmarkEnd w:id="323"/>
    </w:p>
    <w:p w14:paraId="1AD92ACB">
      <w:pPr>
        <w:bidi w:val="0"/>
        <w:rPr>
          <w:rFonts w:ascii="Times New Roman" w:hAnsi="Times New Roman"/>
          <w:color w:val="auto"/>
        </w:rPr>
      </w:pPr>
      <w:r>
        <w:rPr>
          <w:rFonts w:ascii="Times New Roman" w:hAnsi="Times New Roman"/>
          <w:color w:val="auto"/>
        </w:rPr>
        <w:t>该项目存在的主要危险、有害因素为：</w:t>
      </w:r>
      <w:r>
        <w:rPr>
          <w:rFonts w:ascii="Times New Roman" w:hAnsi="Times New Roman"/>
          <w:color w:val="auto"/>
          <w:lang w:val="en-GB"/>
        </w:rPr>
        <w:t>坍塌、滑坡、滚石、泥石流、高处坠落、物体打击、机械伤害、车辆伤害、触电、火灾、容器爆炸、爆破伤害、粉尘、其它伤害等</w:t>
      </w:r>
      <w:r>
        <w:rPr>
          <w:rFonts w:ascii="Times New Roman" w:hAnsi="Times New Roman"/>
          <w:color w:val="auto"/>
        </w:rPr>
        <w:t>。</w:t>
      </w:r>
    </w:p>
    <w:p w14:paraId="5279DCF8">
      <w:pPr>
        <w:pStyle w:val="4"/>
        <w:bidi w:val="0"/>
        <w:rPr>
          <w:rFonts w:ascii="Times New Roman" w:hAnsi="Times New Roman"/>
          <w:color w:val="auto"/>
        </w:rPr>
      </w:pPr>
      <w:bookmarkStart w:id="324" w:name="_Toc115120694"/>
      <w:bookmarkStart w:id="325" w:name="_Toc226963215"/>
      <w:bookmarkStart w:id="326" w:name="_Toc21516"/>
      <w:bookmarkStart w:id="327" w:name="_Toc115141971"/>
      <w:bookmarkStart w:id="328" w:name="_Toc24302"/>
      <w:bookmarkStart w:id="329" w:name="_Toc18959"/>
      <w:bookmarkStart w:id="330" w:name="_Toc242849827"/>
      <w:bookmarkStart w:id="331" w:name="_Toc115120300"/>
      <w:bookmarkStart w:id="332" w:name="_Toc22094"/>
      <w:r>
        <w:rPr>
          <w:rFonts w:ascii="Times New Roman" w:hAnsi="Times New Roman"/>
          <w:color w:val="auto"/>
        </w:rPr>
        <w:t>5.1.2</w:t>
      </w:r>
      <w:r>
        <w:rPr>
          <w:rFonts w:hint="eastAsia" w:ascii="Times New Roman" w:hAnsi="Times New Roman"/>
          <w:color w:val="auto"/>
          <w:lang w:val="en-US" w:eastAsia="zh-CN"/>
        </w:rPr>
        <w:t xml:space="preserve"> </w:t>
      </w:r>
      <w:r>
        <w:rPr>
          <w:rFonts w:ascii="Times New Roman" w:hAnsi="Times New Roman"/>
          <w:color w:val="auto"/>
        </w:rPr>
        <w:t>该项目存在的主要危险、有害因素存在的部位</w:t>
      </w:r>
      <w:bookmarkEnd w:id="324"/>
      <w:bookmarkEnd w:id="325"/>
      <w:bookmarkEnd w:id="326"/>
      <w:bookmarkEnd w:id="327"/>
      <w:bookmarkEnd w:id="328"/>
      <w:bookmarkEnd w:id="329"/>
      <w:bookmarkEnd w:id="330"/>
      <w:bookmarkEnd w:id="331"/>
      <w:bookmarkEnd w:id="332"/>
    </w:p>
    <w:p w14:paraId="216988DC">
      <w:pPr>
        <w:pStyle w:val="16"/>
        <w:bidi w:val="0"/>
        <w:rPr>
          <w:rFonts w:ascii="Times New Roman" w:hAnsi="Times New Roman"/>
          <w:bCs/>
          <w:color w:val="auto"/>
          <w:kern w:val="0"/>
          <w:szCs w:val="21"/>
        </w:rPr>
      </w:pPr>
      <w:r>
        <w:rPr>
          <w:rFonts w:ascii="Times New Roman" w:hAnsi="Times New Roman"/>
          <w:bCs/>
          <w:color w:val="auto"/>
          <w:kern w:val="0"/>
          <w:szCs w:val="21"/>
          <w:lang w:eastAsia="zh-TW"/>
        </w:rPr>
        <w:t>表</w:t>
      </w:r>
      <w:r>
        <w:rPr>
          <w:rFonts w:ascii="Times New Roman" w:hAnsi="Times New Roman"/>
          <w:bCs/>
          <w:color w:val="auto"/>
          <w:kern w:val="0"/>
          <w:szCs w:val="21"/>
        </w:rPr>
        <w:t>5.1</w:t>
      </w:r>
      <w:r>
        <w:rPr>
          <w:rFonts w:ascii="Times New Roman" w:hAnsi="Times New Roman"/>
          <w:bCs/>
          <w:color w:val="auto"/>
          <w:kern w:val="0"/>
          <w:szCs w:val="21"/>
          <w:lang w:eastAsia="zh-TW"/>
        </w:rPr>
        <w:t xml:space="preserve">-1 </w:t>
      </w:r>
      <w:r>
        <w:rPr>
          <w:rFonts w:ascii="Times New Roman" w:hAnsi="Times New Roman"/>
          <w:bCs/>
          <w:color w:val="auto"/>
          <w:kern w:val="0"/>
          <w:szCs w:val="21"/>
        </w:rPr>
        <w:t xml:space="preserve"> </w:t>
      </w:r>
      <w:r>
        <w:rPr>
          <w:rFonts w:ascii="Times New Roman" w:hAnsi="Times New Roman"/>
          <w:bCs/>
          <w:color w:val="auto"/>
          <w:kern w:val="0"/>
          <w:szCs w:val="21"/>
          <w:lang w:eastAsia="zh-TW"/>
        </w:rPr>
        <w:t>矿山</w:t>
      </w:r>
      <w:r>
        <w:rPr>
          <w:rFonts w:ascii="Times New Roman" w:hAnsi="Times New Roman"/>
          <w:bCs/>
          <w:color w:val="auto"/>
          <w:kern w:val="0"/>
          <w:szCs w:val="21"/>
        </w:rPr>
        <w:t>主要</w:t>
      </w:r>
      <w:r>
        <w:rPr>
          <w:rFonts w:ascii="Times New Roman" w:hAnsi="Times New Roman"/>
          <w:bCs/>
          <w:color w:val="auto"/>
          <w:kern w:val="0"/>
          <w:szCs w:val="21"/>
          <w:lang w:eastAsia="zh-TW"/>
        </w:rPr>
        <w:t>存在</w:t>
      </w:r>
      <w:r>
        <w:rPr>
          <w:rFonts w:ascii="Times New Roman" w:hAnsi="Times New Roman"/>
          <w:bCs/>
          <w:color w:val="auto"/>
          <w:kern w:val="0"/>
          <w:szCs w:val="21"/>
        </w:rPr>
        <w:t>的</w:t>
      </w:r>
      <w:r>
        <w:rPr>
          <w:rFonts w:ascii="Times New Roman" w:hAnsi="Times New Roman"/>
          <w:bCs/>
          <w:color w:val="auto"/>
          <w:kern w:val="0"/>
          <w:szCs w:val="21"/>
          <w:lang w:eastAsia="zh-TW"/>
        </w:rPr>
        <w:t>危险</w:t>
      </w:r>
      <w:r>
        <w:rPr>
          <w:rFonts w:ascii="Times New Roman" w:hAnsi="Times New Roman"/>
          <w:bCs/>
          <w:color w:val="auto"/>
          <w:kern w:val="0"/>
          <w:szCs w:val="21"/>
        </w:rPr>
        <w:t>、</w:t>
      </w:r>
      <w:r>
        <w:rPr>
          <w:rFonts w:ascii="Times New Roman" w:hAnsi="Times New Roman"/>
          <w:bCs/>
          <w:color w:val="auto"/>
          <w:kern w:val="0"/>
          <w:szCs w:val="21"/>
          <w:lang w:eastAsia="zh-TW"/>
        </w:rPr>
        <w:t>有害因素分布表</w:t>
      </w:r>
    </w:p>
    <w:tbl>
      <w:tblPr>
        <w:tblStyle w:val="12"/>
        <w:tblW w:w="4995"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739"/>
        <w:gridCol w:w="2720"/>
        <w:gridCol w:w="3037"/>
        <w:gridCol w:w="2163"/>
      </w:tblGrid>
      <w:tr w14:paraId="1677AE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90" w:type="pct"/>
            <w:tcBorders>
              <w:left w:val="single" w:color="auto" w:sz="4" w:space="0"/>
            </w:tcBorders>
            <w:noWrap w:val="0"/>
            <w:vAlign w:val="center"/>
          </w:tcPr>
          <w:p w14:paraId="64AE558E">
            <w:pPr>
              <w:pStyle w:val="17"/>
              <w:bidi w:val="0"/>
              <w:rPr>
                <w:rFonts w:ascii="Times New Roman" w:hAnsi="Times New Roman"/>
                <w:b/>
                <w:bCs/>
                <w:color w:val="auto"/>
              </w:rPr>
            </w:pPr>
            <w:bookmarkStart w:id="333" w:name="_Toc242849828"/>
            <w:bookmarkStart w:id="334" w:name="_Toc115120695"/>
            <w:bookmarkStart w:id="335" w:name="_Toc115141972"/>
            <w:bookmarkStart w:id="336" w:name="_Toc226963216"/>
            <w:bookmarkStart w:id="337" w:name="_Toc115120301"/>
            <w:r>
              <w:rPr>
                <w:rFonts w:ascii="Times New Roman" w:hAnsi="Times New Roman"/>
                <w:b/>
                <w:bCs/>
                <w:color w:val="auto"/>
              </w:rPr>
              <w:t>项目</w:t>
            </w:r>
          </w:p>
        </w:tc>
        <w:tc>
          <w:tcPr>
            <w:tcW w:w="393" w:type="pct"/>
            <w:noWrap w:val="0"/>
            <w:vAlign w:val="center"/>
          </w:tcPr>
          <w:p w14:paraId="20A63B78">
            <w:pPr>
              <w:pStyle w:val="17"/>
              <w:bidi w:val="0"/>
              <w:rPr>
                <w:rFonts w:ascii="Times New Roman" w:hAnsi="Times New Roman"/>
                <w:b/>
                <w:bCs/>
                <w:color w:val="auto"/>
              </w:rPr>
            </w:pPr>
            <w:r>
              <w:rPr>
                <w:rFonts w:ascii="Times New Roman" w:hAnsi="Times New Roman"/>
                <w:b/>
                <w:bCs/>
                <w:color w:val="auto"/>
              </w:rPr>
              <w:t>序号</w:t>
            </w:r>
          </w:p>
        </w:tc>
        <w:tc>
          <w:tcPr>
            <w:tcW w:w="1447" w:type="pct"/>
            <w:noWrap w:val="0"/>
            <w:vAlign w:val="center"/>
          </w:tcPr>
          <w:p w14:paraId="0E091208">
            <w:pPr>
              <w:pStyle w:val="17"/>
              <w:bidi w:val="0"/>
              <w:rPr>
                <w:rFonts w:ascii="Times New Roman" w:hAnsi="Times New Roman"/>
                <w:b/>
                <w:bCs/>
                <w:color w:val="auto"/>
              </w:rPr>
            </w:pPr>
            <w:r>
              <w:rPr>
                <w:rFonts w:ascii="Times New Roman" w:hAnsi="Times New Roman"/>
                <w:b/>
                <w:bCs/>
                <w:color w:val="auto"/>
              </w:rPr>
              <w:t>危险因素分类</w:t>
            </w:r>
          </w:p>
        </w:tc>
        <w:tc>
          <w:tcPr>
            <w:tcW w:w="1616" w:type="pct"/>
            <w:tcBorders>
              <w:right w:val="single" w:color="auto" w:sz="4" w:space="0"/>
            </w:tcBorders>
            <w:noWrap w:val="0"/>
            <w:vAlign w:val="center"/>
          </w:tcPr>
          <w:p w14:paraId="2485A3AD">
            <w:pPr>
              <w:pStyle w:val="17"/>
              <w:bidi w:val="0"/>
              <w:rPr>
                <w:rFonts w:ascii="Times New Roman" w:hAnsi="Times New Roman"/>
                <w:b/>
                <w:bCs/>
                <w:color w:val="auto"/>
              </w:rPr>
            </w:pPr>
            <w:r>
              <w:rPr>
                <w:rFonts w:ascii="Times New Roman" w:hAnsi="Times New Roman"/>
                <w:b/>
                <w:bCs/>
                <w:color w:val="auto"/>
              </w:rPr>
              <w:t>可能存在部位</w:t>
            </w:r>
          </w:p>
        </w:tc>
        <w:tc>
          <w:tcPr>
            <w:tcW w:w="1151" w:type="pct"/>
            <w:tcBorders>
              <w:right w:val="single" w:color="auto" w:sz="4" w:space="0"/>
            </w:tcBorders>
            <w:noWrap w:val="0"/>
            <w:vAlign w:val="center"/>
          </w:tcPr>
          <w:p w14:paraId="5483A6EE">
            <w:pPr>
              <w:pStyle w:val="17"/>
              <w:bidi w:val="0"/>
              <w:rPr>
                <w:rFonts w:ascii="Times New Roman" w:hAnsi="Times New Roman"/>
                <w:b/>
                <w:bCs/>
                <w:color w:val="auto"/>
              </w:rPr>
            </w:pPr>
            <w:r>
              <w:rPr>
                <w:rFonts w:ascii="Times New Roman" w:hAnsi="Times New Roman"/>
                <w:b/>
                <w:bCs/>
                <w:color w:val="auto"/>
              </w:rPr>
              <w:t>可能造成的后果</w:t>
            </w:r>
          </w:p>
        </w:tc>
      </w:tr>
      <w:tr w14:paraId="6A3FC7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restart"/>
            <w:tcBorders>
              <w:left w:val="single" w:color="auto" w:sz="4" w:space="0"/>
            </w:tcBorders>
            <w:noWrap w:val="0"/>
            <w:vAlign w:val="center"/>
          </w:tcPr>
          <w:p w14:paraId="4949617A">
            <w:pPr>
              <w:pStyle w:val="17"/>
              <w:bidi w:val="0"/>
              <w:rPr>
                <w:rFonts w:ascii="Times New Roman" w:hAnsi="Times New Roman"/>
                <w:color w:val="auto"/>
              </w:rPr>
            </w:pPr>
            <w:r>
              <w:rPr>
                <w:rFonts w:ascii="Times New Roman" w:hAnsi="Times New Roman"/>
                <w:color w:val="auto"/>
              </w:rPr>
              <w:t>危险因素</w:t>
            </w:r>
          </w:p>
        </w:tc>
        <w:tc>
          <w:tcPr>
            <w:tcW w:w="393" w:type="pct"/>
            <w:noWrap w:val="0"/>
            <w:vAlign w:val="center"/>
          </w:tcPr>
          <w:p w14:paraId="61717B18">
            <w:pPr>
              <w:pStyle w:val="17"/>
              <w:bidi w:val="0"/>
              <w:rPr>
                <w:rFonts w:ascii="Times New Roman" w:hAnsi="Times New Roman"/>
                <w:color w:val="auto"/>
              </w:rPr>
            </w:pPr>
            <w:r>
              <w:rPr>
                <w:rFonts w:ascii="Times New Roman" w:hAnsi="Times New Roman"/>
                <w:color w:val="auto"/>
              </w:rPr>
              <w:t>1</w:t>
            </w:r>
          </w:p>
        </w:tc>
        <w:tc>
          <w:tcPr>
            <w:tcW w:w="1447" w:type="pct"/>
            <w:noWrap w:val="0"/>
            <w:vAlign w:val="center"/>
          </w:tcPr>
          <w:p w14:paraId="34054B00">
            <w:pPr>
              <w:pStyle w:val="17"/>
              <w:bidi w:val="0"/>
              <w:rPr>
                <w:rFonts w:ascii="Times New Roman" w:hAnsi="Times New Roman"/>
                <w:color w:val="auto"/>
              </w:rPr>
            </w:pPr>
            <w:r>
              <w:rPr>
                <w:rFonts w:ascii="Times New Roman" w:hAnsi="Times New Roman"/>
                <w:color w:val="auto"/>
              </w:rPr>
              <w:t>滚石、边坡失稳、滑坡、泥石流</w:t>
            </w:r>
          </w:p>
        </w:tc>
        <w:tc>
          <w:tcPr>
            <w:tcW w:w="1616" w:type="pct"/>
            <w:tcBorders>
              <w:right w:val="single" w:color="auto" w:sz="4" w:space="0"/>
            </w:tcBorders>
            <w:noWrap w:val="0"/>
            <w:vAlign w:val="center"/>
          </w:tcPr>
          <w:p w14:paraId="7F5BC7BA">
            <w:pPr>
              <w:pStyle w:val="17"/>
              <w:bidi w:val="0"/>
              <w:rPr>
                <w:rFonts w:ascii="Times New Roman" w:hAnsi="Times New Roman"/>
                <w:color w:val="auto"/>
              </w:rPr>
            </w:pPr>
            <w:r>
              <w:rPr>
                <w:rFonts w:ascii="Times New Roman" w:hAnsi="Times New Roman"/>
                <w:color w:val="auto"/>
              </w:rPr>
              <w:t>采场边坡</w:t>
            </w:r>
          </w:p>
        </w:tc>
        <w:tc>
          <w:tcPr>
            <w:tcW w:w="1151" w:type="pct"/>
            <w:tcBorders>
              <w:right w:val="single" w:color="auto" w:sz="4" w:space="0"/>
            </w:tcBorders>
            <w:noWrap w:val="0"/>
            <w:vAlign w:val="center"/>
          </w:tcPr>
          <w:p w14:paraId="4B9242FD">
            <w:pPr>
              <w:pStyle w:val="17"/>
              <w:bidi w:val="0"/>
              <w:rPr>
                <w:rFonts w:ascii="Times New Roman" w:hAnsi="Times New Roman"/>
                <w:color w:val="auto"/>
              </w:rPr>
            </w:pPr>
            <w:r>
              <w:rPr>
                <w:rFonts w:ascii="Times New Roman" w:hAnsi="Times New Roman"/>
                <w:color w:val="auto"/>
              </w:rPr>
              <w:t>人员伤亡</w:t>
            </w:r>
          </w:p>
        </w:tc>
      </w:tr>
      <w:tr w14:paraId="6019BB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62D1AB74">
            <w:pPr>
              <w:pStyle w:val="17"/>
              <w:bidi w:val="0"/>
              <w:rPr>
                <w:rFonts w:ascii="Times New Roman" w:hAnsi="Times New Roman"/>
                <w:color w:val="auto"/>
              </w:rPr>
            </w:pPr>
          </w:p>
        </w:tc>
        <w:tc>
          <w:tcPr>
            <w:tcW w:w="393" w:type="pct"/>
            <w:noWrap w:val="0"/>
            <w:vAlign w:val="center"/>
          </w:tcPr>
          <w:p w14:paraId="16BF221A">
            <w:pPr>
              <w:pStyle w:val="17"/>
              <w:bidi w:val="0"/>
              <w:rPr>
                <w:rFonts w:ascii="Times New Roman" w:hAnsi="Times New Roman"/>
                <w:color w:val="auto"/>
              </w:rPr>
            </w:pPr>
            <w:r>
              <w:rPr>
                <w:rFonts w:ascii="Times New Roman" w:hAnsi="Times New Roman"/>
                <w:color w:val="auto"/>
              </w:rPr>
              <w:t>2</w:t>
            </w:r>
          </w:p>
        </w:tc>
        <w:tc>
          <w:tcPr>
            <w:tcW w:w="1447" w:type="pct"/>
            <w:noWrap w:val="0"/>
            <w:vAlign w:val="center"/>
          </w:tcPr>
          <w:p w14:paraId="283ED36F">
            <w:pPr>
              <w:pStyle w:val="17"/>
              <w:bidi w:val="0"/>
              <w:rPr>
                <w:rFonts w:ascii="Times New Roman" w:hAnsi="Times New Roman"/>
                <w:color w:val="auto"/>
              </w:rPr>
            </w:pPr>
            <w:r>
              <w:rPr>
                <w:rFonts w:ascii="Times New Roman" w:hAnsi="Times New Roman"/>
                <w:color w:val="auto"/>
              </w:rPr>
              <w:t>爆破伤害</w:t>
            </w:r>
          </w:p>
        </w:tc>
        <w:tc>
          <w:tcPr>
            <w:tcW w:w="1616" w:type="pct"/>
            <w:tcBorders>
              <w:right w:val="single" w:color="auto" w:sz="4" w:space="0"/>
            </w:tcBorders>
            <w:noWrap w:val="0"/>
            <w:vAlign w:val="center"/>
          </w:tcPr>
          <w:p w14:paraId="4B0652B9">
            <w:pPr>
              <w:pStyle w:val="17"/>
              <w:bidi w:val="0"/>
              <w:rPr>
                <w:rFonts w:ascii="Times New Roman" w:hAnsi="Times New Roman"/>
                <w:color w:val="auto"/>
              </w:rPr>
            </w:pPr>
            <w:r>
              <w:rPr>
                <w:rFonts w:ascii="Times New Roman" w:hAnsi="Times New Roman"/>
                <w:color w:val="auto"/>
              </w:rPr>
              <w:t>爆破器材运输、使用、销毁过程、采场穿孔爆破作业</w:t>
            </w:r>
          </w:p>
        </w:tc>
        <w:tc>
          <w:tcPr>
            <w:tcW w:w="1151" w:type="pct"/>
            <w:tcBorders>
              <w:right w:val="single" w:color="auto" w:sz="4" w:space="0"/>
            </w:tcBorders>
            <w:noWrap w:val="0"/>
            <w:vAlign w:val="center"/>
          </w:tcPr>
          <w:p w14:paraId="11A125F3">
            <w:pPr>
              <w:pStyle w:val="17"/>
              <w:bidi w:val="0"/>
              <w:rPr>
                <w:rFonts w:ascii="Times New Roman" w:hAnsi="Times New Roman"/>
                <w:color w:val="auto"/>
              </w:rPr>
            </w:pPr>
            <w:r>
              <w:rPr>
                <w:rFonts w:ascii="Times New Roman" w:hAnsi="Times New Roman"/>
                <w:color w:val="auto"/>
              </w:rPr>
              <w:t>人员伤亡</w:t>
            </w:r>
          </w:p>
        </w:tc>
      </w:tr>
      <w:tr w14:paraId="4967DB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748D0902">
            <w:pPr>
              <w:pStyle w:val="17"/>
              <w:bidi w:val="0"/>
              <w:rPr>
                <w:rFonts w:ascii="Times New Roman" w:hAnsi="Times New Roman"/>
                <w:color w:val="auto"/>
              </w:rPr>
            </w:pPr>
          </w:p>
        </w:tc>
        <w:tc>
          <w:tcPr>
            <w:tcW w:w="393" w:type="pct"/>
            <w:noWrap w:val="0"/>
            <w:vAlign w:val="center"/>
          </w:tcPr>
          <w:p w14:paraId="71AC0903">
            <w:pPr>
              <w:pStyle w:val="17"/>
              <w:bidi w:val="0"/>
              <w:rPr>
                <w:rFonts w:ascii="Times New Roman" w:hAnsi="Times New Roman"/>
                <w:color w:val="auto"/>
              </w:rPr>
            </w:pPr>
            <w:r>
              <w:rPr>
                <w:rFonts w:ascii="Times New Roman" w:hAnsi="Times New Roman"/>
                <w:color w:val="auto"/>
              </w:rPr>
              <w:t>3</w:t>
            </w:r>
          </w:p>
        </w:tc>
        <w:tc>
          <w:tcPr>
            <w:tcW w:w="1447" w:type="pct"/>
            <w:noWrap w:val="0"/>
            <w:vAlign w:val="center"/>
          </w:tcPr>
          <w:p w14:paraId="4D62C103">
            <w:pPr>
              <w:pStyle w:val="17"/>
              <w:bidi w:val="0"/>
              <w:rPr>
                <w:rFonts w:ascii="Times New Roman" w:hAnsi="Times New Roman"/>
                <w:color w:val="auto"/>
              </w:rPr>
            </w:pPr>
            <w:r>
              <w:rPr>
                <w:rFonts w:ascii="Times New Roman" w:hAnsi="Times New Roman"/>
                <w:color w:val="auto"/>
              </w:rPr>
              <w:t>物体打击</w:t>
            </w:r>
          </w:p>
        </w:tc>
        <w:tc>
          <w:tcPr>
            <w:tcW w:w="1616" w:type="pct"/>
            <w:tcBorders>
              <w:right w:val="single" w:color="auto" w:sz="4" w:space="0"/>
            </w:tcBorders>
            <w:noWrap w:val="0"/>
            <w:vAlign w:val="center"/>
          </w:tcPr>
          <w:p w14:paraId="7F9AA775">
            <w:pPr>
              <w:pStyle w:val="17"/>
              <w:bidi w:val="0"/>
              <w:rPr>
                <w:rFonts w:ascii="Times New Roman" w:hAnsi="Times New Roman"/>
                <w:color w:val="auto"/>
              </w:rPr>
            </w:pPr>
            <w:r>
              <w:rPr>
                <w:rFonts w:ascii="Times New Roman" w:hAnsi="Times New Roman"/>
                <w:color w:val="auto"/>
              </w:rPr>
              <w:t>采场矿废石搬运、铲装作业工作面等</w:t>
            </w:r>
          </w:p>
        </w:tc>
        <w:tc>
          <w:tcPr>
            <w:tcW w:w="1151" w:type="pct"/>
            <w:tcBorders>
              <w:right w:val="single" w:color="auto" w:sz="4" w:space="0"/>
            </w:tcBorders>
            <w:noWrap w:val="0"/>
            <w:vAlign w:val="center"/>
          </w:tcPr>
          <w:p w14:paraId="3FE7C126">
            <w:pPr>
              <w:pStyle w:val="17"/>
              <w:bidi w:val="0"/>
              <w:rPr>
                <w:rFonts w:ascii="Times New Roman" w:hAnsi="Times New Roman"/>
                <w:color w:val="auto"/>
              </w:rPr>
            </w:pPr>
            <w:r>
              <w:rPr>
                <w:rFonts w:ascii="Times New Roman" w:hAnsi="Times New Roman"/>
                <w:color w:val="auto"/>
              </w:rPr>
              <w:t>人员伤亡</w:t>
            </w:r>
          </w:p>
        </w:tc>
      </w:tr>
      <w:tr w14:paraId="293DF5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41DF058C">
            <w:pPr>
              <w:pStyle w:val="17"/>
              <w:bidi w:val="0"/>
              <w:rPr>
                <w:rFonts w:ascii="Times New Roman" w:hAnsi="Times New Roman"/>
                <w:color w:val="auto"/>
              </w:rPr>
            </w:pPr>
          </w:p>
        </w:tc>
        <w:tc>
          <w:tcPr>
            <w:tcW w:w="393" w:type="pct"/>
            <w:noWrap w:val="0"/>
            <w:vAlign w:val="center"/>
          </w:tcPr>
          <w:p w14:paraId="6F2E09B4">
            <w:pPr>
              <w:pStyle w:val="17"/>
              <w:bidi w:val="0"/>
              <w:rPr>
                <w:rFonts w:ascii="Times New Roman" w:hAnsi="Times New Roman"/>
                <w:color w:val="auto"/>
              </w:rPr>
            </w:pPr>
            <w:r>
              <w:rPr>
                <w:rFonts w:ascii="Times New Roman" w:hAnsi="Times New Roman"/>
                <w:color w:val="auto"/>
              </w:rPr>
              <w:t>4</w:t>
            </w:r>
          </w:p>
        </w:tc>
        <w:tc>
          <w:tcPr>
            <w:tcW w:w="1447" w:type="pct"/>
            <w:noWrap w:val="0"/>
            <w:vAlign w:val="center"/>
          </w:tcPr>
          <w:p w14:paraId="73FBE81D">
            <w:pPr>
              <w:pStyle w:val="17"/>
              <w:bidi w:val="0"/>
              <w:rPr>
                <w:rFonts w:ascii="Times New Roman" w:hAnsi="Times New Roman"/>
                <w:color w:val="auto"/>
              </w:rPr>
            </w:pPr>
            <w:r>
              <w:rPr>
                <w:rFonts w:ascii="Times New Roman" w:hAnsi="Times New Roman"/>
                <w:color w:val="auto"/>
              </w:rPr>
              <w:t>高处坠落</w:t>
            </w:r>
          </w:p>
        </w:tc>
        <w:tc>
          <w:tcPr>
            <w:tcW w:w="1616" w:type="pct"/>
            <w:tcBorders>
              <w:right w:val="single" w:color="auto" w:sz="4" w:space="0"/>
            </w:tcBorders>
            <w:noWrap w:val="0"/>
            <w:vAlign w:val="center"/>
          </w:tcPr>
          <w:p w14:paraId="4F0DE865">
            <w:pPr>
              <w:pStyle w:val="17"/>
              <w:bidi w:val="0"/>
              <w:rPr>
                <w:rFonts w:ascii="Times New Roman" w:hAnsi="Times New Roman"/>
                <w:color w:val="auto"/>
              </w:rPr>
            </w:pPr>
            <w:r>
              <w:rPr>
                <w:rFonts w:ascii="Times New Roman" w:hAnsi="Times New Roman"/>
                <w:color w:val="auto"/>
              </w:rPr>
              <w:t>采场边坡、采矿过程中2m及以上的作业平台等</w:t>
            </w:r>
          </w:p>
        </w:tc>
        <w:tc>
          <w:tcPr>
            <w:tcW w:w="1151" w:type="pct"/>
            <w:tcBorders>
              <w:right w:val="single" w:color="auto" w:sz="4" w:space="0"/>
            </w:tcBorders>
            <w:noWrap w:val="0"/>
            <w:vAlign w:val="center"/>
          </w:tcPr>
          <w:p w14:paraId="213F0F9E">
            <w:pPr>
              <w:pStyle w:val="17"/>
              <w:bidi w:val="0"/>
              <w:rPr>
                <w:rFonts w:ascii="Times New Roman" w:hAnsi="Times New Roman"/>
                <w:color w:val="auto"/>
              </w:rPr>
            </w:pPr>
            <w:r>
              <w:rPr>
                <w:rFonts w:ascii="Times New Roman" w:hAnsi="Times New Roman"/>
                <w:color w:val="auto"/>
              </w:rPr>
              <w:t>人员伤亡</w:t>
            </w:r>
          </w:p>
        </w:tc>
      </w:tr>
      <w:tr w14:paraId="1D4717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7EE0AAC8">
            <w:pPr>
              <w:pStyle w:val="17"/>
              <w:bidi w:val="0"/>
              <w:rPr>
                <w:rFonts w:ascii="Times New Roman" w:hAnsi="Times New Roman"/>
                <w:color w:val="auto"/>
              </w:rPr>
            </w:pPr>
          </w:p>
        </w:tc>
        <w:tc>
          <w:tcPr>
            <w:tcW w:w="393" w:type="pct"/>
            <w:noWrap w:val="0"/>
            <w:vAlign w:val="center"/>
          </w:tcPr>
          <w:p w14:paraId="645CBE41">
            <w:pPr>
              <w:pStyle w:val="17"/>
              <w:bidi w:val="0"/>
              <w:rPr>
                <w:rFonts w:ascii="Times New Roman" w:hAnsi="Times New Roman"/>
                <w:color w:val="auto"/>
              </w:rPr>
            </w:pPr>
            <w:r>
              <w:rPr>
                <w:rFonts w:ascii="Times New Roman" w:hAnsi="Times New Roman"/>
                <w:color w:val="auto"/>
              </w:rPr>
              <w:t>5</w:t>
            </w:r>
          </w:p>
        </w:tc>
        <w:tc>
          <w:tcPr>
            <w:tcW w:w="1447" w:type="pct"/>
            <w:noWrap w:val="0"/>
            <w:vAlign w:val="center"/>
          </w:tcPr>
          <w:p w14:paraId="6EC208BB">
            <w:pPr>
              <w:pStyle w:val="17"/>
              <w:bidi w:val="0"/>
              <w:rPr>
                <w:rFonts w:ascii="Times New Roman" w:hAnsi="Times New Roman"/>
                <w:color w:val="auto"/>
              </w:rPr>
            </w:pPr>
            <w:r>
              <w:rPr>
                <w:rFonts w:ascii="Times New Roman" w:hAnsi="Times New Roman"/>
                <w:color w:val="auto"/>
              </w:rPr>
              <w:t>车辆伤害</w:t>
            </w:r>
          </w:p>
        </w:tc>
        <w:tc>
          <w:tcPr>
            <w:tcW w:w="1616" w:type="pct"/>
            <w:tcBorders>
              <w:right w:val="single" w:color="auto" w:sz="4" w:space="0"/>
            </w:tcBorders>
            <w:noWrap w:val="0"/>
            <w:vAlign w:val="center"/>
          </w:tcPr>
          <w:p w14:paraId="490CA156">
            <w:pPr>
              <w:pStyle w:val="17"/>
              <w:bidi w:val="0"/>
              <w:rPr>
                <w:rFonts w:ascii="Times New Roman" w:hAnsi="Times New Roman"/>
                <w:color w:val="auto"/>
              </w:rPr>
            </w:pPr>
            <w:r>
              <w:rPr>
                <w:rFonts w:ascii="Times New Roman" w:hAnsi="Times New Roman"/>
                <w:color w:val="auto"/>
              </w:rPr>
              <w:t>运输过程中的各种车辆设备</w:t>
            </w:r>
          </w:p>
        </w:tc>
        <w:tc>
          <w:tcPr>
            <w:tcW w:w="1151" w:type="pct"/>
            <w:tcBorders>
              <w:right w:val="single" w:color="auto" w:sz="4" w:space="0"/>
            </w:tcBorders>
            <w:noWrap w:val="0"/>
            <w:vAlign w:val="center"/>
          </w:tcPr>
          <w:p w14:paraId="0CF9E2F0">
            <w:pPr>
              <w:pStyle w:val="17"/>
              <w:bidi w:val="0"/>
              <w:rPr>
                <w:rFonts w:ascii="Times New Roman" w:hAnsi="Times New Roman"/>
                <w:color w:val="auto"/>
              </w:rPr>
            </w:pPr>
            <w:r>
              <w:rPr>
                <w:rFonts w:ascii="Times New Roman" w:hAnsi="Times New Roman"/>
                <w:color w:val="auto"/>
              </w:rPr>
              <w:t>人员伤亡</w:t>
            </w:r>
          </w:p>
        </w:tc>
      </w:tr>
      <w:tr w14:paraId="50756D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749F39EA">
            <w:pPr>
              <w:pStyle w:val="17"/>
              <w:bidi w:val="0"/>
              <w:rPr>
                <w:rFonts w:ascii="Times New Roman" w:hAnsi="Times New Roman"/>
                <w:color w:val="auto"/>
              </w:rPr>
            </w:pPr>
          </w:p>
        </w:tc>
        <w:tc>
          <w:tcPr>
            <w:tcW w:w="393" w:type="pct"/>
            <w:noWrap w:val="0"/>
            <w:vAlign w:val="center"/>
          </w:tcPr>
          <w:p w14:paraId="6CF03B3B">
            <w:pPr>
              <w:pStyle w:val="17"/>
              <w:bidi w:val="0"/>
              <w:rPr>
                <w:rFonts w:ascii="Times New Roman" w:hAnsi="Times New Roman"/>
                <w:color w:val="auto"/>
              </w:rPr>
            </w:pPr>
            <w:r>
              <w:rPr>
                <w:rFonts w:ascii="Times New Roman" w:hAnsi="Times New Roman"/>
                <w:color w:val="auto"/>
              </w:rPr>
              <w:t>6</w:t>
            </w:r>
          </w:p>
        </w:tc>
        <w:tc>
          <w:tcPr>
            <w:tcW w:w="1447" w:type="pct"/>
            <w:noWrap w:val="0"/>
            <w:vAlign w:val="center"/>
          </w:tcPr>
          <w:p w14:paraId="77334804">
            <w:pPr>
              <w:pStyle w:val="17"/>
              <w:bidi w:val="0"/>
              <w:rPr>
                <w:rFonts w:ascii="Times New Roman" w:hAnsi="Times New Roman"/>
                <w:color w:val="auto"/>
              </w:rPr>
            </w:pPr>
            <w:r>
              <w:rPr>
                <w:rFonts w:ascii="Times New Roman" w:hAnsi="Times New Roman"/>
                <w:color w:val="auto"/>
              </w:rPr>
              <w:t>机械伤害</w:t>
            </w:r>
          </w:p>
        </w:tc>
        <w:tc>
          <w:tcPr>
            <w:tcW w:w="1616" w:type="pct"/>
            <w:tcBorders>
              <w:right w:val="single" w:color="auto" w:sz="4" w:space="0"/>
            </w:tcBorders>
            <w:noWrap w:val="0"/>
            <w:vAlign w:val="center"/>
          </w:tcPr>
          <w:p w14:paraId="7B223760">
            <w:pPr>
              <w:pStyle w:val="17"/>
              <w:bidi w:val="0"/>
              <w:rPr>
                <w:rFonts w:ascii="Times New Roman" w:hAnsi="Times New Roman"/>
                <w:color w:val="auto"/>
              </w:rPr>
            </w:pPr>
            <w:r>
              <w:rPr>
                <w:rFonts w:ascii="Times New Roman" w:hAnsi="Times New Roman"/>
                <w:color w:val="auto"/>
              </w:rPr>
              <w:t>各种设备引起的机械事故</w:t>
            </w:r>
          </w:p>
        </w:tc>
        <w:tc>
          <w:tcPr>
            <w:tcW w:w="1151" w:type="pct"/>
            <w:tcBorders>
              <w:right w:val="single" w:color="auto" w:sz="4" w:space="0"/>
            </w:tcBorders>
            <w:noWrap w:val="0"/>
            <w:vAlign w:val="center"/>
          </w:tcPr>
          <w:p w14:paraId="2E431620">
            <w:pPr>
              <w:pStyle w:val="17"/>
              <w:bidi w:val="0"/>
              <w:rPr>
                <w:rFonts w:ascii="Times New Roman" w:hAnsi="Times New Roman"/>
                <w:color w:val="auto"/>
              </w:rPr>
            </w:pPr>
            <w:r>
              <w:rPr>
                <w:rFonts w:ascii="Times New Roman" w:hAnsi="Times New Roman"/>
                <w:color w:val="auto"/>
              </w:rPr>
              <w:t>人员伤亡、设备损失</w:t>
            </w:r>
          </w:p>
        </w:tc>
      </w:tr>
      <w:tr w14:paraId="431C6C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1708AC3B">
            <w:pPr>
              <w:pStyle w:val="17"/>
              <w:bidi w:val="0"/>
              <w:rPr>
                <w:rFonts w:ascii="Times New Roman" w:hAnsi="Times New Roman"/>
                <w:color w:val="auto"/>
              </w:rPr>
            </w:pPr>
          </w:p>
        </w:tc>
        <w:tc>
          <w:tcPr>
            <w:tcW w:w="393" w:type="pct"/>
            <w:noWrap w:val="0"/>
            <w:vAlign w:val="center"/>
          </w:tcPr>
          <w:p w14:paraId="40C390EE">
            <w:pPr>
              <w:pStyle w:val="17"/>
              <w:bidi w:val="0"/>
              <w:rPr>
                <w:rFonts w:ascii="Times New Roman" w:hAnsi="Times New Roman"/>
                <w:color w:val="auto"/>
              </w:rPr>
            </w:pPr>
            <w:r>
              <w:rPr>
                <w:rFonts w:ascii="Times New Roman" w:hAnsi="Times New Roman"/>
                <w:color w:val="auto"/>
              </w:rPr>
              <w:t>7</w:t>
            </w:r>
          </w:p>
        </w:tc>
        <w:tc>
          <w:tcPr>
            <w:tcW w:w="1447" w:type="pct"/>
            <w:noWrap w:val="0"/>
            <w:vAlign w:val="center"/>
          </w:tcPr>
          <w:p w14:paraId="66676F78">
            <w:pPr>
              <w:pStyle w:val="17"/>
              <w:bidi w:val="0"/>
              <w:rPr>
                <w:rFonts w:ascii="Times New Roman" w:hAnsi="Times New Roman"/>
                <w:color w:val="auto"/>
              </w:rPr>
            </w:pPr>
            <w:r>
              <w:rPr>
                <w:rFonts w:ascii="Times New Roman" w:hAnsi="Times New Roman"/>
                <w:color w:val="auto"/>
              </w:rPr>
              <w:t>容器爆炸</w:t>
            </w:r>
          </w:p>
        </w:tc>
        <w:tc>
          <w:tcPr>
            <w:tcW w:w="1616" w:type="pct"/>
            <w:tcBorders>
              <w:right w:val="single" w:color="auto" w:sz="4" w:space="0"/>
            </w:tcBorders>
            <w:noWrap w:val="0"/>
            <w:vAlign w:val="center"/>
          </w:tcPr>
          <w:p w14:paraId="3F2DC7F6">
            <w:pPr>
              <w:pStyle w:val="17"/>
              <w:bidi w:val="0"/>
              <w:rPr>
                <w:rFonts w:ascii="Times New Roman" w:hAnsi="Times New Roman"/>
                <w:color w:val="auto"/>
              </w:rPr>
            </w:pPr>
            <w:r>
              <w:rPr>
                <w:rFonts w:ascii="Times New Roman" w:hAnsi="Times New Roman"/>
                <w:color w:val="auto"/>
              </w:rPr>
              <w:t>空压机储气罐等</w:t>
            </w:r>
          </w:p>
        </w:tc>
        <w:tc>
          <w:tcPr>
            <w:tcW w:w="1151" w:type="pct"/>
            <w:tcBorders>
              <w:right w:val="single" w:color="auto" w:sz="4" w:space="0"/>
            </w:tcBorders>
            <w:noWrap w:val="0"/>
            <w:vAlign w:val="center"/>
          </w:tcPr>
          <w:p w14:paraId="1E2A1C09">
            <w:pPr>
              <w:pStyle w:val="17"/>
              <w:bidi w:val="0"/>
              <w:rPr>
                <w:rFonts w:ascii="Times New Roman" w:hAnsi="Times New Roman"/>
                <w:color w:val="auto"/>
              </w:rPr>
            </w:pPr>
            <w:r>
              <w:rPr>
                <w:rFonts w:ascii="Times New Roman" w:hAnsi="Times New Roman"/>
                <w:color w:val="auto"/>
              </w:rPr>
              <w:t>人员伤亡、设备损失</w:t>
            </w:r>
          </w:p>
        </w:tc>
      </w:tr>
      <w:tr w14:paraId="50AE58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49701E85">
            <w:pPr>
              <w:pStyle w:val="17"/>
              <w:bidi w:val="0"/>
              <w:rPr>
                <w:rFonts w:ascii="Times New Roman" w:hAnsi="Times New Roman"/>
                <w:color w:val="auto"/>
              </w:rPr>
            </w:pPr>
          </w:p>
        </w:tc>
        <w:tc>
          <w:tcPr>
            <w:tcW w:w="393" w:type="pct"/>
            <w:noWrap w:val="0"/>
            <w:vAlign w:val="center"/>
          </w:tcPr>
          <w:p w14:paraId="7650E7AC">
            <w:pPr>
              <w:pStyle w:val="17"/>
              <w:bidi w:val="0"/>
              <w:rPr>
                <w:rFonts w:ascii="Times New Roman" w:hAnsi="Times New Roman"/>
                <w:color w:val="auto"/>
              </w:rPr>
            </w:pPr>
            <w:r>
              <w:rPr>
                <w:rFonts w:ascii="Times New Roman" w:hAnsi="Times New Roman"/>
                <w:color w:val="auto"/>
              </w:rPr>
              <w:t>8</w:t>
            </w:r>
          </w:p>
        </w:tc>
        <w:tc>
          <w:tcPr>
            <w:tcW w:w="1447" w:type="pct"/>
            <w:noWrap w:val="0"/>
            <w:vAlign w:val="center"/>
          </w:tcPr>
          <w:p w14:paraId="43BD1EAD">
            <w:pPr>
              <w:pStyle w:val="17"/>
              <w:bidi w:val="0"/>
              <w:rPr>
                <w:rFonts w:ascii="Times New Roman" w:hAnsi="Times New Roman"/>
                <w:color w:val="auto"/>
              </w:rPr>
            </w:pPr>
            <w:r>
              <w:rPr>
                <w:rFonts w:ascii="Times New Roman" w:hAnsi="Times New Roman"/>
                <w:color w:val="auto"/>
              </w:rPr>
              <w:t>火灾</w:t>
            </w:r>
          </w:p>
        </w:tc>
        <w:tc>
          <w:tcPr>
            <w:tcW w:w="1616" w:type="pct"/>
            <w:tcBorders>
              <w:right w:val="single" w:color="auto" w:sz="4" w:space="0"/>
            </w:tcBorders>
            <w:noWrap w:val="0"/>
            <w:vAlign w:val="center"/>
          </w:tcPr>
          <w:p w14:paraId="465C7B3C">
            <w:pPr>
              <w:pStyle w:val="17"/>
              <w:bidi w:val="0"/>
              <w:rPr>
                <w:rFonts w:ascii="Times New Roman" w:hAnsi="Times New Roman"/>
                <w:color w:val="auto"/>
              </w:rPr>
            </w:pPr>
            <w:r>
              <w:rPr>
                <w:rFonts w:ascii="Times New Roman" w:hAnsi="Times New Roman"/>
                <w:color w:val="auto"/>
              </w:rPr>
              <w:t>机械设备及电气设备、线路</w:t>
            </w:r>
          </w:p>
        </w:tc>
        <w:tc>
          <w:tcPr>
            <w:tcW w:w="1151" w:type="pct"/>
            <w:tcBorders>
              <w:right w:val="single" w:color="auto" w:sz="4" w:space="0"/>
            </w:tcBorders>
            <w:noWrap w:val="0"/>
            <w:vAlign w:val="center"/>
          </w:tcPr>
          <w:p w14:paraId="2B466FBB">
            <w:pPr>
              <w:pStyle w:val="17"/>
              <w:bidi w:val="0"/>
              <w:rPr>
                <w:rFonts w:ascii="Times New Roman" w:hAnsi="Times New Roman"/>
                <w:color w:val="auto"/>
              </w:rPr>
            </w:pPr>
            <w:r>
              <w:rPr>
                <w:rFonts w:ascii="Times New Roman" w:hAnsi="Times New Roman"/>
                <w:color w:val="auto"/>
              </w:rPr>
              <w:t>人员伤亡、设备损失</w:t>
            </w:r>
          </w:p>
        </w:tc>
      </w:tr>
      <w:tr w14:paraId="0BF622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61C64CCA">
            <w:pPr>
              <w:pStyle w:val="17"/>
              <w:bidi w:val="0"/>
              <w:rPr>
                <w:rFonts w:ascii="Times New Roman" w:hAnsi="Times New Roman"/>
                <w:color w:val="auto"/>
              </w:rPr>
            </w:pPr>
          </w:p>
        </w:tc>
        <w:tc>
          <w:tcPr>
            <w:tcW w:w="393" w:type="pct"/>
            <w:noWrap w:val="0"/>
            <w:vAlign w:val="center"/>
          </w:tcPr>
          <w:p w14:paraId="2B85BA3A">
            <w:pPr>
              <w:pStyle w:val="17"/>
              <w:bidi w:val="0"/>
              <w:rPr>
                <w:rFonts w:ascii="Times New Roman" w:hAnsi="Times New Roman"/>
                <w:color w:val="auto"/>
              </w:rPr>
            </w:pPr>
            <w:r>
              <w:rPr>
                <w:rFonts w:ascii="Times New Roman" w:hAnsi="Times New Roman"/>
                <w:color w:val="auto"/>
              </w:rPr>
              <w:t>9</w:t>
            </w:r>
          </w:p>
        </w:tc>
        <w:tc>
          <w:tcPr>
            <w:tcW w:w="1447" w:type="pct"/>
            <w:noWrap w:val="0"/>
            <w:vAlign w:val="center"/>
          </w:tcPr>
          <w:p w14:paraId="67693A80">
            <w:pPr>
              <w:pStyle w:val="17"/>
              <w:bidi w:val="0"/>
              <w:rPr>
                <w:rFonts w:ascii="Times New Roman" w:hAnsi="Times New Roman"/>
                <w:color w:val="auto"/>
              </w:rPr>
            </w:pPr>
            <w:r>
              <w:rPr>
                <w:rFonts w:ascii="Times New Roman" w:hAnsi="Times New Roman"/>
                <w:color w:val="auto"/>
              </w:rPr>
              <w:t>触电、雷电</w:t>
            </w:r>
          </w:p>
        </w:tc>
        <w:tc>
          <w:tcPr>
            <w:tcW w:w="1616" w:type="pct"/>
            <w:tcBorders>
              <w:right w:val="single" w:color="auto" w:sz="4" w:space="0"/>
            </w:tcBorders>
            <w:noWrap w:val="0"/>
            <w:vAlign w:val="center"/>
          </w:tcPr>
          <w:p w14:paraId="503A7D10">
            <w:pPr>
              <w:pStyle w:val="17"/>
              <w:bidi w:val="0"/>
              <w:rPr>
                <w:rFonts w:ascii="Times New Roman" w:hAnsi="Times New Roman"/>
                <w:color w:val="auto"/>
              </w:rPr>
            </w:pPr>
            <w:r>
              <w:rPr>
                <w:rFonts w:ascii="Times New Roman" w:hAnsi="Times New Roman"/>
                <w:color w:val="auto"/>
              </w:rPr>
              <w:t>各种电气设备及其线路</w:t>
            </w:r>
          </w:p>
        </w:tc>
        <w:tc>
          <w:tcPr>
            <w:tcW w:w="1151" w:type="pct"/>
            <w:tcBorders>
              <w:right w:val="single" w:color="auto" w:sz="4" w:space="0"/>
            </w:tcBorders>
            <w:noWrap w:val="0"/>
            <w:vAlign w:val="center"/>
          </w:tcPr>
          <w:p w14:paraId="13569F7F">
            <w:pPr>
              <w:pStyle w:val="17"/>
              <w:bidi w:val="0"/>
              <w:rPr>
                <w:rFonts w:ascii="Times New Roman" w:hAnsi="Times New Roman"/>
                <w:color w:val="auto"/>
              </w:rPr>
            </w:pPr>
            <w:r>
              <w:rPr>
                <w:rFonts w:ascii="Times New Roman" w:hAnsi="Times New Roman"/>
                <w:color w:val="auto"/>
              </w:rPr>
              <w:t>人员伤亡、设备损坏</w:t>
            </w:r>
          </w:p>
        </w:tc>
      </w:tr>
      <w:tr w14:paraId="4B33DC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restart"/>
            <w:tcBorders>
              <w:left w:val="single" w:color="auto" w:sz="4" w:space="0"/>
            </w:tcBorders>
            <w:noWrap w:val="0"/>
            <w:vAlign w:val="center"/>
          </w:tcPr>
          <w:p w14:paraId="2A035E41">
            <w:pPr>
              <w:pStyle w:val="17"/>
              <w:bidi w:val="0"/>
              <w:rPr>
                <w:rFonts w:ascii="Times New Roman" w:hAnsi="Times New Roman"/>
                <w:color w:val="auto"/>
              </w:rPr>
            </w:pPr>
            <w:r>
              <w:rPr>
                <w:rFonts w:ascii="Times New Roman" w:hAnsi="Times New Roman"/>
                <w:color w:val="auto"/>
              </w:rPr>
              <w:t>有害因素</w:t>
            </w:r>
          </w:p>
        </w:tc>
        <w:tc>
          <w:tcPr>
            <w:tcW w:w="393" w:type="pct"/>
            <w:noWrap w:val="0"/>
            <w:vAlign w:val="center"/>
          </w:tcPr>
          <w:p w14:paraId="79AE136C">
            <w:pPr>
              <w:pStyle w:val="17"/>
              <w:bidi w:val="0"/>
              <w:rPr>
                <w:rFonts w:ascii="Times New Roman" w:hAnsi="Times New Roman"/>
                <w:color w:val="auto"/>
              </w:rPr>
            </w:pPr>
            <w:r>
              <w:rPr>
                <w:rFonts w:ascii="Times New Roman" w:hAnsi="Times New Roman"/>
                <w:color w:val="auto"/>
              </w:rPr>
              <w:t>1</w:t>
            </w:r>
          </w:p>
        </w:tc>
        <w:tc>
          <w:tcPr>
            <w:tcW w:w="1447" w:type="pct"/>
            <w:noWrap w:val="0"/>
            <w:vAlign w:val="center"/>
          </w:tcPr>
          <w:p w14:paraId="775B0631">
            <w:pPr>
              <w:pStyle w:val="17"/>
              <w:bidi w:val="0"/>
              <w:rPr>
                <w:rFonts w:ascii="Times New Roman" w:hAnsi="Times New Roman"/>
                <w:color w:val="auto"/>
              </w:rPr>
            </w:pPr>
            <w:r>
              <w:rPr>
                <w:rFonts w:ascii="Times New Roman" w:hAnsi="Times New Roman"/>
                <w:color w:val="auto"/>
              </w:rPr>
              <w:t>粉尘</w:t>
            </w:r>
          </w:p>
        </w:tc>
        <w:tc>
          <w:tcPr>
            <w:tcW w:w="1616" w:type="pct"/>
            <w:tcBorders>
              <w:right w:val="single" w:color="auto" w:sz="4" w:space="0"/>
            </w:tcBorders>
            <w:noWrap w:val="0"/>
            <w:vAlign w:val="center"/>
          </w:tcPr>
          <w:p w14:paraId="4B33E2E0">
            <w:pPr>
              <w:pStyle w:val="17"/>
              <w:bidi w:val="0"/>
              <w:rPr>
                <w:rFonts w:ascii="Times New Roman" w:hAnsi="Times New Roman"/>
                <w:color w:val="auto"/>
              </w:rPr>
            </w:pPr>
            <w:r>
              <w:rPr>
                <w:rFonts w:ascii="Times New Roman" w:hAnsi="Times New Roman"/>
                <w:color w:val="auto"/>
              </w:rPr>
              <w:t>采场铲装、凿岩工作面、矿岩转运作业</w:t>
            </w:r>
          </w:p>
        </w:tc>
        <w:tc>
          <w:tcPr>
            <w:tcW w:w="1151" w:type="pct"/>
            <w:tcBorders>
              <w:right w:val="single" w:color="auto" w:sz="4" w:space="0"/>
            </w:tcBorders>
            <w:noWrap w:val="0"/>
            <w:vAlign w:val="center"/>
          </w:tcPr>
          <w:p w14:paraId="5462E6D9">
            <w:pPr>
              <w:pStyle w:val="17"/>
              <w:bidi w:val="0"/>
              <w:rPr>
                <w:rFonts w:ascii="Times New Roman" w:hAnsi="Times New Roman"/>
                <w:color w:val="auto"/>
              </w:rPr>
            </w:pPr>
            <w:r>
              <w:rPr>
                <w:rFonts w:ascii="Times New Roman" w:hAnsi="Times New Roman"/>
                <w:color w:val="auto"/>
              </w:rPr>
              <w:t>慢性伤害、职业病</w:t>
            </w:r>
          </w:p>
        </w:tc>
      </w:tr>
      <w:tr w14:paraId="402CAB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restart"/>
            <w:tcBorders>
              <w:left w:val="single" w:color="auto" w:sz="4" w:space="0"/>
            </w:tcBorders>
            <w:noWrap w:val="0"/>
            <w:vAlign w:val="center"/>
          </w:tcPr>
          <w:p w14:paraId="7EDFC782">
            <w:pPr>
              <w:pStyle w:val="17"/>
              <w:bidi w:val="0"/>
              <w:rPr>
                <w:rFonts w:ascii="Times New Roman" w:hAnsi="Times New Roman"/>
                <w:color w:val="auto"/>
              </w:rPr>
            </w:pPr>
            <w:r>
              <w:rPr>
                <w:rFonts w:ascii="Times New Roman" w:hAnsi="Times New Roman"/>
                <w:color w:val="auto"/>
              </w:rPr>
              <w:t>管理因素</w:t>
            </w:r>
          </w:p>
        </w:tc>
        <w:tc>
          <w:tcPr>
            <w:tcW w:w="393" w:type="pct"/>
            <w:noWrap w:val="0"/>
            <w:vAlign w:val="center"/>
          </w:tcPr>
          <w:p w14:paraId="790CC9BE">
            <w:pPr>
              <w:pStyle w:val="17"/>
              <w:bidi w:val="0"/>
              <w:rPr>
                <w:rFonts w:ascii="Times New Roman" w:hAnsi="Times New Roman"/>
                <w:color w:val="auto"/>
              </w:rPr>
            </w:pPr>
            <w:r>
              <w:rPr>
                <w:rFonts w:ascii="Times New Roman" w:hAnsi="Times New Roman"/>
                <w:color w:val="auto"/>
              </w:rPr>
              <w:t>1</w:t>
            </w:r>
          </w:p>
        </w:tc>
        <w:tc>
          <w:tcPr>
            <w:tcW w:w="1447" w:type="pct"/>
            <w:noWrap w:val="0"/>
            <w:vAlign w:val="center"/>
          </w:tcPr>
          <w:p w14:paraId="683598C1">
            <w:pPr>
              <w:pStyle w:val="17"/>
              <w:bidi w:val="0"/>
              <w:rPr>
                <w:rFonts w:ascii="Times New Roman" w:hAnsi="Times New Roman"/>
                <w:color w:val="auto"/>
              </w:rPr>
            </w:pPr>
            <w:r>
              <w:rPr>
                <w:rFonts w:ascii="Times New Roman" w:hAnsi="Times New Roman"/>
                <w:color w:val="auto"/>
              </w:rPr>
              <w:t>未建立安全生产管理机构或安全生产监督检查不到位</w:t>
            </w:r>
          </w:p>
        </w:tc>
        <w:tc>
          <w:tcPr>
            <w:tcW w:w="1616" w:type="pct"/>
            <w:vMerge w:val="restart"/>
            <w:tcBorders>
              <w:right w:val="single" w:color="auto" w:sz="4" w:space="0"/>
            </w:tcBorders>
            <w:noWrap w:val="0"/>
            <w:vAlign w:val="center"/>
          </w:tcPr>
          <w:p w14:paraId="56970AD6">
            <w:pPr>
              <w:pStyle w:val="17"/>
              <w:bidi w:val="0"/>
              <w:rPr>
                <w:rFonts w:ascii="Times New Roman" w:hAnsi="Times New Roman"/>
                <w:color w:val="auto"/>
              </w:rPr>
            </w:pPr>
            <w:r>
              <w:rPr>
                <w:rFonts w:ascii="Times New Roman" w:hAnsi="Times New Roman"/>
                <w:color w:val="auto"/>
              </w:rPr>
              <w:t>安全管理过程中，安全生产命令执行过程中</w:t>
            </w:r>
          </w:p>
        </w:tc>
        <w:tc>
          <w:tcPr>
            <w:tcW w:w="1151" w:type="pct"/>
            <w:vMerge w:val="restart"/>
            <w:tcBorders>
              <w:right w:val="single" w:color="auto" w:sz="4" w:space="0"/>
            </w:tcBorders>
            <w:noWrap w:val="0"/>
            <w:vAlign w:val="center"/>
          </w:tcPr>
          <w:p w14:paraId="34164517">
            <w:pPr>
              <w:pStyle w:val="17"/>
              <w:bidi w:val="0"/>
              <w:rPr>
                <w:rFonts w:ascii="Times New Roman" w:hAnsi="Times New Roman"/>
                <w:color w:val="auto"/>
              </w:rPr>
            </w:pPr>
            <w:r>
              <w:rPr>
                <w:rFonts w:ascii="Times New Roman" w:hAnsi="Times New Roman"/>
                <w:color w:val="auto"/>
              </w:rPr>
              <w:t>人员伤亡</w:t>
            </w:r>
          </w:p>
        </w:tc>
      </w:tr>
      <w:tr w14:paraId="614F63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5142C150">
            <w:pPr>
              <w:pStyle w:val="17"/>
              <w:bidi w:val="0"/>
              <w:rPr>
                <w:rFonts w:ascii="Times New Roman" w:hAnsi="Times New Roman"/>
                <w:color w:val="auto"/>
              </w:rPr>
            </w:pPr>
          </w:p>
        </w:tc>
        <w:tc>
          <w:tcPr>
            <w:tcW w:w="393" w:type="pct"/>
            <w:noWrap w:val="0"/>
            <w:vAlign w:val="center"/>
          </w:tcPr>
          <w:p w14:paraId="45ACF813">
            <w:pPr>
              <w:pStyle w:val="17"/>
              <w:bidi w:val="0"/>
              <w:rPr>
                <w:rFonts w:ascii="Times New Roman" w:hAnsi="Times New Roman"/>
                <w:color w:val="auto"/>
              </w:rPr>
            </w:pPr>
            <w:r>
              <w:rPr>
                <w:rFonts w:ascii="Times New Roman" w:hAnsi="Times New Roman"/>
                <w:color w:val="auto"/>
              </w:rPr>
              <w:t>2</w:t>
            </w:r>
          </w:p>
        </w:tc>
        <w:tc>
          <w:tcPr>
            <w:tcW w:w="1447" w:type="pct"/>
            <w:noWrap w:val="0"/>
            <w:vAlign w:val="center"/>
          </w:tcPr>
          <w:p w14:paraId="2BF03C5F">
            <w:pPr>
              <w:pStyle w:val="17"/>
              <w:bidi w:val="0"/>
              <w:rPr>
                <w:rFonts w:ascii="Times New Roman" w:hAnsi="Times New Roman"/>
                <w:color w:val="auto"/>
              </w:rPr>
            </w:pPr>
            <w:r>
              <w:rPr>
                <w:rFonts w:ascii="Times New Roman" w:hAnsi="Times New Roman"/>
                <w:color w:val="auto"/>
              </w:rPr>
              <w:t>未建立安全生产责任制、安全管理制度及操作规程，或者不健全</w:t>
            </w:r>
          </w:p>
        </w:tc>
        <w:tc>
          <w:tcPr>
            <w:tcW w:w="1616" w:type="pct"/>
            <w:vMerge w:val="continue"/>
            <w:tcBorders>
              <w:right w:val="single" w:color="auto" w:sz="4" w:space="0"/>
            </w:tcBorders>
            <w:noWrap w:val="0"/>
            <w:vAlign w:val="center"/>
          </w:tcPr>
          <w:p w14:paraId="20F6E207">
            <w:pPr>
              <w:pStyle w:val="17"/>
              <w:bidi w:val="0"/>
              <w:rPr>
                <w:rFonts w:ascii="Times New Roman" w:hAnsi="Times New Roman"/>
                <w:color w:val="auto"/>
              </w:rPr>
            </w:pPr>
          </w:p>
        </w:tc>
        <w:tc>
          <w:tcPr>
            <w:tcW w:w="1151" w:type="pct"/>
            <w:vMerge w:val="continue"/>
            <w:tcBorders>
              <w:right w:val="single" w:color="auto" w:sz="4" w:space="0"/>
            </w:tcBorders>
            <w:noWrap w:val="0"/>
            <w:vAlign w:val="center"/>
          </w:tcPr>
          <w:p w14:paraId="777463B4">
            <w:pPr>
              <w:pStyle w:val="17"/>
              <w:bidi w:val="0"/>
              <w:rPr>
                <w:rFonts w:ascii="Times New Roman" w:hAnsi="Times New Roman"/>
                <w:color w:val="auto"/>
              </w:rPr>
            </w:pPr>
          </w:p>
        </w:tc>
      </w:tr>
      <w:tr w14:paraId="4D557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3444091F">
            <w:pPr>
              <w:pStyle w:val="17"/>
              <w:bidi w:val="0"/>
              <w:rPr>
                <w:rFonts w:ascii="Times New Roman" w:hAnsi="Times New Roman"/>
                <w:color w:val="auto"/>
              </w:rPr>
            </w:pPr>
          </w:p>
        </w:tc>
        <w:tc>
          <w:tcPr>
            <w:tcW w:w="393" w:type="pct"/>
            <w:noWrap w:val="0"/>
            <w:vAlign w:val="center"/>
          </w:tcPr>
          <w:p w14:paraId="067D1394">
            <w:pPr>
              <w:pStyle w:val="17"/>
              <w:bidi w:val="0"/>
              <w:rPr>
                <w:rFonts w:ascii="Times New Roman" w:hAnsi="Times New Roman"/>
                <w:color w:val="auto"/>
              </w:rPr>
            </w:pPr>
            <w:r>
              <w:rPr>
                <w:rFonts w:ascii="Times New Roman" w:hAnsi="Times New Roman"/>
                <w:color w:val="auto"/>
              </w:rPr>
              <w:t>3</w:t>
            </w:r>
          </w:p>
        </w:tc>
        <w:tc>
          <w:tcPr>
            <w:tcW w:w="1447" w:type="pct"/>
            <w:noWrap w:val="0"/>
            <w:vAlign w:val="center"/>
          </w:tcPr>
          <w:p w14:paraId="5925F2E8">
            <w:pPr>
              <w:pStyle w:val="17"/>
              <w:bidi w:val="0"/>
              <w:rPr>
                <w:rFonts w:ascii="Times New Roman" w:hAnsi="Times New Roman"/>
                <w:color w:val="auto"/>
              </w:rPr>
            </w:pPr>
            <w:r>
              <w:rPr>
                <w:rFonts w:ascii="Times New Roman" w:hAnsi="Times New Roman"/>
                <w:color w:val="auto"/>
              </w:rPr>
              <w:t>特种作业人员未取证上岗</w:t>
            </w:r>
          </w:p>
        </w:tc>
        <w:tc>
          <w:tcPr>
            <w:tcW w:w="1616" w:type="pct"/>
            <w:vMerge w:val="continue"/>
            <w:tcBorders>
              <w:right w:val="single" w:color="auto" w:sz="4" w:space="0"/>
            </w:tcBorders>
            <w:noWrap w:val="0"/>
            <w:vAlign w:val="center"/>
          </w:tcPr>
          <w:p w14:paraId="6F6E5442">
            <w:pPr>
              <w:pStyle w:val="17"/>
              <w:bidi w:val="0"/>
              <w:rPr>
                <w:rFonts w:ascii="Times New Roman" w:hAnsi="Times New Roman"/>
                <w:color w:val="auto"/>
              </w:rPr>
            </w:pPr>
          </w:p>
        </w:tc>
        <w:tc>
          <w:tcPr>
            <w:tcW w:w="1151" w:type="pct"/>
            <w:vMerge w:val="continue"/>
            <w:tcBorders>
              <w:right w:val="single" w:color="auto" w:sz="4" w:space="0"/>
            </w:tcBorders>
            <w:noWrap w:val="0"/>
            <w:vAlign w:val="center"/>
          </w:tcPr>
          <w:p w14:paraId="755BEAA7">
            <w:pPr>
              <w:pStyle w:val="17"/>
              <w:bidi w:val="0"/>
              <w:rPr>
                <w:rFonts w:ascii="Times New Roman" w:hAnsi="Times New Roman"/>
                <w:color w:val="auto"/>
              </w:rPr>
            </w:pPr>
          </w:p>
        </w:tc>
      </w:tr>
      <w:tr w14:paraId="7AD79D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08B7FB59">
            <w:pPr>
              <w:pStyle w:val="17"/>
              <w:bidi w:val="0"/>
              <w:rPr>
                <w:rFonts w:ascii="Times New Roman" w:hAnsi="Times New Roman"/>
                <w:color w:val="auto"/>
              </w:rPr>
            </w:pPr>
          </w:p>
        </w:tc>
        <w:tc>
          <w:tcPr>
            <w:tcW w:w="393" w:type="pct"/>
            <w:noWrap w:val="0"/>
            <w:vAlign w:val="center"/>
          </w:tcPr>
          <w:p w14:paraId="52BF4C6E">
            <w:pPr>
              <w:pStyle w:val="17"/>
              <w:bidi w:val="0"/>
              <w:rPr>
                <w:rFonts w:ascii="Times New Roman" w:hAnsi="Times New Roman"/>
                <w:color w:val="auto"/>
              </w:rPr>
            </w:pPr>
            <w:r>
              <w:rPr>
                <w:rFonts w:ascii="Times New Roman" w:hAnsi="Times New Roman"/>
                <w:color w:val="auto"/>
              </w:rPr>
              <w:t>4</w:t>
            </w:r>
          </w:p>
        </w:tc>
        <w:tc>
          <w:tcPr>
            <w:tcW w:w="1447" w:type="pct"/>
            <w:noWrap w:val="0"/>
            <w:vAlign w:val="center"/>
          </w:tcPr>
          <w:p w14:paraId="0510001F">
            <w:pPr>
              <w:pStyle w:val="17"/>
              <w:bidi w:val="0"/>
              <w:rPr>
                <w:rFonts w:ascii="Times New Roman" w:hAnsi="Times New Roman"/>
                <w:color w:val="auto"/>
              </w:rPr>
            </w:pPr>
            <w:r>
              <w:rPr>
                <w:rFonts w:ascii="Times New Roman" w:hAnsi="Times New Roman"/>
                <w:color w:val="auto"/>
              </w:rPr>
              <w:t>违章指挥、违章操作</w:t>
            </w:r>
          </w:p>
        </w:tc>
        <w:tc>
          <w:tcPr>
            <w:tcW w:w="1616" w:type="pct"/>
            <w:vMerge w:val="continue"/>
            <w:tcBorders>
              <w:right w:val="single" w:color="auto" w:sz="4" w:space="0"/>
            </w:tcBorders>
            <w:noWrap w:val="0"/>
            <w:vAlign w:val="center"/>
          </w:tcPr>
          <w:p w14:paraId="32D639C6">
            <w:pPr>
              <w:pStyle w:val="17"/>
              <w:bidi w:val="0"/>
              <w:rPr>
                <w:rFonts w:ascii="Times New Roman" w:hAnsi="Times New Roman"/>
                <w:color w:val="auto"/>
              </w:rPr>
            </w:pPr>
          </w:p>
        </w:tc>
        <w:tc>
          <w:tcPr>
            <w:tcW w:w="1151" w:type="pct"/>
            <w:vMerge w:val="continue"/>
            <w:tcBorders>
              <w:right w:val="single" w:color="auto" w:sz="4" w:space="0"/>
            </w:tcBorders>
            <w:noWrap w:val="0"/>
            <w:vAlign w:val="center"/>
          </w:tcPr>
          <w:p w14:paraId="66457B36">
            <w:pPr>
              <w:pStyle w:val="17"/>
              <w:bidi w:val="0"/>
              <w:rPr>
                <w:rFonts w:ascii="Times New Roman" w:hAnsi="Times New Roman"/>
                <w:color w:val="auto"/>
              </w:rPr>
            </w:pPr>
          </w:p>
        </w:tc>
      </w:tr>
      <w:tr w14:paraId="2B5172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6B233C2C">
            <w:pPr>
              <w:pStyle w:val="17"/>
              <w:bidi w:val="0"/>
              <w:rPr>
                <w:rFonts w:ascii="Times New Roman" w:hAnsi="Times New Roman"/>
                <w:color w:val="auto"/>
              </w:rPr>
            </w:pPr>
            <w:bookmarkStart w:id="338" w:name="_Toc3823"/>
            <w:bookmarkStart w:id="339" w:name="_Toc1810"/>
            <w:bookmarkStart w:id="340" w:name="_Toc981"/>
          </w:p>
        </w:tc>
        <w:tc>
          <w:tcPr>
            <w:tcW w:w="393" w:type="pct"/>
            <w:noWrap w:val="0"/>
            <w:vAlign w:val="center"/>
          </w:tcPr>
          <w:p w14:paraId="230F5BAB">
            <w:pPr>
              <w:pStyle w:val="17"/>
              <w:bidi w:val="0"/>
              <w:rPr>
                <w:rFonts w:hint="eastAsia" w:ascii="Times New Roman" w:hAnsi="Times New Roman"/>
                <w:color w:val="auto"/>
              </w:rPr>
            </w:pPr>
            <w:r>
              <w:rPr>
                <w:rFonts w:hint="eastAsia" w:ascii="Times New Roman" w:hAnsi="Times New Roman"/>
                <w:color w:val="auto"/>
              </w:rPr>
              <w:t>5</w:t>
            </w:r>
          </w:p>
        </w:tc>
        <w:tc>
          <w:tcPr>
            <w:tcW w:w="1447" w:type="pct"/>
            <w:noWrap w:val="0"/>
            <w:vAlign w:val="center"/>
          </w:tcPr>
          <w:p w14:paraId="234482A8">
            <w:pPr>
              <w:pStyle w:val="17"/>
              <w:bidi w:val="0"/>
              <w:rPr>
                <w:rFonts w:ascii="Times New Roman" w:hAnsi="Times New Roman"/>
                <w:color w:val="auto"/>
              </w:rPr>
            </w:pPr>
            <w:r>
              <w:rPr>
                <w:rFonts w:hint="eastAsia" w:ascii="Times New Roman" w:hAnsi="Times New Roman"/>
                <w:color w:val="auto"/>
              </w:rPr>
              <w:t>未开展安全教育培训</w:t>
            </w:r>
          </w:p>
        </w:tc>
        <w:tc>
          <w:tcPr>
            <w:tcW w:w="1616" w:type="pct"/>
            <w:vMerge w:val="continue"/>
            <w:tcBorders>
              <w:right w:val="single" w:color="auto" w:sz="4" w:space="0"/>
            </w:tcBorders>
            <w:noWrap w:val="0"/>
            <w:vAlign w:val="center"/>
          </w:tcPr>
          <w:p w14:paraId="404DDB55">
            <w:pPr>
              <w:pStyle w:val="17"/>
              <w:bidi w:val="0"/>
              <w:rPr>
                <w:rFonts w:ascii="Times New Roman" w:hAnsi="Times New Roman"/>
                <w:color w:val="auto"/>
              </w:rPr>
            </w:pPr>
          </w:p>
        </w:tc>
        <w:tc>
          <w:tcPr>
            <w:tcW w:w="1151" w:type="pct"/>
            <w:vMerge w:val="continue"/>
            <w:tcBorders>
              <w:right w:val="single" w:color="auto" w:sz="4" w:space="0"/>
            </w:tcBorders>
            <w:noWrap w:val="0"/>
            <w:vAlign w:val="center"/>
          </w:tcPr>
          <w:p w14:paraId="09A1D664">
            <w:pPr>
              <w:pStyle w:val="17"/>
              <w:bidi w:val="0"/>
              <w:rPr>
                <w:rFonts w:ascii="Times New Roman" w:hAnsi="Times New Roman"/>
                <w:color w:val="auto"/>
              </w:rPr>
            </w:pPr>
          </w:p>
        </w:tc>
      </w:tr>
      <w:tr w14:paraId="09236F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403FE3D9">
            <w:pPr>
              <w:pStyle w:val="17"/>
              <w:bidi w:val="0"/>
              <w:rPr>
                <w:rFonts w:ascii="Times New Roman" w:hAnsi="Times New Roman"/>
                <w:color w:val="auto"/>
              </w:rPr>
            </w:pPr>
          </w:p>
        </w:tc>
        <w:tc>
          <w:tcPr>
            <w:tcW w:w="393" w:type="pct"/>
            <w:noWrap w:val="0"/>
            <w:vAlign w:val="center"/>
          </w:tcPr>
          <w:p w14:paraId="3CBDDE34">
            <w:pPr>
              <w:pStyle w:val="17"/>
              <w:bidi w:val="0"/>
              <w:rPr>
                <w:rFonts w:ascii="Times New Roman" w:hAnsi="Times New Roman"/>
                <w:color w:val="auto"/>
              </w:rPr>
            </w:pPr>
            <w:r>
              <w:rPr>
                <w:rFonts w:hint="eastAsia" w:ascii="Times New Roman" w:hAnsi="Times New Roman"/>
                <w:color w:val="auto"/>
              </w:rPr>
              <w:t>6</w:t>
            </w:r>
          </w:p>
        </w:tc>
        <w:tc>
          <w:tcPr>
            <w:tcW w:w="1447" w:type="pct"/>
            <w:noWrap w:val="0"/>
            <w:vAlign w:val="center"/>
          </w:tcPr>
          <w:p w14:paraId="2FAF8997">
            <w:pPr>
              <w:pStyle w:val="17"/>
              <w:bidi w:val="0"/>
              <w:rPr>
                <w:rFonts w:ascii="Times New Roman" w:hAnsi="Times New Roman"/>
                <w:color w:val="auto"/>
              </w:rPr>
            </w:pPr>
            <w:r>
              <w:rPr>
                <w:rFonts w:hint="eastAsia" w:ascii="Times New Roman" w:hAnsi="Times New Roman"/>
                <w:color w:val="auto"/>
              </w:rPr>
              <w:t>安全经费投入不足</w:t>
            </w:r>
          </w:p>
        </w:tc>
        <w:tc>
          <w:tcPr>
            <w:tcW w:w="1616" w:type="pct"/>
            <w:vMerge w:val="continue"/>
            <w:tcBorders>
              <w:right w:val="single" w:color="auto" w:sz="4" w:space="0"/>
            </w:tcBorders>
            <w:noWrap w:val="0"/>
            <w:vAlign w:val="center"/>
          </w:tcPr>
          <w:p w14:paraId="522C1AA6">
            <w:pPr>
              <w:pStyle w:val="17"/>
              <w:bidi w:val="0"/>
              <w:rPr>
                <w:rFonts w:ascii="Times New Roman" w:hAnsi="Times New Roman"/>
                <w:color w:val="auto"/>
              </w:rPr>
            </w:pPr>
          </w:p>
        </w:tc>
        <w:tc>
          <w:tcPr>
            <w:tcW w:w="1151" w:type="pct"/>
            <w:vMerge w:val="continue"/>
            <w:tcBorders>
              <w:right w:val="single" w:color="auto" w:sz="4" w:space="0"/>
            </w:tcBorders>
            <w:noWrap w:val="0"/>
            <w:vAlign w:val="center"/>
          </w:tcPr>
          <w:p w14:paraId="4384F530">
            <w:pPr>
              <w:pStyle w:val="17"/>
              <w:bidi w:val="0"/>
              <w:rPr>
                <w:rFonts w:ascii="Times New Roman" w:hAnsi="Times New Roman"/>
                <w:color w:val="auto"/>
              </w:rPr>
            </w:pPr>
          </w:p>
        </w:tc>
      </w:tr>
      <w:tr w14:paraId="19A9C6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90" w:type="pct"/>
            <w:vMerge w:val="continue"/>
            <w:tcBorders>
              <w:left w:val="single" w:color="auto" w:sz="4" w:space="0"/>
            </w:tcBorders>
            <w:noWrap w:val="0"/>
            <w:vAlign w:val="center"/>
          </w:tcPr>
          <w:p w14:paraId="5E8670CA">
            <w:pPr>
              <w:pStyle w:val="17"/>
              <w:bidi w:val="0"/>
              <w:rPr>
                <w:rFonts w:ascii="Times New Roman" w:hAnsi="Times New Roman"/>
                <w:color w:val="auto"/>
              </w:rPr>
            </w:pPr>
          </w:p>
        </w:tc>
        <w:tc>
          <w:tcPr>
            <w:tcW w:w="393" w:type="pct"/>
            <w:noWrap w:val="0"/>
            <w:vAlign w:val="center"/>
          </w:tcPr>
          <w:p w14:paraId="0E2BED7F">
            <w:pPr>
              <w:pStyle w:val="17"/>
              <w:bidi w:val="0"/>
              <w:rPr>
                <w:rFonts w:ascii="Times New Roman" w:hAnsi="Times New Roman"/>
                <w:color w:val="auto"/>
              </w:rPr>
            </w:pPr>
            <w:r>
              <w:rPr>
                <w:rFonts w:hint="eastAsia" w:ascii="Times New Roman" w:hAnsi="Times New Roman"/>
                <w:color w:val="auto"/>
              </w:rPr>
              <w:t>7</w:t>
            </w:r>
          </w:p>
        </w:tc>
        <w:tc>
          <w:tcPr>
            <w:tcW w:w="1447" w:type="pct"/>
            <w:noWrap w:val="0"/>
            <w:vAlign w:val="center"/>
          </w:tcPr>
          <w:p w14:paraId="29FA880B">
            <w:pPr>
              <w:pStyle w:val="17"/>
              <w:bidi w:val="0"/>
              <w:rPr>
                <w:rFonts w:hint="eastAsia" w:ascii="Times New Roman" w:hAnsi="Times New Roman"/>
                <w:color w:val="auto"/>
              </w:rPr>
            </w:pPr>
            <w:r>
              <w:rPr>
                <w:rFonts w:ascii="Times New Roman" w:hAnsi="Times New Roman"/>
                <w:color w:val="auto"/>
              </w:rPr>
              <w:t>职业安全健康管理不完善</w:t>
            </w:r>
          </w:p>
        </w:tc>
        <w:tc>
          <w:tcPr>
            <w:tcW w:w="1616" w:type="pct"/>
            <w:vMerge w:val="continue"/>
            <w:tcBorders>
              <w:right w:val="single" w:color="auto" w:sz="4" w:space="0"/>
            </w:tcBorders>
            <w:noWrap w:val="0"/>
            <w:vAlign w:val="center"/>
          </w:tcPr>
          <w:p w14:paraId="724AECB3">
            <w:pPr>
              <w:pStyle w:val="17"/>
              <w:bidi w:val="0"/>
              <w:rPr>
                <w:rFonts w:ascii="Times New Roman" w:hAnsi="Times New Roman"/>
                <w:color w:val="auto"/>
              </w:rPr>
            </w:pPr>
          </w:p>
        </w:tc>
        <w:tc>
          <w:tcPr>
            <w:tcW w:w="1151" w:type="pct"/>
            <w:vMerge w:val="continue"/>
            <w:tcBorders>
              <w:right w:val="single" w:color="auto" w:sz="4" w:space="0"/>
            </w:tcBorders>
            <w:noWrap w:val="0"/>
            <w:vAlign w:val="center"/>
          </w:tcPr>
          <w:p w14:paraId="00487EB2">
            <w:pPr>
              <w:pStyle w:val="17"/>
              <w:bidi w:val="0"/>
              <w:rPr>
                <w:rFonts w:ascii="Times New Roman" w:hAnsi="Times New Roman"/>
                <w:color w:val="auto"/>
              </w:rPr>
            </w:pPr>
          </w:p>
        </w:tc>
      </w:tr>
    </w:tbl>
    <w:p w14:paraId="5BF13E0A">
      <w:pPr>
        <w:pStyle w:val="4"/>
        <w:bidi w:val="0"/>
        <w:rPr>
          <w:rFonts w:ascii="Times New Roman" w:hAnsi="Times New Roman"/>
          <w:color w:val="auto"/>
        </w:rPr>
      </w:pPr>
      <w:bookmarkStart w:id="341" w:name="_Toc3859"/>
      <w:r>
        <w:rPr>
          <w:rFonts w:ascii="Times New Roman" w:hAnsi="Times New Roman"/>
          <w:color w:val="auto"/>
        </w:rPr>
        <w:t>5.1.3</w:t>
      </w:r>
      <w:r>
        <w:rPr>
          <w:rFonts w:hint="eastAsia" w:ascii="Times New Roman" w:hAnsi="Times New Roman"/>
          <w:color w:val="auto"/>
          <w:lang w:val="en-US" w:eastAsia="zh-CN"/>
        </w:rPr>
        <w:t xml:space="preserve"> </w:t>
      </w:r>
      <w:r>
        <w:rPr>
          <w:rFonts w:ascii="Times New Roman" w:hAnsi="Times New Roman"/>
          <w:color w:val="auto"/>
        </w:rPr>
        <w:t>该项目应重点防范的危险、有害因素</w:t>
      </w:r>
      <w:bookmarkEnd w:id="333"/>
      <w:bookmarkEnd w:id="334"/>
      <w:bookmarkEnd w:id="335"/>
      <w:bookmarkEnd w:id="336"/>
      <w:bookmarkEnd w:id="337"/>
      <w:bookmarkEnd w:id="338"/>
      <w:bookmarkEnd w:id="339"/>
      <w:bookmarkEnd w:id="340"/>
      <w:bookmarkEnd w:id="341"/>
    </w:p>
    <w:p w14:paraId="4DF80411">
      <w:pPr>
        <w:bidi w:val="0"/>
        <w:rPr>
          <w:rFonts w:ascii="Times New Roman" w:hAnsi="Times New Roman"/>
          <w:color w:val="auto"/>
        </w:rPr>
      </w:pPr>
      <w:r>
        <w:rPr>
          <w:rFonts w:ascii="Times New Roman" w:hAnsi="Times New Roman"/>
          <w:color w:val="auto"/>
        </w:rPr>
        <w:t>该项目应重点防范以下危险因素：</w:t>
      </w:r>
      <w:r>
        <w:rPr>
          <w:rFonts w:ascii="Times New Roman" w:hAnsi="Times New Roman"/>
          <w:color w:val="auto"/>
          <w:lang w:val="en-GB"/>
        </w:rPr>
        <w:t>边坡失稳</w:t>
      </w:r>
      <w:r>
        <w:rPr>
          <w:rFonts w:hint="eastAsia" w:ascii="Times New Roman" w:hAnsi="Times New Roman"/>
          <w:color w:val="auto"/>
          <w:lang w:val="en-GB" w:eastAsia="zh-CN"/>
        </w:rPr>
        <w:t>（</w:t>
      </w:r>
      <w:r>
        <w:rPr>
          <w:rFonts w:ascii="Times New Roman" w:hAnsi="Times New Roman"/>
          <w:color w:val="auto"/>
          <w:lang w:val="en-GB"/>
        </w:rPr>
        <w:t>滑坡</w:t>
      </w:r>
      <w:r>
        <w:rPr>
          <w:rFonts w:hint="eastAsia" w:ascii="Times New Roman" w:hAnsi="Times New Roman"/>
          <w:color w:val="auto"/>
          <w:lang w:val="en-GB" w:eastAsia="zh-CN"/>
        </w:rPr>
        <w:t>）</w:t>
      </w:r>
      <w:r>
        <w:rPr>
          <w:rFonts w:ascii="Times New Roman" w:hAnsi="Times New Roman"/>
          <w:color w:val="auto"/>
          <w:lang w:val="en-GB"/>
        </w:rPr>
        <w:t>、爆破伤害、</w:t>
      </w:r>
      <w:r>
        <w:rPr>
          <w:rFonts w:hint="eastAsia" w:ascii="Times New Roman" w:hAnsi="Times New Roman"/>
          <w:color w:val="auto"/>
          <w:lang w:val="en-US" w:eastAsia="zh-CN"/>
        </w:rPr>
        <w:t>滚石、</w:t>
      </w:r>
      <w:r>
        <w:rPr>
          <w:rFonts w:ascii="Times New Roman" w:hAnsi="Times New Roman"/>
          <w:color w:val="auto"/>
          <w:lang w:val="en-GB"/>
        </w:rPr>
        <w:t>高处坠落、机械伤害、车辆伤害、触电</w:t>
      </w:r>
      <w:r>
        <w:rPr>
          <w:rFonts w:ascii="Times New Roman" w:hAnsi="Times New Roman"/>
          <w:color w:val="auto"/>
        </w:rPr>
        <w:t>。</w:t>
      </w:r>
    </w:p>
    <w:p w14:paraId="52C19799">
      <w:pPr>
        <w:pStyle w:val="3"/>
        <w:bidi w:val="0"/>
        <w:rPr>
          <w:rFonts w:ascii="Times New Roman" w:hAnsi="Times New Roman"/>
          <w:color w:val="auto"/>
        </w:rPr>
      </w:pPr>
      <w:bookmarkStart w:id="342" w:name="_Toc32388"/>
      <w:bookmarkStart w:id="343" w:name="_Toc226963217"/>
      <w:bookmarkStart w:id="344" w:name="_Toc23949"/>
      <w:bookmarkStart w:id="345" w:name="_Toc115141973"/>
      <w:bookmarkStart w:id="346" w:name="_Toc3779"/>
      <w:bookmarkStart w:id="347" w:name="_Toc12916"/>
      <w:bookmarkStart w:id="348" w:name="_Toc115120302"/>
      <w:bookmarkStart w:id="349" w:name="_Toc16518"/>
      <w:bookmarkStart w:id="350" w:name="_Toc4469"/>
      <w:bookmarkStart w:id="351" w:name="_Toc242849829"/>
      <w:bookmarkStart w:id="352" w:name="_Toc115120696"/>
      <w:r>
        <w:rPr>
          <w:rFonts w:ascii="Times New Roman" w:hAnsi="Times New Roman"/>
          <w:color w:val="auto"/>
        </w:rPr>
        <w:t>5.2</w:t>
      </w:r>
      <w:r>
        <w:rPr>
          <w:rFonts w:hint="eastAsia" w:ascii="Times New Roman" w:hAnsi="Times New Roman"/>
          <w:color w:val="auto"/>
          <w:lang w:val="en-US" w:eastAsia="zh-CN"/>
        </w:rPr>
        <w:t xml:space="preserve"> </w:t>
      </w:r>
      <w:r>
        <w:rPr>
          <w:rFonts w:ascii="Times New Roman" w:hAnsi="Times New Roman"/>
          <w:color w:val="auto"/>
        </w:rPr>
        <w:t>该项目应重视的安全对策措施建议</w:t>
      </w:r>
      <w:bookmarkEnd w:id="342"/>
      <w:bookmarkEnd w:id="343"/>
      <w:bookmarkEnd w:id="344"/>
      <w:bookmarkEnd w:id="345"/>
      <w:bookmarkEnd w:id="346"/>
      <w:bookmarkEnd w:id="347"/>
      <w:bookmarkEnd w:id="348"/>
      <w:bookmarkEnd w:id="349"/>
      <w:bookmarkEnd w:id="350"/>
      <w:bookmarkEnd w:id="351"/>
      <w:bookmarkEnd w:id="352"/>
    </w:p>
    <w:p w14:paraId="5D374493">
      <w:pPr>
        <w:bidi w:val="0"/>
        <w:rPr>
          <w:rFonts w:ascii="Times New Roman" w:hAnsi="Times New Roman"/>
          <w:color w:val="auto"/>
        </w:rPr>
      </w:pPr>
      <w:r>
        <w:rPr>
          <w:rFonts w:hint="default" w:ascii="Times New Roman" w:hAnsi="Times New Roman"/>
          <w:color w:val="auto"/>
          <w:lang w:val="en-US" w:eastAsia="zh-CN"/>
        </w:rPr>
        <w:t>1</w:t>
      </w:r>
      <w:r>
        <w:rPr>
          <w:rFonts w:hint="eastAsia" w:ascii="Times New Roman" w:hAnsi="Times New Roman"/>
          <w:color w:val="auto"/>
          <w:lang w:val="en-US" w:eastAsia="zh-CN"/>
        </w:rPr>
        <w:t>、</w:t>
      </w:r>
      <w:r>
        <w:rPr>
          <w:rFonts w:ascii="Times New Roman" w:hAnsi="Times New Roman"/>
          <w:color w:val="auto"/>
        </w:rPr>
        <w:t>矿山应严格按照设计要求开采，在临近</w:t>
      </w:r>
      <w:r>
        <w:rPr>
          <w:rFonts w:hint="eastAsia" w:ascii="Times New Roman" w:hAnsi="Times New Roman"/>
          <w:color w:val="auto"/>
        </w:rPr>
        <w:t>边坡</w:t>
      </w:r>
      <w:r>
        <w:rPr>
          <w:rFonts w:ascii="Times New Roman" w:hAnsi="Times New Roman"/>
          <w:color w:val="auto"/>
        </w:rPr>
        <w:t>作业时，安全管理技术人员要对生产作业情况进行现场观察，发现异常及时处理，并做好安全防护措施。</w:t>
      </w:r>
    </w:p>
    <w:p w14:paraId="2E030E63">
      <w:pPr>
        <w:bidi w:val="0"/>
        <w:rPr>
          <w:rFonts w:hint="eastAsia" w:ascii="Times New Roman" w:hAnsi="Times New Roman"/>
          <w:color w:val="auto"/>
        </w:rPr>
      </w:pPr>
      <w:r>
        <w:rPr>
          <w:rFonts w:hint="eastAsia" w:ascii="Times New Roman" w:hAnsi="Times New Roman"/>
          <w:color w:val="auto"/>
          <w:lang w:val="en-US" w:eastAsia="zh-CN"/>
        </w:rPr>
        <w:t>2</w:t>
      </w:r>
      <w:r>
        <w:rPr>
          <w:rFonts w:hint="eastAsia" w:ascii="Times New Roman" w:hAnsi="Times New Roman"/>
          <w:color w:val="auto"/>
          <w:lang w:val="en-GB" w:eastAsia="zh-CN"/>
        </w:rPr>
        <w:t>、</w:t>
      </w:r>
      <w:r>
        <w:rPr>
          <w:rFonts w:hint="eastAsia" w:ascii="Times New Roman" w:hAnsi="Times New Roman"/>
          <w:color w:val="auto"/>
        </w:rPr>
        <w:t>矿山应按照矿安〔2022〕4号文和矿安综〔2025〕12号文内容，强化生产技术、调度、机电运输、地质测量、安全管理工作，矿长和负责技术、安全、生产、机电工作的副矿长，必须有主体专业大专以上学历且有10年以上矿山一线从业经历。配备负责生产技术、调度、机电运输、地质测量、安全管理工作职能部门的技术人员，上述职能部门的主要负责人必须为主体专业毕业且有5年以上矿山一线从业经历。</w:t>
      </w:r>
    </w:p>
    <w:p w14:paraId="711434B0">
      <w:pPr>
        <w:bidi w:val="0"/>
        <w:rPr>
          <w:rFonts w:hint="eastAsia" w:ascii="Times New Roman" w:hAnsi="Times New Roman"/>
          <w:color w:val="auto"/>
        </w:rPr>
      </w:pPr>
      <w:r>
        <w:rPr>
          <w:rFonts w:hint="eastAsia" w:ascii="Times New Roman" w:hAnsi="Times New Roman"/>
          <w:color w:val="auto"/>
          <w:lang w:val="en-US" w:eastAsia="zh-CN"/>
        </w:rPr>
        <w:t>3</w:t>
      </w:r>
      <w:r>
        <w:rPr>
          <w:rFonts w:hint="eastAsia" w:ascii="Times New Roman" w:hAnsi="Times New Roman"/>
          <w:color w:val="auto"/>
          <w:lang w:eastAsia="zh-CN"/>
        </w:rPr>
        <w:t>、</w:t>
      </w:r>
      <w:r>
        <w:rPr>
          <w:rFonts w:hint="eastAsia" w:ascii="Times New Roman" w:hAnsi="Times New Roman"/>
          <w:color w:val="auto"/>
        </w:rPr>
        <w:t>道路设置安全警示标牌。包括：限速、弯道、路口指示、停车指示等标志；沿道路外侧设立安全桩或安全墙；建立道路运输安全管理制度，对操作人员的行为进行规范，定期进行车辆维护保养确保车况良好。</w:t>
      </w:r>
    </w:p>
    <w:p w14:paraId="4FF2A21F">
      <w:pPr>
        <w:bidi w:val="0"/>
        <w:rPr>
          <w:rFonts w:hint="eastAsia" w:ascii="Times New Roman" w:hAnsi="Times New Roman"/>
          <w:color w:val="auto"/>
        </w:rPr>
      </w:pPr>
      <w:r>
        <w:rPr>
          <w:rFonts w:hint="eastAsia" w:ascii="Times New Roman" w:hAnsi="Times New Roman"/>
          <w:color w:val="auto"/>
          <w:lang w:val="en-US" w:eastAsia="zh-CN"/>
        </w:rPr>
        <w:t>4、</w:t>
      </w:r>
      <w:r>
        <w:rPr>
          <w:rFonts w:hint="eastAsia" w:ascii="Times New Roman" w:hAnsi="Times New Roman"/>
          <w:color w:val="auto"/>
        </w:rPr>
        <w:t>矿山周边有大量耕地，矿区内存在未征地</w:t>
      </w:r>
      <w:r>
        <w:rPr>
          <w:rFonts w:hint="eastAsia" w:ascii="Times New Roman" w:hAnsi="Times New Roman"/>
          <w:color w:val="auto"/>
          <w:lang w:eastAsia="zh-CN"/>
        </w:rPr>
        <w:t>，</w:t>
      </w:r>
      <w:r>
        <w:rPr>
          <w:rFonts w:hint="eastAsia" w:ascii="Times New Roman" w:hAnsi="Times New Roman"/>
          <w:color w:val="auto"/>
        </w:rPr>
        <w:t>矿山生产爆破时位于爆破警戒范围内的所有人员必须撤离至爆破警戒线以外。企业爆破采取定时爆破，爆破前提前告知周边种植户，并配专人进行负责撤离爆破警戒范围内人员后方可爆破。</w:t>
      </w:r>
    </w:p>
    <w:p w14:paraId="751AD6AE">
      <w:pPr>
        <w:bidi w:val="0"/>
        <w:rPr>
          <w:rFonts w:hint="default" w:ascii="Times New Roman" w:hAnsi="Times New Roman"/>
          <w:color w:val="auto"/>
          <w:lang w:val="en-US" w:eastAsia="zh-CN"/>
        </w:rPr>
      </w:pPr>
      <w:r>
        <w:rPr>
          <w:rFonts w:hint="eastAsia" w:ascii="Times New Roman" w:hAnsi="Times New Roman"/>
          <w:color w:val="auto"/>
          <w:lang w:val="en-US" w:eastAsia="zh-CN"/>
        </w:rPr>
        <w:t>5、</w:t>
      </w:r>
      <w:r>
        <w:rPr>
          <w:rFonts w:hint="default" w:ascii="Times New Roman" w:hAnsi="Times New Roman"/>
          <w:color w:val="auto"/>
          <w:lang w:val="en-US" w:eastAsia="zh-CN"/>
        </w:rPr>
        <w:t>矿山在生产中一定要加强爆破警戒管理，科学有效计划并组织实施周边人员、车辆</w:t>
      </w:r>
      <w:r>
        <w:rPr>
          <w:rFonts w:hint="eastAsia" w:ascii="Times New Roman" w:hAnsi="Times New Roman"/>
          <w:color w:val="auto"/>
          <w:lang w:val="en-US" w:eastAsia="zh-CN"/>
        </w:rPr>
        <w:t>、爆破警戒范围内的设施</w:t>
      </w:r>
      <w:r>
        <w:rPr>
          <w:rFonts w:hint="default" w:ascii="Times New Roman" w:hAnsi="Times New Roman"/>
          <w:color w:val="auto"/>
          <w:lang w:val="en-US" w:eastAsia="zh-CN"/>
        </w:rPr>
        <w:t>等的避炮工作，确保矿山生产的安全。</w:t>
      </w:r>
    </w:p>
    <w:p w14:paraId="226EE90A">
      <w:pPr>
        <w:bidi w:val="0"/>
        <w:rPr>
          <w:color w:val="auto"/>
        </w:rPr>
      </w:pPr>
      <w:r>
        <w:rPr>
          <w:rFonts w:hint="eastAsia" w:ascii="Times New Roman" w:hAnsi="Times New Roman"/>
          <w:color w:val="auto"/>
          <w:lang w:val="en-US" w:eastAsia="zh-CN"/>
        </w:rPr>
        <w:t>6、矿山应按照下一步设计设置边坡监测设施，健全边坡日常管理制度，对露天矿边坡进行实时动态监测，同时配置专职安全员对边坡安全进行巡视检查。</w:t>
      </w:r>
    </w:p>
    <w:p w14:paraId="3E142663">
      <w:pPr>
        <w:bidi w:val="0"/>
        <w:rPr>
          <w:rFonts w:hint="default"/>
          <w:color w:val="auto"/>
          <w:lang w:val="en-US" w:eastAsia="zh-CN"/>
        </w:rPr>
      </w:pPr>
      <w:r>
        <w:rPr>
          <w:rFonts w:hint="eastAsia"/>
          <w:color w:val="auto"/>
          <w:lang w:val="en-US" w:eastAsia="zh-CN"/>
        </w:rPr>
        <w:t>7、</w:t>
      </w:r>
      <w:r>
        <w:rPr>
          <w:rFonts w:hint="default"/>
          <w:color w:val="auto"/>
          <w:lang w:val="en-US" w:eastAsia="zh-CN"/>
        </w:rPr>
        <w:t>矿山开采过程中应严格做好原有边坡衔接与临时排土场专项安全管控：边坡衔接施工前须全面排查整治危岩浮石、规整边坡参数，施工中采用分层平顺衔接及控制爆破工艺减少边坡扰动，对破碎边坡实施锚固喷护等加固措施，并完善全域排水系统与边坡监测巡检、隐患闭环管理制度，严防边坡落石、坍塌滑坡事故；临时排土场需规范选址、压实基底、划定作业边界，严格执行分层堆填碾压作业要求，严控堆载高度、边坡坡度及车辆卸载安全距离，落实排水防冲刷及日常隐患排查工作。</w:t>
      </w:r>
    </w:p>
    <w:p w14:paraId="35E35C22">
      <w:pPr>
        <w:pStyle w:val="3"/>
        <w:bidi w:val="0"/>
        <w:rPr>
          <w:rFonts w:ascii="Times New Roman" w:hAnsi="Times New Roman"/>
          <w:color w:val="auto"/>
        </w:rPr>
      </w:pPr>
      <w:bookmarkStart w:id="353" w:name="_Toc6125"/>
      <w:bookmarkStart w:id="354" w:name="_Toc242849830"/>
      <w:bookmarkStart w:id="355" w:name="_Toc115120697"/>
      <w:bookmarkStart w:id="356" w:name="_Toc23171"/>
      <w:bookmarkStart w:id="357" w:name="_Toc4543"/>
      <w:bookmarkStart w:id="358" w:name="_Toc115141974"/>
      <w:bookmarkStart w:id="359" w:name="_Toc6922"/>
      <w:bookmarkStart w:id="360" w:name="_Toc824"/>
      <w:bookmarkStart w:id="361" w:name="_Toc226963218"/>
      <w:bookmarkStart w:id="362" w:name="_Toc115120303"/>
      <w:bookmarkStart w:id="363" w:name="_Toc12744"/>
      <w:r>
        <w:rPr>
          <w:rFonts w:ascii="Times New Roman" w:hAnsi="Times New Roman"/>
          <w:color w:val="auto"/>
        </w:rPr>
        <w:t>5.3</w:t>
      </w:r>
      <w:r>
        <w:rPr>
          <w:rFonts w:hint="eastAsia" w:ascii="Times New Roman" w:hAnsi="Times New Roman"/>
          <w:color w:val="auto"/>
          <w:lang w:val="en-US" w:eastAsia="zh-CN"/>
        </w:rPr>
        <w:t xml:space="preserve"> </w:t>
      </w:r>
      <w:r>
        <w:rPr>
          <w:rFonts w:ascii="Times New Roman" w:hAnsi="Times New Roman"/>
          <w:color w:val="auto"/>
        </w:rPr>
        <w:t>安全预评价结论</w:t>
      </w:r>
      <w:bookmarkEnd w:id="353"/>
      <w:bookmarkEnd w:id="354"/>
      <w:bookmarkEnd w:id="355"/>
      <w:bookmarkEnd w:id="356"/>
      <w:bookmarkEnd w:id="357"/>
      <w:bookmarkEnd w:id="358"/>
      <w:bookmarkEnd w:id="359"/>
      <w:bookmarkEnd w:id="360"/>
      <w:bookmarkEnd w:id="361"/>
      <w:bookmarkEnd w:id="362"/>
      <w:bookmarkEnd w:id="363"/>
    </w:p>
    <w:p w14:paraId="243DF7BD">
      <w:pPr>
        <w:bidi w:val="0"/>
        <w:rPr>
          <w:rFonts w:ascii="Times New Roman" w:hAnsi="Times New Roman"/>
          <w:color w:val="auto"/>
        </w:rPr>
      </w:pPr>
      <w:r>
        <w:rPr>
          <w:rFonts w:ascii="Times New Roman" w:hAnsi="Times New Roman"/>
          <w:color w:val="auto"/>
        </w:rPr>
        <w:t>评价组根据对评价项目的现场调查和相关资料的分析，完成了项目主要危险、有害因素的辨识和分析，对项目进行了较为科学合理的单元划分，并按照所选择的评价方法，对项目中存在的危险、有害因素进行了全面的定性评价，提出了合理可行的安全对策措施。</w:t>
      </w:r>
    </w:p>
    <w:p w14:paraId="747AFA56">
      <w:pPr>
        <w:bidi w:val="0"/>
        <w:rPr>
          <w:rFonts w:ascii="Times New Roman" w:hAnsi="Times New Roman"/>
          <w:color w:val="auto"/>
        </w:rPr>
      </w:pPr>
      <w:r>
        <w:rPr>
          <w:rFonts w:ascii="Times New Roman" w:hAnsi="Times New Roman"/>
          <w:color w:val="auto"/>
        </w:rPr>
        <w:t>按照评价要求和各单元的分析评价结论，对</w:t>
      </w:r>
      <w:r>
        <w:rPr>
          <w:rFonts w:hint="eastAsia" w:ascii="Times New Roman" w:hAnsi="Times New Roman"/>
          <w:color w:val="auto"/>
          <w:lang w:eastAsia="zh-CN"/>
        </w:rPr>
        <w:t>昭阳区文辉矿业有限公司洒渔大桥石灰岩矿70万t/a露天采矿工程</w:t>
      </w:r>
      <w:r>
        <w:rPr>
          <w:rFonts w:ascii="Times New Roman" w:hAnsi="Times New Roman"/>
          <w:color w:val="auto"/>
        </w:rPr>
        <w:t>建设项目形成以下预评价结论：</w:t>
      </w:r>
    </w:p>
    <w:p w14:paraId="154AE3C7">
      <w:pPr>
        <w:bidi w:val="0"/>
        <w:rPr>
          <w:rFonts w:ascii="Times New Roman" w:hAnsi="Times New Roman"/>
          <w:color w:val="auto"/>
        </w:rPr>
      </w:pPr>
      <w:r>
        <w:rPr>
          <w:rFonts w:ascii="Times New Roman" w:hAnsi="Times New Roman"/>
          <w:color w:val="auto"/>
        </w:rPr>
        <w:t>1</w:t>
      </w:r>
      <w:r>
        <w:rPr>
          <w:rFonts w:hint="eastAsia" w:ascii="Times New Roman" w:hAnsi="Times New Roman"/>
          <w:color w:val="auto"/>
          <w:lang w:eastAsia="zh-CN"/>
        </w:rPr>
        <w:t>、昭阳区文辉矿业有限公司洒渔大桥石灰岩矿70万t/a露天采矿工程</w:t>
      </w:r>
      <w:r>
        <w:rPr>
          <w:rFonts w:ascii="Times New Roman" w:hAnsi="Times New Roman"/>
          <w:color w:val="auto"/>
        </w:rPr>
        <w:t>建设项目证照齐全、有效，建设项目建设程序合法。</w:t>
      </w:r>
    </w:p>
    <w:p w14:paraId="6A230137">
      <w:pPr>
        <w:bidi w:val="0"/>
        <w:rPr>
          <w:rFonts w:ascii="Times New Roman" w:hAnsi="Times New Roman"/>
          <w:color w:val="auto"/>
        </w:rPr>
      </w:pPr>
      <w:r>
        <w:rPr>
          <w:rFonts w:ascii="Times New Roman" w:hAnsi="Times New Roman"/>
          <w:color w:val="auto"/>
        </w:rPr>
        <w:t>2</w:t>
      </w:r>
      <w:r>
        <w:rPr>
          <w:rFonts w:hint="eastAsia" w:ascii="Times New Roman" w:hAnsi="Times New Roman"/>
          <w:color w:val="auto"/>
          <w:lang w:eastAsia="zh-CN"/>
        </w:rPr>
        <w:t>、昭阳区文辉矿业有限公司洒渔大桥石灰岩矿70万t/a露天采矿工程</w:t>
      </w:r>
      <w:r>
        <w:rPr>
          <w:rFonts w:ascii="Times New Roman" w:hAnsi="Times New Roman"/>
          <w:color w:val="auto"/>
        </w:rPr>
        <w:t>建设项目的选址合理，符合有关法律、法规、标准和规程的规定。</w:t>
      </w:r>
    </w:p>
    <w:p w14:paraId="626FA601">
      <w:pPr>
        <w:bidi w:val="0"/>
        <w:rPr>
          <w:rFonts w:ascii="Times New Roman" w:hAnsi="Times New Roman"/>
          <w:color w:val="auto"/>
        </w:rPr>
      </w:pPr>
      <w:r>
        <w:rPr>
          <w:rFonts w:ascii="Times New Roman" w:hAnsi="Times New Roman"/>
          <w:color w:val="auto"/>
        </w:rPr>
        <w:t>3</w:t>
      </w:r>
      <w:r>
        <w:rPr>
          <w:rFonts w:hint="eastAsia" w:ascii="Times New Roman" w:hAnsi="Times New Roman"/>
          <w:color w:val="auto"/>
          <w:lang w:eastAsia="zh-CN"/>
        </w:rPr>
        <w:t>、</w:t>
      </w:r>
      <w:r>
        <w:rPr>
          <w:rFonts w:ascii="Times New Roman" w:hAnsi="Times New Roman"/>
          <w:color w:val="auto"/>
        </w:rPr>
        <w:t>《</w:t>
      </w:r>
      <w:r>
        <w:rPr>
          <w:rFonts w:hint="eastAsia" w:ascii="Times New Roman" w:hAnsi="Times New Roman"/>
          <w:color w:val="auto"/>
          <w:lang w:eastAsia="zh-CN"/>
        </w:rPr>
        <w:t>昭阳区文辉矿业有限公司洒渔大桥石灰岩矿70万t/a露天采矿工程初步设计（代可研）</w:t>
      </w:r>
      <w:r>
        <w:rPr>
          <w:rFonts w:ascii="Times New Roman" w:hAnsi="Times New Roman"/>
          <w:color w:val="auto"/>
        </w:rPr>
        <w:t>》方案中的工艺设计总体上符合《金属非金属矿山安全规程》</w:t>
      </w:r>
      <w:r>
        <w:rPr>
          <w:rFonts w:hint="eastAsia" w:ascii="Times New Roman" w:hAnsi="Times New Roman"/>
          <w:color w:val="auto"/>
          <w:lang w:eastAsia="zh-CN"/>
        </w:rPr>
        <w:t>（</w:t>
      </w:r>
      <w:r>
        <w:rPr>
          <w:rFonts w:ascii="Times New Roman" w:hAnsi="Times New Roman"/>
          <w:color w:val="auto"/>
        </w:rPr>
        <w:t>GB16423-2020</w:t>
      </w:r>
      <w:r>
        <w:rPr>
          <w:rFonts w:hint="eastAsia" w:ascii="Times New Roman" w:hAnsi="Times New Roman"/>
          <w:color w:val="auto"/>
          <w:lang w:eastAsia="zh-CN"/>
        </w:rPr>
        <w:t>）</w:t>
      </w:r>
      <w:r>
        <w:rPr>
          <w:rFonts w:ascii="Times New Roman" w:hAnsi="Times New Roman"/>
          <w:color w:val="auto"/>
        </w:rPr>
        <w:t>等法规的有关规定，露天开采各工艺参数符合相关规范要求。</w:t>
      </w:r>
    </w:p>
    <w:p w14:paraId="139618DA">
      <w:pPr>
        <w:bidi w:val="0"/>
        <w:rPr>
          <w:rFonts w:ascii="Times New Roman" w:hAnsi="Times New Roman"/>
          <w:color w:val="auto"/>
        </w:rPr>
      </w:pPr>
      <w:r>
        <w:rPr>
          <w:rFonts w:ascii="Times New Roman" w:hAnsi="Times New Roman"/>
          <w:color w:val="auto"/>
        </w:rPr>
        <w:t>4</w:t>
      </w:r>
      <w:r>
        <w:rPr>
          <w:rFonts w:hint="eastAsia" w:ascii="Times New Roman" w:hAnsi="Times New Roman"/>
          <w:color w:val="auto"/>
          <w:lang w:eastAsia="zh-CN"/>
        </w:rPr>
        <w:t>、</w:t>
      </w:r>
      <w:r>
        <w:rPr>
          <w:rFonts w:ascii="Times New Roman" w:hAnsi="Times New Roman"/>
          <w:color w:val="auto"/>
        </w:rPr>
        <w:t>项目中虽然存在滚石、边坡失稳、滑坡、泥石流、物体打击、高处坠落、车辆伤害、机械伤害、火灾、触电、粉尘、其它伤害等潜在的危险和有害因素，但在项目建设施工和生产过程中，通过落实设计方案中的安全对策措施和本次安全预评价报告补充的安全对策措施，切实针对项目中危险、有害因素对设计和生产设施进一步优化和完善，认真落实国家相关安全生产的法规、标准、规程、规范，加强事故预防和安全管理工作，即可为满足该项目安全生产的要求奠定基础，该项目潜在的危险、有害因素能得到控制，在可接受的范围内。</w:t>
      </w:r>
    </w:p>
    <w:p w14:paraId="56271E24">
      <w:pPr>
        <w:bidi w:val="0"/>
        <w:rPr>
          <w:rFonts w:ascii="Times New Roman" w:hAnsi="Times New Roman"/>
          <w:b/>
          <w:bCs/>
          <w:color w:val="auto"/>
        </w:rPr>
      </w:pPr>
      <w:r>
        <w:rPr>
          <w:rFonts w:ascii="Times New Roman" w:hAnsi="Times New Roman"/>
          <w:b/>
          <w:bCs/>
          <w:color w:val="auto"/>
        </w:rPr>
        <w:t>经评价认为：</w:t>
      </w:r>
      <w:r>
        <w:rPr>
          <w:rFonts w:hint="eastAsia" w:ascii="Times New Roman" w:hAnsi="Times New Roman"/>
          <w:b/>
          <w:bCs/>
          <w:color w:val="auto"/>
          <w:lang w:eastAsia="zh-CN"/>
        </w:rPr>
        <w:t>昭阳区文辉矿业有限公司洒渔大桥石灰岩矿70万t/a露天采矿工程</w:t>
      </w:r>
      <w:r>
        <w:rPr>
          <w:rFonts w:ascii="Times New Roman" w:hAnsi="Times New Roman"/>
          <w:b/>
          <w:bCs/>
          <w:color w:val="auto"/>
        </w:rPr>
        <w:t>建设方案从安全生产角度符合国家相关法律、法规、规章、标准和规范的要求。</w:t>
      </w:r>
    </w:p>
    <w:p w14:paraId="79286EB4">
      <w:pPr>
        <w:bidi w:val="0"/>
        <w:rPr>
          <w:rFonts w:hint="eastAsia" w:ascii="Times New Roman" w:hAnsi="Times New Roman"/>
          <w:color w:val="auto"/>
        </w:rPr>
      </w:pPr>
      <w:r>
        <w:rPr>
          <w:rFonts w:ascii="Times New Roman" w:hAnsi="Times New Roman"/>
          <w:color w:val="auto"/>
        </w:rPr>
        <w:t>在今后的设计、施工和生产过程中，建设单位应按有关法规和标准的要求，认真落实各项安全措施和预防手段，确保该</w:t>
      </w:r>
      <w:r>
        <w:rPr>
          <w:rFonts w:hint="eastAsia" w:ascii="Times New Roman" w:hAnsi="Times New Roman"/>
          <w:color w:val="auto"/>
        </w:rPr>
        <w:t>扩建</w:t>
      </w:r>
      <w:r>
        <w:rPr>
          <w:rFonts w:ascii="Times New Roman" w:hAnsi="Times New Roman"/>
          <w:color w:val="auto"/>
        </w:rPr>
        <w:t>项目的安全设施与主体工程同时设计、同时施工、同时投入生产和使用。根据本安全预评价报告中提出的安全对策措施，该</w:t>
      </w:r>
      <w:r>
        <w:rPr>
          <w:rFonts w:hint="eastAsia" w:ascii="Times New Roman" w:hAnsi="Times New Roman"/>
          <w:color w:val="auto"/>
        </w:rPr>
        <w:t>扩建</w:t>
      </w:r>
      <w:r>
        <w:rPr>
          <w:rFonts w:ascii="Times New Roman" w:hAnsi="Times New Roman"/>
          <w:color w:val="auto"/>
        </w:rPr>
        <w:t>项目应在下一步安全设施设计中进行完善与补充，以保证该</w:t>
      </w:r>
      <w:r>
        <w:rPr>
          <w:rFonts w:hint="eastAsia" w:ascii="Times New Roman" w:hAnsi="Times New Roman"/>
          <w:color w:val="auto"/>
        </w:rPr>
        <w:t>扩建</w:t>
      </w:r>
      <w:r>
        <w:rPr>
          <w:rFonts w:ascii="Times New Roman" w:hAnsi="Times New Roman"/>
          <w:color w:val="auto"/>
        </w:rPr>
        <w:t>项目建成投产后能安全运行。</w:t>
      </w:r>
    </w:p>
    <w:p w14:paraId="31FA43F9">
      <w:pPr>
        <w:rPr>
          <w:rFonts w:hint="eastAsia" w:ascii="Times New Roman" w:hAnsi="Times New Roman"/>
          <w:color w:val="auto"/>
        </w:rPr>
      </w:pPr>
      <w:r>
        <w:rPr>
          <w:rFonts w:hint="eastAsia" w:ascii="Times New Roman" w:hAnsi="Times New Roman"/>
          <w:color w:val="auto"/>
        </w:rPr>
        <w:br w:type="page"/>
      </w:r>
    </w:p>
    <w:p w14:paraId="6C1E36EF">
      <w:pPr>
        <w:pStyle w:val="2"/>
        <w:bidi w:val="0"/>
        <w:rPr>
          <w:rFonts w:hint="eastAsia" w:ascii="Times New Roman" w:hAnsi="Times New Roman"/>
          <w:color w:val="auto"/>
        </w:rPr>
      </w:pPr>
      <w:bookmarkStart w:id="364" w:name="_Toc24735"/>
      <w:r>
        <w:rPr>
          <w:rFonts w:hint="eastAsia" w:ascii="Times New Roman" w:hAnsi="Times New Roman"/>
          <w:color w:val="auto"/>
          <w:lang w:val="en-US" w:eastAsia="zh-CN"/>
        </w:rPr>
        <w:t>6</w:t>
      </w:r>
      <w:r>
        <w:rPr>
          <w:rFonts w:hint="eastAsia" w:ascii="Times New Roman" w:hAnsi="Times New Roman"/>
          <w:color w:val="auto"/>
        </w:rPr>
        <w:t xml:space="preserve"> 附件和附图</w:t>
      </w:r>
      <w:bookmarkEnd w:id="364"/>
    </w:p>
    <w:p w14:paraId="75E8C487">
      <w:pPr>
        <w:pStyle w:val="3"/>
        <w:bidi w:val="0"/>
        <w:rPr>
          <w:rFonts w:hint="eastAsia" w:ascii="Times New Roman" w:hAnsi="Times New Roman"/>
          <w:color w:val="auto"/>
        </w:rPr>
      </w:pPr>
      <w:bookmarkStart w:id="365" w:name="_Toc9066"/>
      <w:r>
        <w:rPr>
          <w:rFonts w:hint="eastAsia" w:ascii="Times New Roman" w:hAnsi="Times New Roman"/>
          <w:color w:val="auto"/>
          <w:lang w:val="en-US" w:eastAsia="zh-CN"/>
        </w:rPr>
        <w:t>6</w:t>
      </w:r>
      <w:r>
        <w:rPr>
          <w:rFonts w:hint="eastAsia" w:ascii="Times New Roman" w:hAnsi="Times New Roman"/>
          <w:color w:val="auto"/>
        </w:rPr>
        <w:t>.1 附件</w:t>
      </w:r>
      <w:bookmarkEnd w:id="365"/>
    </w:p>
    <w:p w14:paraId="608F5A48">
      <w:pPr>
        <w:bidi w:val="0"/>
        <w:rPr>
          <w:rFonts w:hint="eastAsia" w:ascii="Times New Roman" w:hAnsi="Times New Roman"/>
          <w:color w:val="auto"/>
        </w:rPr>
      </w:pPr>
      <w:r>
        <w:rPr>
          <w:rFonts w:hint="eastAsia" w:ascii="Times New Roman" w:hAnsi="Times New Roman"/>
          <w:color w:val="auto"/>
        </w:rPr>
        <w:t>1、安全预评价委托书；</w:t>
      </w:r>
    </w:p>
    <w:p w14:paraId="44700562">
      <w:pPr>
        <w:bidi w:val="0"/>
        <w:rPr>
          <w:rFonts w:hint="eastAsia" w:ascii="Times New Roman" w:hAnsi="Times New Roman"/>
          <w:color w:val="auto"/>
        </w:rPr>
      </w:pPr>
      <w:r>
        <w:rPr>
          <w:rFonts w:hint="eastAsia" w:ascii="Times New Roman" w:hAnsi="Times New Roman"/>
          <w:color w:val="auto"/>
        </w:rPr>
        <w:t>2、材料真实性承诺书；</w:t>
      </w:r>
    </w:p>
    <w:p w14:paraId="119DA7C6">
      <w:pPr>
        <w:bidi w:val="0"/>
        <w:rPr>
          <w:rFonts w:hint="eastAsia" w:ascii="Times New Roman" w:hAnsi="Times New Roman"/>
          <w:color w:val="auto"/>
        </w:rPr>
      </w:pPr>
      <w:r>
        <w:rPr>
          <w:rFonts w:hint="eastAsia" w:ascii="Times New Roman" w:hAnsi="Times New Roman"/>
          <w:color w:val="auto"/>
        </w:rPr>
        <w:t>3、营业执照；</w:t>
      </w:r>
    </w:p>
    <w:p w14:paraId="32C83A69">
      <w:pPr>
        <w:bidi w:val="0"/>
        <w:rPr>
          <w:rFonts w:hint="eastAsia" w:ascii="Times New Roman" w:hAnsi="Times New Roman"/>
          <w:color w:val="auto"/>
          <w:lang w:val="en-US" w:eastAsia="zh-CN"/>
        </w:rPr>
      </w:pPr>
      <w:r>
        <w:rPr>
          <w:rFonts w:hint="eastAsia" w:ascii="Times New Roman" w:hAnsi="Times New Roman"/>
          <w:color w:val="auto"/>
          <w:lang w:val="en-US" w:eastAsia="zh-CN"/>
        </w:rPr>
        <w:t>4、采矿许可证；</w:t>
      </w:r>
    </w:p>
    <w:p w14:paraId="64056D1A">
      <w:pPr>
        <w:bidi w:val="0"/>
        <w:rPr>
          <w:rFonts w:hint="default" w:ascii="Times New Roman" w:hAnsi="Times New Roman"/>
          <w:color w:val="auto"/>
          <w:lang w:val="en-US" w:eastAsia="zh-CN"/>
        </w:rPr>
      </w:pPr>
      <w:r>
        <w:rPr>
          <w:rFonts w:hint="eastAsia" w:ascii="Times New Roman" w:hAnsi="Times New Roman"/>
          <w:color w:val="auto"/>
          <w:lang w:val="en-US" w:eastAsia="zh-CN"/>
        </w:rPr>
        <w:t>5、安全生产许可证；</w:t>
      </w:r>
    </w:p>
    <w:p w14:paraId="2F436104">
      <w:pPr>
        <w:bidi w:val="0"/>
        <w:rPr>
          <w:rFonts w:hint="eastAsia" w:ascii="Times New Roman" w:hAnsi="Times New Roman"/>
          <w:color w:val="auto"/>
          <w:lang w:val="en-US" w:eastAsia="zh-CN"/>
        </w:rPr>
      </w:pPr>
      <w:r>
        <w:rPr>
          <w:rFonts w:hint="eastAsia" w:ascii="Times New Roman" w:hAnsi="Times New Roman"/>
          <w:color w:val="auto"/>
          <w:lang w:val="en-US" w:eastAsia="zh-CN"/>
        </w:rPr>
        <w:t>6、储量</w:t>
      </w:r>
      <w:r>
        <w:rPr>
          <w:rFonts w:hint="default" w:ascii="Times New Roman" w:hAnsi="Times New Roman" w:cs="Times New Roman"/>
          <w:color w:val="auto"/>
          <w:sz w:val="28"/>
          <w:szCs w:val="28"/>
          <w:lang w:val="en-US" w:eastAsia="zh-CN"/>
        </w:rPr>
        <w:t>评审</w:t>
      </w:r>
      <w:r>
        <w:rPr>
          <w:rFonts w:hint="eastAsia" w:ascii="Times New Roman" w:hAnsi="Times New Roman"/>
          <w:color w:val="auto"/>
          <w:lang w:val="en-US" w:eastAsia="zh-CN"/>
        </w:rPr>
        <w:t>备案证明；</w:t>
      </w:r>
    </w:p>
    <w:p w14:paraId="26BDDE75">
      <w:pPr>
        <w:bidi w:val="0"/>
        <w:rPr>
          <w:rFonts w:hint="eastAsia" w:ascii="Times New Roman" w:hAnsi="Times New Roman"/>
          <w:color w:val="auto"/>
          <w:lang w:val="en-US" w:eastAsia="zh-CN"/>
        </w:rPr>
      </w:pPr>
      <w:r>
        <w:rPr>
          <w:rFonts w:hint="eastAsia" w:ascii="Times New Roman" w:hAnsi="Times New Roman"/>
          <w:color w:val="auto"/>
          <w:lang w:val="en-US" w:eastAsia="zh-CN"/>
        </w:rPr>
        <w:t>7、储量评审意见书；</w:t>
      </w:r>
    </w:p>
    <w:p w14:paraId="0C9DA2BB">
      <w:pPr>
        <w:bidi w:val="0"/>
        <w:rPr>
          <w:rFonts w:hint="default" w:ascii="Times New Roman" w:hAnsi="Times New Roman"/>
          <w:color w:val="auto"/>
          <w:lang w:val="en-US" w:eastAsia="zh-CN"/>
        </w:rPr>
      </w:pPr>
      <w:r>
        <w:rPr>
          <w:rFonts w:hint="eastAsia" w:ascii="Times New Roman" w:hAnsi="Times New Roman"/>
          <w:color w:val="auto"/>
          <w:lang w:val="en-US" w:eastAsia="zh-CN"/>
        </w:rPr>
        <w:t>8、投资项目备案证；</w:t>
      </w:r>
    </w:p>
    <w:p w14:paraId="482E9014">
      <w:pPr>
        <w:bidi w:val="0"/>
        <w:rPr>
          <w:rFonts w:hint="eastAsia" w:ascii="Times New Roman" w:hAnsi="Times New Roman"/>
          <w:color w:val="auto"/>
          <w:lang w:val="en-US" w:eastAsia="zh-CN"/>
        </w:rPr>
      </w:pPr>
      <w:r>
        <w:rPr>
          <w:rFonts w:hint="eastAsia" w:ascii="Times New Roman" w:hAnsi="Times New Roman"/>
          <w:color w:val="auto"/>
          <w:lang w:val="en-US" w:eastAsia="zh-CN"/>
        </w:rPr>
        <w:t>9</w:t>
      </w:r>
      <w:r>
        <w:rPr>
          <w:rFonts w:hint="eastAsia" w:ascii="Times New Roman" w:hAnsi="Times New Roman"/>
          <w:color w:val="auto"/>
        </w:rPr>
        <w:t>、</w:t>
      </w:r>
      <w:r>
        <w:rPr>
          <w:rFonts w:hint="eastAsia" w:ascii="Times New Roman" w:hAnsi="Times New Roman"/>
          <w:color w:val="auto"/>
          <w:lang w:eastAsia="zh-CN"/>
        </w:rPr>
        <w:t>昭阳区文辉矿业有限公司洒渔大桥石灰岩矿70万t/a露天采矿工程初步设计（代可研）</w:t>
      </w:r>
      <w:r>
        <w:rPr>
          <w:rFonts w:hint="eastAsia" w:ascii="Times New Roman" w:hAnsi="Times New Roman"/>
          <w:color w:val="auto"/>
          <w:lang w:val="en-US" w:eastAsia="zh-CN"/>
        </w:rPr>
        <w:t>扉页、资质；</w:t>
      </w:r>
    </w:p>
    <w:p w14:paraId="32CD7D81">
      <w:pPr>
        <w:bidi w:val="0"/>
        <w:rPr>
          <w:rFonts w:hint="eastAsia" w:ascii="Times New Roman" w:hAnsi="Times New Roman"/>
          <w:color w:val="auto"/>
          <w:lang w:val="en-US" w:eastAsia="zh-CN"/>
        </w:rPr>
      </w:pPr>
      <w:r>
        <w:rPr>
          <w:rFonts w:hint="eastAsia" w:ascii="Times New Roman" w:hAnsi="Times New Roman"/>
          <w:color w:val="auto"/>
          <w:lang w:val="en-US" w:eastAsia="zh-CN"/>
        </w:rPr>
        <w:t>10、电力设施保护协议；</w:t>
      </w:r>
    </w:p>
    <w:p w14:paraId="0BCD41B4">
      <w:pPr>
        <w:bidi w:val="0"/>
        <w:rPr>
          <w:rFonts w:hint="eastAsia" w:ascii="Times New Roman" w:hAnsi="Times New Roman"/>
          <w:color w:val="auto"/>
          <w:lang w:val="en-US" w:eastAsia="zh-CN"/>
        </w:rPr>
      </w:pPr>
      <w:r>
        <w:rPr>
          <w:rFonts w:hint="eastAsia" w:ascii="Times New Roman" w:hAnsi="Times New Roman"/>
          <w:color w:val="auto"/>
          <w:lang w:val="en-US" w:eastAsia="zh-CN"/>
        </w:rPr>
        <w:t>11、土地征用说明；</w:t>
      </w:r>
    </w:p>
    <w:p w14:paraId="2D0655D9">
      <w:pPr>
        <w:bidi w:val="0"/>
        <w:rPr>
          <w:rFonts w:hint="default" w:ascii="Times New Roman" w:hAnsi="Times New Roman"/>
          <w:color w:val="auto"/>
          <w:lang w:val="en-US" w:eastAsia="zh-CN"/>
        </w:rPr>
      </w:pPr>
      <w:r>
        <w:rPr>
          <w:rFonts w:hint="eastAsia"/>
          <w:color w:val="auto"/>
          <w:lang w:val="en-US" w:eastAsia="zh-CN"/>
        </w:rPr>
        <w:t>12、处罚文件；</w:t>
      </w:r>
    </w:p>
    <w:p w14:paraId="2A7F1A95">
      <w:pPr>
        <w:bidi w:val="0"/>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eastAsia"/>
          <w:color w:val="auto"/>
          <w:lang w:val="en-US" w:eastAsia="zh-CN"/>
        </w:rPr>
        <w:t>3</w:t>
      </w:r>
      <w:r>
        <w:rPr>
          <w:rFonts w:hint="eastAsia" w:ascii="Times New Roman" w:hAnsi="Times New Roman"/>
          <w:color w:val="auto"/>
          <w:lang w:val="en-US" w:eastAsia="zh-CN"/>
        </w:rPr>
        <w:t>、安全预评价从业告知书。</w:t>
      </w:r>
    </w:p>
    <w:p w14:paraId="237EB63D">
      <w:pPr>
        <w:pStyle w:val="3"/>
        <w:bidi w:val="0"/>
        <w:rPr>
          <w:rFonts w:hint="default" w:ascii="Times New Roman" w:hAnsi="Times New Roman"/>
          <w:color w:val="auto"/>
          <w:lang w:val="en-US" w:eastAsia="zh-CN"/>
        </w:rPr>
      </w:pPr>
      <w:bookmarkStart w:id="366" w:name="_Toc12503"/>
      <w:r>
        <w:rPr>
          <w:rFonts w:hint="eastAsia" w:ascii="Times New Roman" w:hAnsi="Times New Roman"/>
          <w:color w:val="auto"/>
          <w:lang w:val="en-US" w:eastAsia="zh-CN"/>
        </w:rPr>
        <w:t>6.2 附图</w:t>
      </w:r>
      <w:bookmarkEnd w:id="366"/>
    </w:p>
    <w:p w14:paraId="20C13047">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1、地形地质、矿区范围及开采现状图；</w:t>
      </w:r>
    </w:p>
    <w:p w14:paraId="6974219E">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2、总平面布置图；</w:t>
      </w:r>
    </w:p>
    <w:p w14:paraId="4EE782FA">
      <w:pPr>
        <w:bidi w:val="0"/>
        <w:rPr>
          <w:rFonts w:hint="eastAsia" w:ascii="Times New Roman" w:hAnsi="Times New Roman"/>
          <w:color w:val="auto"/>
          <w:lang w:val="en-US" w:eastAsia="zh-CN"/>
        </w:rPr>
      </w:pPr>
      <w:r>
        <w:rPr>
          <w:rFonts w:hint="eastAsia" w:ascii="Times New Roman" w:hAnsi="Times New Roman"/>
          <w:color w:val="auto"/>
          <w:lang w:val="en-US" w:eastAsia="zh-CN"/>
        </w:rPr>
        <w:t>3、基建终了图；</w:t>
      </w:r>
    </w:p>
    <w:p w14:paraId="710D4D84">
      <w:pPr>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4、开采终了图；</w:t>
      </w:r>
    </w:p>
    <w:p w14:paraId="2105D921">
      <w:pPr>
        <w:bidi w:val="0"/>
        <w:rPr>
          <w:rFonts w:hint="eastAsia"/>
          <w:color w:val="auto"/>
          <w:lang w:val="en-US" w:eastAsia="zh-CN"/>
        </w:rPr>
      </w:pPr>
      <w:r>
        <w:rPr>
          <w:rFonts w:hint="eastAsia"/>
          <w:color w:val="auto"/>
          <w:lang w:val="en-US" w:eastAsia="zh-CN"/>
        </w:rPr>
        <w:t>5、开拓系统图；</w:t>
      </w:r>
    </w:p>
    <w:p w14:paraId="15026836">
      <w:pPr>
        <w:bidi w:val="0"/>
        <w:rPr>
          <w:rFonts w:hint="eastAsia"/>
          <w:color w:val="auto"/>
          <w:lang w:val="en-US" w:eastAsia="zh-CN"/>
        </w:rPr>
      </w:pPr>
      <w:r>
        <w:rPr>
          <w:rFonts w:hint="eastAsia"/>
          <w:color w:val="auto"/>
          <w:lang w:val="en-US" w:eastAsia="zh-CN"/>
        </w:rPr>
        <w:t>6、边坡监控系统图；</w:t>
      </w:r>
    </w:p>
    <w:p w14:paraId="10AF50AC">
      <w:pPr>
        <w:bidi w:val="0"/>
        <w:rPr>
          <w:rFonts w:hint="eastAsia" w:ascii="Times New Roman" w:hAnsi="Times New Roman"/>
          <w:color w:val="auto"/>
          <w:lang w:val="en-US" w:eastAsia="zh-CN"/>
        </w:rPr>
      </w:pPr>
      <w:r>
        <w:rPr>
          <w:rFonts w:hint="eastAsia"/>
          <w:color w:val="auto"/>
          <w:lang w:val="en-US" w:eastAsia="zh-CN"/>
        </w:rPr>
        <w:t>7</w:t>
      </w:r>
      <w:r>
        <w:rPr>
          <w:rFonts w:hint="eastAsia" w:ascii="Times New Roman" w:hAnsi="Times New Roman"/>
          <w:color w:val="auto"/>
          <w:lang w:val="en-US" w:eastAsia="zh-CN"/>
        </w:rPr>
        <w:t>、防排水系统图；</w:t>
      </w:r>
    </w:p>
    <w:p w14:paraId="59E51E2D">
      <w:pPr>
        <w:bidi w:val="0"/>
        <w:rPr>
          <w:rFonts w:hint="default" w:ascii="Times New Roman" w:hAnsi="Times New Roman"/>
          <w:color w:val="auto"/>
          <w:lang w:val="en-US" w:eastAsia="zh-CN"/>
        </w:rPr>
      </w:pPr>
      <w:r>
        <w:rPr>
          <w:rFonts w:hint="eastAsia"/>
          <w:color w:val="auto"/>
          <w:lang w:val="en-US" w:eastAsia="zh-CN"/>
        </w:rPr>
        <w:t>8</w:t>
      </w:r>
      <w:r>
        <w:rPr>
          <w:rFonts w:hint="eastAsia" w:ascii="Times New Roman" w:hAnsi="Times New Roman"/>
          <w:color w:val="auto"/>
          <w:lang w:val="en-US" w:eastAsia="zh-CN"/>
        </w:rPr>
        <w:t>、设计剖面图；</w:t>
      </w:r>
    </w:p>
    <w:p w14:paraId="12CE9E71">
      <w:pPr>
        <w:bidi w:val="0"/>
        <w:rPr>
          <w:rFonts w:hint="eastAsia" w:ascii="Times New Roman" w:hAnsi="Times New Roman"/>
          <w:color w:val="auto"/>
          <w:lang w:val="en-US" w:eastAsia="zh-CN"/>
        </w:rPr>
      </w:pPr>
      <w:r>
        <w:rPr>
          <w:rFonts w:hint="eastAsia"/>
          <w:color w:val="auto"/>
          <w:lang w:val="en-US" w:eastAsia="zh-CN"/>
        </w:rPr>
        <w:t>9</w:t>
      </w:r>
      <w:r>
        <w:rPr>
          <w:rFonts w:hint="eastAsia" w:ascii="Times New Roman" w:hAnsi="Times New Roman"/>
          <w:color w:val="auto"/>
          <w:lang w:val="en-US" w:eastAsia="zh-CN"/>
        </w:rPr>
        <w:t>、</w:t>
      </w:r>
      <w:r>
        <w:rPr>
          <w:rFonts w:hint="eastAsia"/>
          <w:color w:val="auto"/>
          <w:lang w:val="en-US" w:eastAsia="zh-CN"/>
        </w:rPr>
        <w:t>运输道路纵</w:t>
      </w:r>
      <w:r>
        <w:rPr>
          <w:rFonts w:hint="eastAsia" w:ascii="Times New Roman" w:hAnsi="Times New Roman"/>
          <w:color w:val="auto"/>
          <w:lang w:val="en-US" w:eastAsia="zh-CN"/>
        </w:rPr>
        <w:t>断面图；</w:t>
      </w:r>
    </w:p>
    <w:p w14:paraId="0608F86D">
      <w:pPr>
        <w:bidi w:val="0"/>
        <w:rPr>
          <w:rFonts w:hint="eastAsia"/>
          <w:color w:val="auto"/>
          <w:lang w:val="en-US" w:eastAsia="zh-CN"/>
        </w:rPr>
      </w:pPr>
      <w:r>
        <w:rPr>
          <w:rFonts w:hint="eastAsia"/>
          <w:color w:val="auto"/>
          <w:lang w:val="en-US" w:eastAsia="zh-CN"/>
        </w:rPr>
        <w:t>10、错车道及挡车设施设计图；</w:t>
      </w:r>
    </w:p>
    <w:p w14:paraId="3EBB8176">
      <w:pPr>
        <w:bidi w:val="0"/>
        <w:rPr>
          <w:rFonts w:hint="eastAsia"/>
          <w:color w:val="auto"/>
          <w:lang w:val="en-US" w:eastAsia="zh-CN"/>
        </w:rPr>
      </w:pPr>
      <w:r>
        <w:rPr>
          <w:rFonts w:hint="eastAsia"/>
          <w:color w:val="auto"/>
          <w:lang w:val="en-US" w:eastAsia="zh-CN"/>
        </w:rPr>
        <w:t>11、公路标准横断面图；</w:t>
      </w:r>
    </w:p>
    <w:p w14:paraId="52B954FB">
      <w:pPr>
        <w:bidi w:val="0"/>
        <w:rPr>
          <w:rFonts w:hint="eastAsia" w:ascii="Times New Roman" w:hAnsi="Times New Roman"/>
          <w:color w:val="auto"/>
          <w:lang w:val="en-US" w:eastAsia="zh-CN"/>
        </w:rPr>
      </w:pPr>
      <w:r>
        <w:rPr>
          <w:rFonts w:hint="eastAsia"/>
          <w:color w:val="auto"/>
          <w:lang w:val="en-US" w:eastAsia="zh-CN"/>
        </w:rPr>
        <w:t>12</w:t>
      </w:r>
      <w:r>
        <w:rPr>
          <w:rFonts w:hint="eastAsia" w:ascii="Times New Roman" w:hAnsi="Times New Roman"/>
          <w:color w:val="auto"/>
          <w:lang w:val="en-US" w:eastAsia="zh-CN"/>
        </w:rPr>
        <w:t>、爆破示意图（</w:t>
      </w:r>
      <w:r>
        <w:rPr>
          <w:rFonts w:hint="eastAsia"/>
          <w:color w:val="auto"/>
          <w:lang w:val="en-US" w:eastAsia="zh-CN"/>
        </w:rPr>
        <w:t>正常</w:t>
      </w:r>
      <w:r>
        <w:rPr>
          <w:rFonts w:hint="eastAsia" w:ascii="Times New Roman" w:hAnsi="Times New Roman"/>
          <w:color w:val="auto"/>
          <w:lang w:val="en-US" w:eastAsia="zh-CN"/>
        </w:rPr>
        <w:t>爆破）；</w:t>
      </w:r>
    </w:p>
    <w:p w14:paraId="1CE6B437">
      <w:pPr>
        <w:bidi w:val="0"/>
        <w:rPr>
          <w:rFonts w:hint="default" w:ascii="Times New Roman" w:hAnsi="Times New Roman"/>
          <w:color w:val="auto"/>
          <w:lang w:val="en-US" w:eastAsia="zh-CN"/>
        </w:rPr>
      </w:pPr>
      <w:r>
        <w:rPr>
          <w:rFonts w:hint="eastAsia"/>
          <w:color w:val="auto"/>
          <w:lang w:val="en-US" w:eastAsia="zh-CN"/>
        </w:rPr>
        <w:t>13</w:t>
      </w:r>
      <w:r>
        <w:rPr>
          <w:rFonts w:hint="eastAsia" w:ascii="Times New Roman" w:hAnsi="Times New Roman"/>
          <w:color w:val="auto"/>
          <w:lang w:val="en-US" w:eastAsia="zh-CN"/>
        </w:rPr>
        <w:t>、</w:t>
      </w:r>
      <w:r>
        <w:rPr>
          <w:rFonts w:hint="default" w:ascii="Times New Roman" w:hAnsi="Times New Roman"/>
          <w:color w:val="auto"/>
          <w:lang w:val="en-US" w:eastAsia="zh-CN"/>
        </w:rPr>
        <w:t>爆破示意图（预裂爆破）</w:t>
      </w:r>
      <w:r>
        <w:rPr>
          <w:rFonts w:hint="eastAsia" w:ascii="Times New Roman" w:hAnsi="Times New Roman"/>
          <w:color w:val="auto"/>
          <w:lang w:val="en-US" w:eastAsia="zh-CN"/>
        </w:rPr>
        <w:t>；</w:t>
      </w:r>
    </w:p>
    <w:p w14:paraId="16914784">
      <w:pPr>
        <w:bidi w:val="0"/>
        <w:rPr>
          <w:rFonts w:hint="default" w:ascii="Times New Roman" w:hAnsi="Times New Roman"/>
          <w:color w:val="auto"/>
          <w:lang w:val="en-US" w:eastAsia="zh-CN"/>
        </w:rPr>
      </w:pPr>
      <w:r>
        <w:rPr>
          <w:rFonts w:hint="eastAsia"/>
          <w:color w:val="auto"/>
          <w:lang w:val="en-US" w:eastAsia="zh-CN"/>
        </w:rPr>
        <w:t>14</w:t>
      </w:r>
      <w:r>
        <w:rPr>
          <w:rFonts w:hint="eastAsia" w:ascii="Times New Roman" w:hAnsi="Times New Roman"/>
          <w:color w:val="auto"/>
          <w:lang w:val="en-US" w:eastAsia="zh-CN"/>
        </w:rPr>
        <w:t>、</w:t>
      </w:r>
      <w:r>
        <w:rPr>
          <w:rFonts w:hint="default" w:ascii="Times New Roman" w:hAnsi="Times New Roman"/>
          <w:color w:val="auto"/>
          <w:lang w:val="en-US" w:eastAsia="zh-CN"/>
        </w:rPr>
        <w:t>采剥工艺图</w:t>
      </w:r>
      <w:r>
        <w:rPr>
          <w:rFonts w:hint="eastAsia" w:ascii="Times New Roman" w:hAnsi="Times New Roman"/>
          <w:color w:val="auto"/>
          <w:lang w:val="en-US" w:eastAsia="zh-CN"/>
        </w:rPr>
        <w:t>；</w:t>
      </w:r>
    </w:p>
    <w:p w14:paraId="25D7A207">
      <w:pPr>
        <w:bidi w:val="0"/>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eastAsia"/>
          <w:color w:val="auto"/>
          <w:lang w:val="en-US" w:eastAsia="zh-CN"/>
        </w:rPr>
        <w:t>5</w:t>
      </w:r>
      <w:r>
        <w:rPr>
          <w:rFonts w:hint="eastAsia" w:ascii="Times New Roman" w:hAnsi="Times New Roman"/>
          <w:color w:val="auto"/>
          <w:lang w:val="en-US" w:eastAsia="zh-CN"/>
        </w:rPr>
        <w:t>、供配电系统图。</w:t>
      </w:r>
    </w:p>
    <w:sectPr>
      <w:footerReference r:id="rId12" w:type="default"/>
      <w:pgSz w:w="11906" w:h="16838"/>
      <w:pgMar w:top="1417" w:right="1134" w:bottom="1134" w:left="1587" w:header="851" w:footer="992" w:gutter="0"/>
      <w:pgBorders>
        <w:top w:val="thinThickMediumGap" w:color="auto" w:sz="12" w:space="1"/>
        <w:left w:val="none" w:sz="0" w:space="0"/>
        <w:bottom w:val="thickThinMediumGap" w:color="auto" w:sz="12" w:space="1"/>
        <w:right w:val="none" w:sz="0" w:space="0"/>
      </w:pgBorders>
      <w:pgNumType w:fmt="decimal" w:start="1"/>
      <w:cols w:space="0" w:num="1"/>
      <w:rtlGutter w:val="0"/>
      <w:docGrid w:type="lines" w:linePitch="3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78375">
    <w:pPr>
      <w:pBdr>
        <w:top w:val="none" w:color="auto" w:sz="0" w:space="1"/>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18E8">
    <w:pPr>
      <w:pStyle w:val="8"/>
      <w:keepNext w:val="0"/>
      <w:keepLines w:val="0"/>
      <w:pageBreakBefore w:val="0"/>
      <w:widowControl w:val="0"/>
      <w:kinsoku/>
      <w:wordWrap/>
      <w:overflowPunct/>
      <w:topLinePunct w:val="0"/>
      <w:bidi w:val="0"/>
      <w:adjustRightInd/>
      <w:snapToGrid w:val="0"/>
      <w:spacing w:line="500" w:lineRule="exact"/>
      <w:ind w:left="0" w:leftChars="0" w:firstLine="0" w:firstLineChars="0"/>
      <w:textAlignment w:val="auto"/>
    </w:pPr>
    <w:r>
      <w:rPr>
        <w:rFonts w:hint="eastAsia" w:ascii="Times New Roman" w:hAnsi="Times New Roman" w:eastAsia="楷体" w:cs="Times New Roman"/>
        <w:sz w:val="21"/>
        <w:lang w:eastAsia="zh-CN"/>
      </w:rPr>
      <w:drawing>
        <wp:inline distT="0" distB="0" distL="114300" distR="114300">
          <wp:extent cx="337820" cy="127635"/>
          <wp:effectExtent l="0" t="0" r="5080" b="5715"/>
          <wp:docPr id="110" name="图片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8" descr="2"/>
                  <pic:cNvPicPr>
                    <a:picLocks noChangeAspect="1"/>
                  </pic:cNvPicPr>
                </pic:nvPicPr>
                <pic:blipFill>
                  <a:blip r:embed="rId1"/>
                  <a:srcRect t="9578" b="16475"/>
                  <a:stretch>
                    <a:fillRect/>
                  </a:stretch>
                </pic:blipFill>
                <pic:spPr>
                  <a:xfrm>
                    <a:off x="0" y="0"/>
                    <a:ext cx="337820" cy="127635"/>
                  </a:xfrm>
                  <a:prstGeom prst="rect">
                    <a:avLst/>
                  </a:prstGeom>
                  <a:noFill/>
                  <a:ln w="12700">
                    <a:noFill/>
                  </a:ln>
                </pic:spPr>
              </pic:pic>
            </a:graphicData>
          </a:graphic>
        </wp:inline>
      </w:drawing>
    </w:r>
    <w:r>
      <w:rPr>
        <w:rFonts w:hint="eastAsia" w:ascii="Times New Roman" w:hAnsi="Times New Roman" w:eastAsia="楷体" w:cs="Times New Roman"/>
        <w:sz w:val="21"/>
        <w:szCs w:val="21"/>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1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183E9086">
                          <w:pPr>
                            <w:pStyle w:val="8"/>
                            <w:keepNext w:val="0"/>
                            <w:keepLines w:val="0"/>
                            <w:pageBreakBefore w:val="0"/>
                            <w:widowControl w:val="0"/>
                            <w:kinsoku/>
                            <w:wordWrap/>
                            <w:overflowPunct/>
                            <w:topLinePunct w:val="0"/>
                            <w:bidi w:val="0"/>
                            <w:adjustRightInd/>
                            <w:snapToGrid w:val="0"/>
                            <w:spacing w:line="500" w:lineRule="exact"/>
                            <w:ind w:firstLine="0" w:firstLineChars="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III</w:t>
                          </w:r>
                          <w:r>
                            <w:rPr>
                              <w:sz w:val="21"/>
                              <w:szCs w:val="21"/>
                            </w:rPr>
                            <w:fldChar w:fldCharType="end"/>
                          </w:r>
                        </w:p>
                      </w:txbxContent>
                    </wps:txbx>
                    <wps:bodyPr rot="0" vert="horz" wrap="none" lIns="0" tIns="0" rIns="0" bIns="0" anchor="t" anchorCtr="0">
                      <a:spAutoFit/>
                    </wps:bodyPr>
                  </wps:wsp>
                </a:graphicData>
              </a:graphic>
            </wp:anchor>
          </w:drawing>
        </mc:Choice>
        <mc:Fallback>
          <w:pict>
            <v:shape id="文本框 9"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cifdr9MAAAAFAQAADwAA&#10;AAAAAAABACAAAAAiAAAAZHJzL2Rvd25yZXYueG1sUEsBAhQAFAAAAAgAh07iQOiPx1viAQAAxgMA&#10;AA4AAAAAAAAAAQAgAAAAIgEAAGRycy9lMm9Eb2MueG1sUEsFBgAAAAAGAAYAWQEAAHYFAAAAAA==&#10;">
              <v:fill on="f" focussize="0,0"/>
              <v:stroke on="f" weight="1pt"/>
              <v:imagedata o:title=""/>
              <o:lock v:ext="edit" aspectratio="f"/>
              <v:textbox inset="0mm,0mm,0mm,0mm" style="mso-fit-shape-to-text:t;">
                <w:txbxContent>
                  <w:p w14:paraId="183E9086">
                    <w:pPr>
                      <w:pStyle w:val="8"/>
                      <w:keepNext w:val="0"/>
                      <w:keepLines w:val="0"/>
                      <w:pageBreakBefore w:val="0"/>
                      <w:widowControl w:val="0"/>
                      <w:kinsoku/>
                      <w:wordWrap/>
                      <w:overflowPunct/>
                      <w:topLinePunct w:val="0"/>
                      <w:bidi w:val="0"/>
                      <w:adjustRightInd/>
                      <w:snapToGrid w:val="0"/>
                      <w:spacing w:line="500" w:lineRule="exact"/>
                      <w:ind w:firstLine="0" w:firstLineChars="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III</w:t>
                    </w:r>
                    <w:r>
                      <w:rPr>
                        <w:sz w:val="21"/>
                        <w:szCs w:val="21"/>
                      </w:rPr>
                      <w:fldChar w:fldCharType="end"/>
                    </w:r>
                  </w:p>
                </w:txbxContent>
              </v:textbox>
            </v:shape>
          </w:pict>
        </mc:Fallback>
      </mc:AlternateContent>
    </w:r>
    <w:r>
      <w:rPr>
        <w:rFonts w:hint="eastAsia" w:ascii="Times New Roman" w:hAnsi="Times New Roman" w:eastAsia="楷体" w:cs="Times New Roman"/>
        <w:sz w:val="21"/>
        <w:szCs w:val="21"/>
        <w:lang w:eastAsia="zh-CN"/>
      </w:rPr>
      <w:t>辽宁诺诚安全科技有限公司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6B93C">
    <w:pPr>
      <w:pBdr>
        <w:top w:val="none" w:color="auto" w:sz="0" w:space="1"/>
      </w:pBdr>
      <w:tabs>
        <w:tab w:val="cente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02D5C">
    <w:pPr>
      <w:keepNext w:val="0"/>
      <w:keepLines w:val="0"/>
      <w:pageBreakBefore w:val="0"/>
      <w:widowControl w:val="0"/>
      <w:pBdr>
        <w:top w:val="none" w:color="auto" w:sz="0" w:space="1"/>
      </w:pBdr>
      <w:tabs>
        <w:tab w:val="center" w:pos="4153"/>
      </w:tabs>
      <w:kinsoku/>
      <w:wordWrap/>
      <w:overflowPunct/>
      <w:topLinePunct w:val="0"/>
      <w:bidi w:val="0"/>
      <w:adjustRightInd/>
      <w:snapToGrid/>
      <w:spacing w:line="500" w:lineRule="exact"/>
      <w:ind w:firstLine="0" w:firstLineChars="0"/>
      <w:textAlignment w:val="auto"/>
      <w:rPr>
        <w:rFonts w:eastAsia="楷体"/>
      </w:rPr>
    </w:pPr>
    <w:r>
      <w:rPr>
        <w:rFonts w:hint="eastAsia" w:ascii="Times New Roman" w:hAnsi="Times New Roman" w:eastAsia="楷体" w:cs="Times New Roman"/>
        <w:sz w:val="21"/>
        <w:lang w:eastAsia="zh-CN"/>
      </w:rPr>
      <w:drawing>
        <wp:inline distT="0" distB="0" distL="114300" distR="114300">
          <wp:extent cx="337820" cy="127635"/>
          <wp:effectExtent l="0" t="0" r="5080" b="5715"/>
          <wp:docPr id="42" name="图片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 descr="2"/>
                  <pic:cNvPicPr>
                    <a:picLocks noChangeAspect="1"/>
                  </pic:cNvPicPr>
                </pic:nvPicPr>
                <pic:blipFill>
                  <a:blip r:embed="rId1"/>
                  <a:srcRect t="9578" b="16475"/>
                  <a:stretch>
                    <a:fillRect/>
                  </a:stretch>
                </pic:blipFill>
                <pic:spPr>
                  <a:xfrm>
                    <a:off x="0" y="0"/>
                    <a:ext cx="337820" cy="127635"/>
                  </a:xfrm>
                  <a:prstGeom prst="rect">
                    <a:avLst/>
                  </a:prstGeom>
                  <a:noFill/>
                  <a:ln w="12700">
                    <a:noFill/>
                  </a:ln>
                </pic:spPr>
              </pic:pic>
            </a:graphicData>
          </a:graphic>
        </wp:inline>
      </w:drawing>
    </w:r>
    <w:r>
      <w:rPr>
        <w:rFonts w:hint="eastAsia" w:ascii="Times New Roman" w:hAnsi="Times New Roman" w:eastAsia="楷体" w:cs="Times New Roman"/>
        <w:sz w:val="21"/>
        <w:szCs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5E688F8D">
                          <w:pPr>
                            <w:pStyle w:val="8"/>
                            <w:keepNext w:val="0"/>
                            <w:keepLines w:val="0"/>
                            <w:pageBreakBefore w:val="0"/>
                            <w:widowControl w:val="0"/>
                            <w:kinsoku/>
                            <w:wordWrap/>
                            <w:overflowPunct/>
                            <w:topLinePunct w:val="0"/>
                            <w:bidi w:val="0"/>
                            <w:adjustRightInd/>
                            <w:snapToGrid w:val="0"/>
                            <w:spacing w:line="500" w:lineRule="exact"/>
                            <w:ind w:firstLine="0" w:firstLineChars="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III</w:t>
                          </w:r>
                          <w:r>
                            <w:rPr>
                              <w:sz w:val="21"/>
                              <w:szCs w:val="21"/>
                            </w:rPr>
                            <w:fldChar w:fldCharType="end"/>
                          </w:r>
                        </w:p>
                      </w:txbxContent>
                    </wps:txbx>
                    <wps:bodyPr rot="0" vert="horz" wrap="none" lIns="0" tIns="0" rIns="0" bIns="0" anchor="t" anchorCtr="0">
                      <a:spAutoFit/>
                    </wps:bodyPr>
                  </wps:wsp>
                </a:graphicData>
              </a:graphic>
            </wp:anchor>
          </w:drawing>
        </mc:Choice>
        <mc:Fallback>
          <w:pict>
            <v:shape id="文本框 9"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HIn3a/TAAAABQEAAA8A&#10;AAAAAAAAAQAgAAAAIgAAAGRycy9kb3ducmV2LnhtbFBLAQIUABQAAAAIAIdO4kA4IEjs4wEAAMUD&#10;AAAOAAAAAAAAAAEAIAAAACIBAABkcnMvZTJvRG9jLnhtbFBLBQYAAAAABgAGAFkBAAB3BQAAAAA=&#10;">
              <v:fill on="f" focussize="0,0"/>
              <v:stroke on="f" weight="1pt"/>
              <v:imagedata o:title=""/>
              <o:lock v:ext="edit" aspectratio="f"/>
              <v:textbox inset="0mm,0mm,0mm,0mm" style="mso-fit-shape-to-text:t;">
                <w:txbxContent>
                  <w:p w14:paraId="5E688F8D">
                    <w:pPr>
                      <w:pStyle w:val="8"/>
                      <w:keepNext w:val="0"/>
                      <w:keepLines w:val="0"/>
                      <w:pageBreakBefore w:val="0"/>
                      <w:widowControl w:val="0"/>
                      <w:kinsoku/>
                      <w:wordWrap/>
                      <w:overflowPunct/>
                      <w:topLinePunct w:val="0"/>
                      <w:bidi w:val="0"/>
                      <w:adjustRightInd/>
                      <w:snapToGrid w:val="0"/>
                      <w:spacing w:line="500" w:lineRule="exact"/>
                      <w:ind w:firstLine="0" w:firstLineChars="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III</w:t>
                    </w:r>
                    <w:r>
                      <w:rPr>
                        <w:sz w:val="21"/>
                        <w:szCs w:val="21"/>
                      </w:rPr>
                      <w:fldChar w:fldCharType="end"/>
                    </w:r>
                  </w:p>
                </w:txbxContent>
              </v:textbox>
            </v:shape>
          </w:pict>
        </mc:Fallback>
      </mc:AlternateContent>
    </w:r>
    <w:r>
      <w:rPr>
        <w:rFonts w:hint="eastAsia" w:ascii="Times New Roman" w:hAnsi="Times New Roman" w:eastAsia="楷体" w:cs="Times New Roman"/>
        <w:sz w:val="21"/>
        <w:szCs w:val="21"/>
        <w:lang w:eastAsia="zh-CN"/>
      </w:rPr>
      <w:t>辽宁诺诚安全科技有限公司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2D26F">
    <w:pPr>
      <w:keepNext w:val="0"/>
      <w:keepLines w:val="0"/>
      <w:pageBreakBefore w:val="0"/>
      <w:widowControl w:val="0"/>
      <w:pBdr>
        <w:top w:val="none" w:color="auto" w:sz="0" w:space="1"/>
      </w:pBdr>
      <w:tabs>
        <w:tab w:val="center" w:pos="4153"/>
      </w:tabs>
      <w:kinsoku/>
      <w:wordWrap/>
      <w:overflowPunct/>
      <w:topLinePunct w:val="0"/>
      <w:bidi w:val="0"/>
      <w:adjustRightInd/>
      <w:snapToGrid/>
      <w:spacing w:line="500" w:lineRule="exact"/>
      <w:ind w:firstLine="0" w:firstLineChars="0"/>
      <w:textAlignment w:val="auto"/>
      <w:rPr>
        <w:rFonts w:eastAsia="楷体"/>
      </w:rPr>
    </w:pPr>
    <w:r>
      <w:rPr>
        <w:rFonts w:hint="eastAsia" w:ascii="Times New Roman" w:hAnsi="Times New Roman" w:eastAsia="楷体" w:cs="Times New Roman"/>
        <w:sz w:val="21"/>
        <w:lang w:eastAsia="zh-CN"/>
      </w:rPr>
      <w:drawing>
        <wp:inline distT="0" distB="0" distL="114300" distR="114300">
          <wp:extent cx="337820" cy="127635"/>
          <wp:effectExtent l="0" t="0" r="5080" b="5715"/>
          <wp:docPr id="28" name="图片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descr="2"/>
                  <pic:cNvPicPr>
                    <a:picLocks noChangeAspect="1"/>
                  </pic:cNvPicPr>
                </pic:nvPicPr>
                <pic:blipFill>
                  <a:blip r:embed="rId1"/>
                  <a:srcRect t="9578" b="16475"/>
                  <a:stretch>
                    <a:fillRect/>
                  </a:stretch>
                </pic:blipFill>
                <pic:spPr>
                  <a:xfrm>
                    <a:off x="0" y="0"/>
                    <a:ext cx="337820" cy="127635"/>
                  </a:xfrm>
                  <a:prstGeom prst="rect">
                    <a:avLst/>
                  </a:prstGeom>
                  <a:noFill/>
                  <a:ln w="12700">
                    <a:noFill/>
                  </a:ln>
                </pic:spPr>
              </pic:pic>
            </a:graphicData>
          </a:graphic>
        </wp:inline>
      </w:drawing>
    </w:r>
    <w:r>
      <w:rPr>
        <w:rFonts w:hint="eastAsia" w:ascii="Times New Roman" w:hAnsi="Times New Roman" w:eastAsia="楷体" w:cs="Times New Roman"/>
        <w:sz w:val="21"/>
        <w:szCs w:val="21"/>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10125B76">
                          <w:pPr>
                            <w:pStyle w:val="8"/>
                            <w:keepNext w:val="0"/>
                            <w:keepLines w:val="0"/>
                            <w:pageBreakBefore w:val="0"/>
                            <w:widowControl w:val="0"/>
                            <w:kinsoku/>
                            <w:wordWrap/>
                            <w:overflowPunct/>
                            <w:topLinePunct w:val="0"/>
                            <w:bidi w:val="0"/>
                            <w:adjustRightInd/>
                            <w:snapToGrid w:val="0"/>
                            <w:spacing w:line="500" w:lineRule="exact"/>
                            <w:ind w:firstLine="0" w:firstLineChars="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I</w:t>
                          </w:r>
                          <w:r>
                            <w:rPr>
                              <w:sz w:val="21"/>
                              <w:szCs w:val="21"/>
                            </w:rPr>
                            <w:fldChar w:fldCharType="end"/>
                          </w:r>
                        </w:p>
                      </w:txbxContent>
                    </wps:txbx>
                    <wps:bodyPr rot="0" vert="horz" wrap="none" lIns="0" tIns="0" rIns="0" bIns="0" anchor="t" anchorCtr="0">
                      <a:spAutoFit/>
                    </wps:bodyPr>
                  </wps:wsp>
                </a:graphicData>
              </a:graphic>
            </wp:anchor>
          </w:drawing>
        </mc:Choice>
        <mc:Fallback>
          <w:pict>
            <v:shape id="文本框 9"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C2CQOEBAADFAwAA&#10;DgAAAAAAAAABACAAAAAiAQAAZHJzL2Uyb0RvYy54bWxQSwUGAAAAAAYABgBZAQAAdQUAAAAA&#10;">
              <v:fill on="f" focussize="0,0"/>
              <v:stroke on="f" weight="1pt"/>
              <v:imagedata o:title=""/>
              <o:lock v:ext="edit" aspectratio="f"/>
              <v:textbox inset="0mm,0mm,0mm,0mm" style="mso-fit-shape-to-text:t;">
                <w:txbxContent>
                  <w:p w14:paraId="10125B76">
                    <w:pPr>
                      <w:pStyle w:val="8"/>
                      <w:keepNext w:val="0"/>
                      <w:keepLines w:val="0"/>
                      <w:pageBreakBefore w:val="0"/>
                      <w:widowControl w:val="0"/>
                      <w:kinsoku/>
                      <w:wordWrap/>
                      <w:overflowPunct/>
                      <w:topLinePunct w:val="0"/>
                      <w:bidi w:val="0"/>
                      <w:adjustRightInd/>
                      <w:snapToGrid w:val="0"/>
                      <w:spacing w:line="500" w:lineRule="exact"/>
                      <w:ind w:firstLine="0" w:firstLineChars="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I</w:t>
                    </w:r>
                    <w:r>
                      <w:rPr>
                        <w:sz w:val="21"/>
                        <w:szCs w:val="21"/>
                      </w:rPr>
                      <w:fldChar w:fldCharType="end"/>
                    </w:r>
                  </w:p>
                </w:txbxContent>
              </v:textbox>
            </v:shape>
          </w:pict>
        </mc:Fallback>
      </mc:AlternateContent>
    </w:r>
    <w:r>
      <w:rPr>
        <w:rFonts w:hint="eastAsia" w:ascii="Times New Roman" w:hAnsi="Times New Roman" w:eastAsia="楷体" w:cs="Times New Roman"/>
        <w:sz w:val="21"/>
        <w:szCs w:val="21"/>
        <w:lang w:eastAsia="zh-CN"/>
      </w:rPr>
      <w:t>辽宁诺诚安全科技有限公司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FC75F">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FBA3E">
    <w:pPr>
      <w:pStyle w:val="9"/>
      <w:keepNext w:val="0"/>
      <w:keepLines w:val="0"/>
      <w:pageBreakBefore w:val="0"/>
      <w:widowControl w:val="0"/>
      <w:pBdr>
        <w:bottom w:val="none" w:color="auto" w:sz="0" w:space="1"/>
      </w:pBdr>
      <w:kinsoku/>
      <w:wordWrap/>
      <w:overflowPunct/>
      <w:topLinePunct w:val="0"/>
      <w:bidi w:val="0"/>
      <w:adjustRightInd/>
      <w:snapToGrid w:val="0"/>
      <w:spacing w:line="500" w:lineRule="exact"/>
      <w:ind w:firstLine="0" w:firstLineChars="0"/>
      <w:textAlignment w:val="auto"/>
      <w:rPr>
        <w:rFonts w:hint="eastAsia" w:eastAsia="楷体"/>
        <w:sz w:val="21"/>
        <w:lang w:val="en-US" w:eastAsia="zh-CN"/>
      </w:rPr>
    </w:pPr>
    <w:r>
      <w:rPr>
        <w:rFonts w:hint="eastAsia" w:eastAsia="楷体"/>
        <w:sz w:val="21"/>
        <w:lang w:eastAsia="zh-CN"/>
      </w:rPr>
      <w:t>昭阳区文辉矿业有限公司洒渔大桥石灰岩矿70万t/a露天采矿工程</w:t>
    </w:r>
    <w:r>
      <w:rPr>
        <w:rFonts w:hint="eastAsia" w:eastAsia="楷体"/>
        <w:sz w:val="21"/>
      </w:rPr>
      <w:t>安全预评价</w:t>
    </w:r>
    <w:r>
      <w:rPr>
        <w:rFonts w:hint="eastAsia" w:eastAsia="楷体"/>
        <w:sz w:val="21"/>
        <w:lang w:val="en-US" w:eastAsia="zh-CN"/>
      </w:rPr>
      <w:t>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EF25D">
    <w:pPr>
      <w:pStyle w:val="9"/>
      <w:keepNext w:val="0"/>
      <w:keepLines w:val="0"/>
      <w:pageBreakBefore w:val="0"/>
      <w:widowControl w:val="0"/>
      <w:pBdr>
        <w:bottom w:val="none" w:color="auto" w:sz="0" w:space="1"/>
      </w:pBdr>
      <w:kinsoku/>
      <w:wordWrap/>
      <w:overflowPunct/>
      <w:topLinePunct w:val="0"/>
      <w:bidi w:val="0"/>
      <w:adjustRightInd/>
      <w:snapToGrid w:val="0"/>
      <w:spacing w:line="500" w:lineRule="exact"/>
      <w:ind w:firstLine="0" w:firstLineChars="0"/>
      <w:textAlignment w:val="auto"/>
      <w:rPr>
        <w:rFonts w:hint="eastAsia" w:eastAsia="楷体"/>
        <w:sz w:val="21"/>
        <w:lang w:val="en-US" w:eastAsia="zh-CN"/>
      </w:rPr>
    </w:pPr>
    <w:r>
      <w:rPr>
        <w:rFonts w:hint="eastAsia" w:eastAsia="楷体"/>
        <w:sz w:val="21"/>
        <w:lang w:eastAsia="zh-CN"/>
      </w:rPr>
      <w:t>昭阳区文辉矿业有限公司洒渔大桥石灰岩矿70万t/a露天采矿工程</w:t>
    </w:r>
    <w:r>
      <w:rPr>
        <w:rFonts w:hint="eastAsia" w:eastAsia="楷体"/>
        <w:sz w:val="21"/>
      </w:rPr>
      <w:t>安全预评价</w:t>
    </w:r>
    <w:r>
      <w:rPr>
        <w:rFonts w:hint="eastAsia" w:eastAsia="楷体"/>
        <w:sz w:val="21"/>
        <w:lang w:val="en-US" w:eastAsia="zh-CN"/>
      </w:rPr>
      <w:t>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bordersDoNotSurroundHeader w:val="1"/>
  <w:bordersDoNotSurroundFooter w:val="1"/>
  <w:documentProtection w:enforcement="0"/>
  <w:defaultTabStop w:val="420"/>
  <w:drawingGridVerticalSpacing w:val="19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FB5937"/>
    <w:rsid w:val="010A5041"/>
    <w:rsid w:val="016731DD"/>
    <w:rsid w:val="01BE2C74"/>
    <w:rsid w:val="030D350D"/>
    <w:rsid w:val="03256636"/>
    <w:rsid w:val="040E6345"/>
    <w:rsid w:val="046C21D0"/>
    <w:rsid w:val="04AC7736"/>
    <w:rsid w:val="051A6F66"/>
    <w:rsid w:val="054C27FF"/>
    <w:rsid w:val="05511549"/>
    <w:rsid w:val="05600755"/>
    <w:rsid w:val="06172009"/>
    <w:rsid w:val="065E775E"/>
    <w:rsid w:val="065F58E4"/>
    <w:rsid w:val="08331281"/>
    <w:rsid w:val="08807182"/>
    <w:rsid w:val="08D01DBD"/>
    <w:rsid w:val="08F5133F"/>
    <w:rsid w:val="08F8185B"/>
    <w:rsid w:val="09023F99"/>
    <w:rsid w:val="09F00295"/>
    <w:rsid w:val="0A1D4625"/>
    <w:rsid w:val="0A904964"/>
    <w:rsid w:val="0AA66B07"/>
    <w:rsid w:val="0B46243B"/>
    <w:rsid w:val="0BAE4773"/>
    <w:rsid w:val="0BE65DF4"/>
    <w:rsid w:val="0C005ABF"/>
    <w:rsid w:val="0C281202"/>
    <w:rsid w:val="0CA5180B"/>
    <w:rsid w:val="0D173089"/>
    <w:rsid w:val="0D1A3FA7"/>
    <w:rsid w:val="0DD27F39"/>
    <w:rsid w:val="0E1D4E0D"/>
    <w:rsid w:val="0E484D32"/>
    <w:rsid w:val="0E792F4F"/>
    <w:rsid w:val="0EB053A8"/>
    <w:rsid w:val="0ECC4B2E"/>
    <w:rsid w:val="0F3F5F11"/>
    <w:rsid w:val="0F5229B3"/>
    <w:rsid w:val="0F5D296D"/>
    <w:rsid w:val="0F5F4446"/>
    <w:rsid w:val="0F9E199E"/>
    <w:rsid w:val="0FCB577D"/>
    <w:rsid w:val="101E0DC6"/>
    <w:rsid w:val="10732A8B"/>
    <w:rsid w:val="10A10B9D"/>
    <w:rsid w:val="11252DDE"/>
    <w:rsid w:val="11916802"/>
    <w:rsid w:val="119B61A1"/>
    <w:rsid w:val="11F0327C"/>
    <w:rsid w:val="121C5CE3"/>
    <w:rsid w:val="1243489B"/>
    <w:rsid w:val="12E3738C"/>
    <w:rsid w:val="13193752"/>
    <w:rsid w:val="13834E1E"/>
    <w:rsid w:val="13A670CA"/>
    <w:rsid w:val="14100CF8"/>
    <w:rsid w:val="14A02B65"/>
    <w:rsid w:val="156206A5"/>
    <w:rsid w:val="1588725F"/>
    <w:rsid w:val="162B00EE"/>
    <w:rsid w:val="166F1ADC"/>
    <w:rsid w:val="169F72CB"/>
    <w:rsid w:val="174B7BD5"/>
    <w:rsid w:val="17604CAC"/>
    <w:rsid w:val="1763654B"/>
    <w:rsid w:val="177E3E97"/>
    <w:rsid w:val="1783031F"/>
    <w:rsid w:val="17BB2A3D"/>
    <w:rsid w:val="185773FE"/>
    <w:rsid w:val="18610D00"/>
    <w:rsid w:val="18640C92"/>
    <w:rsid w:val="18740F2C"/>
    <w:rsid w:val="18A4461F"/>
    <w:rsid w:val="19036239"/>
    <w:rsid w:val="19827DE5"/>
    <w:rsid w:val="19BA0C94"/>
    <w:rsid w:val="19C5529B"/>
    <w:rsid w:val="1AC306D2"/>
    <w:rsid w:val="1ADA2FC8"/>
    <w:rsid w:val="1ADD03C2"/>
    <w:rsid w:val="1AFA5C0A"/>
    <w:rsid w:val="1B300AAA"/>
    <w:rsid w:val="1B423649"/>
    <w:rsid w:val="1B4E165A"/>
    <w:rsid w:val="1B8F5B60"/>
    <w:rsid w:val="1BE475CF"/>
    <w:rsid w:val="1C4032FE"/>
    <w:rsid w:val="1CB6215D"/>
    <w:rsid w:val="1D3C0E85"/>
    <w:rsid w:val="1D556936"/>
    <w:rsid w:val="1E3D4865"/>
    <w:rsid w:val="1E7C61C7"/>
    <w:rsid w:val="1E8066E5"/>
    <w:rsid w:val="1E8D7B46"/>
    <w:rsid w:val="1E9062B3"/>
    <w:rsid w:val="1EAD58FD"/>
    <w:rsid w:val="1F0A295D"/>
    <w:rsid w:val="1F9C3F83"/>
    <w:rsid w:val="1FDF5BD5"/>
    <w:rsid w:val="20A5211B"/>
    <w:rsid w:val="213B5E92"/>
    <w:rsid w:val="213E269A"/>
    <w:rsid w:val="217A6C7B"/>
    <w:rsid w:val="21A70001"/>
    <w:rsid w:val="21B300CF"/>
    <w:rsid w:val="21BD113A"/>
    <w:rsid w:val="22042577"/>
    <w:rsid w:val="22233C11"/>
    <w:rsid w:val="222F49F4"/>
    <w:rsid w:val="22476665"/>
    <w:rsid w:val="226250F0"/>
    <w:rsid w:val="228F0D42"/>
    <w:rsid w:val="229B278A"/>
    <w:rsid w:val="22CA0E1B"/>
    <w:rsid w:val="232404A7"/>
    <w:rsid w:val="23DA54E1"/>
    <w:rsid w:val="23DB6B39"/>
    <w:rsid w:val="24474810"/>
    <w:rsid w:val="24B959FC"/>
    <w:rsid w:val="252F7A8C"/>
    <w:rsid w:val="25717D18"/>
    <w:rsid w:val="263277BC"/>
    <w:rsid w:val="265213ED"/>
    <w:rsid w:val="275B76A1"/>
    <w:rsid w:val="27D36066"/>
    <w:rsid w:val="286825B1"/>
    <w:rsid w:val="28A87343"/>
    <w:rsid w:val="28AB4A44"/>
    <w:rsid w:val="29275693"/>
    <w:rsid w:val="292E514D"/>
    <w:rsid w:val="29453338"/>
    <w:rsid w:val="29610CF0"/>
    <w:rsid w:val="29A86EE6"/>
    <w:rsid w:val="29B84F82"/>
    <w:rsid w:val="2A0B1345"/>
    <w:rsid w:val="2AA63973"/>
    <w:rsid w:val="2AEF2177"/>
    <w:rsid w:val="2AF53506"/>
    <w:rsid w:val="2B665F42"/>
    <w:rsid w:val="2C210A56"/>
    <w:rsid w:val="2C42462B"/>
    <w:rsid w:val="2C475230"/>
    <w:rsid w:val="2C634B60"/>
    <w:rsid w:val="2D216834"/>
    <w:rsid w:val="2DAA1EFC"/>
    <w:rsid w:val="2DBD47AF"/>
    <w:rsid w:val="2EA32C9A"/>
    <w:rsid w:val="2F0D1ADE"/>
    <w:rsid w:val="2F1D3D31"/>
    <w:rsid w:val="2F2E5D55"/>
    <w:rsid w:val="2F3E27C8"/>
    <w:rsid w:val="2FD8265C"/>
    <w:rsid w:val="301E7DFF"/>
    <w:rsid w:val="30775660"/>
    <w:rsid w:val="30C82816"/>
    <w:rsid w:val="30E61DC6"/>
    <w:rsid w:val="30F85705"/>
    <w:rsid w:val="31097D0B"/>
    <w:rsid w:val="314C143D"/>
    <w:rsid w:val="31ED4F37"/>
    <w:rsid w:val="322F554F"/>
    <w:rsid w:val="32414601"/>
    <w:rsid w:val="32C338D5"/>
    <w:rsid w:val="32DC2281"/>
    <w:rsid w:val="337820FF"/>
    <w:rsid w:val="338C7466"/>
    <w:rsid w:val="34180984"/>
    <w:rsid w:val="3446538E"/>
    <w:rsid w:val="34692F9B"/>
    <w:rsid w:val="35170C48"/>
    <w:rsid w:val="35330ECB"/>
    <w:rsid w:val="35635FE6"/>
    <w:rsid w:val="358E17EA"/>
    <w:rsid w:val="35A95897"/>
    <w:rsid w:val="35B77D36"/>
    <w:rsid w:val="35F50714"/>
    <w:rsid w:val="37073F71"/>
    <w:rsid w:val="37630998"/>
    <w:rsid w:val="376C0D7B"/>
    <w:rsid w:val="377F3373"/>
    <w:rsid w:val="37E93189"/>
    <w:rsid w:val="38373947"/>
    <w:rsid w:val="385764FF"/>
    <w:rsid w:val="388F4F9A"/>
    <w:rsid w:val="38BA59BB"/>
    <w:rsid w:val="38C2711D"/>
    <w:rsid w:val="38C90007"/>
    <w:rsid w:val="393A2270"/>
    <w:rsid w:val="3969383E"/>
    <w:rsid w:val="396C04C1"/>
    <w:rsid w:val="39D92970"/>
    <w:rsid w:val="3A137113"/>
    <w:rsid w:val="3A4C09E6"/>
    <w:rsid w:val="3A9B69B4"/>
    <w:rsid w:val="3B337E2C"/>
    <w:rsid w:val="3B632551"/>
    <w:rsid w:val="3C2C4218"/>
    <w:rsid w:val="3D007123"/>
    <w:rsid w:val="3D6F51D8"/>
    <w:rsid w:val="3DAC214A"/>
    <w:rsid w:val="3E65226D"/>
    <w:rsid w:val="3E775A0B"/>
    <w:rsid w:val="3EA64DEB"/>
    <w:rsid w:val="3EC15781"/>
    <w:rsid w:val="3EE063F6"/>
    <w:rsid w:val="3F0874F8"/>
    <w:rsid w:val="3F3C230D"/>
    <w:rsid w:val="3F7B3FB4"/>
    <w:rsid w:val="3FB64F55"/>
    <w:rsid w:val="3FE64A22"/>
    <w:rsid w:val="3FF52C80"/>
    <w:rsid w:val="3FF71F14"/>
    <w:rsid w:val="402569CB"/>
    <w:rsid w:val="40302BBE"/>
    <w:rsid w:val="409A148E"/>
    <w:rsid w:val="40A47108"/>
    <w:rsid w:val="414B422F"/>
    <w:rsid w:val="41AF06D0"/>
    <w:rsid w:val="42383FAC"/>
    <w:rsid w:val="429F2437"/>
    <w:rsid w:val="42B75C12"/>
    <w:rsid w:val="42C67FDF"/>
    <w:rsid w:val="430A2F0B"/>
    <w:rsid w:val="439800D0"/>
    <w:rsid w:val="44254A04"/>
    <w:rsid w:val="4490400C"/>
    <w:rsid w:val="449D27EC"/>
    <w:rsid w:val="455C6204"/>
    <w:rsid w:val="460E1AB7"/>
    <w:rsid w:val="4620408E"/>
    <w:rsid w:val="4663778A"/>
    <w:rsid w:val="474A0981"/>
    <w:rsid w:val="47C37706"/>
    <w:rsid w:val="48954104"/>
    <w:rsid w:val="49547ADD"/>
    <w:rsid w:val="49DE41BE"/>
    <w:rsid w:val="4B220FD2"/>
    <w:rsid w:val="4B4F2D9B"/>
    <w:rsid w:val="4B5E7B32"/>
    <w:rsid w:val="4B7E4E21"/>
    <w:rsid w:val="4BCE2302"/>
    <w:rsid w:val="4C800A2A"/>
    <w:rsid w:val="4C89186E"/>
    <w:rsid w:val="4CE30FB8"/>
    <w:rsid w:val="4D073512"/>
    <w:rsid w:val="4D586F55"/>
    <w:rsid w:val="4E880069"/>
    <w:rsid w:val="4E895975"/>
    <w:rsid w:val="4EF9289C"/>
    <w:rsid w:val="4F1A6469"/>
    <w:rsid w:val="4F3D6282"/>
    <w:rsid w:val="4F434C14"/>
    <w:rsid w:val="4FCE0DD2"/>
    <w:rsid w:val="4FDE263F"/>
    <w:rsid w:val="50521BD4"/>
    <w:rsid w:val="505952AE"/>
    <w:rsid w:val="50770396"/>
    <w:rsid w:val="5119199D"/>
    <w:rsid w:val="51272EB1"/>
    <w:rsid w:val="513B4665"/>
    <w:rsid w:val="519D7133"/>
    <w:rsid w:val="51BB5923"/>
    <w:rsid w:val="51C63383"/>
    <w:rsid w:val="521E31BF"/>
    <w:rsid w:val="52684B42"/>
    <w:rsid w:val="52CA6D11"/>
    <w:rsid w:val="52D0326C"/>
    <w:rsid w:val="53310CD0"/>
    <w:rsid w:val="53E57531"/>
    <w:rsid w:val="54797DA5"/>
    <w:rsid w:val="54F46459"/>
    <w:rsid w:val="556A3215"/>
    <w:rsid w:val="55C03A30"/>
    <w:rsid w:val="55D54B26"/>
    <w:rsid w:val="565A2606"/>
    <w:rsid w:val="56C440E6"/>
    <w:rsid w:val="57285A21"/>
    <w:rsid w:val="57FC7666"/>
    <w:rsid w:val="580F771D"/>
    <w:rsid w:val="58692CBA"/>
    <w:rsid w:val="58CA2316"/>
    <w:rsid w:val="5966544B"/>
    <w:rsid w:val="5A0A4028"/>
    <w:rsid w:val="5A6E4EEC"/>
    <w:rsid w:val="5AB3215E"/>
    <w:rsid w:val="5B0073F7"/>
    <w:rsid w:val="5B975D90"/>
    <w:rsid w:val="5BDD4730"/>
    <w:rsid w:val="5C102E85"/>
    <w:rsid w:val="5C1318BA"/>
    <w:rsid w:val="5C2A0B8F"/>
    <w:rsid w:val="5C510905"/>
    <w:rsid w:val="5D3430F6"/>
    <w:rsid w:val="5ED75D25"/>
    <w:rsid w:val="5F2F7A39"/>
    <w:rsid w:val="5F8C2351"/>
    <w:rsid w:val="60B30F76"/>
    <w:rsid w:val="619072FD"/>
    <w:rsid w:val="61C827FF"/>
    <w:rsid w:val="61EF3031"/>
    <w:rsid w:val="63101757"/>
    <w:rsid w:val="6396536F"/>
    <w:rsid w:val="639D057D"/>
    <w:rsid w:val="63AB79BE"/>
    <w:rsid w:val="6458542D"/>
    <w:rsid w:val="647B46E8"/>
    <w:rsid w:val="64B81FCE"/>
    <w:rsid w:val="64D11873"/>
    <w:rsid w:val="64D32DD2"/>
    <w:rsid w:val="64ED737F"/>
    <w:rsid w:val="652C48D7"/>
    <w:rsid w:val="65470905"/>
    <w:rsid w:val="65A45331"/>
    <w:rsid w:val="65F364D3"/>
    <w:rsid w:val="6648028F"/>
    <w:rsid w:val="66502FE9"/>
    <w:rsid w:val="670826D9"/>
    <w:rsid w:val="674747EA"/>
    <w:rsid w:val="67EF7399"/>
    <w:rsid w:val="67F65BEC"/>
    <w:rsid w:val="684E502D"/>
    <w:rsid w:val="685C7BC6"/>
    <w:rsid w:val="687C2679"/>
    <w:rsid w:val="68AF078A"/>
    <w:rsid w:val="69095DD2"/>
    <w:rsid w:val="694F7CAA"/>
    <w:rsid w:val="69F60125"/>
    <w:rsid w:val="6A2904FB"/>
    <w:rsid w:val="6A40194C"/>
    <w:rsid w:val="6AAB584B"/>
    <w:rsid w:val="6AD322D0"/>
    <w:rsid w:val="6AF04617"/>
    <w:rsid w:val="6B1348BC"/>
    <w:rsid w:val="6B313E6C"/>
    <w:rsid w:val="6B3D24B0"/>
    <w:rsid w:val="6B571C01"/>
    <w:rsid w:val="6B5C76BF"/>
    <w:rsid w:val="6B6D624F"/>
    <w:rsid w:val="6B993C67"/>
    <w:rsid w:val="6BA73E07"/>
    <w:rsid w:val="6C336F12"/>
    <w:rsid w:val="6C6E7FF0"/>
    <w:rsid w:val="6D374CCD"/>
    <w:rsid w:val="6D6F36BE"/>
    <w:rsid w:val="6DD93FE6"/>
    <w:rsid w:val="6E5A0455"/>
    <w:rsid w:val="6E770C18"/>
    <w:rsid w:val="6E827A5B"/>
    <w:rsid w:val="6EA25D92"/>
    <w:rsid w:val="6F59423B"/>
    <w:rsid w:val="6FEA5D29"/>
    <w:rsid w:val="701706AC"/>
    <w:rsid w:val="70193282"/>
    <w:rsid w:val="70C91350"/>
    <w:rsid w:val="71091CB0"/>
    <w:rsid w:val="7152470E"/>
    <w:rsid w:val="717A5B3D"/>
    <w:rsid w:val="71814CA1"/>
    <w:rsid w:val="71CD20B4"/>
    <w:rsid w:val="73881A17"/>
    <w:rsid w:val="74614F7E"/>
    <w:rsid w:val="74A4476D"/>
    <w:rsid w:val="752601BF"/>
    <w:rsid w:val="760D6F22"/>
    <w:rsid w:val="764B415A"/>
    <w:rsid w:val="76D25C7C"/>
    <w:rsid w:val="78160D21"/>
    <w:rsid w:val="78770683"/>
    <w:rsid w:val="787E4A3E"/>
    <w:rsid w:val="78AD4288"/>
    <w:rsid w:val="79017595"/>
    <w:rsid w:val="791871BB"/>
    <w:rsid w:val="79917D7E"/>
    <w:rsid w:val="7A0D7A10"/>
    <w:rsid w:val="7A41719B"/>
    <w:rsid w:val="7A461E2B"/>
    <w:rsid w:val="7AD67B78"/>
    <w:rsid w:val="7AFE392B"/>
    <w:rsid w:val="7B0F1874"/>
    <w:rsid w:val="7B382DB4"/>
    <w:rsid w:val="7BFC01F8"/>
    <w:rsid w:val="7C1D1542"/>
    <w:rsid w:val="7C937471"/>
    <w:rsid w:val="7CE502B1"/>
    <w:rsid w:val="7D145441"/>
    <w:rsid w:val="7D944A96"/>
    <w:rsid w:val="7E086FD3"/>
    <w:rsid w:val="7EF37CCD"/>
    <w:rsid w:val="7F53303D"/>
    <w:rsid w:val="7F754FAB"/>
    <w:rsid w:val="7F9A1968"/>
    <w:rsid w:val="7FBA5A25"/>
    <w:rsid w:val="7FC94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imes New Roman" w:hAnsi="Times New Roman" w:eastAsia="宋体" w:cstheme="minorBidi"/>
      <w:kern w:val="2"/>
      <w:sz w:val="28"/>
      <w:szCs w:val="28"/>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ind w:firstLine="0" w:firstLineChars="0"/>
      <w:jc w:val="center"/>
      <w:outlineLvl w:val="0"/>
    </w:pPr>
    <w:rPr>
      <w:rFonts w:ascii="Times New Roman" w:hAnsi="Times New Roman" w:eastAsia="黑体"/>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ind w:firstLine="0" w:firstLineChars="0"/>
      <w:jc w:val="center"/>
      <w:outlineLvl w:val="1"/>
    </w:pPr>
    <w:rPr>
      <w:rFonts w:ascii="Times New Roman" w:hAnsi="Times New Roman" w:eastAsia="黑体"/>
      <w:sz w:val="30"/>
    </w:rPr>
  </w:style>
  <w:style w:type="paragraph" w:styleId="4">
    <w:name w:val="heading 3"/>
    <w:basedOn w:val="1"/>
    <w:next w:val="1"/>
    <w:unhideWhenUsed/>
    <w:qFormat/>
    <w:uiPriority w:val="0"/>
    <w:pPr>
      <w:keepNext/>
      <w:keepLines/>
      <w:spacing w:beforeLines="0" w:beforeAutospacing="0" w:afterLines="0" w:afterAutospacing="0" w:line="360" w:lineRule="auto"/>
      <w:ind w:firstLine="0" w:firstLineChars="0"/>
      <w:outlineLvl w:val="2"/>
    </w:pPr>
    <w:rPr>
      <w:rFonts w:ascii="Times New Roman" w:hAnsi="Times New Roman" w:eastAsia="宋体"/>
      <w:b/>
      <w:sz w:val="28"/>
    </w:rPr>
  </w:style>
  <w:style w:type="paragraph" w:styleId="5">
    <w:name w:val="heading 4"/>
    <w:basedOn w:val="1"/>
    <w:next w:val="1"/>
    <w:unhideWhenUsed/>
    <w:qFormat/>
    <w:uiPriority w:val="0"/>
    <w:pPr>
      <w:keepNext/>
      <w:keepLines/>
      <w:spacing w:beforeLines="0" w:beforeAutospacing="0" w:afterLines="0" w:afterAutospacing="0" w:line="360" w:lineRule="auto"/>
      <w:ind w:firstLine="0" w:firstLineChars="0"/>
      <w:outlineLvl w:val="3"/>
    </w:pPr>
    <w:rPr>
      <w:rFonts w:ascii="Times New Roman" w:hAnsi="Times New Roman" w:eastAsia="宋体"/>
      <w:b/>
    </w:rPr>
  </w:style>
  <w:style w:type="character" w:default="1" w:styleId="15">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4">
    <w:name w:val="Table Theme"/>
    <w:basedOn w:val="12"/>
    <w:qFormat/>
    <w:uiPriority w:val="0"/>
    <w:pPr>
      <w:widowControl w:val="0"/>
      <w:spacing w:line="480" w:lineRule="exact"/>
      <w:ind w:firstLine="200" w:firstLineChars="20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图、表名称"/>
    <w:basedOn w:val="1"/>
    <w:qFormat/>
    <w:uiPriority w:val="0"/>
    <w:pPr>
      <w:ind w:firstLine="0" w:firstLineChars="0"/>
      <w:jc w:val="center"/>
    </w:pPr>
    <w:rPr>
      <w:rFonts w:ascii="Times New Roman" w:hAnsi="Times New Roman"/>
      <w:sz w:val="24"/>
    </w:rPr>
  </w:style>
  <w:style w:type="paragraph" w:customStyle="1" w:styleId="17">
    <w:name w:val="表格内容"/>
    <w:basedOn w:val="1"/>
    <w:qFormat/>
    <w:uiPriority w:val="0"/>
    <w:pPr>
      <w:spacing w:line="240" w:lineRule="auto"/>
      <w:ind w:firstLine="0" w:firstLineChars="0"/>
      <w:jc w:val="center"/>
    </w:pPr>
    <w:rPr>
      <w:rFonts w:ascii="Times New Roman" w:hAnsi="Times New Roman"/>
      <w:sz w:val="21"/>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表文字"/>
    <w:qFormat/>
    <w:uiPriority w:val="7"/>
    <w:pPr>
      <w:spacing w:line="240" w:lineRule="auto"/>
    </w:pPr>
    <w:rPr>
      <w:rFonts w:ascii="Times New Roman" w:hAnsi="Times New Roman" w:eastAsia="宋体" w:cs="Times New Roman"/>
      <w:kern w:val="2"/>
      <w:sz w:val="24"/>
      <w:szCs w:val="21"/>
    </w:rPr>
  </w:style>
  <w:style w:type="character" w:customStyle="1" w:styleId="20">
    <w:name w:val="font61"/>
    <w:basedOn w:val="15"/>
    <w:qFormat/>
    <w:uiPriority w:val="0"/>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3.wmf"/><Relationship Id="rId27" Type="http://schemas.openxmlformats.org/officeDocument/2006/relationships/image" Target="media/image12.wmf"/><Relationship Id="rId26" Type="http://schemas.openxmlformats.org/officeDocument/2006/relationships/image" Target="media/image11.wmf"/><Relationship Id="rId25" Type="http://schemas.openxmlformats.org/officeDocument/2006/relationships/oleObject" Target="embeddings/oleObject3.bin"/><Relationship Id="rId24" Type="http://schemas.openxmlformats.org/officeDocument/2006/relationships/image" Target="media/image10.wmf"/><Relationship Id="rId23" Type="http://schemas.openxmlformats.org/officeDocument/2006/relationships/oleObject" Target="embeddings/oleObject2.bin"/><Relationship Id="rId22" Type="http://schemas.openxmlformats.org/officeDocument/2006/relationships/image" Target="media/image9.wmf"/><Relationship Id="rId21" Type="http://schemas.openxmlformats.org/officeDocument/2006/relationships/oleObject" Target="embeddings/oleObject1.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wmf"/><Relationship Id="rId16" Type="http://schemas.openxmlformats.org/officeDocument/2006/relationships/image" Target="media/image4.wmf"/><Relationship Id="rId15" Type="http://schemas.openxmlformats.org/officeDocument/2006/relationships/image" Target="media/image3.wmf"/><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149</Pages>
  <Words>13302</Words>
  <Characters>16429</Characters>
  <Lines>0</Lines>
  <Paragraphs>0</Paragraphs>
  <TotalTime>15</TotalTime>
  <ScaleCrop>false</ScaleCrop>
  <LinksUpToDate>false</LinksUpToDate>
  <CharactersWithSpaces>16727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2025-03-25T05:43:00Z</dcterms:created>
  <dc:creator>Administrator</dc:creator>
  <cp:lastModifiedBy>Lemon</cp:lastModifiedBy>
  <dcterms:modified xsi:type="dcterms:W3CDTF">2026-08-04T02:44:01Z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eyJoZGlkIjoiYWM2ODNjYTQ2NjZmNzFhMjU5MjAzN2EzZjFmMjE3YWMiLCJ1c2VySWQiOiIzOTk0MDY5NTMifQ==</vt:lpwstr>
  </property>
  <property fmtid="{D5CDD505-2E9C-101B-9397-08002B2CF9AE}" pid="4" name="ICV">
    <vt:lpwstr>4879CFAB2B204564AC314558C3573513_12</vt:lpwstr>
  </property>
</Properties>
</file>